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17" w:rsidRDefault="00616117">
      <w:pPr>
        <w:rPr>
          <w:rFonts w:ascii="Arial" w:hAnsi="Arial" w:cs="Arial"/>
          <w:sz w:val="24"/>
          <w:szCs w:val="24"/>
        </w:rPr>
      </w:pPr>
    </w:p>
    <w:p w:rsidR="00616117" w:rsidRDefault="00616117">
      <w:pPr>
        <w:rPr>
          <w:rFonts w:ascii="Arial" w:hAnsi="Arial" w:cs="Arial"/>
          <w:sz w:val="24"/>
          <w:szCs w:val="24"/>
        </w:rPr>
      </w:pPr>
      <w:bookmarkStart w:id="0" w:name="_GoBack"/>
      <w:bookmarkEnd w:id="0"/>
    </w:p>
    <w:p w:rsidR="00D800C0" w:rsidRPr="001951F9" w:rsidRDefault="00DF2047" w:rsidP="00550B6C">
      <w:pPr>
        <w:jc w:val="center"/>
        <w:rPr>
          <w:rFonts w:ascii="Arial" w:hAnsi="Arial" w:cs="Arial"/>
          <w:b/>
          <w:sz w:val="40"/>
          <w:szCs w:val="40"/>
        </w:rPr>
      </w:pPr>
      <w:r w:rsidRPr="001951F9">
        <w:rPr>
          <w:rFonts w:ascii="Arial" w:hAnsi="Arial" w:cs="Arial"/>
          <w:b/>
          <w:sz w:val="40"/>
          <w:szCs w:val="40"/>
        </w:rPr>
        <w:t>The mis</w:t>
      </w:r>
      <w:r w:rsidR="00CE6F91" w:rsidRPr="001951F9">
        <w:rPr>
          <w:rFonts w:ascii="Arial" w:hAnsi="Arial" w:cs="Arial"/>
          <w:b/>
          <w:sz w:val="40"/>
          <w:szCs w:val="40"/>
        </w:rPr>
        <w:t xml:space="preserve">allocation </w:t>
      </w:r>
      <w:r w:rsidRPr="001951F9">
        <w:rPr>
          <w:rFonts w:ascii="Arial" w:hAnsi="Arial" w:cs="Arial"/>
          <w:b/>
          <w:sz w:val="40"/>
          <w:szCs w:val="40"/>
        </w:rPr>
        <w:t xml:space="preserve">of public money for both </w:t>
      </w:r>
      <w:r w:rsidR="00947E76" w:rsidRPr="001951F9">
        <w:rPr>
          <w:rFonts w:ascii="Arial" w:hAnsi="Arial" w:cs="Arial"/>
          <w:b/>
          <w:sz w:val="40"/>
          <w:szCs w:val="40"/>
        </w:rPr>
        <w:t xml:space="preserve">public and </w:t>
      </w:r>
      <w:r w:rsidRPr="001951F9">
        <w:rPr>
          <w:rFonts w:ascii="Arial" w:hAnsi="Arial" w:cs="Arial"/>
          <w:b/>
          <w:sz w:val="40"/>
          <w:szCs w:val="40"/>
        </w:rPr>
        <w:t xml:space="preserve">private </w:t>
      </w:r>
      <w:r w:rsidR="00CE6F91" w:rsidRPr="001951F9">
        <w:rPr>
          <w:rFonts w:ascii="Arial" w:hAnsi="Arial" w:cs="Arial"/>
          <w:b/>
          <w:sz w:val="40"/>
          <w:szCs w:val="40"/>
        </w:rPr>
        <w:t xml:space="preserve">transport </w:t>
      </w:r>
      <w:r w:rsidRPr="001951F9">
        <w:rPr>
          <w:rFonts w:ascii="Arial" w:hAnsi="Arial" w:cs="Arial"/>
          <w:b/>
          <w:sz w:val="40"/>
          <w:szCs w:val="40"/>
        </w:rPr>
        <w:t>infrastructure</w:t>
      </w:r>
    </w:p>
    <w:p w:rsidR="00DF2047" w:rsidRPr="00EE76EF" w:rsidRDefault="00DF2047">
      <w:pPr>
        <w:rPr>
          <w:rFonts w:ascii="Arial" w:hAnsi="Arial" w:cs="Arial"/>
          <w:sz w:val="24"/>
          <w:szCs w:val="24"/>
        </w:rPr>
      </w:pPr>
    </w:p>
    <w:p w:rsidR="00550B6C" w:rsidRDefault="00550B6C" w:rsidP="00550B6C">
      <w:pPr>
        <w:jc w:val="center"/>
        <w:rPr>
          <w:rFonts w:ascii="Arial" w:hAnsi="Arial" w:cs="Arial"/>
          <w:sz w:val="28"/>
          <w:szCs w:val="28"/>
        </w:rPr>
      </w:pPr>
    </w:p>
    <w:p w:rsidR="00550B6C" w:rsidRDefault="00550B6C" w:rsidP="00550B6C">
      <w:pPr>
        <w:jc w:val="center"/>
        <w:rPr>
          <w:rFonts w:ascii="Arial" w:hAnsi="Arial" w:cs="Arial"/>
          <w:sz w:val="28"/>
          <w:szCs w:val="28"/>
        </w:rPr>
      </w:pPr>
    </w:p>
    <w:p w:rsidR="00550B6C" w:rsidRDefault="00550B6C" w:rsidP="00550B6C">
      <w:pPr>
        <w:jc w:val="center"/>
        <w:rPr>
          <w:rFonts w:ascii="Arial" w:hAnsi="Arial" w:cs="Arial"/>
          <w:sz w:val="28"/>
          <w:szCs w:val="28"/>
        </w:rPr>
      </w:pPr>
    </w:p>
    <w:p w:rsidR="00550B6C" w:rsidRDefault="00550B6C" w:rsidP="00550B6C">
      <w:pPr>
        <w:jc w:val="center"/>
        <w:rPr>
          <w:rFonts w:ascii="Arial" w:hAnsi="Arial" w:cs="Arial"/>
          <w:sz w:val="28"/>
          <w:szCs w:val="28"/>
        </w:rPr>
      </w:pPr>
    </w:p>
    <w:p w:rsidR="00DF2047" w:rsidRPr="00550B6C" w:rsidRDefault="00DF2047" w:rsidP="00550B6C">
      <w:pPr>
        <w:jc w:val="center"/>
        <w:rPr>
          <w:rFonts w:ascii="Arial" w:hAnsi="Arial" w:cs="Arial"/>
          <w:sz w:val="32"/>
          <w:szCs w:val="32"/>
        </w:rPr>
      </w:pPr>
      <w:r w:rsidRPr="00550B6C">
        <w:rPr>
          <w:rFonts w:ascii="Arial" w:hAnsi="Arial" w:cs="Arial"/>
          <w:sz w:val="32"/>
          <w:szCs w:val="32"/>
        </w:rPr>
        <w:t>Submission to the Productivity Commission</w:t>
      </w:r>
    </w:p>
    <w:p w:rsidR="00DF2047" w:rsidRPr="00550B6C" w:rsidRDefault="00DF2047" w:rsidP="00550B6C">
      <w:pPr>
        <w:jc w:val="center"/>
        <w:rPr>
          <w:rFonts w:ascii="Arial" w:hAnsi="Arial" w:cs="Arial"/>
          <w:sz w:val="28"/>
          <w:szCs w:val="28"/>
        </w:rPr>
      </w:pPr>
    </w:p>
    <w:p w:rsidR="00550B6C" w:rsidRDefault="00550B6C" w:rsidP="00550B6C">
      <w:pPr>
        <w:jc w:val="center"/>
        <w:rPr>
          <w:rFonts w:ascii="Arial" w:hAnsi="Arial" w:cs="Arial"/>
          <w:sz w:val="24"/>
          <w:szCs w:val="24"/>
        </w:rPr>
      </w:pPr>
    </w:p>
    <w:p w:rsidR="00550B6C" w:rsidRDefault="00550B6C" w:rsidP="00550B6C">
      <w:pPr>
        <w:jc w:val="center"/>
        <w:rPr>
          <w:rFonts w:ascii="Arial" w:hAnsi="Arial" w:cs="Arial"/>
          <w:sz w:val="24"/>
          <w:szCs w:val="24"/>
        </w:rPr>
      </w:pPr>
    </w:p>
    <w:p w:rsidR="00DF2047" w:rsidRDefault="00DF2047" w:rsidP="00550B6C">
      <w:pPr>
        <w:jc w:val="center"/>
        <w:rPr>
          <w:rFonts w:ascii="Arial" w:hAnsi="Arial" w:cs="Arial"/>
          <w:sz w:val="24"/>
          <w:szCs w:val="24"/>
        </w:rPr>
      </w:pPr>
      <w:r w:rsidRPr="00EE76EF">
        <w:rPr>
          <w:rFonts w:ascii="Arial" w:hAnsi="Arial" w:cs="Arial"/>
          <w:sz w:val="24"/>
          <w:szCs w:val="24"/>
        </w:rPr>
        <w:t>Dr John L Goldberg</w:t>
      </w:r>
    </w:p>
    <w:p w:rsidR="00550B6C" w:rsidRDefault="00550B6C" w:rsidP="00550B6C">
      <w:pPr>
        <w:jc w:val="center"/>
        <w:rPr>
          <w:rFonts w:ascii="Arial" w:hAnsi="Arial" w:cs="Arial"/>
          <w:sz w:val="24"/>
          <w:szCs w:val="24"/>
        </w:rPr>
      </w:pPr>
      <w:r>
        <w:rPr>
          <w:rFonts w:ascii="Arial" w:hAnsi="Arial" w:cs="Arial"/>
          <w:sz w:val="24"/>
          <w:szCs w:val="24"/>
        </w:rPr>
        <w:t>Former Honorary Associate</w:t>
      </w:r>
    </w:p>
    <w:p w:rsidR="00550B6C" w:rsidRDefault="00550B6C" w:rsidP="00550B6C">
      <w:pPr>
        <w:jc w:val="center"/>
        <w:rPr>
          <w:rFonts w:ascii="Arial" w:hAnsi="Arial" w:cs="Arial"/>
          <w:sz w:val="24"/>
          <w:szCs w:val="24"/>
        </w:rPr>
      </w:pPr>
      <w:r>
        <w:rPr>
          <w:rFonts w:ascii="Arial" w:hAnsi="Arial" w:cs="Arial"/>
          <w:sz w:val="24"/>
          <w:szCs w:val="24"/>
        </w:rPr>
        <w:t>The University of Sydney</w:t>
      </w:r>
    </w:p>
    <w:p w:rsidR="002116EB" w:rsidRDefault="00437A67" w:rsidP="002116EB">
      <w:pPr>
        <w:jc w:val="center"/>
        <w:rPr>
          <w:rFonts w:ascii="Arial" w:hAnsi="Arial" w:cs="Arial"/>
          <w:sz w:val="24"/>
          <w:szCs w:val="24"/>
        </w:rPr>
      </w:pPr>
      <w:hyperlink r:id="rId9" w:history="1">
        <w:proofErr w:type="spellStart"/>
        <w:r w:rsidR="00DF1BC9" w:rsidRPr="00C15B86">
          <w:rPr>
            <w:rStyle w:val="Hyperlink"/>
            <w:rFonts w:ascii="Arial" w:hAnsi="Arial" w:cs="Arial"/>
            <w:sz w:val="24"/>
            <w:szCs w:val="24"/>
          </w:rPr>
          <w:t>lgoldber@bigpond.net.au</w:t>
        </w:r>
        <w:proofErr w:type="spellEnd"/>
      </w:hyperlink>
    </w:p>
    <w:p w:rsidR="00DF1BC9" w:rsidRDefault="00DF1BC9" w:rsidP="002116EB">
      <w:pPr>
        <w:jc w:val="center"/>
        <w:rPr>
          <w:rFonts w:ascii="Arial" w:hAnsi="Arial" w:cs="Arial"/>
          <w:sz w:val="24"/>
          <w:szCs w:val="24"/>
        </w:rPr>
      </w:pPr>
      <w:r>
        <w:rPr>
          <w:rFonts w:ascii="Arial" w:hAnsi="Arial" w:cs="Arial"/>
          <w:sz w:val="24"/>
          <w:szCs w:val="24"/>
        </w:rPr>
        <w:t>31 March 2014</w:t>
      </w:r>
      <w:r w:rsidR="001951F9">
        <w:rPr>
          <w:rFonts w:ascii="Arial" w:hAnsi="Arial" w:cs="Arial"/>
          <w:sz w:val="24"/>
          <w:szCs w:val="24"/>
        </w:rPr>
        <w:t xml:space="preserve"> (Revised 9</w:t>
      </w:r>
      <w:r w:rsidR="0009372C">
        <w:rPr>
          <w:rFonts w:ascii="Arial" w:hAnsi="Arial" w:cs="Arial"/>
          <w:sz w:val="24"/>
          <w:szCs w:val="24"/>
        </w:rPr>
        <w:t xml:space="preserve"> April 2014)</w:t>
      </w:r>
    </w:p>
    <w:p w:rsidR="00550B6C" w:rsidRDefault="00550B6C">
      <w:pPr>
        <w:rPr>
          <w:rFonts w:ascii="Arial" w:hAnsi="Arial" w:cs="Arial"/>
          <w:sz w:val="24"/>
          <w:szCs w:val="24"/>
        </w:rPr>
      </w:pPr>
      <w:r>
        <w:rPr>
          <w:rFonts w:ascii="Arial" w:hAnsi="Arial" w:cs="Arial"/>
          <w:sz w:val="24"/>
          <w:szCs w:val="24"/>
        </w:rPr>
        <w:br w:type="page"/>
      </w:r>
    </w:p>
    <w:p w:rsidR="00611654" w:rsidRDefault="00611654" w:rsidP="00550B6C">
      <w:pPr>
        <w:jc w:val="center"/>
        <w:rPr>
          <w:rFonts w:ascii="Arial" w:hAnsi="Arial" w:cs="Arial"/>
          <w:b/>
          <w:sz w:val="28"/>
          <w:szCs w:val="28"/>
        </w:rPr>
      </w:pPr>
      <w:r>
        <w:rPr>
          <w:rFonts w:ascii="Arial" w:hAnsi="Arial" w:cs="Arial"/>
          <w:b/>
          <w:sz w:val="28"/>
          <w:szCs w:val="28"/>
        </w:rPr>
        <w:lastRenderedPageBreak/>
        <w:t>ABSTRACT</w:t>
      </w:r>
    </w:p>
    <w:p w:rsidR="00D95B2E" w:rsidRPr="00D95B2E" w:rsidRDefault="00D95B2E" w:rsidP="001D36AF">
      <w:pPr>
        <w:rPr>
          <w:rFonts w:ascii="Arial" w:hAnsi="Arial" w:cs="Arial"/>
          <w:sz w:val="24"/>
          <w:szCs w:val="24"/>
        </w:rPr>
      </w:pPr>
      <w:r w:rsidRPr="00D95B2E">
        <w:rPr>
          <w:rFonts w:ascii="Arial" w:hAnsi="Arial" w:cs="Arial"/>
          <w:sz w:val="24"/>
          <w:szCs w:val="24"/>
        </w:rPr>
        <w:t>The pu</w:t>
      </w:r>
      <w:r w:rsidR="001D36AF">
        <w:rPr>
          <w:rFonts w:ascii="Arial" w:hAnsi="Arial" w:cs="Arial"/>
          <w:sz w:val="24"/>
          <w:szCs w:val="24"/>
        </w:rPr>
        <w:t>r</w:t>
      </w:r>
      <w:r w:rsidRPr="00D95B2E">
        <w:rPr>
          <w:rFonts w:ascii="Arial" w:hAnsi="Arial" w:cs="Arial"/>
          <w:sz w:val="24"/>
          <w:szCs w:val="24"/>
        </w:rPr>
        <w:t>pose of this submission is to:</w:t>
      </w:r>
    </w:p>
    <w:p w:rsidR="00D95B2E" w:rsidRPr="00DD3996" w:rsidRDefault="00D95B2E" w:rsidP="00DD3996">
      <w:pPr>
        <w:pStyle w:val="ListParagraph"/>
        <w:numPr>
          <w:ilvl w:val="0"/>
          <w:numId w:val="30"/>
        </w:numPr>
        <w:rPr>
          <w:rFonts w:ascii="Arial" w:hAnsi="Arial" w:cs="Arial"/>
          <w:sz w:val="24"/>
          <w:szCs w:val="24"/>
        </w:rPr>
      </w:pPr>
      <w:r w:rsidRPr="00D95B2E">
        <w:rPr>
          <w:rFonts w:ascii="Arial" w:hAnsi="Arial" w:cs="Arial"/>
          <w:sz w:val="24"/>
          <w:szCs w:val="24"/>
        </w:rPr>
        <w:t>ex</w:t>
      </w:r>
      <w:r w:rsidR="00DD3996">
        <w:rPr>
          <w:rFonts w:ascii="Arial" w:hAnsi="Arial" w:cs="Arial"/>
          <w:sz w:val="24"/>
          <w:szCs w:val="24"/>
        </w:rPr>
        <w:t>pose the widespread misuse of c</w:t>
      </w:r>
      <w:r w:rsidRPr="00D95B2E">
        <w:rPr>
          <w:rFonts w:ascii="Arial" w:hAnsi="Arial" w:cs="Arial"/>
          <w:sz w:val="24"/>
          <w:szCs w:val="24"/>
        </w:rPr>
        <w:t>ost-benefit analysis (</w:t>
      </w:r>
      <w:proofErr w:type="spellStart"/>
      <w:r w:rsidRPr="00D95B2E">
        <w:rPr>
          <w:rFonts w:ascii="Arial" w:hAnsi="Arial" w:cs="Arial"/>
          <w:sz w:val="24"/>
          <w:szCs w:val="24"/>
        </w:rPr>
        <w:t>CBA</w:t>
      </w:r>
      <w:proofErr w:type="spellEnd"/>
      <w:r w:rsidRPr="00D95B2E">
        <w:rPr>
          <w:rFonts w:ascii="Arial" w:hAnsi="Arial" w:cs="Arial"/>
          <w:sz w:val="24"/>
          <w:szCs w:val="24"/>
        </w:rPr>
        <w:t>) to obtain funding for uneconomic infrastructure projects</w:t>
      </w:r>
    </w:p>
    <w:p w:rsidR="001D36AF" w:rsidRPr="001D36AF" w:rsidRDefault="001D36AF" w:rsidP="001D36AF">
      <w:pPr>
        <w:pStyle w:val="ListParagraph"/>
        <w:rPr>
          <w:rFonts w:ascii="Arial" w:hAnsi="Arial" w:cs="Arial"/>
          <w:sz w:val="24"/>
          <w:szCs w:val="24"/>
        </w:rPr>
      </w:pPr>
    </w:p>
    <w:p w:rsidR="00D95B2E" w:rsidRDefault="00D95B2E" w:rsidP="00D95B2E">
      <w:pPr>
        <w:pStyle w:val="ListParagraph"/>
        <w:numPr>
          <w:ilvl w:val="0"/>
          <w:numId w:val="30"/>
        </w:numPr>
        <w:rPr>
          <w:rFonts w:ascii="Arial" w:hAnsi="Arial" w:cs="Arial"/>
          <w:sz w:val="24"/>
          <w:szCs w:val="24"/>
        </w:rPr>
      </w:pPr>
      <w:r w:rsidRPr="00D95B2E">
        <w:rPr>
          <w:rFonts w:ascii="Arial" w:hAnsi="Arial" w:cs="Arial"/>
          <w:sz w:val="24"/>
          <w:szCs w:val="24"/>
        </w:rPr>
        <w:t>explain certain features of risk allocation</w:t>
      </w:r>
    </w:p>
    <w:p w:rsidR="001D36AF" w:rsidRPr="00D95B2E" w:rsidRDefault="001D36AF" w:rsidP="001D36AF">
      <w:pPr>
        <w:pStyle w:val="ListParagraph"/>
        <w:rPr>
          <w:rFonts w:ascii="Arial" w:hAnsi="Arial" w:cs="Arial"/>
          <w:sz w:val="24"/>
          <w:szCs w:val="24"/>
        </w:rPr>
      </w:pPr>
    </w:p>
    <w:p w:rsidR="00D95B2E" w:rsidRPr="00D95B2E" w:rsidRDefault="00D95B2E" w:rsidP="00D95B2E">
      <w:pPr>
        <w:ind w:left="360"/>
        <w:rPr>
          <w:rFonts w:ascii="Arial" w:hAnsi="Arial" w:cs="Arial"/>
          <w:sz w:val="24"/>
          <w:szCs w:val="24"/>
        </w:rPr>
      </w:pPr>
      <w:r w:rsidRPr="00D95B2E">
        <w:rPr>
          <w:rFonts w:ascii="Arial" w:hAnsi="Arial" w:cs="Arial"/>
          <w:sz w:val="24"/>
          <w:szCs w:val="24"/>
        </w:rPr>
        <w:t>The</w:t>
      </w:r>
      <w:r w:rsidR="00DD3996">
        <w:rPr>
          <w:rFonts w:ascii="Arial" w:hAnsi="Arial" w:cs="Arial"/>
          <w:sz w:val="24"/>
          <w:szCs w:val="24"/>
        </w:rPr>
        <w:t xml:space="preserve"> steps in the process that lead</w:t>
      </w:r>
      <w:r w:rsidRPr="00D95B2E">
        <w:rPr>
          <w:rFonts w:ascii="Arial" w:hAnsi="Arial" w:cs="Arial"/>
          <w:sz w:val="24"/>
          <w:szCs w:val="24"/>
        </w:rPr>
        <w:t xml:space="preserve"> to uneconomic infrastructure projects </w:t>
      </w:r>
      <w:r w:rsidR="00947E76">
        <w:rPr>
          <w:rFonts w:ascii="Arial" w:hAnsi="Arial" w:cs="Arial"/>
          <w:sz w:val="24"/>
          <w:szCs w:val="24"/>
        </w:rPr>
        <w:t xml:space="preserve">in NSW </w:t>
      </w:r>
      <w:r w:rsidRPr="00D95B2E">
        <w:rPr>
          <w:rFonts w:ascii="Arial" w:hAnsi="Arial" w:cs="Arial"/>
          <w:sz w:val="24"/>
          <w:szCs w:val="24"/>
        </w:rPr>
        <w:t>are as follows</w:t>
      </w:r>
    </w:p>
    <w:p w:rsidR="00D95B2E" w:rsidRDefault="00D95B2E" w:rsidP="001D36AF">
      <w:pPr>
        <w:pStyle w:val="ListParagraph"/>
        <w:numPr>
          <w:ilvl w:val="0"/>
          <w:numId w:val="31"/>
        </w:numPr>
        <w:rPr>
          <w:rFonts w:ascii="Arial" w:hAnsi="Arial" w:cs="Arial"/>
          <w:sz w:val="24"/>
          <w:szCs w:val="24"/>
        </w:rPr>
      </w:pPr>
      <w:r w:rsidRPr="001D36AF">
        <w:rPr>
          <w:rFonts w:ascii="Arial" w:hAnsi="Arial" w:cs="Arial"/>
          <w:sz w:val="24"/>
          <w:szCs w:val="24"/>
        </w:rPr>
        <w:t xml:space="preserve">The </w:t>
      </w:r>
      <w:proofErr w:type="spellStart"/>
      <w:r w:rsidRPr="001D36AF">
        <w:rPr>
          <w:rFonts w:ascii="Arial" w:hAnsi="Arial" w:cs="Arial"/>
          <w:sz w:val="24"/>
          <w:szCs w:val="24"/>
        </w:rPr>
        <w:t>CBA</w:t>
      </w:r>
      <w:proofErr w:type="spellEnd"/>
      <w:r w:rsidRPr="001D36AF">
        <w:rPr>
          <w:rFonts w:ascii="Arial" w:hAnsi="Arial" w:cs="Arial"/>
          <w:sz w:val="24"/>
          <w:szCs w:val="24"/>
        </w:rPr>
        <w:t xml:space="preserve"> of the project as required under the NSW Environmental Planning and Assessment Act 1979 is falsified by the proponent.</w:t>
      </w:r>
    </w:p>
    <w:p w:rsidR="001D36AF" w:rsidRPr="001D36AF" w:rsidRDefault="001D36AF" w:rsidP="001D36AF">
      <w:pPr>
        <w:pStyle w:val="ListParagraph"/>
        <w:ind w:left="1080"/>
        <w:rPr>
          <w:rFonts w:ascii="Arial" w:hAnsi="Arial" w:cs="Arial"/>
          <w:sz w:val="24"/>
          <w:szCs w:val="24"/>
        </w:rPr>
      </w:pPr>
    </w:p>
    <w:p w:rsidR="00D95B2E" w:rsidRDefault="00DD3996" w:rsidP="001D36AF">
      <w:pPr>
        <w:pStyle w:val="ListParagraph"/>
        <w:numPr>
          <w:ilvl w:val="0"/>
          <w:numId w:val="31"/>
        </w:numPr>
        <w:rPr>
          <w:rFonts w:ascii="Arial" w:hAnsi="Arial" w:cs="Arial"/>
          <w:sz w:val="24"/>
          <w:szCs w:val="24"/>
        </w:rPr>
      </w:pPr>
      <w:r>
        <w:rPr>
          <w:rFonts w:ascii="Arial" w:hAnsi="Arial" w:cs="Arial"/>
          <w:sz w:val="24"/>
          <w:szCs w:val="24"/>
        </w:rPr>
        <w:t>The</w:t>
      </w:r>
      <w:r w:rsidR="00160D2E">
        <w:rPr>
          <w:rFonts w:ascii="Arial" w:hAnsi="Arial" w:cs="Arial"/>
          <w:sz w:val="24"/>
          <w:szCs w:val="24"/>
        </w:rPr>
        <w:t xml:space="preserve"> </w:t>
      </w:r>
      <w:r>
        <w:rPr>
          <w:rFonts w:ascii="Arial" w:hAnsi="Arial" w:cs="Arial"/>
          <w:sz w:val="24"/>
          <w:szCs w:val="24"/>
        </w:rPr>
        <w:t xml:space="preserve">false </w:t>
      </w:r>
      <w:proofErr w:type="spellStart"/>
      <w:r w:rsidR="00CD35E3" w:rsidRPr="001D36AF">
        <w:rPr>
          <w:rFonts w:ascii="Arial" w:hAnsi="Arial" w:cs="Arial"/>
          <w:sz w:val="24"/>
          <w:szCs w:val="24"/>
        </w:rPr>
        <w:t>CBA</w:t>
      </w:r>
      <w:proofErr w:type="spellEnd"/>
      <w:r w:rsidR="00CD35E3" w:rsidRPr="001D36AF">
        <w:rPr>
          <w:rFonts w:ascii="Arial" w:hAnsi="Arial" w:cs="Arial"/>
          <w:sz w:val="24"/>
          <w:szCs w:val="24"/>
        </w:rPr>
        <w:t xml:space="preserve"> is accepted and endorsed by the NSW Department of Planning and Infrastructure.</w:t>
      </w:r>
    </w:p>
    <w:p w:rsidR="001D36AF" w:rsidRPr="001D36AF" w:rsidRDefault="001D36AF" w:rsidP="001D36AF">
      <w:pPr>
        <w:pStyle w:val="ListParagraph"/>
        <w:rPr>
          <w:rFonts w:ascii="Arial" w:hAnsi="Arial" w:cs="Arial"/>
          <w:sz w:val="24"/>
          <w:szCs w:val="24"/>
        </w:rPr>
      </w:pPr>
    </w:p>
    <w:p w:rsidR="00CD35E3" w:rsidRDefault="00CD35E3" w:rsidP="001D36AF">
      <w:pPr>
        <w:pStyle w:val="ListParagraph"/>
        <w:numPr>
          <w:ilvl w:val="0"/>
          <w:numId w:val="31"/>
        </w:numPr>
        <w:rPr>
          <w:rFonts w:ascii="Arial" w:hAnsi="Arial" w:cs="Arial"/>
          <w:sz w:val="24"/>
          <w:szCs w:val="24"/>
        </w:rPr>
      </w:pPr>
      <w:r w:rsidRPr="001D36AF">
        <w:rPr>
          <w:rFonts w:ascii="Arial" w:hAnsi="Arial" w:cs="Arial"/>
          <w:sz w:val="24"/>
          <w:szCs w:val="24"/>
        </w:rPr>
        <w:t xml:space="preserve">This endorsement of the false </w:t>
      </w:r>
      <w:proofErr w:type="spellStart"/>
      <w:r w:rsidRPr="001D36AF">
        <w:rPr>
          <w:rFonts w:ascii="Arial" w:hAnsi="Arial" w:cs="Arial"/>
          <w:sz w:val="24"/>
          <w:szCs w:val="24"/>
        </w:rPr>
        <w:t>CBA</w:t>
      </w:r>
      <w:proofErr w:type="spellEnd"/>
      <w:r w:rsidRPr="001D36AF">
        <w:rPr>
          <w:rFonts w:ascii="Arial" w:hAnsi="Arial" w:cs="Arial"/>
          <w:sz w:val="24"/>
          <w:szCs w:val="24"/>
        </w:rPr>
        <w:t xml:space="preserve"> is </w:t>
      </w:r>
      <w:r w:rsidR="0009372C">
        <w:rPr>
          <w:rFonts w:ascii="Arial" w:hAnsi="Arial" w:cs="Arial"/>
          <w:sz w:val="24"/>
          <w:szCs w:val="24"/>
        </w:rPr>
        <w:t xml:space="preserve">potentially </w:t>
      </w:r>
      <w:r w:rsidRPr="001D36AF">
        <w:rPr>
          <w:rFonts w:ascii="Arial" w:hAnsi="Arial" w:cs="Arial"/>
          <w:sz w:val="24"/>
          <w:szCs w:val="24"/>
        </w:rPr>
        <w:t>illegal because it contravenes section 283 of the Regulation 2000 to the 1979 Act which states that it is an offence to use false and misleading information in any document relating to project consent.</w:t>
      </w:r>
    </w:p>
    <w:p w:rsidR="001D36AF" w:rsidRPr="001D36AF" w:rsidRDefault="001D36AF" w:rsidP="001D36AF">
      <w:pPr>
        <w:pStyle w:val="ListParagraph"/>
        <w:rPr>
          <w:rFonts w:ascii="Arial" w:hAnsi="Arial" w:cs="Arial"/>
          <w:sz w:val="24"/>
          <w:szCs w:val="24"/>
        </w:rPr>
      </w:pPr>
    </w:p>
    <w:p w:rsidR="00CD35E3" w:rsidRPr="001D36AF" w:rsidRDefault="00CD35E3" w:rsidP="001D36AF">
      <w:pPr>
        <w:pStyle w:val="ListParagraph"/>
        <w:numPr>
          <w:ilvl w:val="0"/>
          <w:numId w:val="31"/>
        </w:numPr>
        <w:rPr>
          <w:rFonts w:ascii="Arial" w:hAnsi="Arial" w:cs="Arial"/>
          <w:sz w:val="24"/>
          <w:szCs w:val="24"/>
        </w:rPr>
      </w:pPr>
      <w:r w:rsidRPr="001D36AF">
        <w:rPr>
          <w:rFonts w:ascii="Arial" w:hAnsi="Arial" w:cs="Arial"/>
          <w:sz w:val="24"/>
          <w:szCs w:val="24"/>
        </w:rPr>
        <w:t>The Minister for Planning declares that a project is State Significant Infrastructure (SSI</w:t>
      </w:r>
      <w:r w:rsidR="0034744F" w:rsidRPr="001D36AF">
        <w:rPr>
          <w:rFonts w:ascii="Arial" w:hAnsi="Arial" w:cs="Arial"/>
          <w:sz w:val="24"/>
          <w:szCs w:val="24"/>
        </w:rPr>
        <w:t xml:space="preserve">). </w:t>
      </w:r>
      <w:r w:rsidRPr="001D36AF">
        <w:rPr>
          <w:rFonts w:ascii="Arial" w:hAnsi="Arial" w:cs="Arial"/>
          <w:sz w:val="24"/>
          <w:szCs w:val="24"/>
        </w:rPr>
        <w:t>This declarati</w:t>
      </w:r>
      <w:r w:rsidR="00DD3996">
        <w:rPr>
          <w:rFonts w:ascii="Arial" w:hAnsi="Arial" w:cs="Arial"/>
          <w:sz w:val="24"/>
          <w:szCs w:val="24"/>
        </w:rPr>
        <w:t>on means that the Minister is</w:t>
      </w:r>
      <w:r w:rsidRPr="001D36AF">
        <w:rPr>
          <w:rFonts w:ascii="Arial" w:hAnsi="Arial" w:cs="Arial"/>
          <w:sz w:val="24"/>
          <w:szCs w:val="24"/>
        </w:rPr>
        <w:t xml:space="preserve"> of the opinion that the project is essential for the State for </w:t>
      </w:r>
      <w:r w:rsidR="0034744F" w:rsidRPr="001D36AF">
        <w:rPr>
          <w:rFonts w:ascii="Arial" w:hAnsi="Arial" w:cs="Arial"/>
          <w:sz w:val="24"/>
          <w:szCs w:val="24"/>
        </w:rPr>
        <w:t>economic,</w:t>
      </w:r>
      <w:r w:rsidRPr="001D36AF">
        <w:rPr>
          <w:rFonts w:ascii="Arial" w:hAnsi="Arial" w:cs="Arial"/>
          <w:sz w:val="24"/>
          <w:szCs w:val="24"/>
        </w:rPr>
        <w:t xml:space="preserve"> environmental and social reasons, pu</w:t>
      </w:r>
      <w:r w:rsidR="00156259" w:rsidRPr="001D36AF">
        <w:rPr>
          <w:rFonts w:ascii="Arial" w:hAnsi="Arial" w:cs="Arial"/>
          <w:sz w:val="24"/>
          <w:szCs w:val="24"/>
        </w:rPr>
        <w:t>r</w:t>
      </w:r>
      <w:r w:rsidRPr="001D36AF">
        <w:rPr>
          <w:rFonts w:ascii="Arial" w:hAnsi="Arial" w:cs="Arial"/>
          <w:sz w:val="24"/>
          <w:szCs w:val="24"/>
        </w:rPr>
        <w:t xml:space="preserve">suant to section </w:t>
      </w:r>
      <w:proofErr w:type="spellStart"/>
      <w:r w:rsidRPr="001D36AF">
        <w:rPr>
          <w:rFonts w:ascii="Arial" w:hAnsi="Arial" w:cs="Arial"/>
          <w:sz w:val="24"/>
          <w:szCs w:val="24"/>
        </w:rPr>
        <w:t>115V</w:t>
      </w:r>
      <w:proofErr w:type="spellEnd"/>
      <w:r w:rsidRPr="001D36AF">
        <w:rPr>
          <w:rFonts w:ascii="Arial" w:hAnsi="Arial" w:cs="Arial"/>
          <w:sz w:val="24"/>
          <w:szCs w:val="24"/>
        </w:rPr>
        <w:t xml:space="preserve"> of the E P &amp; A Act</w:t>
      </w:r>
      <w:r w:rsidR="00156259" w:rsidRPr="001D36AF">
        <w:rPr>
          <w:rFonts w:ascii="Arial" w:hAnsi="Arial" w:cs="Arial"/>
          <w:sz w:val="24"/>
          <w:szCs w:val="24"/>
        </w:rPr>
        <w:t>. This declarat</w:t>
      </w:r>
      <w:r w:rsidR="00DD3996">
        <w:rPr>
          <w:rFonts w:ascii="Arial" w:hAnsi="Arial" w:cs="Arial"/>
          <w:sz w:val="24"/>
          <w:szCs w:val="24"/>
        </w:rPr>
        <w:t xml:space="preserve">ion of SSI essentially </w:t>
      </w:r>
      <w:r w:rsidR="0034744F">
        <w:rPr>
          <w:rFonts w:ascii="Arial" w:hAnsi="Arial" w:cs="Arial"/>
          <w:sz w:val="24"/>
          <w:szCs w:val="24"/>
        </w:rPr>
        <w:t xml:space="preserve">allows </w:t>
      </w:r>
      <w:r w:rsidR="0034744F" w:rsidRPr="001D36AF">
        <w:rPr>
          <w:rFonts w:ascii="Arial" w:hAnsi="Arial" w:cs="Arial"/>
          <w:sz w:val="24"/>
          <w:szCs w:val="24"/>
        </w:rPr>
        <w:t>evasion</w:t>
      </w:r>
      <w:r w:rsidR="00156259" w:rsidRPr="001D36AF">
        <w:rPr>
          <w:rFonts w:ascii="Arial" w:hAnsi="Arial" w:cs="Arial"/>
          <w:sz w:val="24"/>
          <w:szCs w:val="24"/>
        </w:rPr>
        <w:t xml:space="preserve"> of responsibility for economic perfor</w:t>
      </w:r>
      <w:r w:rsidR="001D36AF">
        <w:rPr>
          <w:rFonts w:ascii="Arial" w:hAnsi="Arial" w:cs="Arial"/>
          <w:sz w:val="24"/>
          <w:szCs w:val="24"/>
        </w:rPr>
        <w:t>m</w:t>
      </w:r>
      <w:r w:rsidR="00156259" w:rsidRPr="001D36AF">
        <w:rPr>
          <w:rFonts w:ascii="Arial" w:hAnsi="Arial" w:cs="Arial"/>
          <w:sz w:val="24"/>
          <w:szCs w:val="24"/>
        </w:rPr>
        <w:t>ance.</w:t>
      </w:r>
    </w:p>
    <w:p w:rsidR="00156259" w:rsidRDefault="00156259" w:rsidP="00D95B2E">
      <w:pPr>
        <w:ind w:left="360"/>
        <w:rPr>
          <w:rFonts w:ascii="Arial" w:hAnsi="Arial" w:cs="Arial"/>
          <w:sz w:val="24"/>
          <w:szCs w:val="24"/>
        </w:rPr>
      </w:pPr>
      <w:r>
        <w:rPr>
          <w:rFonts w:ascii="Arial" w:hAnsi="Arial" w:cs="Arial"/>
          <w:sz w:val="24"/>
          <w:szCs w:val="24"/>
        </w:rPr>
        <w:t>Four case studies illustrate this process in p</w:t>
      </w:r>
      <w:r w:rsidR="001D36AF">
        <w:rPr>
          <w:rFonts w:ascii="Arial" w:hAnsi="Arial" w:cs="Arial"/>
          <w:sz w:val="24"/>
          <w:szCs w:val="24"/>
        </w:rPr>
        <w:t>r</w:t>
      </w:r>
      <w:r>
        <w:rPr>
          <w:rFonts w:ascii="Arial" w:hAnsi="Arial" w:cs="Arial"/>
          <w:sz w:val="24"/>
          <w:szCs w:val="24"/>
        </w:rPr>
        <w:t>actice.</w:t>
      </w:r>
    </w:p>
    <w:p w:rsidR="00156259" w:rsidRDefault="00156259" w:rsidP="001D36AF">
      <w:pPr>
        <w:pStyle w:val="ListParagraph"/>
        <w:numPr>
          <w:ilvl w:val="0"/>
          <w:numId w:val="32"/>
        </w:numPr>
        <w:rPr>
          <w:rFonts w:ascii="Arial" w:hAnsi="Arial" w:cs="Arial"/>
          <w:sz w:val="24"/>
          <w:szCs w:val="24"/>
        </w:rPr>
      </w:pPr>
      <w:r w:rsidRPr="001D36AF">
        <w:rPr>
          <w:rFonts w:ascii="Arial" w:hAnsi="Arial" w:cs="Arial"/>
          <w:sz w:val="24"/>
          <w:szCs w:val="24"/>
        </w:rPr>
        <w:t>Expansion of the Northern Sydney Freight Corridor (</w:t>
      </w:r>
      <w:proofErr w:type="spellStart"/>
      <w:r w:rsidRPr="001D36AF">
        <w:rPr>
          <w:rFonts w:ascii="Arial" w:hAnsi="Arial" w:cs="Arial"/>
          <w:sz w:val="24"/>
          <w:szCs w:val="24"/>
        </w:rPr>
        <w:t>NSFC</w:t>
      </w:r>
      <w:proofErr w:type="spellEnd"/>
      <w:r w:rsidRPr="001D36AF">
        <w:rPr>
          <w:rFonts w:ascii="Arial" w:hAnsi="Arial" w:cs="Arial"/>
          <w:sz w:val="24"/>
          <w:szCs w:val="24"/>
        </w:rPr>
        <w:t>), a public sector project</w:t>
      </w:r>
    </w:p>
    <w:p w:rsidR="001D36AF" w:rsidRPr="001D36AF" w:rsidRDefault="001D36AF" w:rsidP="001D36AF">
      <w:pPr>
        <w:pStyle w:val="ListParagraph"/>
        <w:ind w:left="1080"/>
        <w:rPr>
          <w:rFonts w:ascii="Arial" w:hAnsi="Arial" w:cs="Arial"/>
          <w:sz w:val="24"/>
          <w:szCs w:val="24"/>
        </w:rPr>
      </w:pPr>
    </w:p>
    <w:p w:rsidR="00156259" w:rsidRDefault="00156259" w:rsidP="001D36AF">
      <w:pPr>
        <w:pStyle w:val="ListParagraph"/>
        <w:numPr>
          <w:ilvl w:val="0"/>
          <w:numId w:val="32"/>
        </w:numPr>
        <w:rPr>
          <w:rFonts w:ascii="Arial" w:hAnsi="Arial" w:cs="Arial"/>
          <w:sz w:val="24"/>
          <w:szCs w:val="24"/>
        </w:rPr>
      </w:pPr>
      <w:r w:rsidRPr="001D36AF">
        <w:rPr>
          <w:rFonts w:ascii="Arial" w:hAnsi="Arial" w:cs="Arial"/>
          <w:sz w:val="24"/>
          <w:szCs w:val="24"/>
        </w:rPr>
        <w:t xml:space="preserve">Widening of the </w:t>
      </w:r>
      <w:proofErr w:type="spellStart"/>
      <w:r w:rsidRPr="001D36AF">
        <w:rPr>
          <w:rFonts w:ascii="Arial" w:hAnsi="Arial" w:cs="Arial"/>
          <w:sz w:val="24"/>
          <w:szCs w:val="24"/>
        </w:rPr>
        <w:t>M2</w:t>
      </w:r>
      <w:proofErr w:type="spellEnd"/>
      <w:r w:rsidRPr="001D36AF">
        <w:rPr>
          <w:rFonts w:ascii="Arial" w:hAnsi="Arial" w:cs="Arial"/>
          <w:sz w:val="24"/>
          <w:szCs w:val="24"/>
        </w:rPr>
        <w:t xml:space="preserve"> Motorway, a private sector project.</w:t>
      </w:r>
    </w:p>
    <w:p w:rsidR="001D36AF" w:rsidRPr="001D36AF" w:rsidRDefault="001D36AF" w:rsidP="001D36AF">
      <w:pPr>
        <w:pStyle w:val="ListParagraph"/>
        <w:ind w:left="1080"/>
        <w:rPr>
          <w:rFonts w:ascii="Arial" w:hAnsi="Arial" w:cs="Arial"/>
          <w:sz w:val="24"/>
          <w:szCs w:val="24"/>
        </w:rPr>
      </w:pPr>
    </w:p>
    <w:p w:rsidR="001D36AF" w:rsidRDefault="00156259" w:rsidP="001D36AF">
      <w:pPr>
        <w:pStyle w:val="ListParagraph"/>
        <w:numPr>
          <w:ilvl w:val="0"/>
          <w:numId w:val="32"/>
        </w:numPr>
        <w:rPr>
          <w:rFonts w:ascii="Arial" w:hAnsi="Arial" w:cs="Arial"/>
          <w:sz w:val="24"/>
          <w:szCs w:val="24"/>
        </w:rPr>
      </w:pPr>
      <w:proofErr w:type="spellStart"/>
      <w:r w:rsidRPr="001D36AF">
        <w:rPr>
          <w:rFonts w:ascii="Arial" w:hAnsi="Arial" w:cs="Arial"/>
          <w:sz w:val="24"/>
          <w:szCs w:val="24"/>
        </w:rPr>
        <w:t>NorthConnex</w:t>
      </w:r>
      <w:proofErr w:type="spellEnd"/>
      <w:r w:rsidRPr="001D36AF">
        <w:rPr>
          <w:rFonts w:ascii="Arial" w:hAnsi="Arial" w:cs="Arial"/>
          <w:sz w:val="24"/>
          <w:szCs w:val="24"/>
        </w:rPr>
        <w:t xml:space="preserve">, a public private partnership </w:t>
      </w:r>
      <w:r w:rsidR="0034744F" w:rsidRPr="001D36AF">
        <w:rPr>
          <w:rFonts w:ascii="Arial" w:hAnsi="Arial" w:cs="Arial"/>
          <w:sz w:val="24"/>
          <w:szCs w:val="24"/>
        </w:rPr>
        <w:t>currently in</w:t>
      </w:r>
      <w:r w:rsidRPr="001D36AF">
        <w:rPr>
          <w:rFonts w:ascii="Arial" w:hAnsi="Arial" w:cs="Arial"/>
          <w:sz w:val="24"/>
          <w:szCs w:val="24"/>
        </w:rPr>
        <w:t xml:space="preserve"> development</w:t>
      </w:r>
      <w:r w:rsidR="00DD3996">
        <w:rPr>
          <w:rFonts w:ascii="Arial" w:hAnsi="Arial" w:cs="Arial"/>
          <w:sz w:val="24"/>
          <w:szCs w:val="24"/>
        </w:rPr>
        <w:t>.</w:t>
      </w:r>
    </w:p>
    <w:p w:rsidR="00156259" w:rsidRPr="001D36AF" w:rsidRDefault="00156259" w:rsidP="001D36AF">
      <w:pPr>
        <w:pStyle w:val="ListParagraph"/>
        <w:ind w:left="1080"/>
        <w:rPr>
          <w:rFonts w:ascii="Arial" w:hAnsi="Arial" w:cs="Arial"/>
          <w:sz w:val="24"/>
          <w:szCs w:val="24"/>
        </w:rPr>
      </w:pPr>
      <w:r w:rsidRPr="001D36AF">
        <w:rPr>
          <w:rFonts w:ascii="Arial" w:hAnsi="Arial" w:cs="Arial"/>
          <w:sz w:val="24"/>
          <w:szCs w:val="24"/>
        </w:rPr>
        <w:t>.</w:t>
      </w:r>
    </w:p>
    <w:p w:rsidR="00156259" w:rsidRDefault="00156259" w:rsidP="001D36AF">
      <w:pPr>
        <w:pStyle w:val="ListParagraph"/>
        <w:numPr>
          <w:ilvl w:val="0"/>
          <w:numId w:val="32"/>
        </w:numPr>
        <w:rPr>
          <w:rFonts w:ascii="Arial" w:hAnsi="Arial" w:cs="Arial"/>
          <w:sz w:val="24"/>
          <w:szCs w:val="24"/>
        </w:rPr>
      </w:pPr>
      <w:proofErr w:type="spellStart"/>
      <w:r w:rsidRPr="001D36AF">
        <w:rPr>
          <w:rFonts w:ascii="Arial" w:hAnsi="Arial" w:cs="Arial"/>
          <w:sz w:val="24"/>
          <w:szCs w:val="24"/>
        </w:rPr>
        <w:t>WestConnex</w:t>
      </w:r>
      <w:proofErr w:type="spellEnd"/>
      <w:r w:rsidRPr="001D36AF">
        <w:rPr>
          <w:rFonts w:ascii="Arial" w:hAnsi="Arial" w:cs="Arial"/>
          <w:sz w:val="24"/>
          <w:szCs w:val="24"/>
        </w:rPr>
        <w:t>, a p</w:t>
      </w:r>
      <w:r w:rsidR="00DD3996">
        <w:rPr>
          <w:rFonts w:ascii="Arial" w:hAnsi="Arial" w:cs="Arial"/>
          <w:sz w:val="24"/>
          <w:szCs w:val="24"/>
        </w:rPr>
        <w:t>r</w:t>
      </w:r>
      <w:r w:rsidRPr="001D36AF">
        <w:rPr>
          <w:rFonts w:ascii="Arial" w:hAnsi="Arial" w:cs="Arial"/>
          <w:sz w:val="24"/>
          <w:szCs w:val="24"/>
        </w:rPr>
        <w:t xml:space="preserve">oposed public </w:t>
      </w:r>
      <w:r w:rsidR="00DD3996">
        <w:rPr>
          <w:rFonts w:ascii="Arial" w:hAnsi="Arial" w:cs="Arial"/>
          <w:sz w:val="24"/>
          <w:szCs w:val="24"/>
        </w:rPr>
        <w:t>priva</w:t>
      </w:r>
      <w:r w:rsidRPr="001D36AF">
        <w:rPr>
          <w:rFonts w:ascii="Arial" w:hAnsi="Arial" w:cs="Arial"/>
          <w:sz w:val="24"/>
          <w:szCs w:val="24"/>
        </w:rPr>
        <w:t>te partnership to be announced.</w:t>
      </w:r>
    </w:p>
    <w:p w:rsidR="001D36AF" w:rsidRPr="001D36AF" w:rsidRDefault="001D36AF" w:rsidP="001D36AF">
      <w:pPr>
        <w:pStyle w:val="ListParagraph"/>
        <w:ind w:left="1080"/>
        <w:rPr>
          <w:rFonts w:ascii="Arial" w:hAnsi="Arial" w:cs="Arial"/>
          <w:sz w:val="24"/>
          <w:szCs w:val="24"/>
        </w:rPr>
      </w:pPr>
    </w:p>
    <w:p w:rsidR="00D95B2E" w:rsidRDefault="008E5814" w:rsidP="00D95B2E">
      <w:pPr>
        <w:rPr>
          <w:rFonts w:ascii="Arial" w:hAnsi="Arial" w:cs="Arial"/>
          <w:sz w:val="24"/>
          <w:szCs w:val="24"/>
        </w:rPr>
      </w:pPr>
      <w:r>
        <w:rPr>
          <w:rFonts w:ascii="Arial" w:hAnsi="Arial" w:cs="Arial"/>
          <w:sz w:val="24"/>
          <w:szCs w:val="24"/>
        </w:rPr>
        <w:t>Three examples of risk allocation are given in relation to the financing of the above cases</w:t>
      </w:r>
    </w:p>
    <w:p w:rsidR="008E5814" w:rsidRDefault="008E5814" w:rsidP="001D36AF">
      <w:pPr>
        <w:pStyle w:val="ListParagraph"/>
        <w:numPr>
          <w:ilvl w:val="0"/>
          <w:numId w:val="33"/>
        </w:numPr>
        <w:rPr>
          <w:rFonts w:ascii="Arial" w:hAnsi="Arial" w:cs="Arial"/>
          <w:sz w:val="24"/>
          <w:szCs w:val="24"/>
        </w:rPr>
      </w:pPr>
      <w:r w:rsidRPr="001D36AF">
        <w:rPr>
          <w:rFonts w:ascii="Arial" w:hAnsi="Arial" w:cs="Arial"/>
          <w:sz w:val="24"/>
          <w:szCs w:val="24"/>
        </w:rPr>
        <w:lastRenderedPageBreak/>
        <w:t>Patronage risk involved in road projects</w:t>
      </w:r>
    </w:p>
    <w:p w:rsidR="001D36AF" w:rsidRPr="001D36AF" w:rsidRDefault="001D36AF" w:rsidP="001D36AF">
      <w:pPr>
        <w:pStyle w:val="ListParagraph"/>
        <w:rPr>
          <w:rFonts w:ascii="Arial" w:hAnsi="Arial" w:cs="Arial"/>
          <w:sz w:val="24"/>
          <w:szCs w:val="24"/>
        </w:rPr>
      </w:pPr>
    </w:p>
    <w:p w:rsidR="008E5814" w:rsidRDefault="008E5814" w:rsidP="001D36AF">
      <w:pPr>
        <w:pStyle w:val="ListParagraph"/>
        <w:numPr>
          <w:ilvl w:val="0"/>
          <w:numId w:val="33"/>
        </w:numPr>
        <w:rPr>
          <w:rFonts w:ascii="Arial" w:hAnsi="Arial" w:cs="Arial"/>
          <w:sz w:val="24"/>
          <w:szCs w:val="24"/>
        </w:rPr>
      </w:pPr>
      <w:r w:rsidRPr="001D36AF">
        <w:rPr>
          <w:rFonts w:ascii="Arial" w:hAnsi="Arial" w:cs="Arial"/>
          <w:sz w:val="24"/>
          <w:szCs w:val="24"/>
        </w:rPr>
        <w:t>Financ</w:t>
      </w:r>
      <w:r w:rsidR="001D36AF">
        <w:rPr>
          <w:rFonts w:ascii="Arial" w:hAnsi="Arial" w:cs="Arial"/>
          <w:sz w:val="24"/>
          <w:szCs w:val="24"/>
        </w:rPr>
        <w:t>i</w:t>
      </w:r>
      <w:r w:rsidRPr="001D36AF">
        <w:rPr>
          <w:rFonts w:ascii="Arial" w:hAnsi="Arial" w:cs="Arial"/>
          <w:sz w:val="24"/>
          <w:szCs w:val="24"/>
        </w:rPr>
        <w:t>al risk due to failure to</w:t>
      </w:r>
      <w:r w:rsidR="00BE68AF">
        <w:rPr>
          <w:rFonts w:ascii="Arial" w:hAnsi="Arial" w:cs="Arial"/>
          <w:sz w:val="24"/>
          <w:szCs w:val="24"/>
        </w:rPr>
        <w:t xml:space="preserve"> </w:t>
      </w:r>
      <w:r w:rsidRPr="001D36AF">
        <w:rPr>
          <w:rFonts w:ascii="Arial" w:hAnsi="Arial" w:cs="Arial"/>
          <w:sz w:val="24"/>
          <w:szCs w:val="24"/>
        </w:rPr>
        <w:t>take into account the time value of money</w:t>
      </w:r>
      <w:r w:rsidR="001D36AF">
        <w:rPr>
          <w:rFonts w:ascii="Arial" w:hAnsi="Arial" w:cs="Arial"/>
          <w:sz w:val="24"/>
          <w:szCs w:val="24"/>
        </w:rPr>
        <w:t>.</w:t>
      </w:r>
    </w:p>
    <w:p w:rsidR="001D36AF" w:rsidRPr="001D36AF" w:rsidRDefault="001D36AF" w:rsidP="001D36AF">
      <w:pPr>
        <w:pStyle w:val="ListParagraph"/>
        <w:rPr>
          <w:rFonts w:ascii="Arial" w:hAnsi="Arial" w:cs="Arial"/>
          <w:sz w:val="24"/>
          <w:szCs w:val="24"/>
        </w:rPr>
      </w:pPr>
    </w:p>
    <w:p w:rsidR="008E5814" w:rsidRPr="001D36AF" w:rsidRDefault="008E5814" w:rsidP="001D36AF">
      <w:pPr>
        <w:pStyle w:val="ListParagraph"/>
        <w:numPr>
          <w:ilvl w:val="0"/>
          <w:numId w:val="33"/>
        </w:numPr>
        <w:rPr>
          <w:rFonts w:ascii="Arial" w:hAnsi="Arial" w:cs="Arial"/>
          <w:sz w:val="24"/>
          <w:szCs w:val="24"/>
        </w:rPr>
      </w:pPr>
      <w:r w:rsidRPr="001D36AF">
        <w:rPr>
          <w:rFonts w:ascii="Arial" w:hAnsi="Arial" w:cs="Arial"/>
          <w:sz w:val="24"/>
          <w:szCs w:val="24"/>
        </w:rPr>
        <w:t>Financial risk to the State and Federal governments through an alliance with the private sector</w:t>
      </w:r>
    </w:p>
    <w:p w:rsidR="008E5814" w:rsidRPr="00D95B2E" w:rsidRDefault="008E5814" w:rsidP="00D95B2E">
      <w:pPr>
        <w:rPr>
          <w:rFonts w:ascii="Arial" w:hAnsi="Arial" w:cs="Arial"/>
          <w:sz w:val="24"/>
          <w:szCs w:val="24"/>
        </w:rPr>
      </w:pPr>
      <w:r>
        <w:rPr>
          <w:rFonts w:ascii="Arial" w:hAnsi="Arial" w:cs="Arial"/>
          <w:sz w:val="24"/>
          <w:szCs w:val="24"/>
        </w:rPr>
        <w:t xml:space="preserve">The submission concludes </w:t>
      </w:r>
      <w:r w:rsidR="0034744F">
        <w:rPr>
          <w:rFonts w:ascii="Arial" w:hAnsi="Arial" w:cs="Arial"/>
          <w:sz w:val="24"/>
          <w:szCs w:val="24"/>
        </w:rPr>
        <w:t>with comments</w:t>
      </w:r>
      <w:r>
        <w:rPr>
          <w:rFonts w:ascii="Arial" w:hAnsi="Arial" w:cs="Arial"/>
          <w:sz w:val="24"/>
          <w:szCs w:val="24"/>
        </w:rPr>
        <w:t xml:space="preserve"> on the probity issue raised by the Productivity</w:t>
      </w:r>
      <w:r w:rsidR="001D36AF">
        <w:rPr>
          <w:rFonts w:ascii="Arial" w:hAnsi="Arial" w:cs="Arial"/>
          <w:sz w:val="24"/>
          <w:szCs w:val="24"/>
        </w:rPr>
        <w:t xml:space="preserve"> Commission in its </w:t>
      </w:r>
      <w:r w:rsidR="00DD3996">
        <w:rPr>
          <w:rFonts w:ascii="Arial" w:hAnsi="Arial" w:cs="Arial"/>
          <w:sz w:val="24"/>
          <w:szCs w:val="24"/>
        </w:rPr>
        <w:t xml:space="preserve">recent </w:t>
      </w:r>
      <w:r w:rsidR="001D36AF">
        <w:rPr>
          <w:rFonts w:ascii="Arial" w:hAnsi="Arial" w:cs="Arial"/>
          <w:sz w:val="24"/>
          <w:szCs w:val="24"/>
        </w:rPr>
        <w:t>Draft Report (page 381)</w:t>
      </w:r>
      <w:r w:rsidR="00DD3996">
        <w:rPr>
          <w:rFonts w:ascii="Arial" w:hAnsi="Arial" w:cs="Arial"/>
          <w:sz w:val="24"/>
          <w:szCs w:val="24"/>
        </w:rPr>
        <w:t xml:space="preserve">. A new Infrastructure Act is proposed with penal provisions which would </w:t>
      </w:r>
      <w:r w:rsidR="007F6730">
        <w:rPr>
          <w:rFonts w:ascii="Arial" w:hAnsi="Arial" w:cs="Arial"/>
          <w:sz w:val="24"/>
          <w:szCs w:val="24"/>
        </w:rPr>
        <w:t>have the effect of removing consent powers from the States in the provision of infrastructure whether public, private or in partnership arrangements.</w:t>
      </w:r>
    </w:p>
    <w:p w:rsidR="00D95B2E" w:rsidRPr="00D95B2E" w:rsidRDefault="00D95B2E" w:rsidP="00D95B2E">
      <w:pPr>
        <w:rPr>
          <w:rFonts w:ascii="Arial" w:hAnsi="Arial" w:cs="Arial"/>
          <w:b/>
          <w:sz w:val="28"/>
          <w:szCs w:val="28"/>
        </w:rPr>
      </w:pPr>
    </w:p>
    <w:p w:rsidR="00611654" w:rsidRDefault="00611654" w:rsidP="00550B6C">
      <w:pPr>
        <w:jc w:val="center"/>
        <w:rPr>
          <w:rFonts w:ascii="Arial" w:hAnsi="Arial" w:cs="Arial"/>
          <w:b/>
          <w:sz w:val="28"/>
          <w:szCs w:val="28"/>
        </w:rPr>
      </w:pPr>
    </w:p>
    <w:p w:rsidR="00611654" w:rsidRPr="00F83CF9" w:rsidRDefault="00AC0925" w:rsidP="00F83CF9">
      <w:pPr>
        <w:pStyle w:val="ListParagraph"/>
        <w:numPr>
          <w:ilvl w:val="0"/>
          <w:numId w:val="24"/>
        </w:numPr>
        <w:rPr>
          <w:rFonts w:ascii="Arial" w:hAnsi="Arial" w:cs="Arial"/>
          <w:b/>
          <w:sz w:val="28"/>
          <w:szCs w:val="28"/>
        </w:rPr>
      </w:pPr>
      <w:r w:rsidRPr="00F83CF9">
        <w:rPr>
          <w:rFonts w:ascii="Arial" w:hAnsi="Arial" w:cs="Arial"/>
          <w:b/>
          <w:sz w:val="28"/>
          <w:szCs w:val="28"/>
        </w:rPr>
        <w:br w:type="page"/>
      </w:r>
      <w:r w:rsidR="00F83CF9" w:rsidRPr="00F83CF9">
        <w:rPr>
          <w:rFonts w:ascii="Arial" w:hAnsi="Arial" w:cs="Arial"/>
          <w:b/>
          <w:sz w:val="28"/>
          <w:szCs w:val="28"/>
        </w:rPr>
        <w:lastRenderedPageBreak/>
        <w:t xml:space="preserve">Detailed examination of </w:t>
      </w:r>
      <w:r w:rsidR="00543468" w:rsidRPr="00F83CF9">
        <w:rPr>
          <w:rFonts w:ascii="Arial" w:hAnsi="Arial" w:cs="Arial"/>
          <w:b/>
          <w:sz w:val="28"/>
          <w:szCs w:val="28"/>
        </w:rPr>
        <w:t xml:space="preserve"> four cases of the misuse of </w:t>
      </w:r>
      <w:proofErr w:type="spellStart"/>
      <w:r w:rsidR="00543468" w:rsidRPr="00F83CF9">
        <w:rPr>
          <w:rFonts w:ascii="Arial" w:hAnsi="Arial" w:cs="Arial"/>
          <w:b/>
          <w:sz w:val="28"/>
          <w:szCs w:val="28"/>
        </w:rPr>
        <w:t>CBA</w:t>
      </w:r>
      <w:proofErr w:type="spellEnd"/>
    </w:p>
    <w:p w:rsidR="00AC0925" w:rsidRDefault="00AC0925" w:rsidP="00F83CF9">
      <w:pPr>
        <w:pStyle w:val="ListParagraph"/>
        <w:rPr>
          <w:rFonts w:ascii="Arial" w:hAnsi="Arial" w:cs="Arial"/>
          <w:b/>
          <w:sz w:val="28"/>
          <w:szCs w:val="28"/>
        </w:rPr>
      </w:pPr>
    </w:p>
    <w:p w:rsidR="00CC5841" w:rsidRDefault="00A45EDE" w:rsidP="00877648">
      <w:pPr>
        <w:pStyle w:val="ListParagraph"/>
        <w:ind w:left="1134" w:hanging="567"/>
        <w:rPr>
          <w:rFonts w:ascii="Arial" w:hAnsi="Arial" w:cs="Arial"/>
          <w:b/>
          <w:sz w:val="28"/>
          <w:szCs w:val="28"/>
        </w:rPr>
      </w:pPr>
      <w:r>
        <w:rPr>
          <w:rFonts w:ascii="Arial" w:hAnsi="Arial" w:cs="Arial"/>
          <w:b/>
          <w:sz w:val="28"/>
          <w:szCs w:val="28"/>
        </w:rPr>
        <w:t>1.1 Expansion</w:t>
      </w:r>
      <w:r w:rsidR="00CC5841">
        <w:rPr>
          <w:rFonts w:ascii="Arial" w:hAnsi="Arial" w:cs="Arial"/>
          <w:b/>
          <w:sz w:val="28"/>
          <w:szCs w:val="28"/>
        </w:rPr>
        <w:t xml:space="preserve"> of the Northern Sydney Freight Corridor (</w:t>
      </w:r>
      <w:proofErr w:type="spellStart"/>
      <w:r w:rsidR="00CC5841">
        <w:rPr>
          <w:rFonts w:ascii="Arial" w:hAnsi="Arial" w:cs="Arial"/>
          <w:b/>
          <w:sz w:val="28"/>
          <w:szCs w:val="28"/>
        </w:rPr>
        <w:t>NSFC</w:t>
      </w:r>
      <w:proofErr w:type="spellEnd"/>
      <w:r w:rsidR="00CC5841">
        <w:rPr>
          <w:rFonts w:ascii="Arial" w:hAnsi="Arial" w:cs="Arial"/>
          <w:b/>
          <w:sz w:val="28"/>
          <w:szCs w:val="28"/>
        </w:rPr>
        <w:t xml:space="preserve">) between </w:t>
      </w:r>
      <w:r w:rsidR="00CC5841" w:rsidRPr="006879F7">
        <w:rPr>
          <w:rFonts w:ascii="Arial" w:hAnsi="Arial" w:cs="Arial"/>
          <w:b/>
          <w:sz w:val="28"/>
          <w:szCs w:val="28"/>
        </w:rPr>
        <w:t xml:space="preserve">North Strathfield and Broadmeadow </w:t>
      </w:r>
    </w:p>
    <w:p w:rsidR="001606C7" w:rsidRDefault="001606C7" w:rsidP="00877648">
      <w:pPr>
        <w:pStyle w:val="ListParagraph"/>
        <w:ind w:left="1134"/>
        <w:rPr>
          <w:rFonts w:ascii="Arial" w:hAnsi="Arial" w:cs="Arial"/>
          <w:sz w:val="24"/>
          <w:szCs w:val="24"/>
        </w:rPr>
      </w:pPr>
    </w:p>
    <w:p w:rsidR="00543468" w:rsidRDefault="00543468" w:rsidP="00877648">
      <w:pPr>
        <w:pStyle w:val="ListParagraph"/>
        <w:ind w:left="1134"/>
        <w:rPr>
          <w:rFonts w:ascii="Arial" w:hAnsi="Arial" w:cs="Arial"/>
          <w:sz w:val="24"/>
          <w:szCs w:val="24"/>
        </w:rPr>
      </w:pPr>
      <w:r>
        <w:rPr>
          <w:rFonts w:ascii="Arial" w:hAnsi="Arial" w:cs="Arial"/>
          <w:sz w:val="24"/>
          <w:szCs w:val="24"/>
        </w:rPr>
        <w:t xml:space="preserve">This project illustrates the process that has </w:t>
      </w:r>
      <w:r w:rsidR="0009372C">
        <w:rPr>
          <w:rFonts w:ascii="Arial" w:hAnsi="Arial" w:cs="Arial"/>
          <w:sz w:val="24"/>
          <w:szCs w:val="24"/>
        </w:rPr>
        <w:t xml:space="preserve">been used </w:t>
      </w:r>
      <w:r w:rsidR="00396DCF">
        <w:rPr>
          <w:rFonts w:ascii="Arial" w:hAnsi="Arial" w:cs="Arial"/>
          <w:sz w:val="24"/>
          <w:szCs w:val="24"/>
        </w:rPr>
        <w:t xml:space="preserve">to obtain </w:t>
      </w:r>
      <w:r w:rsidR="0009372C">
        <w:rPr>
          <w:rFonts w:ascii="Arial" w:hAnsi="Arial" w:cs="Arial"/>
          <w:sz w:val="24"/>
          <w:szCs w:val="24"/>
        </w:rPr>
        <w:t>sovereign f</w:t>
      </w:r>
      <w:r>
        <w:rPr>
          <w:rFonts w:ascii="Arial" w:hAnsi="Arial" w:cs="Arial"/>
          <w:sz w:val="24"/>
          <w:szCs w:val="24"/>
        </w:rPr>
        <w:t>unds for a</w:t>
      </w:r>
      <w:r w:rsidR="0009372C">
        <w:rPr>
          <w:rFonts w:ascii="Arial" w:hAnsi="Arial" w:cs="Arial"/>
          <w:sz w:val="24"/>
          <w:szCs w:val="24"/>
        </w:rPr>
        <w:t xml:space="preserve"> project which is uneconomic and likely to cause operat</w:t>
      </w:r>
      <w:r w:rsidR="00396DCF">
        <w:rPr>
          <w:rFonts w:ascii="Arial" w:hAnsi="Arial" w:cs="Arial"/>
          <w:sz w:val="24"/>
          <w:szCs w:val="24"/>
        </w:rPr>
        <w:t>ional difficulties on the main N</w:t>
      </w:r>
      <w:r w:rsidR="0009372C">
        <w:rPr>
          <w:rFonts w:ascii="Arial" w:hAnsi="Arial" w:cs="Arial"/>
          <w:sz w:val="24"/>
          <w:szCs w:val="24"/>
        </w:rPr>
        <w:t>orthern rail line as the projected freight demand will exceed the system capacity.</w:t>
      </w:r>
    </w:p>
    <w:p w:rsidR="00543468" w:rsidRDefault="00543468" w:rsidP="00877648">
      <w:pPr>
        <w:pStyle w:val="ListParagraph"/>
        <w:ind w:left="1134"/>
        <w:rPr>
          <w:rFonts w:ascii="Arial" w:hAnsi="Arial" w:cs="Arial"/>
          <w:sz w:val="24"/>
          <w:szCs w:val="24"/>
        </w:rPr>
      </w:pPr>
    </w:p>
    <w:p w:rsidR="00543468" w:rsidRDefault="00543468" w:rsidP="000E250F">
      <w:pPr>
        <w:pStyle w:val="ListParagraph"/>
        <w:ind w:left="1134"/>
        <w:rPr>
          <w:rFonts w:ascii="Arial" w:hAnsi="Arial" w:cs="Arial"/>
          <w:sz w:val="24"/>
          <w:szCs w:val="24"/>
        </w:rPr>
      </w:pPr>
      <w:r>
        <w:rPr>
          <w:rFonts w:ascii="Arial" w:hAnsi="Arial" w:cs="Arial"/>
          <w:sz w:val="24"/>
          <w:szCs w:val="24"/>
        </w:rPr>
        <w:t xml:space="preserve">Transport for NSW, proposed an expansion of the Northern Sydney Freight </w:t>
      </w:r>
      <w:r w:rsidR="0034744F">
        <w:rPr>
          <w:rFonts w:ascii="Arial" w:hAnsi="Arial" w:cs="Arial"/>
          <w:sz w:val="24"/>
          <w:szCs w:val="24"/>
        </w:rPr>
        <w:t>Corridor (</w:t>
      </w:r>
      <w:proofErr w:type="spellStart"/>
      <w:r>
        <w:rPr>
          <w:rFonts w:ascii="Arial" w:hAnsi="Arial" w:cs="Arial"/>
          <w:sz w:val="24"/>
          <w:szCs w:val="24"/>
        </w:rPr>
        <w:t>NSFC</w:t>
      </w:r>
      <w:proofErr w:type="spellEnd"/>
      <w:r>
        <w:rPr>
          <w:rFonts w:ascii="Arial" w:hAnsi="Arial" w:cs="Arial"/>
          <w:sz w:val="24"/>
          <w:szCs w:val="24"/>
        </w:rPr>
        <w:t xml:space="preserve">) by adding a third track to the railway line between Epping and Thornleigh. </w:t>
      </w:r>
      <w:r w:rsidR="00A235F7">
        <w:rPr>
          <w:rFonts w:ascii="Arial" w:hAnsi="Arial" w:cs="Arial"/>
          <w:sz w:val="24"/>
          <w:szCs w:val="24"/>
        </w:rPr>
        <w:t>An increment of line capacity of about 4% was to be obtained by adding 6.1 km of new track between Epping and Thornleigh in parallel to the existing northern railway line of t</w:t>
      </w:r>
      <w:r w:rsidR="00BA3E5A">
        <w:rPr>
          <w:rFonts w:ascii="Arial" w:hAnsi="Arial" w:cs="Arial"/>
          <w:sz w:val="24"/>
          <w:szCs w:val="24"/>
        </w:rPr>
        <w:t xml:space="preserve">otal length </w:t>
      </w:r>
      <w:proofErr w:type="spellStart"/>
      <w:r w:rsidR="00BA3E5A">
        <w:rPr>
          <w:rFonts w:ascii="Arial" w:hAnsi="Arial" w:cs="Arial"/>
          <w:sz w:val="24"/>
          <w:szCs w:val="24"/>
        </w:rPr>
        <w:t>151.94</w:t>
      </w:r>
      <w:r w:rsidR="00A235F7">
        <w:rPr>
          <w:rFonts w:ascii="Arial" w:hAnsi="Arial" w:cs="Arial"/>
          <w:sz w:val="24"/>
          <w:szCs w:val="24"/>
        </w:rPr>
        <w:t>km</w:t>
      </w:r>
      <w:proofErr w:type="spellEnd"/>
      <w:r w:rsidR="00A235F7">
        <w:rPr>
          <w:rFonts w:ascii="Arial" w:hAnsi="Arial" w:cs="Arial"/>
          <w:sz w:val="24"/>
          <w:szCs w:val="24"/>
        </w:rPr>
        <w:t xml:space="preserve"> between North Strathfield and Broadmeadow. </w:t>
      </w:r>
      <w:r>
        <w:rPr>
          <w:rFonts w:ascii="Arial" w:hAnsi="Arial" w:cs="Arial"/>
          <w:sz w:val="24"/>
          <w:szCs w:val="24"/>
        </w:rPr>
        <w:t>Three additional segments consisting of two passing loops and an underpass added an extra 5</w:t>
      </w:r>
      <w:r w:rsidR="001606C7">
        <w:rPr>
          <w:rFonts w:ascii="Arial" w:hAnsi="Arial" w:cs="Arial"/>
          <w:sz w:val="24"/>
          <w:szCs w:val="24"/>
        </w:rPr>
        <w:t>.6</w:t>
      </w:r>
      <w:r>
        <w:rPr>
          <w:rFonts w:ascii="Arial" w:hAnsi="Arial" w:cs="Arial"/>
          <w:sz w:val="24"/>
          <w:szCs w:val="24"/>
        </w:rPr>
        <w:t xml:space="preserve">% to the increase in capacity. Thus the </w:t>
      </w:r>
      <w:r w:rsidR="001F0A14">
        <w:rPr>
          <w:rFonts w:ascii="Arial" w:hAnsi="Arial" w:cs="Arial"/>
          <w:sz w:val="24"/>
          <w:szCs w:val="24"/>
        </w:rPr>
        <w:t>overall increase was 9</w:t>
      </w:r>
      <w:r w:rsidR="00BA3E5A">
        <w:rPr>
          <w:rFonts w:ascii="Arial" w:hAnsi="Arial" w:cs="Arial"/>
          <w:sz w:val="24"/>
          <w:szCs w:val="24"/>
        </w:rPr>
        <w:t>.6</w:t>
      </w:r>
      <w:r w:rsidR="001F0A14">
        <w:rPr>
          <w:rFonts w:ascii="Arial" w:hAnsi="Arial" w:cs="Arial"/>
          <w:sz w:val="24"/>
          <w:szCs w:val="24"/>
        </w:rPr>
        <w:t xml:space="preserve">%. </w:t>
      </w:r>
      <w:r w:rsidR="001606C7">
        <w:rPr>
          <w:rFonts w:ascii="Arial" w:hAnsi="Arial" w:cs="Arial"/>
          <w:sz w:val="24"/>
          <w:szCs w:val="24"/>
        </w:rPr>
        <w:t>The total cost of the four segments was estimated to be $1.1 billion</w:t>
      </w:r>
      <w:r>
        <w:rPr>
          <w:rFonts w:ascii="Arial" w:hAnsi="Arial" w:cs="Arial"/>
          <w:sz w:val="24"/>
          <w:szCs w:val="24"/>
        </w:rPr>
        <w:t xml:space="preserve"> </w:t>
      </w:r>
    </w:p>
    <w:p w:rsidR="00543468" w:rsidRDefault="00543468" w:rsidP="00877648">
      <w:pPr>
        <w:pStyle w:val="ListParagraph"/>
        <w:ind w:left="1134" w:firstLine="567"/>
        <w:rPr>
          <w:rFonts w:ascii="Arial" w:hAnsi="Arial" w:cs="Arial"/>
          <w:sz w:val="24"/>
          <w:szCs w:val="24"/>
        </w:rPr>
      </w:pPr>
    </w:p>
    <w:p w:rsidR="007D03A3" w:rsidRDefault="00543468" w:rsidP="000E250F">
      <w:pPr>
        <w:pStyle w:val="ListParagraph"/>
        <w:ind w:left="1134"/>
        <w:rPr>
          <w:rFonts w:ascii="Arial" w:hAnsi="Arial" w:cs="Arial"/>
          <w:sz w:val="24"/>
          <w:szCs w:val="24"/>
        </w:rPr>
      </w:pPr>
      <w:r>
        <w:rPr>
          <w:rFonts w:ascii="Arial" w:hAnsi="Arial" w:cs="Arial"/>
          <w:sz w:val="24"/>
          <w:szCs w:val="24"/>
        </w:rPr>
        <w:t>However, figures pro</w:t>
      </w:r>
      <w:r w:rsidR="001F0A14">
        <w:rPr>
          <w:rFonts w:ascii="Arial" w:hAnsi="Arial" w:cs="Arial"/>
          <w:sz w:val="24"/>
          <w:szCs w:val="24"/>
        </w:rPr>
        <w:t xml:space="preserve">vided to the author </w:t>
      </w:r>
      <w:r>
        <w:rPr>
          <w:rFonts w:ascii="Arial" w:hAnsi="Arial" w:cs="Arial"/>
          <w:sz w:val="24"/>
          <w:szCs w:val="24"/>
        </w:rPr>
        <w:t xml:space="preserve">by the </w:t>
      </w:r>
      <w:proofErr w:type="spellStart"/>
      <w:r w:rsidR="001F0A14">
        <w:rPr>
          <w:rFonts w:ascii="Arial" w:hAnsi="Arial" w:cs="Arial"/>
          <w:sz w:val="24"/>
          <w:szCs w:val="24"/>
        </w:rPr>
        <w:t>NSFC</w:t>
      </w:r>
      <w:proofErr w:type="spellEnd"/>
      <w:r w:rsidR="001F0A14">
        <w:rPr>
          <w:rFonts w:ascii="Arial" w:hAnsi="Arial" w:cs="Arial"/>
          <w:sz w:val="24"/>
          <w:szCs w:val="24"/>
        </w:rPr>
        <w:t xml:space="preserve"> </w:t>
      </w:r>
      <w:r w:rsidR="00B65E55">
        <w:rPr>
          <w:rFonts w:ascii="Arial" w:hAnsi="Arial" w:cs="Arial"/>
          <w:sz w:val="24"/>
          <w:szCs w:val="24"/>
        </w:rPr>
        <w:t>have claimed</w:t>
      </w:r>
      <w:r>
        <w:rPr>
          <w:rStyle w:val="FootnoteReference"/>
          <w:rFonts w:ascii="Arial" w:hAnsi="Arial" w:cs="Arial"/>
          <w:sz w:val="24"/>
          <w:szCs w:val="24"/>
        </w:rPr>
        <w:footnoteReference w:id="1"/>
      </w:r>
      <w:r>
        <w:rPr>
          <w:rFonts w:ascii="Arial" w:hAnsi="Arial" w:cs="Arial"/>
          <w:sz w:val="24"/>
          <w:szCs w:val="24"/>
        </w:rPr>
        <w:t xml:space="preserve"> that this relatively small increase in capacity would be capable of carrying an </w:t>
      </w:r>
      <w:r w:rsidR="00CC5841">
        <w:rPr>
          <w:rFonts w:ascii="Arial" w:hAnsi="Arial" w:cs="Arial"/>
          <w:sz w:val="24"/>
          <w:szCs w:val="24"/>
        </w:rPr>
        <w:t xml:space="preserve">additional </w:t>
      </w:r>
      <w:r>
        <w:rPr>
          <w:rFonts w:ascii="Arial" w:hAnsi="Arial" w:cs="Arial"/>
          <w:sz w:val="24"/>
          <w:szCs w:val="24"/>
        </w:rPr>
        <w:t xml:space="preserve">amount of freight of 4.65 million </w:t>
      </w:r>
      <w:r w:rsidR="00CC5841">
        <w:rPr>
          <w:rFonts w:ascii="Arial" w:hAnsi="Arial" w:cs="Arial"/>
          <w:sz w:val="24"/>
          <w:szCs w:val="24"/>
        </w:rPr>
        <w:t xml:space="preserve">gross </w:t>
      </w:r>
      <w:r>
        <w:rPr>
          <w:rFonts w:ascii="Arial" w:hAnsi="Arial" w:cs="Arial"/>
          <w:sz w:val="24"/>
          <w:szCs w:val="24"/>
        </w:rPr>
        <w:t xml:space="preserve">tonne/annum by 2030. The current usage of the corridor was </w:t>
      </w:r>
      <w:r w:rsidR="00800DC4">
        <w:rPr>
          <w:rFonts w:ascii="Arial" w:hAnsi="Arial" w:cs="Arial"/>
          <w:sz w:val="24"/>
          <w:szCs w:val="24"/>
        </w:rPr>
        <w:t xml:space="preserve">therefore </w:t>
      </w:r>
      <w:r>
        <w:rPr>
          <w:rFonts w:ascii="Arial" w:hAnsi="Arial" w:cs="Arial"/>
          <w:sz w:val="24"/>
          <w:szCs w:val="24"/>
        </w:rPr>
        <w:t xml:space="preserve">checked </w:t>
      </w:r>
      <w:r w:rsidR="00CC5841">
        <w:rPr>
          <w:rFonts w:ascii="Arial" w:hAnsi="Arial" w:cs="Arial"/>
          <w:sz w:val="24"/>
          <w:szCs w:val="24"/>
        </w:rPr>
        <w:t xml:space="preserve">by the author </w:t>
      </w:r>
      <w:r>
        <w:rPr>
          <w:rFonts w:ascii="Arial" w:hAnsi="Arial" w:cs="Arial"/>
          <w:sz w:val="24"/>
          <w:szCs w:val="24"/>
        </w:rPr>
        <w:t xml:space="preserve">using Rail Corp data obtained under </w:t>
      </w:r>
      <w:proofErr w:type="spellStart"/>
      <w:r>
        <w:rPr>
          <w:rFonts w:ascii="Arial" w:hAnsi="Arial" w:cs="Arial"/>
          <w:sz w:val="24"/>
          <w:szCs w:val="24"/>
        </w:rPr>
        <w:t>GIPA</w:t>
      </w:r>
      <w:proofErr w:type="spellEnd"/>
      <w:r>
        <w:rPr>
          <w:rFonts w:ascii="Arial" w:hAnsi="Arial" w:cs="Arial"/>
          <w:sz w:val="24"/>
          <w:szCs w:val="24"/>
        </w:rPr>
        <w:t xml:space="preserve"> (</w:t>
      </w:r>
      <w:proofErr w:type="spellStart"/>
      <w:r>
        <w:rPr>
          <w:rFonts w:ascii="Arial" w:hAnsi="Arial" w:cs="Arial"/>
          <w:sz w:val="24"/>
          <w:szCs w:val="24"/>
        </w:rPr>
        <w:t>FOI</w:t>
      </w:r>
      <w:proofErr w:type="spellEnd"/>
      <w:r>
        <w:rPr>
          <w:rFonts w:ascii="Arial" w:hAnsi="Arial" w:cs="Arial"/>
          <w:sz w:val="24"/>
          <w:szCs w:val="24"/>
        </w:rPr>
        <w:t>) and it was found that i</w:t>
      </w:r>
      <w:r w:rsidR="00A235F7">
        <w:rPr>
          <w:rFonts w:ascii="Arial" w:hAnsi="Arial" w:cs="Arial"/>
          <w:sz w:val="24"/>
          <w:szCs w:val="24"/>
        </w:rPr>
        <w:t>n 2012, 6.7 million gross tonne</w:t>
      </w:r>
      <w:r>
        <w:rPr>
          <w:rFonts w:ascii="Arial" w:hAnsi="Arial" w:cs="Arial"/>
          <w:sz w:val="24"/>
          <w:szCs w:val="24"/>
        </w:rPr>
        <w:t xml:space="preserve"> was moved.  The additional amount </w:t>
      </w:r>
      <w:r w:rsidR="00BA3E5A">
        <w:rPr>
          <w:rFonts w:ascii="Arial" w:hAnsi="Arial" w:cs="Arial"/>
          <w:sz w:val="24"/>
          <w:szCs w:val="24"/>
        </w:rPr>
        <w:t xml:space="preserve">therefore </w:t>
      </w:r>
      <w:r>
        <w:rPr>
          <w:rFonts w:ascii="Arial" w:hAnsi="Arial" w:cs="Arial"/>
          <w:sz w:val="24"/>
          <w:szCs w:val="24"/>
        </w:rPr>
        <w:t>represents an increase of approximately 70% in tonnage for an increase in capacity of only 9</w:t>
      </w:r>
      <w:r w:rsidR="00BA3E5A">
        <w:rPr>
          <w:rFonts w:ascii="Arial" w:hAnsi="Arial" w:cs="Arial"/>
          <w:sz w:val="24"/>
          <w:szCs w:val="24"/>
        </w:rPr>
        <w:t>.6</w:t>
      </w:r>
      <w:r>
        <w:rPr>
          <w:rFonts w:ascii="Arial" w:hAnsi="Arial" w:cs="Arial"/>
          <w:sz w:val="24"/>
          <w:szCs w:val="24"/>
        </w:rPr>
        <w:t>%.</w:t>
      </w:r>
    </w:p>
    <w:p w:rsidR="007D03A3" w:rsidRDefault="007D03A3" w:rsidP="000E250F">
      <w:pPr>
        <w:pStyle w:val="ListParagraph"/>
        <w:ind w:left="1134"/>
        <w:rPr>
          <w:rFonts w:ascii="Arial" w:hAnsi="Arial" w:cs="Arial"/>
          <w:sz w:val="24"/>
          <w:szCs w:val="24"/>
        </w:rPr>
      </w:pPr>
    </w:p>
    <w:p w:rsidR="00BA3E5A" w:rsidRDefault="00947E76" w:rsidP="000E250F">
      <w:pPr>
        <w:pStyle w:val="ListParagraph"/>
        <w:ind w:left="1134"/>
        <w:rPr>
          <w:rFonts w:ascii="Arial" w:hAnsi="Arial" w:cs="Arial"/>
          <w:sz w:val="24"/>
          <w:szCs w:val="24"/>
        </w:rPr>
      </w:pPr>
      <w:r>
        <w:rPr>
          <w:rFonts w:ascii="Arial" w:hAnsi="Arial" w:cs="Arial"/>
          <w:sz w:val="24"/>
          <w:szCs w:val="24"/>
        </w:rPr>
        <w:t>A</w:t>
      </w:r>
      <w:r w:rsidR="001F0A14">
        <w:rPr>
          <w:rFonts w:ascii="Arial" w:hAnsi="Arial" w:cs="Arial"/>
          <w:sz w:val="24"/>
          <w:szCs w:val="24"/>
        </w:rPr>
        <w:t>lso, a</w:t>
      </w:r>
      <w:r>
        <w:rPr>
          <w:rFonts w:ascii="Arial" w:hAnsi="Arial" w:cs="Arial"/>
          <w:sz w:val="24"/>
          <w:szCs w:val="24"/>
        </w:rPr>
        <w:t xml:space="preserve">ccording to the </w:t>
      </w:r>
      <w:proofErr w:type="spellStart"/>
      <w:r w:rsidR="001F0A14">
        <w:rPr>
          <w:rFonts w:ascii="Arial" w:hAnsi="Arial" w:cs="Arial"/>
          <w:sz w:val="24"/>
          <w:szCs w:val="24"/>
        </w:rPr>
        <w:t>NSFC</w:t>
      </w:r>
      <w:proofErr w:type="spellEnd"/>
      <w:r w:rsidR="001F0A14">
        <w:rPr>
          <w:rFonts w:ascii="Arial" w:hAnsi="Arial" w:cs="Arial"/>
          <w:sz w:val="24"/>
          <w:szCs w:val="24"/>
        </w:rPr>
        <w:t xml:space="preserve"> </w:t>
      </w:r>
      <w:r w:rsidR="00CF455F">
        <w:rPr>
          <w:rFonts w:ascii="Arial" w:hAnsi="Arial" w:cs="Arial"/>
          <w:sz w:val="24"/>
          <w:szCs w:val="24"/>
        </w:rPr>
        <w:t xml:space="preserve">program, </w:t>
      </w:r>
      <w:r w:rsidR="007D03A3">
        <w:rPr>
          <w:rFonts w:ascii="Arial" w:hAnsi="Arial" w:cs="Arial"/>
          <w:sz w:val="24"/>
          <w:szCs w:val="24"/>
        </w:rPr>
        <w:t>by 2030</w:t>
      </w:r>
      <w:r w:rsidR="001F0A14">
        <w:rPr>
          <w:rFonts w:ascii="Arial" w:hAnsi="Arial" w:cs="Arial"/>
          <w:sz w:val="24"/>
          <w:szCs w:val="24"/>
        </w:rPr>
        <w:t xml:space="preserve"> the main N</w:t>
      </w:r>
      <w:r w:rsidR="007D03A3">
        <w:rPr>
          <w:rFonts w:ascii="Arial" w:hAnsi="Arial" w:cs="Arial"/>
          <w:sz w:val="24"/>
          <w:szCs w:val="24"/>
        </w:rPr>
        <w:t>orth</w:t>
      </w:r>
      <w:r w:rsidR="001F0A14">
        <w:rPr>
          <w:rFonts w:ascii="Arial" w:hAnsi="Arial" w:cs="Arial"/>
          <w:sz w:val="24"/>
          <w:szCs w:val="24"/>
        </w:rPr>
        <w:t xml:space="preserve">ern </w:t>
      </w:r>
      <w:r w:rsidR="007D03A3">
        <w:rPr>
          <w:rFonts w:ascii="Arial" w:hAnsi="Arial" w:cs="Arial"/>
          <w:sz w:val="24"/>
          <w:szCs w:val="24"/>
        </w:rPr>
        <w:t>line will be carrying an additional 108 interstate container freight trains per week</w:t>
      </w:r>
      <w:r w:rsidR="001606C7">
        <w:rPr>
          <w:rFonts w:ascii="Arial" w:hAnsi="Arial" w:cs="Arial"/>
          <w:sz w:val="24"/>
          <w:szCs w:val="24"/>
        </w:rPr>
        <w:t xml:space="preserve"> to move this freight</w:t>
      </w:r>
      <w:r w:rsidR="007D03A3">
        <w:rPr>
          <w:rFonts w:ascii="Arial" w:hAnsi="Arial" w:cs="Arial"/>
          <w:sz w:val="24"/>
          <w:szCs w:val="24"/>
        </w:rPr>
        <w:t xml:space="preserve"> despite the </w:t>
      </w:r>
      <w:r w:rsidR="001F0A14">
        <w:rPr>
          <w:rFonts w:ascii="Arial" w:hAnsi="Arial" w:cs="Arial"/>
          <w:sz w:val="24"/>
          <w:szCs w:val="24"/>
        </w:rPr>
        <w:t xml:space="preserve">constant </w:t>
      </w:r>
      <w:r w:rsidR="007D03A3">
        <w:rPr>
          <w:rFonts w:ascii="Arial" w:hAnsi="Arial" w:cs="Arial"/>
          <w:sz w:val="24"/>
          <w:szCs w:val="24"/>
        </w:rPr>
        <w:t>capacity limitation</w:t>
      </w:r>
      <w:r w:rsidR="001606C7">
        <w:rPr>
          <w:rFonts w:ascii="Arial" w:hAnsi="Arial" w:cs="Arial"/>
          <w:sz w:val="24"/>
          <w:szCs w:val="24"/>
        </w:rPr>
        <w:t xml:space="preserve">. If this forecast is correct, it suggests </w:t>
      </w:r>
      <w:r w:rsidR="001F0A14">
        <w:rPr>
          <w:rFonts w:ascii="Arial" w:hAnsi="Arial" w:cs="Arial"/>
          <w:sz w:val="24"/>
          <w:szCs w:val="24"/>
        </w:rPr>
        <w:t xml:space="preserve">the </w:t>
      </w:r>
      <w:r w:rsidR="0034744F">
        <w:rPr>
          <w:rFonts w:ascii="Arial" w:hAnsi="Arial" w:cs="Arial"/>
          <w:sz w:val="24"/>
          <w:szCs w:val="24"/>
        </w:rPr>
        <w:t>likelihood</w:t>
      </w:r>
      <w:r w:rsidR="001F0A14">
        <w:rPr>
          <w:rFonts w:ascii="Arial" w:hAnsi="Arial" w:cs="Arial"/>
          <w:sz w:val="24"/>
          <w:szCs w:val="24"/>
        </w:rPr>
        <w:t xml:space="preserve"> of </w:t>
      </w:r>
      <w:r w:rsidR="007D03A3">
        <w:rPr>
          <w:rFonts w:ascii="Arial" w:hAnsi="Arial" w:cs="Arial"/>
          <w:sz w:val="24"/>
          <w:szCs w:val="24"/>
        </w:rPr>
        <w:t xml:space="preserve">future </w:t>
      </w:r>
      <w:r w:rsidR="001F0A14">
        <w:rPr>
          <w:rFonts w:ascii="Arial" w:hAnsi="Arial" w:cs="Arial"/>
          <w:sz w:val="24"/>
          <w:szCs w:val="24"/>
        </w:rPr>
        <w:t xml:space="preserve">operational </w:t>
      </w:r>
      <w:r w:rsidR="00396DCF">
        <w:rPr>
          <w:rFonts w:ascii="Arial" w:hAnsi="Arial" w:cs="Arial"/>
          <w:sz w:val="24"/>
          <w:szCs w:val="24"/>
        </w:rPr>
        <w:t>difficulties for the entire N</w:t>
      </w:r>
      <w:r w:rsidR="007D03A3">
        <w:rPr>
          <w:rFonts w:ascii="Arial" w:hAnsi="Arial" w:cs="Arial"/>
          <w:sz w:val="24"/>
          <w:szCs w:val="24"/>
        </w:rPr>
        <w:t>orthern rail system</w:t>
      </w:r>
      <w:r w:rsidR="001F0A14">
        <w:rPr>
          <w:rFonts w:ascii="Arial" w:hAnsi="Arial" w:cs="Arial"/>
          <w:sz w:val="24"/>
          <w:szCs w:val="24"/>
        </w:rPr>
        <w:t xml:space="preserve">. </w:t>
      </w:r>
    </w:p>
    <w:p w:rsidR="00BA3E5A" w:rsidRDefault="00BA3E5A" w:rsidP="000E250F">
      <w:pPr>
        <w:pStyle w:val="ListParagraph"/>
        <w:ind w:left="1134"/>
        <w:rPr>
          <w:rFonts w:ascii="Arial" w:hAnsi="Arial" w:cs="Arial"/>
          <w:sz w:val="24"/>
          <w:szCs w:val="24"/>
        </w:rPr>
      </w:pPr>
    </w:p>
    <w:p w:rsidR="00543468" w:rsidRDefault="00BE0C99" w:rsidP="000E250F">
      <w:pPr>
        <w:pStyle w:val="ListParagraph"/>
        <w:ind w:left="1134"/>
        <w:rPr>
          <w:rFonts w:ascii="Arial" w:hAnsi="Arial" w:cs="Arial"/>
          <w:sz w:val="24"/>
          <w:szCs w:val="24"/>
        </w:rPr>
      </w:pPr>
      <w:r>
        <w:rPr>
          <w:rFonts w:ascii="Arial" w:hAnsi="Arial" w:cs="Arial"/>
          <w:sz w:val="24"/>
          <w:szCs w:val="24"/>
        </w:rPr>
        <w:t>N</w:t>
      </w:r>
      <w:r w:rsidR="00544D32">
        <w:rPr>
          <w:rFonts w:ascii="Arial" w:hAnsi="Arial" w:cs="Arial"/>
          <w:sz w:val="24"/>
          <w:szCs w:val="24"/>
        </w:rPr>
        <w:t xml:space="preserve">o </w:t>
      </w:r>
      <w:r w:rsidR="00E15004">
        <w:rPr>
          <w:rFonts w:ascii="Arial" w:hAnsi="Arial" w:cs="Arial"/>
          <w:sz w:val="24"/>
          <w:szCs w:val="24"/>
        </w:rPr>
        <w:t xml:space="preserve">transportation </w:t>
      </w:r>
      <w:r w:rsidR="00544D32">
        <w:rPr>
          <w:rFonts w:ascii="Arial" w:hAnsi="Arial" w:cs="Arial"/>
          <w:sz w:val="24"/>
          <w:szCs w:val="24"/>
        </w:rPr>
        <w:t xml:space="preserve">modelling has </w:t>
      </w:r>
      <w:r w:rsidR="00E15004">
        <w:rPr>
          <w:rFonts w:ascii="Arial" w:hAnsi="Arial" w:cs="Arial"/>
          <w:sz w:val="24"/>
          <w:szCs w:val="24"/>
        </w:rPr>
        <w:t xml:space="preserve">ever </w:t>
      </w:r>
      <w:r w:rsidR="00544D32">
        <w:rPr>
          <w:rFonts w:ascii="Arial" w:hAnsi="Arial" w:cs="Arial"/>
          <w:sz w:val="24"/>
          <w:szCs w:val="24"/>
        </w:rPr>
        <w:t>been presented to support the concept</w:t>
      </w:r>
      <w:r w:rsidR="00E15004">
        <w:rPr>
          <w:rFonts w:ascii="Arial" w:hAnsi="Arial" w:cs="Arial"/>
          <w:sz w:val="24"/>
          <w:szCs w:val="24"/>
        </w:rPr>
        <w:t xml:space="preserve"> which appears to be a</w:t>
      </w:r>
      <w:r w:rsidR="00BA3E5A">
        <w:rPr>
          <w:rFonts w:ascii="Arial" w:hAnsi="Arial" w:cs="Arial"/>
          <w:sz w:val="24"/>
          <w:szCs w:val="24"/>
        </w:rPr>
        <w:t xml:space="preserve"> costly </w:t>
      </w:r>
      <w:r w:rsidR="00E15004">
        <w:rPr>
          <w:rFonts w:ascii="Arial" w:hAnsi="Arial" w:cs="Arial"/>
          <w:sz w:val="24"/>
          <w:szCs w:val="24"/>
        </w:rPr>
        <w:t>ad hoc attempt to increase capacity similar to the localised widening of a main road</w:t>
      </w:r>
      <w:r w:rsidR="00544D32">
        <w:rPr>
          <w:rFonts w:ascii="Arial" w:hAnsi="Arial" w:cs="Arial"/>
          <w:sz w:val="24"/>
          <w:szCs w:val="24"/>
        </w:rPr>
        <w:t>.</w:t>
      </w:r>
    </w:p>
    <w:p w:rsidR="00543468" w:rsidRDefault="00543468" w:rsidP="00877648">
      <w:pPr>
        <w:pStyle w:val="ListParagraph"/>
        <w:ind w:left="1134" w:firstLine="567"/>
        <w:rPr>
          <w:rFonts w:ascii="Arial" w:hAnsi="Arial" w:cs="Arial"/>
          <w:sz w:val="24"/>
          <w:szCs w:val="24"/>
        </w:rPr>
      </w:pPr>
    </w:p>
    <w:p w:rsidR="00396DCF" w:rsidRDefault="00BE0C99" w:rsidP="000E250F">
      <w:pPr>
        <w:pStyle w:val="ListParagraph"/>
        <w:ind w:left="1134"/>
        <w:rPr>
          <w:rFonts w:ascii="Arial" w:hAnsi="Arial" w:cs="Arial"/>
          <w:sz w:val="24"/>
          <w:szCs w:val="24"/>
        </w:rPr>
      </w:pPr>
      <w:r>
        <w:rPr>
          <w:rFonts w:ascii="Arial" w:hAnsi="Arial" w:cs="Arial"/>
          <w:sz w:val="24"/>
          <w:szCs w:val="24"/>
        </w:rPr>
        <w:t xml:space="preserve">As pointed out in an earlier submission to the Commission (Goldberg, 2014, submission </w:t>
      </w:r>
      <w:proofErr w:type="spellStart"/>
      <w:r>
        <w:rPr>
          <w:rFonts w:ascii="Arial" w:hAnsi="Arial" w:cs="Arial"/>
          <w:sz w:val="24"/>
          <w:szCs w:val="24"/>
        </w:rPr>
        <w:t>no.</w:t>
      </w:r>
      <w:r w:rsidR="00AA1198">
        <w:rPr>
          <w:rFonts w:ascii="Arial" w:hAnsi="Arial" w:cs="Arial"/>
          <w:sz w:val="24"/>
          <w:szCs w:val="24"/>
        </w:rPr>
        <w:t>0</w:t>
      </w:r>
      <w:r>
        <w:rPr>
          <w:rFonts w:ascii="Arial" w:hAnsi="Arial" w:cs="Arial"/>
          <w:sz w:val="24"/>
          <w:szCs w:val="24"/>
        </w:rPr>
        <w:t>84</w:t>
      </w:r>
      <w:proofErr w:type="spellEnd"/>
      <w:r>
        <w:rPr>
          <w:rFonts w:ascii="Arial" w:hAnsi="Arial" w:cs="Arial"/>
          <w:sz w:val="24"/>
          <w:szCs w:val="24"/>
        </w:rPr>
        <w:t>), t</w:t>
      </w:r>
      <w:r w:rsidR="00543468">
        <w:rPr>
          <w:rFonts w:ascii="Arial" w:hAnsi="Arial" w:cs="Arial"/>
          <w:sz w:val="24"/>
          <w:szCs w:val="24"/>
        </w:rPr>
        <w:t xml:space="preserve">o </w:t>
      </w:r>
      <w:r>
        <w:rPr>
          <w:rFonts w:ascii="Arial" w:hAnsi="Arial" w:cs="Arial"/>
          <w:sz w:val="24"/>
          <w:szCs w:val="24"/>
        </w:rPr>
        <w:t>provide economic justification for the project</w:t>
      </w:r>
      <w:r w:rsidR="003A3EA4">
        <w:rPr>
          <w:rFonts w:ascii="Arial" w:hAnsi="Arial" w:cs="Arial"/>
          <w:sz w:val="24"/>
          <w:szCs w:val="24"/>
        </w:rPr>
        <w:t xml:space="preserve">, </w:t>
      </w:r>
      <w:r w:rsidR="003A3EA4">
        <w:rPr>
          <w:rFonts w:ascii="Arial" w:hAnsi="Arial" w:cs="Arial"/>
          <w:sz w:val="24"/>
          <w:szCs w:val="24"/>
        </w:rPr>
        <w:lastRenderedPageBreak/>
        <w:t>a</w:t>
      </w:r>
      <w:r w:rsidR="00543468">
        <w:rPr>
          <w:rFonts w:ascii="Arial" w:hAnsi="Arial" w:cs="Arial"/>
          <w:sz w:val="24"/>
          <w:szCs w:val="24"/>
        </w:rPr>
        <w:t xml:space="preserve"> cost benefit analysis was commissioned by Transport for NSW from the accounting firm Deloitte. This analysis </w:t>
      </w:r>
      <w:r w:rsidR="00A235F7">
        <w:rPr>
          <w:rFonts w:ascii="Arial" w:hAnsi="Arial" w:cs="Arial"/>
          <w:sz w:val="24"/>
          <w:szCs w:val="24"/>
        </w:rPr>
        <w:t>derived a benefit-to-cost ratio (</w:t>
      </w:r>
      <w:proofErr w:type="spellStart"/>
      <w:r w:rsidR="00A235F7">
        <w:rPr>
          <w:rFonts w:ascii="Arial" w:hAnsi="Arial" w:cs="Arial"/>
          <w:sz w:val="24"/>
          <w:szCs w:val="24"/>
        </w:rPr>
        <w:t>BCR</w:t>
      </w:r>
      <w:proofErr w:type="spellEnd"/>
      <w:r w:rsidR="00A235F7">
        <w:rPr>
          <w:rFonts w:ascii="Arial" w:hAnsi="Arial" w:cs="Arial"/>
          <w:sz w:val="24"/>
          <w:szCs w:val="24"/>
        </w:rPr>
        <w:t xml:space="preserve">) </w:t>
      </w:r>
      <w:r w:rsidR="00543468">
        <w:rPr>
          <w:rFonts w:ascii="Arial" w:hAnsi="Arial" w:cs="Arial"/>
          <w:sz w:val="24"/>
          <w:szCs w:val="24"/>
        </w:rPr>
        <w:t xml:space="preserve">of 3.0. The author’s </w:t>
      </w:r>
      <w:r w:rsidR="00975554">
        <w:rPr>
          <w:rFonts w:ascii="Arial" w:hAnsi="Arial" w:cs="Arial"/>
          <w:sz w:val="24"/>
          <w:szCs w:val="24"/>
        </w:rPr>
        <w:t>audit of</w:t>
      </w:r>
      <w:r w:rsidR="00543468">
        <w:rPr>
          <w:rFonts w:ascii="Arial" w:hAnsi="Arial" w:cs="Arial"/>
          <w:sz w:val="24"/>
          <w:szCs w:val="24"/>
        </w:rPr>
        <w:t xml:space="preserve"> the Deloitte </w:t>
      </w:r>
      <w:r w:rsidR="00A235F7">
        <w:rPr>
          <w:rFonts w:ascii="Arial" w:hAnsi="Arial" w:cs="Arial"/>
          <w:sz w:val="24"/>
          <w:szCs w:val="24"/>
        </w:rPr>
        <w:t xml:space="preserve">analysis </w:t>
      </w:r>
      <w:r w:rsidR="00543468">
        <w:rPr>
          <w:rFonts w:ascii="Arial" w:hAnsi="Arial" w:cs="Arial"/>
          <w:sz w:val="24"/>
          <w:szCs w:val="24"/>
        </w:rPr>
        <w:t>showed that th</w:t>
      </w:r>
      <w:r w:rsidR="00D7448B">
        <w:rPr>
          <w:rFonts w:ascii="Arial" w:hAnsi="Arial" w:cs="Arial"/>
          <w:sz w:val="24"/>
          <w:szCs w:val="24"/>
        </w:rPr>
        <w:t xml:space="preserve">is </w:t>
      </w:r>
      <w:r w:rsidR="00543468">
        <w:rPr>
          <w:rFonts w:ascii="Arial" w:hAnsi="Arial" w:cs="Arial"/>
          <w:sz w:val="24"/>
          <w:szCs w:val="24"/>
        </w:rPr>
        <w:t xml:space="preserve">value was </w:t>
      </w:r>
      <w:r w:rsidR="00CF455F">
        <w:rPr>
          <w:rFonts w:ascii="Arial" w:hAnsi="Arial" w:cs="Arial"/>
          <w:sz w:val="24"/>
          <w:szCs w:val="24"/>
        </w:rPr>
        <w:t xml:space="preserve">not credible as it </w:t>
      </w:r>
      <w:r w:rsidR="00D7448B">
        <w:rPr>
          <w:rFonts w:ascii="Arial" w:hAnsi="Arial" w:cs="Arial"/>
          <w:sz w:val="24"/>
          <w:szCs w:val="24"/>
        </w:rPr>
        <w:t xml:space="preserve">was nearly 5 times the value of 0.63 obtained by the author </w:t>
      </w:r>
      <w:r w:rsidR="00543468">
        <w:rPr>
          <w:rFonts w:ascii="Arial" w:hAnsi="Arial" w:cs="Arial"/>
          <w:sz w:val="24"/>
          <w:szCs w:val="24"/>
        </w:rPr>
        <w:t xml:space="preserve">using the </w:t>
      </w:r>
      <w:r w:rsidR="00D7448B">
        <w:rPr>
          <w:rFonts w:ascii="Arial" w:hAnsi="Arial" w:cs="Arial"/>
          <w:sz w:val="24"/>
          <w:szCs w:val="24"/>
        </w:rPr>
        <w:t>same data</w:t>
      </w:r>
      <w:r w:rsidR="006823EB">
        <w:rPr>
          <w:rFonts w:ascii="Arial" w:hAnsi="Arial" w:cs="Arial"/>
          <w:sz w:val="24"/>
          <w:szCs w:val="24"/>
        </w:rPr>
        <w:t>.</w:t>
      </w:r>
      <w:r w:rsidR="00543468">
        <w:rPr>
          <w:rFonts w:ascii="Arial" w:hAnsi="Arial" w:cs="Arial"/>
          <w:sz w:val="24"/>
          <w:szCs w:val="24"/>
        </w:rPr>
        <w:t xml:space="preserve"> </w:t>
      </w:r>
    </w:p>
    <w:p w:rsidR="00396DCF" w:rsidRDefault="00396DCF" w:rsidP="000E250F">
      <w:pPr>
        <w:pStyle w:val="ListParagraph"/>
        <w:ind w:left="1134"/>
        <w:rPr>
          <w:rFonts w:ascii="Arial" w:hAnsi="Arial" w:cs="Arial"/>
          <w:sz w:val="24"/>
          <w:szCs w:val="24"/>
        </w:rPr>
      </w:pPr>
    </w:p>
    <w:p w:rsidR="00543468" w:rsidRDefault="00543468" w:rsidP="000E250F">
      <w:pPr>
        <w:pStyle w:val="ListParagraph"/>
        <w:ind w:left="1134"/>
        <w:rPr>
          <w:rFonts w:ascii="Arial" w:hAnsi="Arial" w:cs="Arial"/>
          <w:sz w:val="24"/>
          <w:szCs w:val="24"/>
        </w:rPr>
      </w:pPr>
      <w:r>
        <w:rPr>
          <w:rFonts w:ascii="Arial" w:hAnsi="Arial" w:cs="Arial"/>
          <w:sz w:val="24"/>
          <w:szCs w:val="24"/>
        </w:rPr>
        <w:t>Th</w:t>
      </w:r>
      <w:r w:rsidR="00BE0C99">
        <w:rPr>
          <w:rFonts w:ascii="Arial" w:hAnsi="Arial" w:cs="Arial"/>
          <w:sz w:val="24"/>
          <w:szCs w:val="24"/>
        </w:rPr>
        <w:t xml:space="preserve">is </w:t>
      </w:r>
      <w:r>
        <w:rPr>
          <w:rFonts w:ascii="Arial" w:hAnsi="Arial" w:cs="Arial"/>
          <w:sz w:val="24"/>
          <w:szCs w:val="24"/>
        </w:rPr>
        <w:t xml:space="preserve">audit was the </w:t>
      </w:r>
      <w:r w:rsidR="00BE0C99">
        <w:rPr>
          <w:rFonts w:ascii="Arial" w:hAnsi="Arial" w:cs="Arial"/>
          <w:sz w:val="24"/>
          <w:szCs w:val="24"/>
        </w:rPr>
        <w:t xml:space="preserve">substance of </w:t>
      </w:r>
      <w:r>
        <w:rPr>
          <w:rFonts w:ascii="Arial" w:hAnsi="Arial" w:cs="Arial"/>
          <w:sz w:val="24"/>
          <w:szCs w:val="24"/>
        </w:rPr>
        <w:t xml:space="preserve">the author’s </w:t>
      </w:r>
      <w:r w:rsidR="00CF455F">
        <w:rPr>
          <w:rFonts w:ascii="Arial" w:hAnsi="Arial" w:cs="Arial"/>
          <w:sz w:val="24"/>
          <w:szCs w:val="24"/>
        </w:rPr>
        <w:t xml:space="preserve">earlier </w:t>
      </w:r>
      <w:r>
        <w:rPr>
          <w:rFonts w:ascii="Arial" w:hAnsi="Arial" w:cs="Arial"/>
          <w:sz w:val="24"/>
          <w:szCs w:val="24"/>
        </w:rPr>
        <w:t>submission</w:t>
      </w:r>
      <w:r w:rsidR="00396DCF">
        <w:rPr>
          <w:rFonts w:ascii="Arial" w:hAnsi="Arial" w:cs="Arial"/>
          <w:sz w:val="24"/>
          <w:szCs w:val="24"/>
        </w:rPr>
        <w:t xml:space="preserve"> (no. 084)</w:t>
      </w:r>
      <w:r>
        <w:rPr>
          <w:rFonts w:ascii="Arial" w:hAnsi="Arial" w:cs="Arial"/>
          <w:sz w:val="24"/>
          <w:szCs w:val="24"/>
        </w:rPr>
        <w:t xml:space="preserve"> </w:t>
      </w:r>
      <w:r w:rsidR="00BE0C99">
        <w:rPr>
          <w:rFonts w:ascii="Arial" w:hAnsi="Arial" w:cs="Arial"/>
          <w:sz w:val="24"/>
          <w:szCs w:val="24"/>
        </w:rPr>
        <w:t xml:space="preserve">referred to </w:t>
      </w:r>
      <w:r w:rsidR="00B65E55">
        <w:rPr>
          <w:rFonts w:ascii="Arial" w:hAnsi="Arial" w:cs="Arial"/>
          <w:sz w:val="24"/>
          <w:szCs w:val="24"/>
        </w:rPr>
        <w:t>above. The</w:t>
      </w:r>
      <w:r w:rsidR="00CF455F">
        <w:rPr>
          <w:rFonts w:ascii="Arial" w:hAnsi="Arial" w:cs="Arial"/>
          <w:sz w:val="24"/>
          <w:szCs w:val="24"/>
        </w:rPr>
        <w:t xml:space="preserve"> author’s doubts about the validity of the Del</w:t>
      </w:r>
      <w:r w:rsidR="003F257D">
        <w:rPr>
          <w:rFonts w:ascii="Arial" w:hAnsi="Arial" w:cs="Arial"/>
          <w:sz w:val="24"/>
          <w:szCs w:val="24"/>
        </w:rPr>
        <w:t>oitte result were emphasised by a</w:t>
      </w:r>
      <w:r w:rsidR="00CF455F">
        <w:rPr>
          <w:rFonts w:ascii="Arial" w:hAnsi="Arial" w:cs="Arial"/>
          <w:sz w:val="24"/>
          <w:szCs w:val="24"/>
        </w:rPr>
        <w:t xml:space="preserve"> peer reviewed </w:t>
      </w:r>
      <w:r w:rsidR="003F257D">
        <w:rPr>
          <w:rFonts w:ascii="Arial" w:hAnsi="Arial" w:cs="Arial"/>
          <w:sz w:val="24"/>
          <w:szCs w:val="24"/>
        </w:rPr>
        <w:t xml:space="preserve">cost benefit analysis of road </w:t>
      </w:r>
      <w:proofErr w:type="spellStart"/>
      <w:r w:rsidR="003F257D">
        <w:rPr>
          <w:rFonts w:ascii="Arial" w:hAnsi="Arial" w:cs="Arial"/>
          <w:sz w:val="24"/>
          <w:szCs w:val="24"/>
        </w:rPr>
        <w:t>widenings</w:t>
      </w:r>
      <w:proofErr w:type="spellEnd"/>
      <w:r w:rsidR="003F257D">
        <w:rPr>
          <w:rFonts w:ascii="Arial" w:hAnsi="Arial" w:cs="Arial"/>
          <w:sz w:val="24"/>
          <w:szCs w:val="24"/>
        </w:rPr>
        <w:t xml:space="preserve"> (Goldberg, 2010). This analysis showed that increasing the capacity of an existing facility does not result in a proportionate increase in benefits</w:t>
      </w:r>
    </w:p>
    <w:p w:rsidR="00160D2E" w:rsidRDefault="00160D2E" w:rsidP="000E250F">
      <w:pPr>
        <w:pStyle w:val="ListParagraph"/>
        <w:ind w:left="1134"/>
        <w:rPr>
          <w:rFonts w:ascii="Arial" w:hAnsi="Arial" w:cs="Arial"/>
          <w:sz w:val="24"/>
          <w:szCs w:val="24"/>
        </w:rPr>
      </w:pPr>
    </w:p>
    <w:p w:rsidR="00A235F7" w:rsidRDefault="006E24D1" w:rsidP="000E250F">
      <w:pPr>
        <w:pStyle w:val="ListParagraph"/>
        <w:ind w:left="1134"/>
        <w:rPr>
          <w:rFonts w:ascii="Arial" w:hAnsi="Arial" w:cs="Arial"/>
          <w:sz w:val="24"/>
          <w:szCs w:val="24"/>
        </w:rPr>
      </w:pPr>
      <w:r>
        <w:rPr>
          <w:rFonts w:ascii="Arial" w:hAnsi="Arial" w:cs="Arial"/>
          <w:sz w:val="24"/>
          <w:szCs w:val="24"/>
        </w:rPr>
        <w:t>I</w:t>
      </w:r>
      <w:r w:rsidR="00A235F7">
        <w:rPr>
          <w:rFonts w:ascii="Arial" w:hAnsi="Arial" w:cs="Arial"/>
          <w:sz w:val="24"/>
          <w:szCs w:val="24"/>
        </w:rPr>
        <w:t xml:space="preserve">n these calculations </w:t>
      </w:r>
      <w:r>
        <w:rPr>
          <w:rFonts w:ascii="Arial" w:hAnsi="Arial" w:cs="Arial"/>
          <w:sz w:val="24"/>
          <w:szCs w:val="24"/>
        </w:rPr>
        <w:t xml:space="preserve">“benefits” are </w:t>
      </w:r>
      <w:r w:rsidR="00160D2E">
        <w:rPr>
          <w:rFonts w:ascii="Arial" w:hAnsi="Arial" w:cs="Arial"/>
          <w:sz w:val="24"/>
          <w:szCs w:val="24"/>
        </w:rPr>
        <w:t xml:space="preserve">defined as </w:t>
      </w:r>
      <w:r w:rsidR="00A235F7">
        <w:rPr>
          <w:rFonts w:ascii="Arial" w:hAnsi="Arial" w:cs="Arial"/>
          <w:sz w:val="24"/>
          <w:szCs w:val="24"/>
        </w:rPr>
        <w:t>the differential cost savings obtained by using</w:t>
      </w:r>
      <w:r w:rsidR="00B14742">
        <w:rPr>
          <w:rFonts w:ascii="Arial" w:hAnsi="Arial" w:cs="Arial"/>
          <w:sz w:val="24"/>
          <w:szCs w:val="24"/>
        </w:rPr>
        <w:t xml:space="preserve"> rail instead of road transport. Thus the meaning of the Deloitte result is that it is cheaper to use rail freight than road transport, whereas the author showed that the opposite is true. The Deloitte </w:t>
      </w:r>
      <w:r w:rsidR="00975554">
        <w:rPr>
          <w:rFonts w:ascii="Arial" w:hAnsi="Arial" w:cs="Arial"/>
          <w:sz w:val="24"/>
          <w:szCs w:val="24"/>
        </w:rPr>
        <w:t>analysis w</w:t>
      </w:r>
      <w:r w:rsidR="003F257D">
        <w:rPr>
          <w:rFonts w:ascii="Arial" w:hAnsi="Arial" w:cs="Arial"/>
          <w:sz w:val="24"/>
          <w:szCs w:val="24"/>
        </w:rPr>
        <w:t xml:space="preserve">ould have created </w:t>
      </w:r>
      <w:r w:rsidR="00160D2E">
        <w:rPr>
          <w:rFonts w:ascii="Arial" w:hAnsi="Arial" w:cs="Arial"/>
          <w:sz w:val="24"/>
          <w:szCs w:val="24"/>
        </w:rPr>
        <w:t>the bias needed i</w:t>
      </w:r>
      <w:r w:rsidR="00B14742">
        <w:rPr>
          <w:rFonts w:ascii="Arial" w:hAnsi="Arial" w:cs="Arial"/>
          <w:sz w:val="24"/>
          <w:szCs w:val="24"/>
        </w:rPr>
        <w:t xml:space="preserve">n favour of rail and the rail expansion. </w:t>
      </w:r>
    </w:p>
    <w:p w:rsidR="00543468" w:rsidRDefault="00543468" w:rsidP="00877648">
      <w:pPr>
        <w:pStyle w:val="ListParagraph"/>
        <w:ind w:left="1134" w:firstLine="567"/>
        <w:rPr>
          <w:rFonts w:ascii="Arial" w:hAnsi="Arial" w:cs="Arial"/>
          <w:sz w:val="24"/>
          <w:szCs w:val="24"/>
        </w:rPr>
      </w:pPr>
    </w:p>
    <w:p w:rsidR="00543468" w:rsidRDefault="003F257D" w:rsidP="000E250F">
      <w:pPr>
        <w:pStyle w:val="ListParagraph"/>
        <w:ind w:left="1134"/>
        <w:rPr>
          <w:rFonts w:ascii="Arial" w:hAnsi="Arial" w:cs="Arial"/>
          <w:sz w:val="24"/>
          <w:szCs w:val="24"/>
        </w:rPr>
      </w:pPr>
      <w:r>
        <w:rPr>
          <w:rFonts w:ascii="Arial" w:hAnsi="Arial" w:cs="Arial"/>
          <w:sz w:val="24"/>
          <w:szCs w:val="24"/>
        </w:rPr>
        <w:t>On the basis of the Deloitte result,</w:t>
      </w:r>
      <w:r w:rsidR="00543468">
        <w:rPr>
          <w:rFonts w:ascii="Arial" w:hAnsi="Arial" w:cs="Arial"/>
          <w:sz w:val="24"/>
          <w:szCs w:val="24"/>
        </w:rPr>
        <w:t xml:space="preserve"> the Commonwealth contributed about $</w:t>
      </w:r>
      <w:proofErr w:type="spellStart"/>
      <w:r w:rsidR="00543468">
        <w:rPr>
          <w:rFonts w:ascii="Arial" w:hAnsi="Arial" w:cs="Arial"/>
          <w:sz w:val="24"/>
          <w:szCs w:val="24"/>
        </w:rPr>
        <w:t>800m</w:t>
      </w:r>
      <w:proofErr w:type="spellEnd"/>
      <w:r w:rsidR="00543468">
        <w:rPr>
          <w:rFonts w:ascii="Arial" w:hAnsi="Arial" w:cs="Arial"/>
          <w:sz w:val="24"/>
          <w:szCs w:val="24"/>
        </w:rPr>
        <w:t xml:space="preserve"> and the NSW government about $</w:t>
      </w:r>
      <w:proofErr w:type="spellStart"/>
      <w:r w:rsidR="00543468">
        <w:rPr>
          <w:rFonts w:ascii="Arial" w:hAnsi="Arial" w:cs="Arial"/>
          <w:sz w:val="24"/>
          <w:szCs w:val="24"/>
        </w:rPr>
        <w:t>200m.</w:t>
      </w:r>
      <w:r>
        <w:rPr>
          <w:rFonts w:ascii="Arial" w:hAnsi="Arial" w:cs="Arial"/>
          <w:sz w:val="24"/>
          <w:szCs w:val="24"/>
        </w:rPr>
        <w:t>Such</w:t>
      </w:r>
      <w:proofErr w:type="spellEnd"/>
      <w:r>
        <w:rPr>
          <w:rFonts w:ascii="Arial" w:hAnsi="Arial" w:cs="Arial"/>
          <w:sz w:val="24"/>
          <w:szCs w:val="24"/>
        </w:rPr>
        <w:t xml:space="preserve"> a large sum has been misallocated.</w:t>
      </w:r>
    </w:p>
    <w:p w:rsidR="00543468" w:rsidRDefault="00543468" w:rsidP="00877648">
      <w:pPr>
        <w:pStyle w:val="ListParagraph"/>
        <w:ind w:left="1134" w:firstLine="567"/>
        <w:rPr>
          <w:rFonts w:ascii="Arial" w:hAnsi="Arial" w:cs="Arial"/>
          <w:sz w:val="24"/>
          <w:szCs w:val="24"/>
        </w:rPr>
      </w:pPr>
    </w:p>
    <w:p w:rsidR="00543468" w:rsidRDefault="00543468" w:rsidP="000E250F">
      <w:pPr>
        <w:pStyle w:val="ListParagraph"/>
        <w:ind w:left="1134"/>
        <w:rPr>
          <w:rFonts w:ascii="Arial" w:hAnsi="Arial" w:cs="Arial"/>
          <w:sz w:val="24"/>
          <w:szCs w:val="24"/>
        </w:rPr>
      </w:pPr>
      <w:r>
        <w:rPr>
          <w:rFonts w:ascii="Arial" w:hAnsi="Arial" w:cs="Arial"/>
          <w:sz w:val="24"/>
          <w:szCs w:val="24"/>
        </w:rPr>
        <w:t xml:space="preserve">It is unfortunate that the Commonwealth Minister for Infrastructure </w:t>
      </w:r>
      <w:r w:rsidR="0029588B">
        <w:rPr>
          <w:rFonts w:ascii="Arial" w:hAnsi="Arial" w:cs="Arial"/>
          <w:sz w:val="24"/>
          <w:szCs w:val="24"/>
        </w:rPr>
        <w:t xml:space="preserve">and Regional Development </w:t>
      </w:r>
      <w:r>
        <w:rPr>
          <w:rFonts w:ascii="Arial" w:hAnsi="Arial" w:cs="Arial"/>
          <w:sz w:val="24"/>
          <w:szCs w:val="24"/>
        </w:rPr>
        <w:t xml:space="preserve">accepted the </w:t>
      </w:r>
      <w:r w:rsidR="00044F66">
        <w:rPr>
          <w:rFonts w:ascii="Arial" w:hAnsi="Arial" w:cs="Arial"/>
          <w:sz w:val="24"/>
          <w:szCs w:val="24"/>
        </w:rPr>
        <w:t xml:space="preserve">Deloitte </w:t>
      </w:r>
      <w:r>
        <w:rPr>
          <w:rFonts w:ascii="Arial" w:hAnsi="Arial" w:cs="Arial"/>
          <w:sz w:val="24"/>
          <w:szCs w:val="24"/>
        </w:rPr>
        <w:t>result and ignored attempts by the author to set the record straight</w:t>
      </w:r>
      <w:r w:rsidR="0029588B">
        <w:rPr>
          <w:rStyle w:val="FootnoteReference"/>
          <w:rFonts w:ascii="Arial" w:hAnsi="Arial" w:cs="Arial"/>
          <w:sz w:val="24"/>
          <w:szCs w:val="24"/>
        </w:rPr>
        <w:footnoteReference w:id="2"/>
      </w:r>
      <w:r>
        <w:rPr>
          <w:rFonts w:ascii="Arial" w:hAnsi="Arial" w:cs="Arial"/>
          <w:sz w:val="24"/>
          <w:szCs w:val="24"/>
        </w:rPr>
        <w:t>.</w:t>
      </w:r>
      <w:r w:rsidR="00044F66">
        <w:rPr>
          <w:rFonts w:ascii="Arial" w:hAnsi="Arial" w:cs="Arial"/>
          <w:sz w:val="24"/>
          <w:szCs w:val="24"/>
        </w:rPr>
        <w:t xml:space="preserve"> The author believes it is in the public interest to place on record certain aspe</w:t>
      </w:r>
      <w:r w:rsidR="00396DCF">
        <w:rPr>
          <w:rFonts w:ascii="Arial" w:hAnsi="Arial" w:cs="Arial"/>
          <w:sz w:val="24"/>
          <w:szCs w:val="24"/>
        </w:rPr>
        <w:t>c</w:t>
      </w:r>
      <w:r w:rsidR="00044F66">
        <w:rPr>
          <w:rFonts w:ascii="Arial" w:hAnsi="Arial" w:cs="Arial"/>
          <w:sz w:val="24"/>
          <w:szCs w:val="24"/>
        </w:rPr>
        <w:t>ts of the unsatisfactory process connected with this project.</w:t>
      </w:r>
    </w:p>
    <w:p w:rsidR="006E24D1" w:rsidRDefault="00543468" w:rsidP="000E250F">
      <w:pPr>
        <w:ind w:left="1134"/>
        <w:rPr>
          <w:rFonts w:ascii="Arial" w:hAnsi="Arial" w:cs="Arial"/>
          <w:sz w:val="24"/>
          <w:szCs w:val="24"/>
        </w:rPr>
      </w:pPr>
      <w:r>
        <w:rPr>
          <w:rFonts w:ascii="Arial" w:hAnsi="Arial" w:cs="Arial"/>
          <w:sz w:val="24"/>
          <w:szCs w:val="24"/>
        </w:rPr>
        <w:t xml:space="preserve">Access to the Deloitte analysis was denied </w:t>
      </w:r>
      <w:r w:rsidR="00D92D4D">
        <w:rPr>
          <w:rFonts w:ascii="Arial" w:hAnsi="Arial" w:cs="Arial"/>
          <w:sz w:val="24"/>
          <w:szCs w:val="24"/>
        </w:rPr>
        <w:t xml:space="preserve">to the author </w:t>
      </w:r>
      <w:r>
        <w:rPr>
          <w:rFonts w:ascii="Arial" w:hAnsi="Arial" w:cs="Arial"/>
          <w:sz w:val="24"/>
          <w:szCs w:val="24"/>
        </w:rPr>
        <w:t xml:space="preserve">under </w:t>
      </w:r>
      <w:proofErr w:type="spellStart"/>
      <w:r>
        <w:rPr>
          <w:rFonts w:ascii="Arial" w:hAnsi="Arial" w:cs="Arial"/>
          <w:sz w:val="24"/>
          <w:szCs w:val="24"/>
        </w:rPr>
        <w:t>GIPA</w:t>
      </w:r>
      <w:proofErr w:type="spellEnd"/>
      <w:r>
        <w:rPr>
          <w:rFonts w:ascii="Arial" w:hAnsi="Arial" w:cs="Arial"/>
          <w:sz w:val="24"/>
          <w:szCs w:val="24"/>
        </w:rPr>
        <w:t xml:space="preserve"> on the grounds that the Department </w:t>
      </w:r>
      <w:r w:rsidR="00160D2E">
        <w:rPr>
          <w:rFonts w:ascii="Arial" w:hAnsi="Arial" w:cs="Arial"/>
          <w:sz w:val="24"/>
          <w:szCs w:val="24"/>
        </w:rPr>
        <w:t xml:space="preserve">of Planning and </w:t>
      </w:r>
      <w:r w:rsidR="00975554">
        <w:rPr>
          <w:rFonts w:ascii="Arial" w:hAnsi="Arial" w:cs="Arial"/>
          <w:sz w:val="24"/>
          <w:szCs w:val="24"/>
        </w:rPr>
        <w:t>Infrastructure</w:t>
      </w:r>
      <w:r w:rsidR="00160D2E">
        <w:rPr>
          <w:rFonts w:ascii="Arial" w:hAnsi="Arial" w:cs="Arial"/>
          <w:sz w:val="24"/>
          <w:szCs w:val="24"/>
        </w:rPr>
        <w:t xml:space="preserve"> </w:t>
      </w:r>
      <w:r>
        <w:rPr>
          <w:rFonts w:ascii="Arial" w:hAnsi="Arial" w:cs="Arial"/>
          <w:sz w:val="24"/>
          <w:szCs w:val="24"/>
        </w:rPr>
        <w:t>did not have a copy despite the fact that th</w:t>
      </w:r>
      <w:r w:rsidR="00396DCF">
        <w:rPr>
          <w:rFonts w:ascii="Arial" w:hAnsi="Arial" w:cs="Arial"/>
          <w:sz w:val="24"/>
          <w:szCs w:val="24"/>
        </w:rPr>
        <w:t xml:space="preserve">is </w:t>
      </w:r>
      <w:r>
        <w:rPr>
          <w:rFonts w:ascii="Arial" w:hAnsi="Arial" w:cs="Arial"/>
          <w:sz w:val="24"/>
          <w:szCs w:val="24"/>
        </w:rPr>
        <w:t>Department was the consent authority and was bound to have had access to it.</w:t>
      </w:r>
      <w:r w:rsidR="00160D2E">
        <w:rPr>
          <w:rFonts w:ascii="Arial" w:hAnsi="Arial" w:cs="Arial"/>
          <w:sz w:val="24"/>
          <w:szCs w:val="24"/>
        </w:rPr>
        <w:t xml:space="preserve"> </w:t>
      </w:r>
    </w:p>
    <w:p w:rsidR="00543468" w:rsidRDefault="00D92D4D" w:rsidP="000E250F">
      <w:pPr>
        <w:ind w:left="1134"/>
        <w:rPr>
          <w:rFonts w:ascii="Arial" w:hAnsi="Arial" w:cs="Arial"/>
          <w:sz w:val="24"/>
          <w:szCs w:val="24"/>
        </w:rPr>
      </w:pPr>
      <w:r>
        <w:rPr>
          <w:rFonts w:ascii="Arial" w:hAnsi="Arial" w:cs="Arial"/>
          <w:sz w:val="24"/>
          <w:szCs w:val="24"/>
        </w:rPr>
        <w:t xml:space="preserve">A different reason was given to the author by Transport for NSW for withholding the Deloitte document. It was claimed that the document contained “sensitive </w:t>
      </w:r>
      <w:r w:rsidR="00975554">
        <w:rPr>
          <w:rFonts w:ascii="Arial" w:hAnsi="Arial" w:cs="Arial"/>
          <w:sz w:val="24"/>
          <w:szCs w:val="24"/>
        </w:rPr>
        <w:t>commercial</w:t>
      </w:r>
      <w:r>
        <w:rPr>
          <w:rFonts w:ascii="Arial" w:hAnsi="Arial" w:cs="Arial"/>
          <w:sz w:val="24"/>
          <w:szCs w:val="24"/>
        </w:rPr>
        <w:t xml:space="preserve"> information” which could not be released until the contract was signed. On inspection this “sensitive” information appeared to be nothing more than inflated freight demand figures </w:t>
      </w:r>
      <w:r w:rsidR="00044F66">
        <w:rPr>
          <w:rFonts w:ascii="Arial" w:hAnsi="Arial" w:cs="Arial"/>
          <w:sz w:val="24"/>
          <w:szCs w:val="24"/>
        </w:rPr>
        <w:t>which were used to obtain the</w:t>
      </w:r>
      <w:r>
        <w:rPr>
          <w:rFonts w:ascii="Arial" w:hAnsi="Arial" w:cs="Arial"/>
          <w:sz w:val="24"/>
          <w:szCs w:val="24"/>
        </w:rPr>
        <w:t xml:space="preserve"> benefit-to-cost ratio </w:t>
      </w:r>
      <w:r w:rsidR="00975554">
        <w:rPr>
          <w:rFonts w:ascii="Arial" w:hAnsi="Arial" w:cs="Arial"/>
          <w:sz w:val="24"/>
          <w:szCs w:val="24"/>
        </w:rPr>
        <w:t>needed for</w:t>
      </w:r>
      <w:r>
        <w:rPr>
          <w:rFonts w:ascii="Arial" w:hAnsi="Arial" w:cs="Arial"/>
          <w:sz w:val="24"/>
          <w:szCs w:val="24"/>
        </w:rPr>
        <w:t xml:space="preserve"> economic justification.</w:t>
      </w:r>
      <w:r w:rsidR="00543468" w:rsidRPr="001534DD">
        <w:rPr>
          <w:rFonts w:ascii="Arial" w:hAnsi="Arial" w:cs="Arial"/>
          <w:sz w:val="24"/>
          <w:szCs w:val="24"/>
        </w:rPr>
        <w:t xml:space="preserve"> </w:t>
      </w:r>
    </w:p>
    <w:p w:rsidR="0096754A" w:rsidRDefault="001B10CB" w:rsidP="000E250F">
      <w:pPr>
        <w:ind w:left="1134"/>
        <w:rPr>
          <w:rFonts w:ascii="Arial" w:hAnsi="Arial" w:cs="Arial"/>
          <w:sz w:val="24"/>
          <w:szCs w:val="24"/>
        </w:rPr>
      </w:pPr>
      <w:r>
        <w:rPr>
          <w:rFonts w:ascii="Arial" w:hAnsi="Arial" w:cs="Arial"/>
          <w:sz w:val="24"/>
          <w:szCs w:val="24"/>
        </w:rPr>
        <w:lastRenderedPageBreak/>
        <w:t>T</w:t>
      </w:r>
      <w:r w:rsidR="00044F66">
        <w:rPr>
          <w:rFonts w:ascii="Arial" w:hAnsi="Arial" w:cs="Arial"/>
          <w:sz w:val="24"/>
          <w:szCs w:val="24"/>
        </w:rPr>
        <w:t xml:space="preserve">he Minister for Planning and Infrastructure </w:t>
      </w:r>
      <w:r>
        <w:rPr>
          <w:rFonts w:ascii="Arial" w:hAnsi="Arial" w:cs="Arial"/>
          <w:sz w:val="24"/>
          <w:szCs w:val="24"/>
        </w:rPr>
        <w:t xml:space="preserve">had declared </w:t>
      </w:r>
      <w:r w:rsidR="00044F66">
        <w:rPr>
          <w:rFonts w:ascii="Arial" w:hAnsi="Arial" w:cs="Arial"/>
          <w:sz w:val="24"/>
          <w:szCs w:val="24"/>
        </w:rPr>
        <w:t xml:space="preserve">that the </w:t>
      </w:r>
      <w:proofErr w:type="spellStart"/>
      <w:r w:rsidR="00044F66">
        <w:rPr>
          <w:rFonts w:ascii="Arial" w:hAnsi="Arial" w:cs="Arial"/>
          <w:sz w:val="24"/>
          <w:szCs w:val="24"/>
        </w:rPr>
        <w:t>NSFC</w:t>
      </w:r>
      <w:proofErr w:type="spellEnd"/>
      <w:r w:rsidR="00044F66">
        <w:rPr>
          <w:rFonts w:ascii="Arial" w:hAnsi="Arial" w:cs="Arial"/>
          <w:sz w:val="24"/>
          <w:szCs w:val="24"/>
        </w:rPr>
        <w:t xml:space="preserve"> program was “State Significant Infrastructure” (SSI) under section </w:t>
      </w:r>
      <w:proofErr w:type="spellStart"/>
      <w:r w:rsidR="00044F66">
        <w:rPr>
          <w:rFonts w:ascii="Arial" w:hAnsi="Arial" w:cs="Arial"/>
          <w:sz w:val="24"/>
          <w:szCs w:val="24"/>
        </w:rPr>
        <w:t>115V</w:t>
      </w:r>
      <w:proofErr w:type="spellEnd"/>
      <w:r w:rsidR="00044F66">
        <w:rPr>
          <w:rFonts w:ascii="Arial" w:hAnsi="Arial" w:cs="Arial"/>
          <w:sz w:val="24"/>
          <w:szCs w:val="24"/>
        </w:rPr>
        <w:t xml:space="preserve"> of the E P &amp;A Act</w:t>
      </w:r>
      <w:r>
        <w:rPr>
          <w:rFonts w:ascii="Arial" w:hAnsi="Arial" w:cs="Arial"/>
          <w:sz w:val="24"/>
          <w:szCs w:val="24"/>
        </w:rPr>
        <w:t>. This meant that the project was essential for the state for “</w:t>
      </w:r>
      <w:r w:rsidRPr="001B10CB">
        <w:rPr>
          <w:rFonts w:ascii="Arial" w:hAnsi="Arial" w:cs="Arial"/>
          <w:sz w:val="24"/>
          <w:szCs w:val="24"/>
          <w:u w:val="single"/>
        </w:rPr>
        <w:t>economic</w:t>
      </w:r>
      <w:r>
        <w:rPr>
          <w:rFonts w:ascii="Arial" w:hAnsi="Arial" w:cs="Arial"/>
          <w:sz w:val="24"/>
          <w:szCs w:val="24"/>
        </w:rPr>
        <w:t xml:space="preserve">, environmental and social reasons” Why was such a declaration necessary? </w:t>
      </w:r>
      <w:r w:rsidR="00E5675B">
        <w:rPr>
          <w:rFonts w:ascii="Arial" w:hAnsi="Arial" w:cs="Arial"/>
          <w:sz w:val="24"/>
          <w:szCs w:val="24"/>
        </w:rPr>
        <w:t xml:space="preserve">The first </w:t>
      </w:r>
      <w:r w:rsidR="00396DCF">
        <w:rPr>
          <w:rFonts w:ascii="Arial" w:hAnsi="Arial" w:cs="Arial"/>
          <w:sz w:val="24"/>
          <w:szCs w:val="24"/>
        </w:rPr>
        <w:t xml:space="preserve">reason </w:t>
      </w:r>
      <w:r w:rsidR="00E5675B">
        <w:rPr>
          <w:rFonts w:ascii="Arial" w:hAnsi="Arial" w:cs="Arial"/>
          <w:sz w:val="24"/>
          <w:szCs w:val="24"/>
        </w:rPr>
        <w:t xml:space="preserve">is that the </w:t>
      </w:r>
      <w:r w:rsidR="00EB020A">
        <w:rPr>
          <w:rFonts w:ascii="Arial" w:hAnsi="Arial" w:cs="Arial"/>
          <w:sz w:val="24"/>
          <w:szCs w:val="24"/>
        </w:rPr>
        <w:t>Deloitte result could be used to justify the SSI declara</w:t>
      </w:r>
      <w:r w:rsidR="00331047">
        <w:rPr>
          <w:rFonts w:ascii="Arial" w:hAnsi="Arial" w:cs="Arial"/>
          <w:sz w:val="24"/>
          <w:szCs w:val="24"/>
        </w:rPr>
        <w:t xml:space="preserve">tion; this </w:t>
      </w:r>
      <w:r w:rsidR="00396DCF">
        <w:rPr>
          <w:rFonts w:ascii="Arial" w:hAnsi="Arial" w:cs="Arial"/>
          <w:sz w:val="24"/>
          <w:szCs w:val="24"/>
        </w:rPr>
        <w:t xml:space="preserve">would be </w:t>
      </w:r>
      <w:r w:rsidR="00331047">
        <w:rPr>
          <w:rFonts w:ascii="Arial" w:hAnsi="Arial" w:cs="Arial"/>
          <w:sz w:val="24"/>
          <w:szCs w:val="24"/>
        </w:rPr>
        <w:t>a classic case of a “work back”.</w:t>
      </w:r>
      <w:r w:rsidR="00EB020A">
        <w:rPr>
          <w:rFonts w:ascii="Arial" w:hAnsi="Arial" w:cs="Arial"/>
          <w:sz w:val="24"/>
          <w:szCs w:val="24"/>
        </w:rPr>
        <w:t xml:space="preserve"> </w:t>
      </w:r>
      <w:r w:rsidR="00975554">
        <w:rPr>
          <w:rFonts w:ascii="Arial" w:hAnsi="Arial" w:cs="Arial"/>
          <w:sz w:val="24"/>
          <w:szCs w:val="24"/>
        </w:rPr>
        <w:t>The</w:t>
      </w:r>
      <w:r w:rsidR="00EB020A">
        <w:rPr>
          <w:rFonts w:ascii="Arial" w:hAnsi="Arial" w:cs="Arial"/>
          <w:sz w:val="24"/>
          <w:szCs w:val="24"/>
        </w:rPr>
        <w:t xml:space="preserve"> second is related to the requiremen</w:t>
      </w:r>
      <w:r w:rsidR="00E5675B">
        <w:rPr>
          <w:rFonts w:ascii="Arial" w:hAnsi="Arial" w:cs="Arial"/>
          <w:sz w:val="24"/>
          <w:szCs w:val="24"/>
        </w:rPr>
        <w:t>t under the administrative rule</w:t>
      </w:r>
      <w:r w:rsidR="00EB020A">
        <w:rPr>
          <w:rFonts w:ascii="Arial" w:hAnsi="Arial" w:cs="Arial"/>
          <w:sz w:val="24"/>
          <w:szCs w:val="24"/>
        </w:rPr>
        <w:t xml:space="preserve"> of the Nation Buil</w:t>
      </w:r>
      <w:r w:rsidR="00B14742">
        <w:rPr>
          <w:rFonts w:ascii="Arial" w:hAnsi="Arial" w:cs="Arial"/>
          <w:sz w:val="24"/>
          <w:szCs w:val="24"/>
        </w:rPr>
        <w:t>ding Program</w:t>
      </w:r>
      <w:r w:rsidR="006E24D1">
        <w:rPr>
          <w:rFonts w:ascii="Arial" w:hAnsi="Arial" w:cs="Arial"/>
          <w:sz w:val="24"/>
          <w:szCs w:val="24"/>
        </w:rPr>
        <w:t xml:space="preserve"> (</w:t>
      </w:r>
      <w:proofErr w:type="spellStart"/>
      <w:r w:rsidR="006E24D1">
        <w:rPr>
          <w:rFonts w:ascii="Arial" w:hAnsi="Arial" w:cs="Arial"/>
          <w:sz w:val="24"/>
          <w:szCs w:val="24"/>
        </w:rPr>
        <w:t>NBP2</w:t>
      </w:r>
      <w:proofErr w:type="spellEnd"/>
      <w:r w:rsidR="006E24D1">
        <w:rPr>
          <w:rFonts w:ascii="Arial" w:hAnsi="Arial" w:cs="Arial"/>
          <w:sz w:val="24"/>
          <w:szCs w:val="24"/>
        </w:rPr>
        <w:t>)</w:t>
      </w:r>
      <w:r w:rsidR="00B14742">
        <w:rPr>
          <w:rFonts w:ascii="Arial" w:hAnsi="Arial" w:cs="Arial"/>
          <w:sz w:val="24"/>
          <w:szCs w:val="24"/>
        </w:rPr>
        <w:t xml:space="preserve"> that require</w:t>
      </w:r>
      <w:r w:rsidR="00E5675B">
        <w:rPr>
          <w:rFonts w:ascii="Arial" w:hAnsi="Arial" w:cs="Arial"/>
          <w:sz w:val="24"/>
          <w:szCs w:val="24"/>
        </w:rPr>
        <w:t xml:space="preserve">s </w:t>
      </w:r>
      <w:r w:rsidR="00EB020A">
        <w:rPr>
          <w:rFonts w:ascii="Arial" w:hAnsi="Arial" w:cs="Arial"/>
          <w:sz w:val="24"/>
          <w:szCs w:val="24"/>
        </w:rPr>
        <w:t xml:space="preserve">a proper cost-benefit </w:t>
      </w:r>
      <w:r w:rsidR="00975554">
        <w:rPr>
          <w:rFonts w:ascii="Arial" w:hAnsi="Arial" w:cs="Arial"/>
          <w:sz w:val="24"/>
          <w:szCs w:val="24"/>
        </w:rPr>
        <w:t xml:space="preserve">analysis </w:t>
      </w:r>
      <w:r w:rsidR="001E4F13">
        <w:rPr>
          <w:rFonts w:ascii="Arial" w:hAnsi="Arial" w:cs="Arial"/>
          <w:sz w:val="24"/>
          <w:szCs w:val="24"/>
        </w:rPr>
        <w:t xml:space="preserve">to </w:t>
      </w:r>
      <w:r w:rsidR="00975554">
        <w:rPr>
          <w:rFonts w:ascii="Arial" w:hAnsi="Arial" w:cs="Arial"/>
          <w:sz w:val="24"/>
          <w:szCs w:val="24"/>
        </w:rPr>
        <w:t>be</w:t>
      </w:r>
      <w:r w:rsidR="00EB020A">
        <w:rPr>
          <w:rFonts w:ascii="Arial" w:hAnsi="Arial" w:cs="Arial"/>
          <w:sz w:val="24"/>
          <w:szCs w:val="24"/>
        </w:rPr>
        <w:t xml:space="preserve"> </w:t>
      </w:r>
      <w:r w:rsidR="00E5675B">
        <w:rPr>
          <w:rFonts w:ascii="Arial" w:hAnsi="Arial" w:cs="Arial"/>
          <w:sz w:val="24"/>
          <w:szCs w:val="24"/>
        </w:rPr>
        <w:t xml:space="preserve">carried </w:t>
      </w:r>
      <w:r w:rsidR="006E24D1">
        <w:rPr>
          <w:rFonts w:ascii="Arial" w:hAnsi="Arial" w:cs="Arial"/>
          <w:sz w:val="24"/>
          <w:szCs w:val="24"/>
        </w:rPr>
        <w:t xml:space="preserve">out </w:t>
      </w:r>
      <w:r w:rsidR="00D32CB8">
        <w:rPr>
          <w:rFonts w:ascii="Arial" w:hAnsi="Arial" w:cs="Arial"/>
          <w:sz w:val="24"/>
          <w:szCs w:val="24"/>
        </w:rPr>
        <w:t>to justify funding</w:t>
      </w:r>
      <w:r w:rsidR="001E16A3">
        <w:rPr>
          <w:rFonts w:ascii="Arial" w:hAnsi="Arial" w:cs="Arial"/>
          <w:sz w:val="24"/>
          <w:szCs w:val="24"/>
        </w:rPr>
        <w:t xml:space="preserve"> of a project</w:t>
      </w:r>
      <w:r w:rsidR="003A3EA4">
        <w:rPr>
          <w:rFonts w:ascii="Arial" w:hAnsi="Arial" w:cs="Arial"/>
          <w:sz w:val="24"/>
          <w:szCs w:val="24"/>
        </w:rPr>
        <w:t>.</w:t>
      </w:r>
    </w:p>
    <w:p w:rsidR="00B14742" w:rsidRDefault="00D32CB8" w:rsidP="00D32CB8">
      <w:pPr>
        <w:ind w:left="1134"/>
        <w:rPr>
          <w:rFonts w:ascii="Arial" w:hAnsi="Arial" w:cs="Arial"/>
          <w:sz w:val="24"/>
          <w:szCs w:val="24"/>
        </w:rPr>
      </w:pPr>
      <w:r>
        <w:rPr>
          <w:rFonts w:ascii="Arial" w:hAnsi="Arial" w:cs="Arial"/>
          <w:sz w:val="24"/>
          <w:szCs w:val="24"/>
        </w:rPr>
        <w:t>In summary</w:t>
      </w:r>
      <w:r w:rsidR="001E16A3">
        <w:rPr>
          <w:rFonts w:ascii="Arial" w:hAnsi="Arial" w:cs="Arial"/>
          <w:sz w:val="24"/>
          <w:szCs w:val="24"/>
        </w:rPr>
        <w:t>,</w:t>
      </w:r>
      <w:r>
        <w:rPr>
          <w:rFonts w:ascii="Arial" w:hAnsi="Arial" w:cs="Arial"/>
          <w:sz w:val="24"/>
          <w:szCs w:val="24"/>
        </w:rPr>
        <w:t xml:space="preserve"> a </w:t>
      </w:r>
      <w:r w:rsidR="001B10CB">
        <w:rPr>
          <w:rFonts w:ascii="Arial" w:hAnsi="Arial" w:cs="Arial"/>
          <w:sz w:val="24"/>
          <w:szCs w:val="24"/>
        </w:rPr>
        <w:t xml:space="preserve">very </w:t>
      </w:r>
      <w:r>
        <w:rPr>
          <w:rFonts w:ascii="Arial" w:hAnsi="Arial" w:cs="Arial"/>
          <w:sz w:val="24"/>
          <w:szCs w:val="24"/>
        </w:rPr>
        <w:t xml:space="preserve">large sum of public money amounting to </w:t>
      </w:r>
      <w:r w:rsidR="00E5675B">
        <w:rPr>
          <w:rFonts w:ascii="Arial" w:hAnsi="Arial" w:cs="Arial"/>
          <w:sz w:val="24"/>
          <w:szCs w:val="24"/>
        </w:rPr>
        <w:t>over $1</w:t>
      </w:r>
      <w:r>
        <w:rPr>
          <w:rFonts w:ascii="Arial" w:hAnsi="Arial" w:cs="Arial"/>
          <w:sz w:val="24"/>
          <w:szCs w:val="24"/>
        </w:rPr>
        <w:t xml:space="preserve"> </w:t>
      </w:r>
      <w:r w:rsidR="00975554">
        <w:rPr>
          <w:rFonts w:ascii="Arial" w:hAnsi="Arial" w:cs="Arial"/>
          <w:sz w:val="24"/>
          <w:szCs w:val="24"/>
        </w:rPr>
        <w:t>billion</w:t>
      </w:r>
      <w:r>
        <w:rPr>
          <w:rFonts w:ascii="Arial" w:hAnsi="Arial" w:cs="Arial"/>
          <w:sz w:val="24"/>
          <w:szCs w:val="24"/>
        </w:rPr>
        <w:t xml:space="preserve"> has been misallocated for an uneconomic and incompetent project. It should </w:t>
      </w:r>
      <w:r w:rsidR="003A23FE">
        <w:rPr>
          <w:rFonts w:ascii="Arial" w:hAnsi="Arial" w:cs="Arial"/>
          <w:sz w:val="24"/>
          <w:szCs w:val="24"/>
        </w:rPr>
        <w:t xml:space="preserve">also </w:t>
      </w:r>
      <w:r>
        <w:rPr>
          <w:rFonts w:ascii="Arial" w:hAnsi="Arial" w:cs="Arial"/>
          <w:sz w:val="24"/>
          <w:szCs w:val="24"/>
        </w:rPr>
        <w:t xml:space="preserve">be placed on record that </w:t>
      </w:r>
      <w:r w:rsidR="003A23FE">
        <w:rPr>
          <w:rFonts w:ascii="Arial" w:hAnsi="Arial" w:cs="Arial"/>
          <w:sz w:val="24"/>
          <w:szCs w:val="24"/>
        </w:rPr>
        <w:t xml:space="preserve">the construction contract was awarded to </w:t>
      </w:r>
      <w:proofErr w:type="spellStart"/>
      <w:r w:rsidR="003A23FE">
        <w:rPr>
          <w:rFonts w:ascii="Arial" w:hAnsi="Arial" w:cs="Arial"/>
          <w:sz w:val="24"/>
          <w:szCs w:val="24"/>
        </w:rPr>
        <w:t>Leightons</w:t>
      </w:r>
      <w:proofErr w:type="spellEnd"/>
      <w:r w:rsidR="003A23FE">
        <w:rPr>
          <w:rFonts w:ascii="Arial" w:hAnsi="Arial" w:cs="Arial"/>
          <w:sz w:val="24"/>
          <w:szCs w:val="24"/>
        </w:rPr>
        <w:t xml:space="preserve"> before development consent was granted.</w:t>
      </w:r>
    </w:p>
    <w:p w:rsidR="00D32CB8" w:rsidRDefault="00975554" w:rsidP="00D32CB8">
      <w:pPr>
        <w:ind w:left="1134"/>
        <w:rPr>
          <w:rFonts w:ascii="Arial" w:hAnsi="Arial" w:cs="Arial"/>
          <w:sz w:val="24"/>
          <w:szCs w:val="24"/>
        </w:rPr>
      </w:pPr>
      <w:r>
        <w:rPr>
          <w:rFonts w:ascii="Arial" w:hAnsi="Arial" w:cs="Arial"/>
          <w:sz w:val="24"/>
          <w:szCs w:val="24"/>
        </w:rPr>
        <w:t>The case</w:t>
      </w:r>
      <w:r w:rsidR="003A23FE">
        <w:rPr>
          <w:rFonts w:ascii="Arial" w:hAnsi="Arial" w:cs="Arial"/>
          <w:sz w:val="24"/>
          <w:szCs w:val="24"/>
        </w:rPr>
        <w:t xml:space="preserve"> emphasises the need for </w:t>
      </w:r>
      <w:r w:rsidR="00396DCF">
        <w:rPr>
          <w:rFonts w:ascii="Arial" w:hAnsi="Arial" w:cs="Arial"/>
          <w:sz w:val="24"/>
          <w:szCs w:val="24"/>
        </w:rPr>
        <w:t xml:space="preserve">serious </w:t>
      </w:r>
      <w:r w:rsidR="003A23FE">
        <w:rPr>
          <w:rFonts w:ascii="Arial" w:hAnsi="Arial" w:cs="Arial"/>
          <w:sz w:val="24"/>
          <w:szCs w:val="24"/>
        </w:rPr>
        <w:t xml:space="preserve">attention to probity issues as raised by the Productivity Commission in its recent Draft Report (2013). The author believes that the matter is serious enough to warrant the introduction of an </w:t>
      </w:r>
      <w:r w:rsidR="003A23FE" w:rsidRPr="00B14742">
        <w:rPr>
          <w:rFonts w:ascii="Arial" w:hAnsi="Arial" w:cs="Arial"/>
          <w:sz w:val="24"/>
          <w:szCs w:val="24"/>
          <w:u w:val="single"/>
        </w:rPr>
        <w:t>Infrastructure Act</w:t>
      </w:r>
      <w:r w:rsidR="003A23FE">
        <w:rPr>
          <w:rFonts w:ascii="Arial" w:hAnsi="Arial" w:cs="Arial"/>
          <w:sz w:val="24"/>
          <w:szCs w:val="24"/>
        </w:rPr>
        <w:t xml:space="preserve"> with penal provisions. </w:t>
      </w:r>
      <w:r w:rsidR="00D32CB8">
        <w:rPr>
          <w:rFonts w:ascii="Arial" w:hAnsi="Arial" w:cs="Arial"/>
          <w:sz w:val="24"/>
          <w:szCs w:val="24"/>
        </w:rPr>
        <w:t xml:space="preserve"> </w:t>
      </w:r>
      <w:r w:rsidR="00E5675B">
        <w:rPr>
          <w:rFonts w:ascii="Arial" w:hAnsi="Arial" w:cs="Arial"/>
          <w:sz w:val="24"/>
          <w:szCs w:val="24"/>
        </w:rPr>
        <w:t xml:space="preserve">Such an Act would have the effect of </w:t>
      </w:r>
      <w:r>
        <w:rPr>
          <w:rFonts w:ascii="Arial" w:hAnsi="Arial" w:cs="Arial"/>
          <w:sz w:val="24"/>
          <w:szCs w:val="24"/>
        </w:rPr>
        <w:t>removing the</w:t>
      </w:r>
      <w:r w:rsidR="00E5675B">
        <w:rPr>
          <w:rFonts w:ascii="Arial" w:hAnsi="Arial" w:cs="Arial"/>
          <w:sz w:val="24"/>
          <w:szCs w:val="24"/>
        </w:rPr>
        <w:t xml:space="preserve"> consent authority for large projects involving public money from NSW government departments.</w:t>
      </w:r>
    </w:p>
    <w:p w:rsidR="00E32707" w:rsidRDefault="00E32707" w:rsidP="00877648">
      <w:pPr>
        <w:pStyle w:val="ListParagraph"/>
        <w:ind w:left="1134"/>
        <w:rPr>
          <w:rFonts w:ascii="Arial" w:hAnsi="Arial" w:cs="Arial"/>
          <w:sz w:val="24"/>
          <w:szCs w:val="24"/>
        </w:rPr>
      </w:pPr>
    </w:p>
    <w:p w:rsidR="00543468" w:rsidRDefault="00543468" w:rsidP="00877648">
      <w:pPr>
        <w:pStyle w:val="ListParagraph"/>
        <w:ind w:left="1134" w:firstLine="567"/>
        <w:rPr>
          <w:rFonts w:ascii="Arial" w:hAnsi="Arial" w:cs="Arial"/>
          <w:sz w:val="24"/>
          <w:szCs w:val="24"/>
        </w:rPr>
      </w:pPr>
    </w:p>
    <w:p w:rsidR="00543468" w:rsidRPr="008E6222" w:rsidRDefault="00543468" w:rsidP="000E250F">
      <w:pPr>
        <w:pStyle w:val="ListParagraph"/>
        <w:numPr>
          <w:ilvl w:val="1"/>
          <w:numId w:val="17"/>
        </w:numPr>
        <w:ind w:left="1134"/>
        <w:rPr>
          <w:rFonts w:ascii="Arial" w:hAnsi="Arial" w:cs="Arial"/>
          <w:b/>
          <w:sz w:val="28"/>
          <w:szCs w:val="28"/>
        </w:rPr>
      </w:pPr>
      <w:r w:rsidRPr="008E6222">
        <w:rPr>
          <w:rFonts w:ascii="Arial" w:hAnsi="Arial" w:cs="Arial"/>
          <w:b/>
          <w:sz w:val="28"/>
          <w:szCs w:val="28"/>
        </w:rPr>
        <w:t xml:space="preserve">The widening of the </w:t>
      </w:r>
      <w:proofErr w:type="spellStart"/>
      <w:r w:rsidRPr="008E6222">
        <w:rPr>
          <w:rFonts w:ascii="Arial" w:hAnsi="Arial" w:cs="Arial"/>
          <w:b/>
          <w:sz w:val="28"/>
          <w:szCs w:val="28"/>
        </w:rPr>
        <w:t>M2</w:t>
      </w:r>
      <w:proofErr w:type="spellEnd"/>
      <w:r w:rsidRPr="008E6222">
        <w:rPr>
          <w:rFonts w:ascii="Arial" w:hAnsi="Arial" w:cs="Arial"/>
          <w:b/>
          <w:sz w:val="28"/>
          <w:szCs w:val="28"/>
        </w:rPr>
        <w:t xml:space="preserve"> Motorway</w:t>
      </w:r>
    </w:p>
    <w:p w:rsidR="00543468" w:rsidRDefault="00543468" w:rsidP="00543468">
      <w:pPr>
        <w:pStyle w:val="ListParagraph"/>
        <w:rPr>
          <w:rFonts w:ascii="Arial" w:hAnsi="Arial" w:cs="Arial"/>
          <w:sz w:val="24"/>
          <w:szCs w:val="24"/>
        </w:rPr>
      </w:pPr>
    </w:p>
    <w:p w:rsidR="00543468" w:rsidRDefault="00543468" w:rsidP="00D54A2D">
      <w:pPr>
        <w:pStyle w:val="ListParagraph"/>
        <w:ind w:left="1134"/>
        <w:rPr>
          <w:rFonts w:ascii="Arial" w:hAnsi="Arial" w:cs="Arial"/>
          <w:sz w:val="24"/>
          <w:szCs w:val="24"/>
        </w:rPr>
      </w:pPr>
      <w:r>
        <w:rPr>
          <w:rFonts w:ascii="Arial" w:hAnsi="Arial" w:cs="Arial"/>
          <w:sz w:val="24"/>
          <w:szCs w:val="24"/>
        </w:rPr>
        <w:t>Although this project was a private venture, it is included for two reasons</w:t>
      </w:r>
      <w:r w:rsidR="003A23FE">
        <w:rPr>
          <w:rFonts w:ascii="Arial" w:hAnsi="Arial" w:cs="Arial"/>
          <w:sz w:val="24"/>
          <w:szCs w:val="24"/>
        </w:rPr>
        <w:t>:</w:t>
      </w:r>
    </w:p>
    <w:p w:rsidR="00543468" w:rsidRPr="003A23FE" w:rsidRDefault="003A23FE" w:rsidP="00322A05">
      <w:pPr>
        <w:ind w:left="1701" w:hanging="284"/>
        <w:rPr>
          <w:rFonts w:ascii="Arial" w:hAnsi="Arial" w:cs="Arial"/>
          <w:sz w:val="24"/>
          <w:szCs w:val="24"/>
        </w:rPr>
      </w:pPr>
      <w:r>
        <w:rPr>
          <w:rFonts w:ascii="Arial" w:hAnsi="Arial" w:cs="Arial"/>
          <w:sz w:val="24"/>
          <w:szCs w:val="24"/>
        </w:rPr>
        <w:t>(a)</w:t>
      </w:r>
      <w:r w:rsidR="00543468" w:rsidRPr="003A23FE">
        <w:rPr>
          <w:rFonts w:ascii="Arial" w:hAnsi="Arial" w:cs="Arial"/>
          <w:sz w:val="24"/>
          <w:szCs w:val="24"/>
        </w:rPr>
        <w:t xml:space="preserve">It illustrates the improper approach of the private sector to economic evaluation, because it is aware that a favourable economic outcome </w:t>
      </w:r>
      <w:r w:rsidR="00975554" w:rsidRPr="003A23FE">
        <w:rPr>
          <w:rFonts w:ascii="Arial" w:hAnsi="Arial" w:cs="Arial"/>
          <w:sz w:val="24"/>
          <w:szCs w:val="24"/>
        </w:rPr>
        <w:t>is an</w:t>
      </w:r>
      <w:r w:rsidR="00543468" w:rsidRPr="003A23FE">
        <w:rPr>
          <w:rFonts w:ascii="Arial" w:hAnsi="Arial" w:cs="Arial"/>
          <w:sz w:val="24"/>
          <w:szCs w:val="24"/>
        </w:rPr>
        <w:t xml:space="preserve"> important factor to </w:t>
      </w:r>
      <w:r w:rsidR="00FB206E">
        <w:rPr>
          <w:rFonts w:ascii="Arial" w:hAnsi="Arial" w:cs="Arial"/>
          <w:sz w:val="24"/>
          <w:szCs w:val="24"/>
        </w:rPr>
        <w:t xml:space="preserve">encourage </w:t>
      </w:r>
      <w:r w:rsidR="00543468" w:rsidRPr="003A23FE">
        <w:rPr>
          <w:rFonts w:ascii="Arial" w:hAnsi="Arial" w:cs="Arial"/>
          <w:sz w:val="24"/>
          <w:szCs w:val="24"/>
        </w:rPr>
        <w:t>investment, and to ensure the approval of the NSW Department of Planning and Infrastructure for development consent. This consent must satisfy the provisions of the Environmental P</w:t>
      </w:r>
      <w:r w:rsidR="00E5675B">
        <w:rPr>
          <w:rFonts w:ascii="Arial" w:hAnsi="Arial" w:cs="Arial"/>
          <w:sz w:val="24"/>
          <w:szCs w:val="24"/>
        </w:rPr>
        <w:t>lanning and Assessment Act 1979, b</w:t>
      </w:r>
      <w:r w:rsidR="00543468" w:rsidRPr="003A23FE">
        <w:rPr>
          <w:rFonts w:ascii="Arial" w:hAnsi="Arial" w:cs="Arial"/>
          <w:sz w:val="24"/>
          <w:szCs w:val="24"/>
        </w:rPr>
        <w:t xml:space="preserve">ut as already shown such approval </w:t>
      </w:r>
      <w:r w:rsidR="008E6222" w:rsidRPr="003A23FE">
        <w:rPr>
          <w:rFonts w:ascii="Arial" w:hAnsi="Arial" w:cs="Arial"/>
          <w:sz w:val="24"/>
          <w:szCs w:val="24"/>
        </w:rPr>
        <w:t xml:space="preserve">is likely to be </w:t>
      </w:r>
      <w:r w:rsidR="00543468" w:rsidRPr="003A23FE">
        <w:rPr>
          <w:rFonts w:ascii="Arial" w:hAnsi="Arial" w:cs="Arial"/>
          <w:sz w:val="24"/>
          <w:szCs w:val="24"/>
        </w:rPr>
        <w:t>given irrespective of the outcome of any economic assessment.</w:t>
      </w:r>
    </w:p>
    <w:p w:rsidR="00CA7F98" w:rsidRDefault="00D41E79" w:rsidP="000A71DF">
      <w:pPr>
        <w:ind w:left="1701" w:hanging="284"/>
        <w:rPr>
          <w:rFonts w:ascii="Arial" w:hAnsi="Arial" w:cs="Arial"/>
          <w:sz w:val="24"/>
          <w:szCs w:val="24"/>
        </w:rPr>
      </w:pPr>
      <w:r>
        <w:rPr>
          <w:rFonts w:ascii="Arial" w:hAnsi="Arial" w:cs="Arial"/>
          <w:sz w:val="24"/>
          <w:szCs w:val="24"/>
        </w:rPr>
        <w:t>(b)</w:t>
      </w:r>
      <w:r w:rsidR="007418D1">
        <w:rPr>
          <w:rFonts w:ascii="Arial" w:hAnsi="Arial" w:cs="Arial"/>
          <w:sz w:val="24"/>
          <w:szCs w:val="24"/>
        </w:rPr>
        <w:t xml:space="preserve"> It illustrates the finding (Goldberg, 2010) that </w:t>
      </w:r>
      <w:r w:rsidR="00396DCF">
        <w:rPr>
          <w:rFonts w:ascii="Arial" w:hAnsi="Arial" w:cs="Arial"/>
          <w:sz w:val="24"/>
          <w:szCs w:val="24"/>
        </w:rPr>
        <w:t>a relatively large expansion</w:t>
      </w:r>
      <w:r w:rsidR="00543468" w:rsidRPr="00D41E79">
        <w:rPr>
          <w:rFonts w:ascii="Arial" w:hAnsi="Arial" w:cs="Arial"/>
          <w:sz w:val="24"/>
          <w:szCs w:val="24"/>
        </w:rPr>
        <w:t xml:space="preserve"> of existing infrastructure</w:t>
      </w:r>
      <w:r w:rsidR="007418D1">
        <w:rPr>
          <w:rFonts w:ascii="Arial" w:hAnsi="Arial" w:cs="Arial"/>
          <w:sz w:val="24"/>
          <w:szCs w:val="24"/>
        </w:rPr>
        <w:t>, in this case 50%,</w:t>
      </w:r>
      <w:r w:rsidR="00543468" w:rsidRPr="00D41E79">
        <w:rPr>
          <w:rFonts w:ascii="Arial" w:hAnsi="Arial" w:cs="Arial"/>
          <w:sz w:val="24"/>
          <w:szCs w:val="24"/>
        </w:rPr>
        <w:t xml:space="preserve"> do</w:t>
      </w:r>
      <w:r w:rsidR="00396DCF">
        <w:rPr>
          <w:rFonts w:ascii="Arial" w:hAnsi="Arial" w:cs="Arial"/>
          <w:sz w:val="24"/>
          <w:szCs w:val="24"/>
        </w:rPr>
        <w:t>es</w:t>
      </w:r>
      <w:r w:rsidR="00543468" w:rsidRPr="00D41E79">
        <w:rPr>
          <w:rFonts w:ascii="Arial" w:hAnsi="Arial" w:cs="Arial"/>
          <w:sz w:val="24"/>
          <w:szCs w:val="24"/>
        </w:rPr>
        <w:t xml:space="preserve"> not result in a proportional increase in </w:t>
      </w:r>
      <w:r w:rsidR="00975554" w:rsidRPr="00D41E79">
        <w:rPr>
          <w:rFonts w:ascii="Arial" w:hAnsi="Arial" w:cs="Arial"/>
          <w:sz w:val="24"/>
          <w:szCs w:val="24"/>
        </w:rPr>
        <w:t>benefits.</w:t>
      </w:r>
      <w:r w:rsidR="00975554">
        <w:rPr>
          <w:rFonts w:ascii="Arial" w:hAnsi="Arial" w:cs="Arial"/>
          <w:sz w:val="24"/>
          <w:szCs w:val="24"/>
        </w:rPr>
        <w:t xml:space="preserve"> </w:t>
      </w:r>
      <w:r w:rsidR="00B65E55">
        <w:rPr>
          <w:rFonts w:ascii="Arial" w:hAnsi="Arial" w:cs="Arial"/>
          <w:sz w:val="24"/>
          <w:szCs w:val="24"/>
        </w:rPr>
        <w:t xml:space="preserve">This result has already been shown to have relevance for the </w:t>
      </w:r>
      <w:proofErr w:type="spellStart"/>
      <w:r w:rsidR="00B65E55">
        <w:rPr>
          <w:rFonts w:ascii="Arial" w:hAnsi="Arial" w:cs="Arial"/>
          <w:sz w:val="24"/>
          <w:szCs w:val="24"/>
        </w:rPr>
        <w:t>NSFC</w:t>
      </w:r>
      <w:proofErr w:type="spellEnd"/>
      <w:r w:rsidR="00B65E55">
        <w:rPr>
          <w:rFonts w:ascii="Arial" w:hAnsi="Arial" w:cs="Arial"/>
          <w:sz w:val="24"/>
          <w:szCs w:val="24"/>
        </w:rPr>
        <w:t xml:space="preserve"> rail project and for other proposed road projects such as </w:t>
      </w:r>
      <w:proofErr w:type="spellStart"/>
      <w:r w:rsidR="00B65E55">
        <w:rPr>
          <w:rFonts w:ascii="Arial" w:hAnsi="Arial" w:cs="Arial"/>
          <w:sz w:val="24"/>
          <w:szCs w:val="24"/>
        </w:rPr>
        <w:t>WestConnex</w:t>
      </w:r>
      <w:proofErr w:type="spellEnd"/>
      <w:r w:rsidR="00B65E55">
        <w:rPr>
          <w:rFonts w:ascii="Arial" w:hAnsi="Arial" w:cs="Arial"/>
          <w:sz w:val="24"/>
          <w:szCs w:val="24"/>
        </w:rPr>
        <w:t xml:space="preserve"> discussed below. This study also showed the importance of taking account of uncertainties in all key variables, not only the discount rate </w:t>
      </w:r>
    </w:p>
    <w:p w:rsidR="00CA7F98" w:rsidRDefault="00CA7F98" w:rsidP="00322A05">
      <w:pPr>
        <w:ind w:left="1701" w:hanging="284"/>
        <w:rPr>
          <w:rFonts w:ascii="Arial" w:hAnsi="Arial" w:cs="Arial"/>
          <w:sz w:val="24"/>
          <w:szCs w:val="24"/>
        </w:rPr>
      </w:pPr>
    </w:p>
    <w:p w:rsidR="00543468" w:rsidRDefault="00543468" w:rsidP="00D54A2D">
      <w:pPr>
        <w:pStyle w:val="ListParagraph"/>
        <w:ind w:left="1560"/>
        <w:rPr>
          <w:rFonts w:ascii="Arial" w:hAnsi="Arial" w:cs="Arial"/>
          <w:sz w:val="24"/>
          <w:szCs w:val="24"/>
        </w:rPr>
      </w:pPr>
    </w:p>
    <w:p w:rsidR="00543468" w:rsidRPr="00EB14C3" w:rsidRDefault="00EB14C3" w:rsidP="00EB14C3">
      <w:pPr>
        <w:tabs>
          <w:tab w:val="left" w:pos="1701"/>
        </w:tabs>
        <w:ind w:left="993"/>
        <w:rPr>
          <w:rFonts w:ascii="Arial" w:hAnsi="Arial" w:cs="Arial"/>
          <w:b/>
          <w:sz w:val="24"/>
          <w:szCs w:val="24"/>
        </w:rPr>
      </w:pPr>
      <w:r>
        <w:rPr>
          <w:rFonts w:ascii="Arial" w:hAnsi="Arial" w:cs="Arial"/>
          <w:b/>
          <w:sz w:val="24"/>
          <w:szCs w:val="24"/>
        </w:rPr>
        <w:t xml:space="preserve">1.2.1 </w:t>
      </w:r>
      <w:r w:rsidR="008E6222" w:rsidRPr="00EB14C3">
        <w:rPr>
          <w:rFonts w:ascii="Arial" w:hAnsi="Arial" w:cs="Arial"/>
          <w:b/>
          <w:sz w:val="24"/>
          <w:szCs w:val="24"/>
        </w:rPr>
        <w:t xml:space="preserve">The </w:t>
      </w:r>
      <w:proofErr w:type="spellStart"/>
      <w:r w:rsidR="00543468" w:rsidRPr="00EB14C3">
        <w:rPr>
          <w:rFonts w:ascii="Arial" w:hAnsi="Arial" w:cs="Arial"/>
          <w:b/>
          <w:sz w:val="24"/>
          <w:szCs w:val="24"/>
        </w:rPr>
        <w:t>Transurban</w:t>
      </w:r>
      <w:proofErr w:type="spellEnd"/>
      <w:r w:rsidR="00543468" w:rsidRPr="00EB14C3">
        <w:rPr>
          <w:rFonts w:ascii="Arial" w:hAnsi="Arial" w:cs="Arial"/>
          <w:b/>
          <w:sz w:val="24"/>
          <w:szCs w:val="24"/>
        </w:rPr>
        <w:t xml:space="preserve"> economic analysis for the </w:t>
      </w:r>
      <w:proofErr w:type="spellStart"/>
      <w:r w:rsidR="00543468" w:rsidRPr="00EB14C3">
        <w:rPr>
          <w:rFonts w:ascii="Arial" w:hAnsi="Arial" w:cs="Arial"/>
          <w:b/>
          <w:sz w:val="24"/>
          <w:szCs w:val="24"/>
        </w:rPr>
        <w:t>M2</w:t>
      </w:r>
      <w:proofErr w:type="spellEnd"/>
      <w:r w:rsidR="00543468" w:rsidRPr="00EB14C3">
        <w:rPr>
          <w:rFonts w:ascii="Arial" w:hAnsi="Arial" w:cs="Arial"/>
          <w:b/>
          <w:sz w:val="24"/>
          <w:szCs w:val="24"/>
        </w:rPr>
        <w:t xml:space="preserve"> upgrade</w:t>
      </w:r>
    </w:p>
    <w:p w:rsidR="00543468" w:rsidRPr="001954D4" w:rsidRDefault="00543468" w:rsidP="00D54A2D">
      <w:pPr>
        <w:ind w:left="1701"/>
        <w:rPr>
          <w:rFonts w:ascii="Arial" w:hAnsi="Arial" w:cs="Arial"/>
          <w:sz w:val="24"/>
          <w:szCs w:val="24"/>
        </w:rPr>
      </w:pPr>
      <w:r w:rsidRPr="001954D4">
        <w:rPr>
          <w:rFonts w:ascii="Arial" w:hAnsi="Arial" w:cs="Arial"/>
          <w:sz w:val="24"/>
          <w:szCs w:val="24"/>
        </w:rPr>
        <w:t>The cost benefit analysis (</w:t>
      </w:r>
      <w:proofErr w:type="spellStart"/>
      <w:r w:rsidRPr="001954D4">
        <w:rPr>
          <w:rFonts w:ascii="Arial" w:hAnsi="Arial" w:cs="Arial"/>
          <w:sz w:val="24"/>
          <w:szCs w:val="24"/>
        </w:rPr>
        <w:t>CBA</w:t>
      </w:r>
      <w:proofErr w:type="spellEnd"/>
      <w:r w:rsidRPr="001954D4">
        <w:rPr>
          <w:rFonts w:ascii="Arial" w:hAnsi="Arial" w:cs="Arial"/>
          <w:sz w:val="24"/>
          <w:szCs w:val="24"/>
        </w:rPr>
        <w:t xml:space="preserve">) for the </w:t>
      </w:r>
      <w:proofErr w:type="spellStart"/>
      <w:r w:rsidRPr="001954D4">
        <w:rPr>
          <w:rFonts w:ascii="Arial" w:hAnsi="Arial" w:cs="Arial"/>
          <w:sz w:val="24"/>
          <w:szCs w:val="24"/>
        </w:rPr>
        <w:t>M2</w:t>
      </w:r>
      <w:proofErr w:type="spellEnd"/>
      <w:r w:rsidRPr="001954D4">
        <w:rPr>
          <w:rFonts w:ascii="Arial" w:hAnsi="Arial" w:cs="Arial"/>
          <w:sz w:val="24"/>
          <w:szCs w:val="24"/>
        </w:rPr>
        <w:t xml:space="preserve"> upgrade was prepared by </w:t>
      </w:r>
      <w:proofErr w:type="spellStart"/>
      <w:r w:rsidR="00975554" w:rsidRPr="001954D4">
        <w:rPr>
          <w:rFonts w:ascii="Arial" w:hAnsi="Arial" w:cs="Arial"/>
          <w:sz w:val="24"/>
          <w:szCs w:val="24"/>
        </w:rPr>
        <w:t>Transurban</w:t>
      </w:r>
      <w:proofErr w:type="spellEnd"/>
      <w:r w:rsidR="00975554" w:rsidRPr="001954D4">
        <w:rPr>
          <w:rFonts w:ascii="Arial" w:hAnsi="Arial" w:cs="Arial"/>
          <w:sz w:val="24"/>
          <w:szCs w:val="24"/>
        </w:rPr>
        <w:t xml:space="preserve"> and</w:t>
      </w:r>
      <w:r w:rsidRPr="001954D4">
        <w:rPr>
          <w:rFonts w:ascii="Arial" w:hAnsi="Arial" w:cs="Arial"/>
          <w:sz w:val="24"/>
          <w:szCs w:val="24"/>
        </w:rPr>
        <w:t xml:space="preserve"> is published at Appendix E of the </w:t>
      </w:r>
      <w:proofErr w:type="spellStart"/>
      <w:r w:rsidRPr="001954D4">
        <w:rPr>
          <w:rFonts w:ascii="Arial" w:hAnsi="Arial" w:cs="Arial"/>
          <w:sz w:val="24"/>
          <w:szCs w:val="24"/>
        </w:rPr>
        <w:t>M2</w:t>
      </w:r>
      <w:proofErr w:type="spellEnd"/>
      <w:r w:rsidRPr="001954D4">
        <w:rPr>
          <w:rFonts w:ascii="Arial" w:hAnsi="Arial" w:cs="Arial"/>
          <w:sz w:val="24"/>
          <w:szCs w:val="24"/>
        </w:rPr>
        <w:t xml:space="preserve"> Upgrade </w:t>
      </w:r>
      <w:proofErr w:type="spellStart"/>
      <w:r w:rsidRPr="001954D4">
        <w:rPr>
          <w:rFonts w:ascii="Arial" w:hAnsi="Arial" w:cs="Arial"/>
          <w:sz w:val="24"/>
          <w:szCs w:val="24"/>
        </w:rPr>
        <w:t>EIS</w:t>
      </w:r>
      <w:proofErr w:type="spellEnd"/>
      <w:r w:rsidR="00567542">
        <w:rPr>
          <w:rFonts w:ascii="Arial" w:hAnsi="Arial" w:cs="Arial"/>
          <w:sz w:val="24"/>
          <w:szCs w:val="24"/>
        </w:rPr>
        <w:t xml:space="preserve">. (Hills </w:t>
      </w:r>
      <w:proofErr w:type="spellStart"/>
      <w:r w:rsidR="00567542">
        <w:rPr>
          <w:rFonts w:ascii="Arial" w:hAnsi="Arial" w:cs="Arial"/>
          <w:sz w:val="24"/>
          <w:szCs w:val="24"/>
        </w:rPr>
        <w:t>M2</w:t>
      </w:r>
      <w:proofErr w:type="spellEnd"/>
      <w:r w:rsidR="00567542">
        <w:rPr>
          <w:rFonts w:ascii="Arial" w:hAnsi="Arial" w:cs="Arial"/>
          <w:sz w:val="24"/>
          <w:szCs w:val="24"/>
        </w:rPr>
        <w:t>, 2010)</w:t>
      </w:r>
      <w:r w:rsidRPr="001954D4">
        <w:rPr>
          <w:rFonts w:ascii="Arial" w:hAnsi="Arial" w:cs="Arial"/>
          <w:sz w:val="24"/>
          <w:szCs w:val="24"/>
        </w:rPr>
        <w:t xml:space="preserve"> </w:t>
      </w:r>
    </w:p>
    <w:p w:rsidR="00543468" w:rsidRPr="001954D4" w:rsidRDefault="00543468" w:rsidP="00D54A2D">
      <w:pPr>
        <w:ind w:left="1701"/>
        <w:rPr>
          <w:rFonts w:ascii="Arial" w:hAnsi="Arial" w:cs="Arial"/>
          <w:sz w:val="24"/>
          <w:szCs w:val="24"/>
        </w:rPr>
      </w:pPr>
      <w:r w:rsidRPr="001954D4">
        <w:rPr>
          <w:rFonts w:ascii="Arial" w:hAnsi="Arial" w:cs="Arial"/>
          <w:sz w:val="24"/>
          <w:szCs w:val="24"/>
        </w:rPr>
        <w:t xml:space="preserve">The results of </w:t>
      </w:r>
      <w:r w:rsidR="00D41E79">
        <w:rPr>
          <w:rFonts w:ascii="Arial" w:hAnsi="Arial" w:cs="Arial"/>
          <w:sz w:val="24"/>
          <w:szCs w:val="24"/>
        </w:rPr>
        <w:t xml:space="preserve">the </w:t>
      </w:r>
      <w:r w:rsidRPr="001954D4">
        <w:rPr>
          <w:rFonts w:ascii="Arial" w:hAnsi="Arial" w:cs="Arial"/>
          <w:sz w:val="24"/>
          <w:szCs w:val="24"/>
        </w:rPr>
        <w:t>author’s peer reviewed analysis</w:t>
      </w:r>
      <w:r w:rsidR="00941D4E">
        <w:rPr>
          <w:rFonts w:ascii="Arial" w:hAnsi="Arial" w:cs="Arial"/>
          <w:sz w:val="24"/>
          <w:szCs w:val="24"/>
        </w:rPr>
        <w:t xml:space="preserve"> (Goldberg, 2010</w:t>
      </w:r>
      <w:r w:rsidR="00975554">
        <w:rPr>
          <w:rFonts w:ascii="Arial" w:hAnsi="Arial" w:cs="Arial"/>
          <w:sz w:val="24"/>
          <w:szCs w:val="24"/>
        </w:rPr>
        <w:t>)</w:t>
      </w:r>
      <w:r w:rsidR="00975554" w:rsidRPr="001954D4">
        <w:rPr>
          <w:rFonts w:ascii="Arial" w:hAnsi="Arial" w:cs="Arial"/>
          <w:sz w:val="24"/>
          <w:szCs w:val="24"/>
        </w:rPr>
        <w:t xml:space="preserve"> cannot</w:t>
      </w:r>
      <w:r w:rsidRPr="001954D4">
        <w:rPr>
          <w:rFonts w:ascii="Arial" w:hAnsi="Arial" w:cs="Arial"/>
          <w:sz w:val="24"/>
          <w:szCs w:val="24"/>
        </w:rPr>
        <w:t xml:space="preserve"> be reconciled with the </w:t>
      </w:r>
      <w:proofErr w:type="spellStart"/>
      <w:r w:rsidRPr="001954D4">
        <w:rPr>
          <w:rFonts w:ascii="Arial" w:hAnsi="Arial" w:cs="Arial"/>
          <w:sz w:val="24"/>
          <w:szCs w:val="24"/>
        </w:rPr>
        <w:t>Transurban</w:t>
      </w:r>
      <w:proofErr w:type="spellEnd"/>
      <w:r w:rsidRPr="001954D4">
        <w:rPr>
          <w:rFonts w:ascii="Arial" w:hAnsi="Arial" w:cs="Arial"/>
          <w:sz w:val="24"/>
          <w:szCs w:val="24"/>
        </w:rPr>
        <w:t xml:space="preserve"> result. The detailed reasons for the very large </w:t>
      </w:r>
      <w:r w:rsidR="00B65E55" w:rsidRPr="001954D4">
        <w:rPr>
          <w:rFonts w:ascii="Arial" w:hAnsi="Arial" w:cs="Arial"/>
          <w:sz w:val="24"/>
          <w:szCs w:val="24"/>
        </w:rPr>
        <w:t>discrepancy</w:t>
      </w:r>
      <w:r w:rsidR="00B65E55">
        <w:rPr>
          <w:rFonts w:ascii="Arial" w:hAnsi="Arial" w:cs="Arial"/>
          <w:sz w:val="24"/>
          <w:szCs w:val="24"/>
        </w:rPr>
        <w:t xml:space="preserve"> [</w:t>
      </w:r>
      <w:proofErr w:type="spellStart"/>
      <w:r w:rsidR="00B65E55">
        <w:rPr>
          <w:rFonts w:ascii="Arial" w:hAnsi="Arial" w:cs="Arial"/>
          <w:sz w:val="24"/>
          <w:szCs w:val="24"/>
        </w:rPr>
        <w:t>BCR</w:t>
      </w:r>
      <w:proofErr w:type="spellEnd"/>
      <w:r w:rsidR="007418D1">
        <w:rPr>
          <w:rFonts w:ascii="Arial" w:hAnsi="Arial" w:cs="Arial"/>
          <w:sz w:val="24"/>
          <w:szCs w:val="24"/>
        </w:rPr>
        <w:t xml:space="preserve"> = 0.27 (Goldberg)] as against [</w:t>
      </w:r>
      <w:proofErr w:type="spellStart"/>
      <w:r w:rsidR="007418D1">
        <w:rPr>
          <w:rFonts w:ascii="Arial" w:hAnsi="Arial" w:cs="Arial"/>
          <w:sz w:val="24"/>
          <w:szCs w:val="24"/>
        </w:rPr>
        <w:t>BCR</w:t>
      </w:r>
      <w:proofErr w:type="spellEnd"/>
      <w:r w:rsidR="007418D1">
        <w:rPr>
          <w:rFonts w:ascii="Arial" w:hAnsi="Arial" w:cs="Arial"/>
          <w:sz w:val="24"/>
          <w:szCs w:val="24"/>
        </w:rPr>
        <w:t xml:space="preserve"> = 3.4(</w:t>
      </w:r>
      <w:proofErr w:type="spellStart"/>
      <w:r w:rsidR="007418D1">
        <w:rPr>
          <w:rFonts w:ascii="Arial" w:hAnsi="Arial" w:cs="Arial"/>
          <w:sz w:val="24"/>
          <w:szCs w:val="24"/>
        </w:rPr>
        <w:t>Transurban</w:t>
      </w:r>
      <w:proofErr w:type="spellEnd"/>
      <w:r w:rsidR="007418D1">
        <w:rPr>
          <w:rFonts w:ascii="Arial" w:hAnsi="Arial" w:cs="Arial"/>
          <w:sz w:val="24"/>
          <w:szCs w:val="24"/>
        </w:rPr>
        <w:t>)</w:t>
      </w:r>
      <w:r w:rsidR="00B65E55">
        <w:rPr>
          <w:rFonts w:ascii="Arial" w:hAnsi="Arial" w:cs="Arial"/>
          <w:sz w:val="24"/>
          <w:szCs w:val="24"/>
        </w:rPr>
        <w:t xml:space="preserve">] </w:t>
      </w:r>
      <w:r w:rsidR="00B65E55" w:rsidRPr="001954D4">
        <w:rPr>
          <w:rFonts w:ascii="Arial" w:hAnsi="Arial" w:cs="Arial"/>
          <w:sz w:val="24"/>
          <w:szCs w:val="24"/>
        </w:rPr>
        <w:t>have</w:t>
      </w:r>
      <w:r w:rsidRPr="001954D4">
        <w:rPr>
          <w:rFonts w:ascii="Arial" w:hAnsi="Arial" w:cs="Arial"/>
          <w:sz w:val="24"/>
          <w:szCs w:val="24"/>
        </w:rPr>
        <w:t xml:space="preserve"> now been analysed </w:t>
      </w:r>
      <w:r w:rsidR="007418D1">
        <w:rPr>
          <w:rFonts w:ascii="Arial" w:hAnsi="Arial" w:cs="Arial"/>
          <w:sz w:val="24"/>
          <w:szCs w:val="24"/>
        </w:rPr>
        <w:t xml:space="preserve">in detail </w:t>
      </w:r>
      <w:r w:rsidRPr="001954D4">
        <w:rPr>
          <w:rFonts w:ascii="Arial" w:hAnsi="Arial" w:cs="Arial"/>
          <w:sz w:val="24"/>
          <w:szCs w:val="24"/>
        </w:rPr>
        <w:t xml:space="preserve">and reveal a systematic attempt by </w:t>
      </w:r>
      <w:proofErr w:type="spellStart"/>
      <w:r w:rsidRPr="001954D4">
        <w:rPr>
          <w:rFonts w:ascii="Arial" w:hAnsi="Arial" w:cs="Arial"/>
          <w:sz w:val="24"/>
          <w:szCs w:val="24"/>
        </w:rPr>
        <w:t>Transurban</w:t>
      </w:r>
      <w:proofErr w:type="spellEnd"/>
      <w:r w:rsidRPr="001954D4">
        <w:rPr>
          <w:rFonts w:ascii="Arial" w:hAnsi="Arial" w:cs="Arial"/>
          <w:sz w:val="24"/>
          <w:szCs w:val="24"/>
        </w:rPr>
        <w:t xml:space="preserve"> to incrementally misrepresent </w:t>
      </w:r>
      <w:r>
        <w:rPr>
          <w:rFonts w:ascii="Arial" w:hAnsi="Arial" w:cs="Arial"/>
          <w:sz w:val="24"/>
          <w:szCs w:val="24"/>
        </w:rPr>
        <w:t xml:space="preserve">all </w:t>
      </w:r>
      <w:r w:rsidRPr="001954D4">
        <w:rPr>
          <w:rFonts w:ascii="Arial" w:hAnsi="Arial" w:cs="Arial"/>
          <w:sz w:val="24"/>
          <w:szCs w:val="24"/>
        </w:rPr>
        <w:t xml:space="preserve">key numerical factors in the analysis. In legal terms such misrepresentation could be termed “innocent”, but the overall intention is </w:t>
      </w:r>
      <w:proofErr w:type="spellStart"/>
      <w:r w:rsidRPr="001954D4">
        <w:rPr>
          <w:rFonts w:ascii="Arial" w:hAnsi="Arial" w:cs="Arial"/>
          <w:sz w:val="24"/>
          <w:szCs w:val="24"/>
        </w:rPr>
        <w:t>unmistakeable</w:t>
      </w:r>
      <w:proofErr w:type="spellEnd"/>
      <w:r w:rsidRPr="001954D4">
        <w:rPr>
          <w:rFonts w:ascii="Arial" w:hAnsi="Arial" w:cs="Arial"/>
          <w:sz w:val="24"/>
          <w:szCs w:val="24"/>
        </w:rPr>
        <w:t xml:space="preserve">. </w:t>
      </w:r>
    </w:p>
    <w:p w:rsidR="00543468" w:rsidRDefault="00543468" w:rsidP="00D54A2D">
      <w:pPr>
        <w:ind w:left="1701"/>
        <w:rPr>
          <w:rFonts w:ascii="Arial" w:hAnsi="Arial" w:cs="Arial"/>
          <w:sz w:val="24"/>
          <w:szCs w:val="24"/>
        </w:rPr>
      </w:pPr>
      <w:r w:rsidRPr="001954D4">
        <w:rPr>
          <w:rFonts w:ascii="Arial" w:hAnsi="Arial" w:cs="Arial"/>
          <w:sz w:val="24"/>
          <w:szCs w:val="24"/>
        </w:rPr>
        <w:t xml:space="preserve">The results of the two analyses are tabulated in Table 1 below. The results of the author’s analysis and its uncertainties are qualified statistically. </w:t>
      </w:r>
      <w:proofErr w:type="spellStart"/>
      <w:r w:rsidRPr="001954D4">
        <w:rPr>
          <w:rFonts w:ascii="Arial" w:hAnsi="Arial" w:cs="Arial"/>
          <w:sz w:val="24"/>
          <w:szCs w:val="24"/>
        </w:rPr>
        <w:t>Transurban’s</w:t>
      </w:r>
      <w:proofErr w:type="spellEnd"/>
      <w:r w:rsidRPr="001954D4">
        <w:rPr>
          <w:rFonts w:ascii="Arial" w:hAnsi="Arial" w:cs="Arial"/>
          <w:sz w:val="24"/>
          <w:szCs w:val="24"/>
        </w:rPr>
        <w:t xml:space="preserve"> unqualified results are giv</w:t>
      </w:r>
      <w:r w:rsidR="00B90435">
        <w:rPr>
          <w:rFonts w:ascii="Arial" w:hAnsi="Arial" w:cs="Arial"/>
          <w:sz w:val="24"/>
          <w:szCs w:val="24"/>
        </w:rPr>
        <w:t>en as they appear in its Road User Cost Benefit Analysis (</w:t>
      </w:r>
      <w:proofErr w:type="spellStart"/>
      <w:r w:rsidR="00B90435">
        <w:rPr>
          <w:rFonts w:ascii="Arial" w:hAnsi="Arial" w:cs="Arial"/>
          <w:sz w:val="24"/>
          <w:szCs w:val="24"/>
        </w:rPr>
        <w:t>RUCBA</w:t>
      </w:r>
      <w:proofErr w:type="spellEnd"/>
      <w:r w:rsidR="00B90435">
        <w:rPr>
          <w:rFonts w:ascii="Arial" w:hAnsi="Arial" w:cs="Arial"/>
          <w:sz w:val="24"/>
          <w:szCs w:val="24"/>
        </w:rPr>
        <w:t>)</w:t>
      </w:r>
      <w:r w:rsidRPr="001954D4">
        <w:rPr>
          <w:rFonts w:ascii="Arial" w:hAnsi="Arial" w:cs="Arial"/>
          <w:sz w:val="24"/>
          <w:szCs w:val="24"/>
        </w:rPr>
        <w:t xml:space="preserve">. The </w:t>
      </w:r>
      <w:r w:rsidR="00B90435">
        <w:rPr>
          <w:rFonts w:ascii="Arial" w:hAnsi="Arial" w:cs="Arial"/>
          <w:sz w:val="24"/>
          <w:szCs w:val="24"/>
        </w:rPr>
        <w:t>d</w:t>
      </w:r>
      <w:r w:rsidRPr="001954D4">
        <w:rPr>
          <w:rFonts w:ascii="Arial" w:hAnsi="Arial" w:cs="Arial"/>
          <w:sz w:val="24"/>
          <w:szCs w:val="24"/>
        </w:rPr>
        <w:t>etailed reasons for the gross differen</w:t>
      </w:r>
      <w:r w:rsidR="00B90435">
        <w:rPr>
          <w:rFonts w:ascii="Arial" w:hAnsi="Arial" w:cs="Arial"/>
          <w:sz w:val="24"/>
          <w:szCs w:val="24"/>
        </w:rPr>
        <w:t xml:space="preserve">ces are given in the notes related to the specified quantities in Table 1. </w:t>
      </w:r>
      <w:r w:rsidRPr="001954D4">
        <w:rPr>
          <w:rFonts w:ascii="Arial" w:hAnsi="Arial" w:cs="Arial"/>
          <w:sz w:val="24"/>
          <w:szCs w:val="24"/>
        </w:rPr>
        <w:t>.</w:t>
      </w:r>
    </w:p>
    <w:p w:rsidR="00D41E79" w:rsidRPr="001954D4" w:rsidRDefault="00D41E79" w:rsidP="00D54A2D">
      <w:pPr>
        <w:ind w:left="1701"/>
        <w:rPr>
          <w:rFonts w:ascii="Arial" w:hAnsi="Arial" w:cs="Arial"/>
          <w:sz w:val="24"/>
          <w:szCs w:val="24"/>
        </w:rPr>
      </w:pPr>
    </w:p>
    <w:p w:rsidR="00543468" w:rsidRPr="00847027" w:rsidRDefault="00543468" w:rsidP="002F3AD5">
      <w:pPr>
        <w:ind w:left="1701" w:hanging="981"/>
        <w:jc w:val="center"/>
        <w:rPr>
          <w:rFonts w:ascii="Arial" w:hAnsi="Arial" w:cs="Arial"/>
          <w:sz w:val="24"/>
          <w:szCs w:val="24"/>
        </w:rPr>
      </w:pPr>
      <w:r w:rsidRPr="00847027">
        <w:rPr>
          <w:rFonts w:ascii="Arial" w:hAnsi="Arial" w:cs="Arial"/>
          <w:b/>
          <w:sz w:val="24"/>
          <w:szCs w:val="24"/>
        </w:rPr>
        <w:t xml:space="preserve">TABLE 1. Comparison of </w:t>
      </w:r>
      <w:proofErr w:type="spellStart"/>
      <w:r w:rsidRPr="00847027">
        <w:rPr>
          <w:rFonts w:ascii="Arial" w:hAnsi="Arial" w:cs="Arial"/>
          <w:b/>
          <w:sz w:val="24"/>
          <w:szCs w:val="24"/>
        </w:rPr>
        <w:t>Transurban’s</w:t>
      </w:r>
      <w:proofErr w:type="spellEnd"/>
      <w:r w:rsidRPr="00847027">
        <w:rPr>
          <w:rFonts w:ascii="Arial" w:hAnsi="Arial" w:cs="Arial"/>
          <w:b/>
          <w:sz w:val="24"/>
          <w:szCs w:val="24"/>
        </w:rPr>
        <w:t xml:space="preserve"> results with those of the author</w:t>
      </w:r>
      <w:r w:rsidRPr="00847027">
        <w:rPr>
          <w:rFonts w:ascii="Arial" w:hAnsi="Arial" w:cs="Arial"/>
          <w:sz w:val="24"/>
          <w:szCs w:val="24"/>
        </w:rPr>
        <w:t>.</w:t>
      </w:r>
    </w:p>
    <w:tbl>
      <w:tblPr>
        <w:tblStyle w:val="TableGrid2"/>
        <w:tblW w:w="0" w:type="auto"/>
        <w:tblInd w:w="817" w:type="dxa"/>
        <w:tblLook w:val="04A0" w:firstRow="1" w:lastRow="0" w:firstColumn="1" w:lastColumn="0" w:noHBand="0" w:noVBand="1"/>
      </w:tblPr>
      <w:tblGrid>
        <w:gridCol w:w="1904"/>
        <w:gridCol w:w="1946"/>
        <w:gridCol w:w="1284"/>
        <w:gridCol w:w="1697"/>
        <w:gridCol w:w="1563"/>
      </w:tblGrid>
      <w:tr w:rsidR="00543468" w:rsidRPr="000D3478" w:rsidTr="00B90435">
        <w:tc>
          <w:tcPr>
            <w:tcW w:w="1598"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Quantity</w:t>
            </w:r>
          </w:p>
        </w:tc>
        <w:tc>
          <w:tcPr>
            <w:tcW w:w="194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Author’s value over 36 years</w:t>
            </w:r>
          </w:p>
          <w:p w:rsidR="00543468" w:rsidRPr="000D3478" w:rsidRDefault="00543468" w:rsidP="00B90435">
            <w:pPr>
              <w:jc w:val="center"/>
              <w:rPr>
                <w:rFonts w:ascii="Arial" w:hAnsi="Arial" w:cs="Arial"/>
                <w:sz w:val="24"/>
                <w:szCs w:val="24"/>
              </w:rPr>
            </w:pPr>
            <w:r w:rsidRPr="000D3478">
              <w:rPr>
                <w:rFonts w:ascii="Arial" w:hAnsi="Arial" w:cs="Arial"/>
                <w:sz w:val="24"/>
                <w:szCs w:val="24"/>
              </w:rPr>
              <w:t xml:space="preserve">(95% </w:t>
            </w:r>
            <w:proofErr w:type="spellStart"/>
            <w:r w:rsidRPr="000D3478">
              <w:rPr>
                <w:rFonts w:ascii="Arial" w:hAnsi="Arial" w:cs="Arial"/>
                <w:sz w:val="24"/>
                <w:szCs w:val="24"/>
              </w:rPr>
              <w:t>fiducial</w:t>
            </w:r>
            <w:proofErr w:type="spellEnd"/>
            <w:r w:rsidRPr="000D3478">
              <w:rPr>
                <w:rFonts w:ascii="Arial" w:hAnsi="Arial" w:cs="Arial"/>
                <w:sz w:val="24"/>
                <w:szCs w:val="24"/>
              </w:rPr>
              <w:t xml:space="preserve"> limits)</w:t>
            </w:r>
          </w:p>
        </w:tc>
        <w:tc>
          <w:tcPr>
            <w:tcW w:w="127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Authors mean value</w:t>
            </w:r>
          </w:p>
        </w:tc>
        <w:tc>
          <w:tcPr>
            <w:tcW w:w="1697" w:type="dxa"/>
          </w:tcPr>
          <w:p w:rsidR="00543468" w:rsidRPr="000D3478" w:rsidRDefault="00543468" w:rsidP="00B90435">
            <w:pPr>
              <w:jc w:val="center"/>
              <w:rPr>
                <w:rFonts w:ascii="Arial" w:hAnsi="Arial" w:cs="Arial"/>
                <w:sz w:val="24"/>
                <w:szCs w:val="24"/>
              </w:rPr>
            </w:pPr>
            <w:proofErr w:type="spellStart"/>
            <w:r w:rsidRPr="000D3478">
              <w:rPr>
                <w:rFonts w:ascii="Arial" w:hAnsi="Arial" w:cs="Arial"/>
                <w:sz w:val="24"/>
                <w:szCs w:val="24"/>
              </w:rPr>
              <w:t>Transurban’s</w:t>
            </w:r>
            <w:proofErr w:type="spellEnd"/>
            <w:r w:rsidRPr="000D3478">
              <w:rPr>
                <w:rFonts w:ascii="Arial" w:hAnsi="Arial" w:cs="Arial"/>
                <w:sz w:val="24"/>
                <w:szCs w:val="24"/>
              </w:rPr>
              <w:t xml:space="preserve"> value (over 30 years)</w:t>
            </w:r>
          </w:p>
        </w:tc>
        <w:tc>
          <w:tcPr>
            <w:tcW w:w="1563"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Notes</w:t>
            </w:r>
          </w:p>
          <w:p w:rsidR="00543468" w:rsidRPr="000D3478" w:rsidRDefault="00543468" w:rsidP="00B90435">
            <w:pPr>
              <w:jc w:val="center"/>
              <w:rPr>
                <w:rFonts w:ascii="Arial" w:hAnsi="Arial" w:cs="Arial"/>
                <w:sz w:val="24"/>
                <w:szCs w:val="24"/>
              </w:rPr>
            </w:pPr>
            <w:r w:rsidRPr="000D3478">
              <w:rPr>
                <w:rFonts w:ascii="Arial" w:hAnsi="Arial" w:cs="Arial"/>
                <w:sz w:val="24"/>
                <w:szCs w:val="24"/>
              </w:rPr>
              <w:t>(see below)</w:t>
            </w:r>
          </w:p>
        </w:tc>
      </w:tr>
      <w:tr w:rsidR="00543468" w:rsidRPr="000D3478" w:rsidTr="00B90435">
        <w:tc>
          <w:tcPr>
            <w:tcW w:w="1598"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Travel time savings</w:t>
            </w:r>
          </w:p>
        </w:tc>
        <w:tc>
          <w:tcPr>
            <w:tcW w:w="194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77.1m</w:t>
            </w:r>
            <w:proofErr w:type="spellEnd"/>
            <w:r w:rsidRPr="000D3478">
              <w:rPr>
                <w:rFonts w:ascii="Arial" w:hAnsi="Arial" w:cs="Arial"/>
                <w:sz w:val="24"/>
                <w:szCs w:val="24"/>
              </w:rPr>
              <w:t xml:space="preserve"> to $</w:t>
            </w:r>
            <w:proofErr w:type="spellStart"/>
            <w:r w:rsidRPr="000D3478">
              <w:rPr>
                <w:rFonts w:ascii="Arial" w:hAnsi="Arial" w:cs="Arial"/>
                <w:sz w:val="24"/>
                <w:szCs w:val="24"/>
              </w:rPr>
              <w:t>299,1m</w:t>
            </w:r>
            <w:proofErr w:type="spellEnd"/>
          </w:p>
        </w:tc>
        <w:tc>
          <w:tcPr>
            <w:tcW w:w="127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188.1m</w:t>
            </w:r>
            <w:proofErr w:type="spellEnd"/>
          </w:p>
        </w:tc>
        <w:tc>
          <w:tcPr>
            <w:tcW w:w="1697"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1609.0m</w:t>
            </w:r>
            <w:proofErr w:type="spellEnd"/>
          </w:p>
        </w:tc>
        <w:tc>
          <w:tcPr>
            <w:tcW w:w="1563"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(1)</w:t>
            </w:r>
          </w:p>
        </w:tc>
      </w:tr>
      <w:tr w:rsidR="00543468" w:rsidRPr="000D3478" w:rsidTr="00B90435">
        <w:tc>
          <w:tcPr>
            <w:tcW w:w="1598"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Savings in accident costs</w:t>
            </w:r>
          </w:p>
        </w:tc>
        <w:tc>
          <w:tcPr>
            <w:tcW w:w="194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0.27m</w:t>
            </w:r>
            <w:proofErr w:type="spellEnd"/>
            <w:r w:rsidRPr="000D3478">
              <w:rPr>
                <w:rFonts w:ascii="Arial" w:hAnsi="Arial" w:cs="Arial"/>
                <w:sz w:val="24"/>
                <w:szCs w:val="24"/>
              </w:rPr>
              <w:t xml:space="preserve"> to $</w:t>
            </w:r>
            <w:proofErr w:type="spellStart"/>
            <w:r w:rsidRPr="000D3478">
              <w:rPr>
                <w:rFonts w:ascii="Arial" w:hAnsi="Arial" w:cs="Arial"/>
                <w:sz w:val="24"/>
                <w:szCs w:val="24"/>
              </w:rPr>
              <w:t>1.05m</w:t>
            </w:r>
            <w:proofErr w:type="spellEnd"/>
          </w:p>
        </w:tc>
        <w:tc>
          <w:tcPr>
            <w:tcW w:w="127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0.65m</w:t>
            </w:r>
            <w:proofErr w:type="spellEnd"/>
          </w:p>
        </w:tc>
        <w:tc>
          <w:tcPr>
            <w:tcW w:w="1697"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33.0m</w:t>
            </w:r>
            <w:proofErr w:type="spellEnd"/>
          </w:p>
        </w:tc>
        <w:tc>
          <w:tcPr>
            <w:tcW w:w="1563"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(2)</w:t>
            </w:r>
          </w:p>
        </w:tc>
      </w:tr>
      <w:tr w:rsidR="00543468" w:rsidRPr="000D3478" w:rsidTr="00B90435">
        <w:tc>
          <w:tcPr>
            <w:tcW w:w="1598"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Savings in vehicle operating costs</w:t>
            </w:r>
          </w:p>
        </w:tc>
        <w:tc>
          <w:tcPr>
            <w:tcW w:w="194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8.36m</w:t>
            </w:r>
            <w:proofErr w:type="spellEnd"/>
            <w:r w:rsidRPr="000D3478">
              <w:rPr>
                <w:rFonts w:ascii="Arial" w:hAnsi="Arial" w:cs="Arial"/>
                <w:sz w:val="24"/>
                <w:szCs w:val="24"/>
              </w:rPr>
              <w:t xml:space="preserve"> to</w:t>
            </w:r>
          </w:p>
          <w:p w:rsidR="00543468" w:rsidRPr="000D3478" w:rsidRDefault="00543468" w:rsidP="00B90435">
            <w:pPr>
              <w:jc w:val="center"/>
              <w:rPr>
                <w:rFonts w:ascii="Arial" w:hAnsi="Arial" w:cs="Arial"/>
                <w:sz w:val="24"/>
                <w:szCs w:val="24"/>
              </w:rPr>
            </w:pPr>
            <w:r w:rsidRPr="000D3478">
              <w:rPr>
                <w:rFonts w:ascii="Arial" w:hAnsi="Arial" w:cs="Arial"/>
                <w:sz w:val="24"/>
                <w:szCs w:val="24"/>
              </w:rPr>
              <w:t xml:space="preserve"> -$</w:t>
            </w:r>
            <w:proofErr w:type="spellStart"/>
            <w:r w:rsidRPr="000D3478">
              <w:rPr>
                <w:rFonts w:ascii="Arial" w:hAnsi="Arial" w:cs="Arial"/>
                <w:sz w:val="24"/>
                <w:szCs w:val="24"/>
              </w:rPr>
              <w:t>69.3m</w:t>
            </w:r>
            <w:proofErr w:type="spellEnd"/>
          </w:p>
        </w:tc>
        <w:tc>
          <w:tcPr>
            <w:tcW w:w="1276"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39.6m</w:t>
            </w:r>
            <w:proofErr w:type="spellEnd"/>
          </w:p>
        </w:tc>
        <w:tc>
          <w:tcPr>
            <w:tcW w:w="1697"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w:t>
            </w:r>
            <w:proofErr w:type="spellStart"/>
            <w:r w:rsidRPr="000D3478">
              <w:rPr>
                <w:rFonts w:ascii="Arial" w:hAnsi="Arial" w:cs="Arial"/>
                <w:sz w:val="24"/>
                <w:szCs w:val="24"/>
              </w:rPr>
              <w:t>41m</w:t>
            </w:r>
            <w:proofErr w:type="spellEnd"/>
          </w:p>
        </w:tc>
        <w:tc>
          <w:tcPr>
            <w:tcW w:w="1563" w:type="dxa"/>
          </w:tcPr>
          <w:p w:rsidR="00543468" w:rsidRPr="000D3478" w:rsidRDefault="00543468" w:rsidP="00B90435">
            <w:pPr>
              <w:jc w:val="center"/>
              <w:rPr>
                <w:rFonts w:ascii="Arial" w:hAnsi="Arial" w:cs="Arial"/>
                <w:sz w:val="24"/>
                <w:szCs w:val="24"/>
              </w:rPr>
            </w:pPr>
            <w:r w:rsidRPr="000D3478">
              <w:rPr>
                <w:rFonts w:ascii="Arial" w:hAnsi="Arial" w:cs="Arial"/>
                <w:sz w:val="24"/>
                <w:szCs w:val="24"/>
              </w:rPr>
              <w:t>(3)</w:t>
            </w:r>
          </w:p>
        </w:tc>
      </w:tr>
      <w:tr w:rsidR="00543468" w:rsidRPr="000D3478" w:rsidTr="00B90435">
        <w:tc>
          <w:tcPr>
            <w:tcW w:w="1598" w:type="dxa"/>
          </w:tcPr>
          <w:p w:rsidR="00543468" w:rsidRPr="000D3478" w:rsidRDefault="00543468" w:rsidP="00B90435">
            <w:pPr>
              <w:jc w:val="center"/>
              <w:rPr>
                <w:rFonts w:ascii="Arial" w:hAnsi="Arial" w:cs="Arial"/>
                <w:sz w:val="24"/>
                <w:szCs w:val="24"/>
              </w:rPr>
            </w:pPr>
            <w:r>
              <w:rPr>
                <w:rFonts w:ascii="Arial" w:hAnsi="Arial" w:cs="Arial"/>
                <w:sz w:val="24"/>
                <w:szCs w:val="24"/>
              </w:rPr>
              <w:t>Total</w:t>
            </w:r>
          </w:p>
        </w:tc>
        <w:tc>
          <w:tcPr>
            <w:tcW w:w="1946" w:type="dxa"/>
          </w:tcPr>
          <w:p w:rsidR="00543468" w:rsidRPr="000D3478" w:rsidRDefault="00543468" w:rsidP="00B90435">
            <w:pPr>
              <w:jc w:val="center"/>
              <w:rPr>
                <w:rFonts w:ascii="Arial" w:hAnsi="Arial" w:cs="Arial"/>
                <w:sz w:val="24"/>
                <w:szCs w:val="24"/>
              </w:rPr>
            </w:pPr>
          </w:p>
        </w:tc>
        <w:tc>
          <w:tcPr>
            <w:tcW w:w="1276" w:type="dxa"/>
          </w:tcPr>
          <w:p w:rsidR="00543468" w:rsidRPr="000D3478" w:rsidRDefault="00543468" w:rsidP="00B90435">
            <w:pPr>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149.15m</w:t>
            </w:r>
            <w:proofErr w:type="spellEnd"/>
          </w:p>
        </w:tc>
        <w:tc>
          <w:tcPr>
            <w:tcW w:w="1697" w:type="dxa"/>
          </w:tcPr>
          <w:p w:rsidR="00543468" w:rsidRPr="000D3478" w:rsidRDefault="00543468" w:rsidP="00B90435">
            <w:pPr>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1683.00</w:t>
            </w:r>
            <w:r w:rsidR="00C178B1">
              <w:rPr>
                <w:rFonts w:ascii="Arial" w:hAnsi="Arial" w:cs="Arial"/>
                <w:sz w:val="24"/>
                <w:szCs w:val="24"/>
              </w:rPr>
              <w:t>m</w:t>
            </w:r>
            <w:proofErr w:type="spellEnd"/>
          </w:p>
        </w:tc>
        <w:tc>
          <w:tcPr>
            <w:tcW w:w="1563" w:type="dxa"/>
          </w:tcPr>
          <w:p w:rsidR="00543468" w:rsidRPr="000D3478" w:rsidRDefault="00543468" w:rsidP="00B90435">
            <w:pPr>
              <w:jc w:val="center"/>
              <w:rPr>
                <w:rFonts w:ascii="Arial" w:hAnsi="Arial" w:cs="Arial"/>
                <w:sz w:val="24"/>
                <w:szCs w:val="24"/>
              </w:rPr>
            </w:pPr>
          </w:p>
        </w:tc>
      </w:tr>
      <w:tr w:rsidR="002F3AD5" w:rsidRPr="000D3478" w:rsidTr="00B90435">
        <w:tc>
          <w:tcPr>
            <w:tcW w:w="1598" w:type="dxa"/>
          </w:tcPr>
          <w:p w:rsidR="002F3AD5" w:rsidRDefault="002F3AD5" w:rsidP="00B90435">
            <w:pPr>
              <w:jc w:val="center"/>
              <w:rPr>
                <w:rFonts w:ascii="Arial" w:hAnsi="Arial" w:cs="Arial"/>
                <w:sz w:val="24"/>
                <w:szCs w:val="24"/>
              </w:rPr>
            </w:pPr>
            <w:proofErr w:type="spellStart"/>
            <w:r>
              <w:rPr>
                <w:rFonts w:ascii="Arial" w:hAnsi="Arial" w:cs="Arial"/>
                <w:sz w:val="24"/>
                <w:szCs w:val="24"/>
              </w:rPr>
              <w:t>CAPEX</w:t>
            </w:r>
            <w:proofErr w:type="spellEnd"/>
            <w:r>
              <w:rPr>
                <w:rFonts w:ascii="Arial" w:hAnsi="Arial" w:cs="Arial"/>
                <w:sz w:val="24"/>
                <w:szCs w:val="24"/>
              </w:rPr>
              <w:t>=$</w:t>
            </w:r>
            <w:proofErr w:type="spellStart"/>
            <w:r>
              <w:rPr>
                <w:rFonts w:ascii="Arial" w:hAnsi="Arial" w:cs="Arial"/>
                <w:sz w:val="24"/>
                <w:szCs w:val="24"/>
              </w:rPr>
              <w:t>500m</w:t>
            </w:r>
            <w:proofErr w:type="spellEnd"/>
          </w:p>
        </w:tc>
        <w:tc>
          <w:tcPr>
            <w:tcW w:w="1946" w:type="dxa"/>
          </w:tcPr>
          <w:p w:rsidR="002F3AD5" w:rsidRPr="000D3478" w:rsidRDefault="002F3AD5" w:rsidP="00B90435">
            <w:pPr>
              <w:jc w:val="center"/>
              <w:rPr>
                <w:rFonts w:ascii="Arial" w:hAnsi="Arial" w:cs="Arial"/>
                <w:sz w:val="24"/>
                <w:szCs w:val="24"/>
              </w:rPr>
            </w:pPr>
            <w:proofErr w:type="spellStart"/>
            <w:r>
              <w:rPr>
                <w:rFonts w:ascii="Arial" w:hAnsi="Arial" w:cs="Arial"/>
                <w:sz w:val="24"/>
                <w:szCs w:val="24"/>
              </w:rPr>
              <w:t>BCR</w:t>
            </w:r>
            <w:proofErr w:type="spellEnd"/>
          </w:p>
        </w:tc>
        <w:tc>
          <w:tcPr>
            <w:tcW w:w="1276" w:type="dxa"/>
          </w:tcPr>
          <w:p w:rsidR="002F3AD5" w:rsidRDefault="002F3AD5" w:rsidP="00B90435">
            <w:pPr>
              <w:jc w:val="center"/>
              <w:rPr>
                <w:rFonts w:ascii="Arial" w:hAnsi="Arial" w:cs="Arial"/>
                <w:sz w:val="24"/>
                <w:szCs w:val="24"/>
              </w:rPr>
            </w:pPr>
            <w:r>
              <w:rPr>
                <w:rFonts w:ascii="Arial" w:hAnsi="Arial" w:cs="Arial"/>
                <w:sz w:val="24"/>
                <w:szCs w:val="24"/>
              </w:rPr>
              <w:t>0.29</w:t>
            </w:r>
          </w:p>
        </w:tc>
        <w:tc>
          <w:tcPr>
            <w:tcW w:w="1697" w:type="dxa"/>
          </w:tcPr>
          <w:p w:rsidR="002F3AD5" w:rsidRDefault="002F3AD5" w:rsidP="00B90435">
            <w:pPr>
              <w:jc w:val="center"/>
              <w:rPr>
                <w:rFonts w:ascii="Arial" w:hAnsi="Arial" w:cs="Arial"/>
                <w:sz w:val="24"/>
                <w:szCs w:val="24"/>
              </w:rPr>
            </w:pPr>
            <w:r>
              <w:rPr>
                <w:rFonts w:ascii="Arial" w:hAnsi="Arial" w:cs="Arial"/>
                <w:sz w:val="24"/>
                <w:szCs w:val="24"/>
              </w:rPr>
              <w:t>3.4</w:t>
            </w:r>
          </w:p>
        </w:tc>
        <w:tc>
          <w:tcPr>
            <w:tcW w:w="1563" w:type="dxa"/>
          </w:tcPr>
          <w:p w:rsidR="002F3AD5" w:rsidRPr="000D3478" w:rsidRDefault="002F3AD5" w:rsidP="00B90435">
            <w:pPr>
              <w:jc w:val="center"/>
              <w:rPr>
                <w:rFonts w:ascii="Arial" w:hAnsi="Arial" w:cs="Arial"/>
                <w:sz w:val="24"/>
                <w:szCs w:val="24"/>
              </w:rPr>
            </w:pPr>
          </w:p>
        </w:tc>
      </w:tr>
    </w:tbl>
    <w:p w:rsidR="00543468" w:rsidRPr="000D3478" w:rsidRDefault="00543468" w:rsidP="00543468">
      <w:pPr>
        <w:rPr>
          <w:rFonts w:ascii="Arial" w:hAnsi="Arial" w:cs="Arial"/>
          <w:sz w:val="24"/>
          <w:szCs w:val="24"/>
        </w:rPr>
      </w:pPr>
    </w:p>
    <w:p w:rsidR="00543468" w:rsidRPr="001954D4" w:rsidRDefault="00543468" w:rsidP="00201173">
      <w:pPr>
        <w:ind w:left="1560"/>
        <w:rPr>
          <w:rFonts w:ascii="Arial" w:hAnsi="Arial" w:cs="Arial"/>
          <w:sz w:val="24"/>
          <w:szCs w:val="24"/>
        </w:rPr>
      </w:pPr>
      <w:proofErr w:type="spellStart"/>
      <w:r w:rsidRPr="001954D4">
        <w:rPr>
          <w:rFonts w:ascii="Arial" w:hAnsi="Arial" w:cs="Arial"/>
          <w:sz w:val="24"/>
          <w:szCs w:val="24"/>
        </w:rPr>
        <w:t>T</w:t>
      </w:r>
      <w:r w:rsidR="00D41E79">
        <w:rPr>
          <w:rFonts w:ascii="Arial" w:hAnsi="Arial" w:cs="Arial"/>
          <w:sz w:val="24"/>
          <w:szCs w:val="24"/>
        </w:rPr>
        <w:t>ransurban’s</w:t>
      </w:r>
      <w:proofErr w:type="spellEnd"/>
      <w:r w:rsidR="00D41E79">
        <w:rPr>
          <w:rFonts w:ascii="Arial" w:hAnsi="Arial" w:cs="Arial"/>
          <w:sz w:val="24"/>
          <w:szCs w:val="24"/>
        </w:rPr>
        <w:t xml:space="preserve"> value </w:t>
      </w:r>
      <w:r w:rsidR="00C178B1">
        <w:rPr>
          <w:rFonts w:ascii="Arial" w:hAnsi="Arial" w:cs="Arial"/>
          <w:sz w:val="24"/>
          <w:szCs w:val="24"/>
        </w:rPr>
        <w:t>of $</w:t>
      </w:r>
      <w:proofErr w:type="spellStart"/>
      <w:r w:rsidR="00C178B1">
        <w:rPr>
          <w:rFonts w:ascii="Arial" w:hAnsi="Arial" w:cs="Arial"/>
          <w:sz w:val="24"/>
          <w:szCs w:val="24"/>
        </w:rPr>
        <w:t>1683m</w:t>
      </w:r>
      <w:proofErr w:type="spellEnd"/>
      <w:r w:rsidR="00C178B1">
        <w:rPr>
          <w:rFonts w:ascii="Arial" w:hAnsi="Arial" w:cs="Arial"/>
          <w:sz w:val="24"/>
          <w:szCs w:val="24"/>
        </w:rPr>
        <w:t xml:space="preserve"> </w:t>
      </w:r>
      <w:r w:rsidR="00D41E79">
        <w:rPr>
          <w:rFonts w:ascii="Arial" w:hAnsi="Arial" w:cs="Arial"/>
          <w:sz w:val="24"/>
          <w:szCs w:val="24"/>
        </w:rPr>
        <w:t xml:space="preserve">for </w:t>
      </w:r>
      <w:r w:rsidR="00C178B1">
        <w:rPr>
          <w:rFonts w:ascii="Arial" w:hAnsi="Arial" w:cs="Arial"/>
          <w:sz w:val="24"/>
          <w:szCs w:val="24"/>
        </w:rPr>
        <w:t xml:space="preserve">total </w:t>
      </w:r>
      <w:r w:rsidR="00D41E79">
        <w:rPr>
          <w:rFonts w:ascii="Arial" w:hAnsi="Arial" w:cs="Arial"/>
          <w:sz w:val="24"/>
          <w:szCs w:val="24"/>
        </w:rPr>
        <w:t xml:space="preserve">savings is at least ten times greater </w:t>
      </w:r>
      <w:proofErr w:type="spellStart"/>
      <w:r w:rsidR="00D41E79">
        <w:rPr>
          <w:rFonts w:ascii="Arial" w:hAnsi="Arial" w:cs="Arial"/>
          <w:sz w:val="24"/>
          <w:szCs w:val="24"/>
        </w:rPr>
        <w:t>then</w:t>
      </w:r>
      <w:proofErr w:type="spellEnd"/>
      <w:r w:rsidR="00D41E79">
        <w:rPr>
          <w:rFonts w:ascii="Arial" w:hAnsi="Arial" w:cs="Arial"/>
          <w:sz w:val="24"/>
          <w:szCs w:val="24"/>
        </w:rPr>
        <w:t xml:space="preserve"> </w:t>
      </w:r>
      <w:r w:rsidRPr="001954D4">
        <w:rPr>
          <w:rFonts w:ascii="Arial" w:hAnsi="Arial" w:cs="Arial"/>
          <w:sz w:val="24"/>
          <w:szCs w:val="24"/>
        </w:rPr>
        <w:t>the author</w:t>
      </w:r>
      <w:r w:rsidR="00D41E79">
        <w:rPr>
          <w:rFonts w:ascii="Arial" w:hAnsi="Arial" w:cs="Arial"/>
          <w:sz w:val="24"/>
          <w:szCs w:val="24"/>
        </w:rPr>
        <w:t>’</w:t>
      </w:r>
      <w:r w:rsidRPr="001954D4">
        <w:rPr>
          <w:rFonts w:ascii="Arial" w:hAnsi="Arial" w:cs="Arial"/>
          <w:sz w:val="24"/>
          <w:szCs w:val="24"/>
        </w:rPr>
        <w:t xml:space="preserve">s </w:t>
      </w:r>
      <w:r w:rsidR="00847027">
        <w:rPr>
          <w:rFonts w:ascii="Arial" w:hAnsi="Arial" w:cs="Arial"/>
          <w:sz w:val="24"/>
          <w:szCs w:val="24"/>
        </w:rPr>
        <w:t xml:space="preserve">mean </w:t>
      </w:r>
      <w:r w:rsidRPr="001954D4">
        <w:rPr>
          <w:rFonts w:ascii="Arial" w:hAnsi="Arial" w:cs="Arial"/>
          <w:sz w:val="24"/>
          <w:szCs w:val="24"/>
        </w:rPr>
        <w:t>value of $</w:t>
      </w:r>
      <w:proofErr w:type="spellStart"/>
      <w:r w:rsidRPr="001954D4">
        <w:rPr>
          <w:rFonts w:ascii="Arial" w:hAnsi="Arial" w:cs="Arial"/>
          <w:sz w:val="24"/>
          <w:szCs w:val="24"/>
        </w:rPr>
        <w:t>149m</w:t>
      </w:r>
      <w:proofErr w:type="spellEnd"/>
      <w:r w:rsidR="00C178B1">
        <w:rPr>
          <w:rFonts w:ascii="Arial" w:hAnsi="Arial" w:cs="Arial"/>
          <w:sz w:val="24"/>
          <w:szCs w:val="24"/>
        </w:rPr>
        <w:t>.</w:t>
      </w:r>
      <w:r w:rsidRPr="001954D4">
        <w:rPr>
          <w:rFonts w:ascii="Arial" w:hAnsi="Arial" w:cs="Arial"/>
          <w:sz w:val="24"/>
          <w:szCs w:val="24"/>
        </w:rPr>
        <w:t xml:space="preserve"> </w:t>
      </w:r>
      <w:r w:rsidR="00B90435">
        <w:rPr>
          <w:rFonts w:ascii="Arial" w:hAnsi="Arial" w:cs="Arial"/>
          <w:sz w:val="24"/>
          <w:szCs w:val="24"/>
        </w:rPr>
        <w:t xml:space="preserve">The reason for this </w:t>
      </w:r>
      <w:r w:rsidR="00C178B1">
        <w:rPr>
          <w:rFonts w:ascii="Arial" w:hAnsi="Arial" w:cs="Arial"/>
          <w:sz w:val="24"/>
          <w:szCs w:val="24"/>
        </w:rPr>
        <w:t>very large</w:t>
      </w:r>
      <w:r w:rsidRPr="001954D4">
        <w:rPr>
          <w:rFonts w:ascii="Arial" w:hAnsi="Arial" w:cs="Arial"/>
          <w:sz w:val="24"/>
          <w:szCs w:val="24"/>
        </w:rPr>
        <w:t xml:space="preserve"> discrepancy</w:t>
      </w:r>
      <w:r w:rsidR="00C178B1">
        <w:rPr>
          <w:rFonts w:ascii="Arial" w:hAnsi="Arial" w:cs="Arial"/>
          <w:sz w:val="24"/>
          <w:szCs w:val="24"/>
        </w:rPr>
        <w:t>, amounting to an order of magnitude</w:t>
      </w:r>
      <w:r w:rsidR="00B90435">
        <w:rPr>
          <w:rFonts w:ascii="Arial" w:hAnsi="Arial" w:cs="Arial"/>
          <w:sz w:val="24"/>
          <w:szCs w:val="24"/>
        </w:rPr>
        <w:t xml:space="preserve"> is now analysed. </w:t>
      </w:r>
      <w:r w:rsidRPr="001954D4">
        <w:rPr>
          <w:rFonts w:ascii="Arial" w:hAnsi="Arial" w:cs="Arial"/>
          <w:sz w:val="24"/>
          <w:szCs w:val="24"/>
        </w:rPr>
        <w:t xml:space="preserve"> </w:t>
      </w:r>
      <w:r w:rsidR="00B90435">
        <w:rPr>
          <w:rFonts w:ascii="Arial" w:hAnsi="Arial" w:cs="Arial"/>
          <w:sz w:val="24"/>
          <w:szCs w:val="24"/>
        </w:rPr>
        <w:t xml:space="preserve">The </w:t>
      </w:r>
      <w:proofErr w:type="spellStart"/>
      <w:r w:rsidR="00975554">
        <w:rPr>
          <w:rFonts w:ascii="Arial" w:hAnsi="Arial" w:cs="Arial"/>
          <w:sz w:val="24"/>
          <w:szCs w:val="24"/>
        </w:rPr>
        <w:t>BCR</w:t>
      </w:r>
      <w:proofErr w:type="spellEnd"/>
      <w:r w:rsidR="00975554">
        <w:rPr>
          <w:rFonts w:ascii="Arial" w:hAnsi="Arial" w:cs="Arial"/>
          <w:sz w:val="24"/>
          <w:szCs w:val="24"/>
        </w:rPr>
        <w:t xml:space="preserve"> </w:t>
      </w:r>
      <w:r w:rsidR="00975554" w:rsidRPr="001954D4">
        <w:rPr>
          <w:rFonts w:ascii="Arial" w:hAnsi="Arial" w:cs="Arial"/>
          <w:sz w:val="24"/>
          <w:szCs w:val="24"/>
        </w:rPr>
        <w:t>generated</w:t>
      </w:r>
      <w:r w:rsidRPr="001954D4">
        <w:rPr>
          <w:rFonts w:ascii="Arial" w:hAnsi="Arial" w:cs="Arial"/>
          <w:sz w:val="24"/>
          <w:szCs w:val="24"/>
        </w:rPr>
        <w:t xml:space="preserve"> by </w:t>
      </w:r>
      <w:proofErr w:type="spellStart"/>
      <w:r w:rsidR="00975554" w:rsidRPr="001954D4">
        <w:rPr>
          <w:rFonts w:ascii="Arial" w:hAnsi="Arial" w:cs="Arial"/>
          <w:sz w:val="24"/>
          <w:szCs w:val="24"/>
        </w:rPr>
        <w:t>Transurban</w:t>
      </w:r>
      <w:proofErr w:type="spellEnd"/>
      <w:r w:rsidR="00975554" w:rsidRPr="001954D4">
        <w:rPr>
          <w:rFonts w:ascii="Arial" w:hAnsi="Arial" w:cs="Arial"/>
          <w:sz w:val="24"/>
          <w:szCs w:val="24"/>
        </w:rPr>
        <w:t xml:space="preserve"> </w:t>
      </w:r>
      <w:r w:rsidR="00975554">
        <w:rPr>
          <w:rFonts w:ascii="Arial" w:hAnsi="Arial" w:cs="Arial"/>
          <w:sz w:val="24"/>
          <w:szCs w:val="24"/>
        </w:rPr>
        <w:t>did</w:t>
      </w:r>
      <w:r w:rsidR="00B90435">
        <w:rPr>
          <w:rFonts w:ascii="Arial" w:hAnsi="Arial" w:cs="Arial"/>
          <w:sz w:val="24"/>
          <w:szCs w:val="24"/>
        </w:rPr>
        <w:t xml:space="preserve"> </w:t>
      </w:r>
      <w:r w:rsidR="00C178B1">
        <w:rPr>
          <w:rFonts w:ascii="Arial" w:hAnsi="Arial" w:cs="Arial"/>
          <w:sz w:val="24"/>
          <w:szCs w:val="24"/>
        </w:rPr>
        <w:t xml:space="preserve">have the effect of </w:t>
      </w:r>
      <w:r w:rsidR="00C178B1">
        <w:rPr>
          <w:rFonts w:ascii="Arial" w:hAnsi="Arial" w:cs="Arial"/>
          <w:sz w:val="24"/>
          <w:szCs w:val="24"/>
        </w:rPr>
        <w:lastRenderedPageBreak/>
        <w:t xml:space="preserve">ensuring </w:t>
      </w:r>
      <w:r w:rsidRPr="001954D4">
        <w:rPr>
          <w:rFonts w:ascii="Arial" w:hAnsi="Arial" w:cs="Arial"/>
          <w:sz w:val="24"/>
          <w:szCs w:val="24"/>
        </w:rPr>
        <w:t xml:space="preserve">acceptance of the project under the </w:t>
      </w:r>
      <w:r w:rsidR="006C2EE1">
        <w:rPr>
          <w:rFonts w:ascii="Arial" w:hAnsi="Arial" w:cs="Arial"/>
          <w:sz w:val="24"/>
          <w:szCs w:val="24"/>
        </w:rPr>
        <w:t xml:space="preserve">NSW </w:t>
      </w:r>
      <w:r w:rsidRPr="001954D4">
        <w:rPr>
          <w:rFonts w:ascii="Arial" w:hAnsi="Arial" w:cs="Arial"/>
          <w:sz w:val="24"/>
          <w:szCs w:val="24"/>
        </w:rPr>
        <w:t xml:space="preserve">Environmental Planning and Assessment </w:t>
      </w:r>
      <w:r w:rsidR="006C2EE1">
        <w:rPr>
          <w:rFonts w:ascii="Arial" w:hAnsi="Arial" w:cs="Arial"/>
          <w:sz w:val="24"/>
          <w:szCs w:val="24"/>
        </w:rPr>
        <w:t xml:space="preserve">Act </w:t>
      </w:r>
      <w:r w:rsidR="00975554" w:rsidRPr="001954D4">
        <w:rPr>
          <w:rFonts w:ascii="Arial" w:hAnsi="Arial" w:cs="Arial"/>
          <w:sz w:val="24"/>
          <w:szCs w:val="24"/>
        </w:rPr>
        <w:t>1979.</w:t>
      </w:r>
    </w:p>
    <w:p w:rsidR="00543468" w:rsidRPr="001954D4" w:rsidRDefault="00543468" w:rsidP="00201173">
      <w:pPr>
        <w:ind w:left="1560"/>
        <w:rPr>
          <w:rFonts w:ascii="Arial" w:hAnsi="Arial" w:cs="Arial"/>
          <w:sz w:val="24"/>
          <w:szCs w:val="24"/>
        </w:rPr>
      </w:pPr>
      <w:r w:rsidRPr="001954D4">
        <w:rPr>
          <w:rFonts w:ascii="Arial" w:hAnsi="Arial" w:cs="Arial"/>
          <w:sz w:val="24"/>
          <w:szCs w:val="24"/>
        </w:rPr>
        <w:t>The then Min</w:t>
      </w:r>
      <w:r>
        <w:rPr>
          <w:rFonts w:ascii="Arial" w:hAnsi="Arial" w:cs="Arial"/>
          <w:sz w:val="24"/>
          <w:szCs w:val="24"/>
        </w:rPr>
        <w:t xml:space="preserve">ister for Planning, Kristina </w:t>
      </w:r>
      <w:proofErr w:type="spellStart"/>
      <w:r>
        <w:rPr>
          <w:rFonts w:ascii="Arial" w:hAnsi="Arial" w:cs="Arial"/>
          <w:sz w:val="24"/>
          <w:szCs w:val="24"/>
        </w:rPr>
        <w:t>Ke</w:t>
      </w:r>
      <w:r w:rsidRPr="001954D4">
        <w:rPr>
          <w:rFonts w:ascii="Arial" w:hAnsi="Arial" w:cs="Arial"/>
          <w:sz w:val="24"/>
          <w:szCs w:val="24"/>
        </w:rPr>
        <w:t>ne</w:t>
      </w:r>
      <w:r>
        <w:rPr>
          <w:rFonts w:ascii="Arial" w:hAnsi="Arial" w:cs="Arial"/>
          <w:sz w:val="24"/>
          <w:szCs w:val="24"/>
        </w:rPr>
        <w:t>a</w:t>
      </w:r>
      <w:r w:rsidRPr="001954D4">
        <w:rPr>
          <w:rFonts w:ascii="Arial" w:hAnsi="Arial" w:cs="Arial"/>
          <w:sz w:val="24"/>
          <w:szCs w:val="24"/>
        </w:rPr>
        <w:t>lly</w:t>
      </w:r>
      <w:proofErr w:type="spellEnd"/>
      <w:r w:rsidRPr="001954D4">
        <w:rPr>
          <w:rFonts w:ascii="Arial" w:hAnsi="Arial" w:cs="Arial"/>
          <w:sz w:val="24"/>
          <w:szCs w:val="24"/>
        </w:rPr>
        <w:t xml:space="preserve"> had announced on 27/2/2009 that the </w:t>
      </w:r>
      <w:proofErr w:type="spellStart"/>
      <w:r w:rsidR="00EB14C3">
        <w:rPr>
          <w:rFonts w:ascii="Arial" w:hAnsi="Arial" w:cs="Arial"/>
          <w:sz w:val="24"/>
          <w:szCs w:val="24"/>
        </w:rPr>
        <w:t>M2</w:t>
      </w:r>
      <w:proofErr w:type="spellEnd"/>
      <w:r w:rsidR="00EB14C3">
        <w:rPr>
          <w:rFonts w:ascii="Arial" w:hAnsi="Arial" w:cs="Arial"/>
          <w:sz w:val="24"/>
          <w:szCs w:val="24"/>
        </w:rPr>
        <w:t xml:space="preserve"> </w:t>
      </w:r>
      <w:r w:rsidRPr="001954D4">
        <w:rPr>
          <w:rFonts w:ascii="Arial" w:hAnsi="Arial" w:cs="Arial"/>
          <w:sz w:val="24"/>
          <w:szCs w:val="24"/>
        </w:rPr>
        <w:t xml:space="preserve">upgrade was </w:t>
      </w:r>
      <w:r w:rsidR="00B90435">
        <w:rPr>
          <w:rFonts w:ascii="Arial" w:hAnsi="Arial" w:cs="Arial"/>
          <w:sz w:val="24"/>
          <w:szCs w:val="24"/>
        </w:rPr>
        <w:t>“</w:t>
      </w:r>
      <w:r w:rsidRPr="001954D4">
        <w:rPr>
          <w:rFonts w:ascii="Arial" w:hAnsi="Arial" w:cs="Arial"/>
          <w:sz w:val="24"/>
          <w:szCs w:val="24"/>
        </w:rPr>
        <w:t>critical infrastructure</w:t>
      </w:r>
      <w:r w:rsidR="00B90435">
        <w:rPr>
          <w:rFonts w:ascii="Arial" w:hAnsi="Arial" w:cs="Arial"/>
          <w:sz w:val="24"/>
          <w:szCs w:val="24"/>
        </w:rPr>
        <w:t>”</w:t>
      </w:r>
      <w:r w:rsidRPr="001954D4">
        <w:rPr>
          <w:rFonts w:ascii="Arial" w:hAnsi="Arial" w:cs="Arial"/>
          <w:sz w:val="24"/>
          <w:szCs w:val="24"/>
        </w:rPr>
        <w:t xml:space="preserve"> and that the project was “essential for the state for </w:t>
      </w:r>
      <w:r w:rsidRPr="001954D4">
        <w:rPr>
          <w:rFonts w:ascii="Arial" w:hAnsi="Arial" w:cs="Arial"/>
          <w:sz w:val="24"/>
          <w:szCs w:val="24"/>
          <w:u w:val="single"/>
        </w:rPr>
        <w:t xml:space="preserve">economic </w:t>
      </w:r>
      <w:r w:rsidRPr="001954D4">
        <w:rPr>
          <w:rFonts w:ascii="Arial" w:hAnsi="Arial" w:cs="Arial"/>
          <w:sz w:val="24"/>
          <w:szCs w:val="24"/>
        </w:rPr>
        <w:t>(</w:t>
      </w:r>
      <w:r w:rsidR="00975554">
        <w:rPr>
          <w:rFonts w:ascii="Arial" w:hAnsi="Arial" w:cs="Arial"/>
          <w:sz w:val="24"/>
          <w:szCs w:val="24"/>
        </w:rPr>
        <w:t>author’s</w:t>
      </w:r>
      <w:r>
        <w:rPr>
          <w:rFonts w:ascii="Arial" w:hAnsi="Arial" w:cs="Arial"/>
          <w:sz w:val="24"/>
          <w:szCs w:val="24"/>
        </w:rPr>
        <w:t xml:space="preserve"> </w:t>
      </w:r>
      <w:r w:rsidRPr="001954D4">
        <w:rPr>
          <w:rFonts w:ascii="Arial" w:hAnsi="Arial" w:cs="Arial"/>
          <w:sz w:val="24"/>
          <w:szCs w:val="24"/>
        </w:rPr>
        <w:t>emphasis)</w:t>
      </w:r>
      <w:r w:rsidR="00975554" w:rsidRPr="001954D4">
        <w:rPr>
          <w:rFonts w:ascii="Arial" w:hAnsi="Arial" w:cs="Arial"/>
          <w:sz w:val="24"/>
          <w:szCs w:val="24"/>
        </w:rPr>
        <w:t>, environmental</w:t>
      </w:r>
      <w:r w:rsidRPr="001954D4">
        <w:rPr>
          <w:rFonts w:ascii="Arial" w:hAnsi="Arial" w:cs="Arial"/>
          <w:sz w:val="24"/>
          <w:szCs w:val="24"/>
        </w:rPr>
        <w:t xml:space="preserve"> and social reasons”.</w:t>
      </w:r>
    </w:p>
    <w:p w:rsidR="00543468" w:rsidRPr="001954D4" w:rsidRDefault="00EB14C3" w:rsidP="00201173">
      <w:pPr>
        <w:ind w:left="1560"/>
        <w:rPr>
          <w:rFonts w:ascii="Arial" w:hAnsi="Arial" w:cs="Arial"/>
          <w:sz w:val="24"/>
          <w:szCs w:val="24"/>
        </w:rPr>
      </w:pPr>
      <w:r>
        <w:rPr>
          <w:rFonts w:ascii="Arial" w:hAnsi="Arial" w:cs="Arial"/>
          <w:sz w:val="24"/>
          <w:szCs w:val="24"/>
        </w:rPr>
        <w:t>T</w:t>
      </w:r>
      <w:r w:rsidR="00543468" w:rsidRPr="001954D4">
        <w:rPr>
          <w:rFonts w:ascii="Arial" w:hAnsi="Arial" w:cs="Arial"/>
          <w:sz w:val="24"/>
          <w:szCs w:val="24"/>
        </w:rPr>
        <w:t>he environmental impact statement (</w:t>
      </w:r>
      <w:proofErr w:type="spellStart"/>
      <w:r w:rsidR="00543468" w:rsidRPr="001954D4">
        <w:rPr>
          <w:rFonts w:ascii="Arial" w:hAnsi="Arial" w:cs="Arial"/>
          <w:sz w:val="24"/>
          <w:szCs w:val="24"/>
        </w:rPr>
        <w:t>EIS</w:t>
      </w:r>
      <w:proofErr w:type="spellEnd"/>
      <w:r w:rsidR="00543468" w:rsidRPr="001954D4">
        <w:rPr>
          <w:rFonts w:ascii="Arial" w:hAnsi="Arial" w:cs="Arial"/>
          <w:sz w:val="24"/>
          <w:szCs w:val="24"/>
        </w:rPr>
        <w:t xml:space="preserve">) issued 9 months later (20/11/2009) included </w:t>
      </w:r>
      <w:r w:rsidR="00C178B1">
        <w:rPr>
          <w:rFonts w:ascii="Arial" w:hAnsi="Arial" w:cs="Arial"/>
          <w:sz w:val="24"/>
          <w:szCs w:val="24"/>
        </w:rPr>
        <w:t xml:space="preserve">the </w:t>
      </w:r>
      <w:r w:rsidR="00543468" w:rsidRPr="001954D4">
        <w:rPr>
          <w:rFonts w:ascii="Arial" w:hAnsi="Arial" w:cs="Arial"/>
          <w:sz w:val="24"/>
          <w:szCs w:val="24"/>
        </w:rPr>
        <w:t xml:space="preserve">cost-benefit analysis by </w:t>
      </w:r>
      <w:proofErr w:type="spellStart"/>
      <w:r w:rsidR="00543468" w:rsidRPr="001954D4">
        <w:rPr>
          <w:rFonts w:ascii="Arial" w:hAnsi="Arial" w:cs="Arial"/>
          <w:sz w:val="24"/>
          <w:szCs w:val="24"/>
        </w:rPr>
        <w:t>Transurban</w:t>
      </w:r>
      <w:proofErr w:type="spellEnd"/>
      <w:r w:rsidR="00543468" w:rsidRPr="001954D4">
        <w:rPr>
          <w:rFonts w:ascii="Arial" w:hAnsi="Arial" w:cs="Arial"/>
          <w:sz w:val="24"/>
          <w:szCs w:val="24"/>
        </w:rPr>
        <w:t xml:space="preserve"> which justified the </w:t>
      </w:r>
      <w:r>
        <w:rPr>
          <w:rFonts w:ascii="Arial" w:hAnsi="Arial" w:cs="Arial"/>
          <w:sz w:val="24"/>
          <w:szCs w:val="24"/>
        </w:rPr>
        <w:t xml:space="preserve">declaration that the project was economic, despite the author’s peer reviewed analysis which showed that it was </w:t>
      </w:r>
      <w:r w:rsidR="00975554">
        <w:rPr>
          <w:rFonts w:ascii="Arial" w:hAnsi="Arial" w:cs="Arial"/>
          <w:sz w:val="24"/>
          <w:szCs w:val="24"/>
        </w:rPr>
        <w:t>not.</w:t>
      </w:r>
      <w:r w:rsidR="00975554" w:rsidRPr="001954D4">
        <w:rPr>
          <w:rFonts w:ascii="Arial" w:hAnsi="Arial" w:cs="Arial"/>
          <w:sz w:val="24"/>
          <w:szCs w:val="24"/>
        </w:rPr>
        <w:t xml:space="preserve"> This</w:t>
      </w:r>
      <w:r w:rsidR="00543468" w:rsidRPr="001954D4">
        <w:rPr>
          <w:rFonts w:ascii="Arial" w:hAnsi="Arial" w:cs="Arial"/>
          <w:sz w:val="24"/>
          <w:szCs w:val="24"/>
        </w:rPr>
        <w:t xml:space="preserve"> strongly suggests that the economic performance of the project was predetermined and </w:t>
      </w:r>
      <w:r w:rsidR="00332DB6">
        <w:rPr>
          <w:rFonts w:ascii="Arial" w:hAnsi="Arial" w:cs="Arial"/>
          <w:sz w:val="24"/>
          <w:szCs w:val="24"/>
        </w:rPr>
        <w:t xml:space="preserve">then </w:t>
      </w:r>
      <w:r w:rsidR="00543468" w:rsidRPr="001954D4">
        <w:rPr>
          <w:rFonts w:ascii="Arial" w:hAnsi="Arial" w:cs="Arial"/>
          <w:sz w:val="24"/>
          <w:szCs w:val="24"/>
        </w:rPr>
        <w:t xml:space="preserve">the </w:t>
      </w:r>
      <w:proofErr w:type="spellStart"/>
      <w:r w:rsidR="00543468" w:rsidRPr="001954D4">
        <w:rPr>
          <w:rFonts w:ascii="Arial" w:hAnsi="Arial" w:cs="Arial"/>
          <w:sz w:val="24"/>
          <w:szCs w:val="24"/>
        </w:rPr>
        <w:t>Transurban</w:t>
      </w:r>
      <w:proofErr w:type="spellEnd"/>
      <w:r w:rsidR="00543468" w:rsidRPr="001954D4">
        <w:rPr>
          <w:rFonts w:ascii="Arial" w:hAnsi="Arial" w:cs="Arial"/>
          <w:sz w:val="24"/>
          <w:szCs w:val="24"/>
        </w:rPr>
        <w:t xml:space="preserve"> </w:t>
      </w:r>
      <w:proofErr w:type="spellStart"/>
      <w:r w:rsidR="00543468" w:rsidRPr="001954D4">
        <w:rPr>
          <w:rFonts w:ascii="Arial" w:hAnsi="Arial" w:cs="Arial"/>
          <w:sz w:val="24"/>
          <w:szCs w:val="24"/>
        </w:rPr>
        <w:t>CBA</w:t>
      </w:r>
      <w:proofErr w:type="spellEnd"/>
      <w:r w:rsidR="00543468" w:rsidRPr="001954D4">
        <w:rPr>
          <w:rFonts w:ascii="Arial" w:hAnsi="Arial" w:cs="Arial"/>
          <w:sz w:val="24"/>
          <w:szCs w:val="24"/>
        </w:rPr>
        <w:t xml:space="preserve"> was </w:t>
      </w:r>
      <w:r w:rsidR="00332DB6">
        <w:rPr>
          <w:rFonts w:ascii="Arial" w:hAnsi="Arial" w:cs="Arial"/>
          <w:sz w:val="24"/>
          <w:szCs w:val="24"/>
        </w:rPr>
        <w:t xml:space="preserve">developed to satisfy the </w:t>
      </w:r>
      <w:r w:rsidR="00543468" w:rsidRPr="001954D4">
        <w:rPr>
          <w:rFonts w:ascii="Arial" w:hAnsi="Arial" w:cs="Arial"/>
          <w:sz w:val="24"/>
          <w:szCs w:val="24"/>
        </w:rPr>
        <w:t xml:space="preserve">predetermination. </w:t>
      </w:r>
      <w:r w:rsidR="00C178B1">
        <w:rPr>
          <w:rFonts w:ascii="Arial" w:hAnsi="Arial" w:cs="Arial"/>
          <w:sz w:val="24"/>
          <w:szCs w:val="24"/>
        </w:rPr>
        <w:t xml:space="preserve">We see </w:t>
      </w:r>
      <w:r w:rsidR="00D36C71">
        <w:rPr>
          <w:rFonts w:ascii="Arial" w:hAnsi="Arial" w:cs="Arial"/>
          <w:sz w:val="24"/>
          <w:szCs w:val="24"/>
        </w:rPr>
        <w:t xml:space="preserve">here </w:t>
      </w:r>
      <w:r w:rsidR="00C178B1">
        <w:rPr>
          <w:rFonts w:ascii="Arial" w:hAnsi="Arial" w:cs="Arial"/>
          <w:sz w:val="24"/>
          <w:szCs w:val="24"/>
        </w:rPr>
        <w:t xml:space="preserve">a very similar modus operandi to that which was used to </w:t>
      </w:r>
      <w:r w:rsidR="00975554">
        <w:rPr>
          <w:rFonts w:ascii="Arial" w:hAnsi="Arial" w:cs="Arial"/>
          <w:sz w:val="24"/>
          <w:szCs w:val="24"/>
        </w:rPr>
        <w:t>justify the</w:t>
      </w:r>
      <w:r w:rsidR="00C178B1">
        <w:rPr>
          <w:rFonts w:ascii="Arial" w:hAnsi="Arial" w:cs="Arial"/>
          <w:sz w:val="24"/>
          <w:szCs w:val="24"/>
        </w:rPr>
        <w:t xml:space="preserve"> </w:t>
      </w:r>
      <w:proofErr w:type="spellStart"/>
      <w:r w:rsidR="00C178B1">
        <w:rPr>
          <w:rFonts w:ascii="Arial" w:hAnsi="Arial" w:cs="Arial"/>
          <w:sz w:val="24"/>
          <w:szCs w:val="24"/>
        </w:rPr>
        <w:t>NSFC</w:t>
      </w:r>
      <w:proofErr w:type="spellEnd"/>
      <w:r w:rsidR="00C178B1">
        <w:rPr>
          <w:rFonts w:ascii="Arial" w:hAnsi="Arial" w:cs="Arial"/>
          <w:sz w:val="24"/>
          <w:szCs w:val="24"/>
        </w:rPr>
        <w:t xml:space="preserve"> </w:t>
      </w:r>
      <w:r>
        <w:rPr>
          <w:rFonts w:ascii="Arial" w:hAnsi="Arial" w:cs="Arial"/>
          <w:sz w:val="24"/>
          <w:szCs w:val="24"/>
        </w:rPr>
        <w:t xml:space="preserve">rail </w:t>
      </w:r>
      <w:r w:rsidR="00C178B1">
        <w:rPr>
          <w:rFonts w:ascii="Arial" w:hAnsi="Arial" w:cs="Arial"/>
          <w:sz w:val="24"/>
          <w:szCs w:val="24"/>
        </w:rPr>
        <w:t>project as described above.</w:t>
      </w:r>
    </w:p>
    <w:p w:rsidR="00543468" w:rsidRPr="00847027" w:rsidRDefault="00C178B1" w:rsidP="00A309D4">
      <w:pPr>
        <w:ind w:left="851" w:firstLine="142"/>
        <w:rPr>
          <w:rFonts w:ascii="Arial" w:hAnsi="Arial" w:cs="Arial"/>
          <w:b/>
          <w:sz w:val="24"/>
          <w:szCs w:val="24"/>
        </w:rPr>
      </w:pPr>
      <w:r>
        <w:rPr>
          <w:rFonts w:ascii="Arial" w:hAnsi="Arial" w:cs="Arial"/>
          <w:b/>
          <w:sz w:val="24"/>
          <w:szCs w:val="24"/>
        </w:rPr>
        <w:t>1.2</w:t>
      </w:r>
      <w:r w:rsidR="00EB14C3">
        <w:rPr>
          <w:rFonts w:ascii="Arial" w:hAnsi="Arial" w:cs="Arial"/>
          <w:b/>
          <w:sz w:val="24"/>
          <w:szCs w:val="24"/>
        </w:rPr>
        <w:t>.2</w:t>
      </w:r>
      <w:r>
        <w:rPr>
          <w:rFonts w:ascii="Arial" w:hAnsi="Arial" w:cs="Arial"/>
          <w:b/>
          <w:sz w:val="24"/>
          <w:szCs w:val="24"/>
        </w:rPr>
        <w:t xml:space="preserve"> </w:t>
      </w:r>
      <w:r w:rsidR="00543468" w:rsidRPr="00847027">
        <w:rPr>
          <w:rFonts w:ascii="Arial" w:hAnsi="Arial" w:cs="Arial"/>
          <w:b/>
          <w:sz w:val="24"/>
          <w:szCs w:val="24"/>
        </w:rPr>
        <w:t>Travel time savings</w:t>
      </w:r>
      <w:r w:rsidR="00A309D4">
        <w:rPr>
          <w:rFonts w:ascii="Arial" w:hAnsi="Arial" w:cs="Arial"/>
          <w:b/>
          <w:sz w:val="24"/>
          <w:szCs w:val="24"/>
        </w:rPr>
        <w:t xml:space="preserve"> </w:t>
      </w:r>
      <w:r w:rsidR="00C75084">
        <w:rPr>
          <w:rFonts w:ascii="Arial" w:hAnsi="Arial" w:cs="Arial"/>
          <w:b/>
          <w:sz w:val="24"/>
          <w:szCs w:val="24"/>
        </w:rPr>
        <w:t>(note 1)</w:t>
      </w:r>
    </w:p>
    <w:p w:rsidR="00543468" w:rsidRPr="00941D4E" w:rsidRDefault="00543468" w:rsidP="00A309D4">
      <w:pPr>
        <w:pStyle w:val="ListParagraph"/>
        <w:numPr>
          <w:ilvl w:val="0"/>
          <w:numId w:val="28"/>
        </w:numPr>
        <w:ind w:left="1560"/>
        <w:rPr>
          <w:rFonts w:ascii="Arial" w:hAnsi="Arial" w:cs="Arial"/>
          <w:sz w:val="24"/>
          <w:szCs w:val="24"/>
        </w:rPr>
      </w:pPr>
      <w:proofErr w:type="spellStart"/>
      <w:r w:rsidRPr="00941D4E">
        <w:rPr>
          <w:rFonts w:ascii="Arial" w:hAnsi="Arial" w:cs="Arial"/>
          <w:sz w:val="24"/>
          <w:szCs w:val="24"/>
        </w:rPr>
        <w:t>Transurban’s</w:t>
      </w:r>
      <w:proofErr w:type="spellEnd"/>
      <w:r w:rsidRPr="00941D4E">
        <w:rPr>
          <w:rFonts w:ascii="Arial" w:hAnsi="Arial" w:cs="Arial"/>
          <w:sz w:val="24"/>
          <w:szCs w:val="24"/>
        </w:rPr>
        <w:t xml:space="preserve"> valuations of travel time savings did not take any account of actual traffic density data on the existing </w:t>
      </w:r>
      <w:proofErr w:type="spellStart"/>
      <w:r w:rsidRPr="00941D4E">
        <w:rPr>
          <w:rFonts w:ascii="Arial" w:hAnsi="Arial" w:cs="Arial"/>
          <w:sz w:val="24"/>
          <w:szCs w:val="24"/>
        </w:rPr>
        <w:t>M2</w:t>
      </w:r>
      <w:proofErr w:type="spellEnd"/>
      <w:r w:rsidRPr="00941D4E">
        <w:rPr>
          <w:rFonts w:ascii="Arial" w:hAnsi="Arial" w:cs="Arial"/>
          <w:sz w:val="24"/>
          <w:szCs w:val="24"/>
        </w:rPr>
        <w:t xml:space="preserve">. Nor was there any reference to the properties of the local area road network which supplies traffic to the </w:t>
      </w:r>
      <w:proofErr w:type="spellStart"/>
      <w:r w:rsidRPr="00941D4E">
        <w:rPr>
          <w:rFonts w:ascii="Arial" w:hAnsi="Arial" w:cs="Arial"/>
          <w:sz w:val="24"/>
          <w:szCs w:val="24"/>
        </w:rPr>
        <w:t>M2</w:t>
      </w:r>
      <w:proofErr w:type="spellEnd"/>
      <w:r w:rsidRPr="00941D4E">
        <w:rPr>
          <w:rFonts w:ascii="Arial" w:hAnsi="Arial" w:cs="Arial"/>
          <w:sz w:val="24"/>
          <w:szCs w:val="24"/>
        </w:rPr>
        <w:t>.</w:t>
      </w:r>
    </w:p>
    <w:p w:rsidR="00201173" w:rsidRPr="00941D4E" w:rsidRDefault="00543468" w:rsidP="00A309D4">
      <w:pPr>
        <w:pStyle w:val="ListParagraph"/>
        <w:numPr>
          <w:ilvl w:val="0"/>
          <w:numId w:val="28"/>
        </w:numPr>
        <w:ind w:left="1560"/>
        <w:rPr>
          <w:rFonts w:ascii="Arial" w:hAnsi="Arial" w:cs="Arial"/>
          <w:sz w:val="24"/>
          <w:szCs w:val="24"/>
        </w:rPr>
      </w:pPr>
      <w:proofErr w:type="spellStart"/>
      <w:r w:rsidRPr="00941D4E">
        <w:rPr>
          <w:rFonts w:ascii="Arial" w:hAnsi="Arial" w:cs="Arial"/>
          <w:sz w:val="24"/>
          <w:szCs w:val="24"/>
        </w:rPr>
        <w:t>Transurban’s</w:t>
      </w:r>
      <w:proofErr w:type="spellEnd"/>
      <w:r w:rsidRPr="00941D4E">
        <w:rPr>
          <w:rFonts w:ascii="Arial" w:hAnsi="Arial" w:cs="Arial"/>
          <w:sz w:val="24"/>
          <w:szCs w:val="24"/>
        </w:rPr>
        <w:t xml:space="preserve"> modelling of traffic flo</w:t>
      </w:r>
      <w:r w:rsidR="00D36C71">
        <w:rPr>
          <w:rFonts w:ascii="Arial" w:hAnsi="Arial" w:cs="Arial"/>
          <w:sz w:val="24"/>
          <w:szCs w:val="24"/>
        </w:rPr>
        <w:t>ws has a fundamental weakness. I</w:t>
      </w:r>
      <w:r w:rsidRPr="00941D4E">
        <w:rPr>
          <w:rFonts w:ascii="Arial" w:hAnsi="Arial" w:cs="Arial"/>
          <w:sz w:val="24"/>
          <w:szCs w:val="24"/>
        </w:rPr>
        <w:t xml:space="preserve">t is impossible to predict (or validate) with any confidence the usage that will occur on new links in a road traffic system from a calibrated model even though that model can reproduce with reasonable accuracy the </w:t>
      </w:r>
      <w:r w:rsidRPr="00941D4E">
        <w:rPr>
          <w:rFonts w:ascii="Arial" w:hAnsi="Arial" w:cs="Arial"/>
          <w:sz w:val="24"/>
          <w:szCs w:val="24"/>
          <w:u w:val="single"/>
        </w:rPr>
        <w:t>pre-existing traffic flows and speeds</w:t>
      </w:r>
      <w:r w:rsidRPr="00941D4E">
        <w:rPr>
          <w:rFonts w:ascii="Arial" w:hAnsi="Arial" w:cs="Arial"/>
          <w:sz w:val="24"/>
          <w:szCs w:val="24"/>
        </w:rPr>
        <w:t>.</w:t>
      </w:r>
    </w:p>
    <w:p w:rsidR="00543468" w:rsidRPr="00941D4E" w:rsidRDefault="00543468" w:rsidP="00A309D4">
      <w:pPr>
        <w:pStyle w:val="ListParagraph"/>
        <w:numPr>
          <w:ilvl w:val="0"/>
          <w:numId w:val="28"/>
        </w:numPr>
        <w:ind w:left="1560" w:hanging="981"/>
        <w:rPr>
          <w:rFonts w:ascii="Arial" w:hAnsi="Arial" w:cs="Arial"/>
          <w:sz w:val="24"/>
          <w:szCs w:val="24"/>
        </w:rPr>
      </w:pPr>
      <w:r w:rsidRPr="00941D4E">
        <w:rPr>
          <w:rFonts w:ascii="Arial" w:hAnsi="Arial" w:cs="Arial"/>
          <w:sz w:val="24"/>
          <w:szCs w:val="24"/>
        </w:rPr>
        <w:t xml:space="preserve">There is a profound difference between calibration and validation. </w:t>
      </w:r>
      <w:proofErr w:type="spellStart"/>
      <w:r w:rsidRPr="00941D4E">
        <w:rPr>
          <w:rFonts w:ascii="Arial" w:hAnsi="Arial" w:cs="Arial"/>
          <w:sz w:val="24"/>
          <w:szCs w:val="24"/>
        </w:rPr>
        <w:t>Transurban</w:t>
      </w:r>
      <w:proofErr w:type="spellEnd"/>
      <w:r w:rsidRPr="00941D4E">
        <w:rPr>
          <w:rFonts w:ascii="Arial" w:hAnsi="Arial" w:cs="Arial"/>
          <w:sz w:val="24"/>
          <w:szCs w:val="24"/>
        </w:rPr>
        <w:t xml:space="preserve"> was unable to show how it arrived at a mean speed increase of </w:t>
      </w:r>
      <w:proofErr w:type="spellStart"/>
      <w:r w:rsidRPr="00941D4E">
        <w:rPr>
          <w:rFonts w:ascii="Arial" w:hAnsi="Arial" w:cs="Arial"/>
          <w:sz w:val="24"/>
          <w:szCs w:val="24"/>
        </w:rPr>
        <w:t>40km</w:t>
      </w:r>
      <w:proofErr w:type="spellEnd"/>
      <w:r w:rsidRPr="00941D4E">
        <w:rPr>
          <w:rFonts w:ascii="Arial" w:hAnsi="Arial" w:cs="Arial"/>
          <w:sz w:val="24"/>
          <w:szCs w:val="24"/>
        </w:rPr>
        <w:t>/h on the wide</w:t>
      </w:r>
      <w:r w:rsidR="00D36C71">
        <w:rPr>
          <w:rFonts w:ascii="Arial" w:hAnsi="Arial" w:cs="Arial"/>
          <w:sz w:val="24"/>
          <w:szCs w:val="24"/>
        </w:rPr>
        <w:t xml:space="preserve">ned </w:t>
      </w:r>
      <w:proofErr w:type="spellStart"/>
      <w:r w:rsidR="00D36C71">
        <w:rPr>
          <w:rFonts w:ascii="Arial" w:hAnsi="Arial" w:cs="Arial"/>
          <w:sz w:val="24"/>
          <w:szCs w:val="24"/>
        </w:rPr>
        <w:t>M2</w:t>
      </w:r>
      <w:proofErr w:type="spellEnd"/>
      <w:r w:rsidR="00D36C71">
        <w:rPr>
          <w:rFonts w:ascii="Arial" w:hAnsi="Arial" w:cs="Arial"/>
          <w:sz w:val="24"/>
          <w:szCs w:val="24"/>
        </w:rPr>
        <w:t>.  A study by the author of</w:t>
      </w:r>
      <w:r w:rsidRPr="00941D4E">
        <w:rPr>
          <w:rFonts w:ascii="Arial" w:hAnsi="Arial" w:cs="Arial"/>
          <w:sz w:val="24"/>
          <w:szCs w:val="24"/>
        </w:rPr>
        <w:t xml:space="preserve"> the statistical distribution of traffic densities on the existing </w:t>
      </w:r>
      <w:proofErr w:type="spellStart"/>
      <w:r w:rsidRPr="00941D4E">
        <w:rPr>
          <w:rFonts w:ascii="Arial" w:hAnsi="Arial" w:cs="Arial"/>
          <w:sz w:val="24"/>
          <w:szCs w:val="24"/>
        </w:rPr>
        <w:t>M2</w:t>
      </w:r>
      <w:proofErr w:type="spellEnd"/>
      <w:r w:rsidRPr="00941D4E">
        <w:rPr>
          <w:rFonts w:ascii="Arial" w:hAnsi="Arial" w:cs="Arial"/>
          <w:sz w:val="24"/>
          <w:szCs w:val="24"/>
        </w:rPr>
        <w:t xml:space="preserve">, showed that the probability of such an increase in mean speed  is zero and the most probable value is </w:t>
      </w:r>
      <w:proofErr w:type="spellStart"/>
      <w:r w:rsidRPr="00941D4E">
        <w:rPr>
          <w:rFonts w:ascii="Arial" w:hAnsi="Arial" w:cs="Arial"/>
          <w:sz w:val="24"/>
          <w:szCs w:val="24"/>
        </w:rPr>
        <w:t>10km</w:t>
      </w:r>
      <w:proofErr w:type="spellEnd"/>
      <w:r w:rsidRPr="00941D4E">
        <w:rPr>
          <w:rFonts w:ascii="Arial" w:hAnsi="Arial" w:cs="Arial"/>
          <w:sz w:val="24"/>
          <w:szCs w:val="24"/>
        </w:rPr>
        <w:t xml:space="preserve">/h. </w:t>
      </w:r>
      <w:r w:rsidRPr="00EC4674">
        <w:rPr>
          <w:vertAlign w:val="superscript"/>
        </w:rPr>
        <w:footnoteReference w:id="3"/>
      </w:r>
    </w:p>
    <w:p w:rsidR="00543468" w:rsidRPr="00941D4E" w:rsidRDefault="00543468" w:rsidP="00A309D4">
      <w:pPr>
        <w:pStyle w:val="ListParagraph"/>
        <w:numPr>
          <w:ilvl w:val="0"/>
          <w:numId w:val="28"/>
        </w:numPr>
        <w:ind w:left="1560" w:hanging="981"/>
        <w:rPr>
          <w:rFonts w:ascii="Arial" w:hAnsi="Arial" w:cs="Arial"/>
          <w:sz w:val="24"/>
          <w:szCs w:val="24"/>
        </w:rPr>
      </w:pPr>
      <w:proofErr w:type="spellStart"/>
      <w:r w:rsidRPr="00941D4E">
        <w:rPr>
          <w:rFonts w:ascii="Arial" w:hAnsi="Arial" w:cs="Arial"/>
          <w:sz w:val="24"/>
          <w:szCs w:val="24"/>
        </w:rPr>
        <w:t>Transurban</w:t>
      </w:r>
      <w:proofErr w:type="spellEnd"/>
      <w:r w:rsidRPr="00941D4E">
        <w:rPr>
          <w:rFonts w:ascii="Arial" w:hAnsi="Arial" w:cs="Arial"/>
          <w:sz w:val="24"/>
          <w:szCs w:val="24"/>
        </w:rPr>
        <w:t xml:space="preserve"> </w:t>
      </w:r>
      <w:r w:rsidR="00975554" w:rsidRPr="00941D4E">
        <w:rPr>
          <w:rFonts w:ascii="Arial" w:hAnsi="Arial" w:cs="Arial"/>
          <w:sz w:val="24"/>
          <w:szCs w:val="24"/>
        </w:rPr>
        <w:t>claimed that</w:t>
      </w:r>
      <w:r w:rsidRPr="00941D4E">
        <w:rPr>
          <w:rFonts w:ascii="Arial" w:hAnsi="Arial" w:cs="Arial"/>
          <w:sz w:val="24"/>
          <w:szCs w:val="24"/>
        </w:rPr>
        <w:t xml:space="preserve"> the road user would value his time at $23.08/hour. </w:t>
      </w:r>
      <w:proofErr w:type="spellStart"/>
      <w:r w:rsidR="003A3EA4">
        <w:rPr>
          <w:rFonts w:ascii="Arial" w:hAnsi="Arial" w:cs="Arial"/>
          <w:sz w:val="24"/>
          <w:szCs w:val="24"/>
        </w:rPr>
        <w:t>Transurban</w:t>
      </w:r>
      <w:proofErr w:type="spellEnd"/>
      <w:r w:rsidR="003A3EA4" w:rsidRPr="00941D4E">
        <w:rPr>
          <w:rFonts w:ascii="Arial" w:hAnsi="Arial" w:cs="Arial"/>
          <w:sz w:val="24"/>
          <w:szCs w:val="24"/>
        </w:rPr>
        <w:t xml:space="preserve"> failed to understand that a motorist in congested traffic would consider that his time is more valuable than would be the case in free flowing traffic. </w:t>
      </w:r>
      <w:r w:rsidR="003A3EA4">
        <w:rPr>
          <w:rFonts w:ascii="Arial" w:hAnsi="Arial" w:cs="Arial"/>
          <w:sz w:val="24"/>
          <w:szCs w:val="24"/>
        </w:rPr>
        <w:t xml:space="preserve">The higher valuation of time </w:t>
      </w:r>
      <w:r w:rsidR="00322A05">
        <w:rPr>
          <w:rFonts w:ascii="Arial" w:hAnsi="Arial" w:cs="Arial"/>
          <w:sz w:val="24"/>
          <w:szCs w:val="24"/>
        </w:rPr>
        <w:t xml:space="preserve">it has used </w:t>
      </w:r>
      <w:r w:rsidR="003A3EA4">
        <w:rPr>
          <w:rFonts w:ascii="Arial" w:hAnsi="Arial" w:cs="Arial"/>
          <w:sz w:val="24"/>
          <w:szCs w:val="24"/>
        </w:rPr>
        <w:t xml:space="preserve">is therefore inappropriate because it is incompatible with the free-flowing traffic which is the basis of </w:t>
      </w:r>
      <w:proofErr w:type="spellStart"/>
      <w:r w:rsidR="003A3EA4">
        <w:rPr>
          <w:rFonts w:ascii="Arial" w:hAnsi="Arial" w:cs="Arial"/>
          <w:sz w:val="24"/>
          <w:szCs w:val="24"/>
        </w:rPr>
        <w:t>Transurban</w:t>
      </w:r>
      <w:r w:rsidR="00D41380">
        <w:rPr>
          <w:rFonts w:ascii="Arial" w:hAnsi="Arial" w:cs="Arial"/>
          <w:sz w:val="24"/>
          <w:szCs w:val="24"/>
        </w:rPr>
        <w:t>’</w:t>
      </w:r>
      <w:r w:rsidR="003A3EA4">
        <w:rPr>
          <w:rFonts w:ascii="Arial" w:hAnsi="Arial" w:cs="Arial"/>
          <w:sz w:val="24"/>
          <w:szCs w:val="24"/>
        </w:rPr>
        <w:t>s</w:t>
      </w:r>
      <w:proofErr w:type="spellEnd"/>
      <w:r w:rsidR="003A3EA4">
        <w:rPr>
          <w:rFonts w:ascii="Arial" w:hAnsi="Arial" w:cs="Arial"/>
          <w:sz w:val="24"/>
          <w:szCs w:val="24"/>
        </w:rPr>
        <w:t xml:space="preserve"> </w:t>
      </w:r>
      <w:proofErr w:type="spellStart"/>
      <w:r w:rsidR="003A3EA4">
        <w:rPr>
          <w:rFonts w:ascii="Arial" w:hAnsi="Arial" w:cs="Arial"/>
          <w:sz w:val="24"/>
          <w:szCs w:val="24"/>
        </w:rPr>
        <w:t>CBA</w:t>
      </w:r>
      <w:proofErr w:type="spellEnd"/>
      <w:r w:rsidR="003A3EA4">
        <w:rPr>
          <w:rFonts w:ascii="Arial" w:hAnsi="Arial" w:cs="Arial"/>
          <w:sz w:val="24"/>
          <w:szCs w:val="24"/>
        </w:rPr>
        <w:t>.</w:t>
      </w:r>
      <w:r w:rsidR="00D41380" w:rsidRPr="00941D4E">
        <w:rPr>
          <w:rFonts w:ascii="Arial" w:hAnsi="Arial" w:cs="Arial"/>
          <w:sz w:val="24"/>
          <w:szCs w:val="24"/>
        </w:rPr>
        <w:t xml:space="preserve"> </w:t>
      </w:r>
      <w:r w:rsidRPr="00941D4E">
        <w:rPr>
          <w:rFonts w:ascii="Arial" w:hAnsi="Arial" w:cs="Arial"/>
          <w:sz w:val="24"/>
          <w:szCs w:val="24"/>
        </w:rPr>
        <w:t xml:space="preserve">The </w:t>
      </w:r>
      <w:r w:rsidRPr="00941D4E">
        <w:rPr>
          <w:rFonts w:ascii="Arial" w:hAnsi="Arial" w:cs="Arial"/>
          <w:sz w:val="24"/>
          <w:szCs w:val="24"/>
        </w:rPr>
        <w:lastRenderedPageBreak/>
        <w:t>generally accepted value used by competent consultants in the Sydney region is $14.00/hour</w:t>
      </w:r>
      <w:r w:rsidR="00243C23">
        <w:rPr>
          <w:rFonts w:ascii="Arial" w:hAnsi="Arial" w:cs="Arial"/>
          <w:sz w:val="24"/>
          <w:szCs w:val="24"/>
        </w:rPr>
        <w:t xml:space="preserve"> (Masson, Wilson, </w:t>
      </w:r>
      <w:proofErr w:type="spellStart"/>
      <w:r w:rsidR="00243C23">
        <w:rPr>
          <w:rFonts w:ascii="Arial" w:hAnsi="Arial" w:cs="Arial"/>
          <w:sz w:val="24"/>
          <w:szCs w:val="24"/>
        </w:rPr>
        <w:t>Twiney</w:t>
      </w:r>
      <w:proofErr w:type="spellEnd"/>
      <w:r w:rsidR="00243C23">
        <w:rPr>
          <w:rFonts w:ascii="Arial" w:hAnsi="Arial" w:cs="Arial"/>
          <w:sz w:val="24"/>
          <w:szCs w:val="24"/>
        </w:rPr>
        <w:t>, 2000).</w:t>
      </w:r>
    </w:p>
    <w:p w:rsidR="00543468" w:rsidRPr="00941D4E" w:rsidRDefault="00975554" w:rsidP="00A309D4">
      <w:pPr>
        <w:pStyle w:val="ListParagraph"/>
        <w:numPr>
          <w:ilvl w:val="0"/>
          <w:numId w:val="28"/>
        </w:numPr>
        <w:ind w:left="1560" w:hanging="981"/>
        <w:rPr>
          <w:rFonts w:ascii="Arial" w:hAnsi="Arial" w:cs="Arial"/>
        </w:rPr>
      </w:pPr>
      <w:proofErr w:type="spellStart"/>
      <w:r w:rsidRPr="00941D4E">
        <w:rPr>
          <w:rFonts w:ascii="Arial" w:hAnsi="Arial" w:cs="Arial"/>
          <w:sz w:val="24"/>
          <w:szCs w:val="24"/>
        </w:rPr>
        <w:t>Transurban</w:t>
      </w:r>
      <w:proofErr w:type="spellEnd"/>
      <w:r w:rsidRPr="00941D4E">
        <w:rPr>
          <w:rFonts w:ascii="Arial" w:hAnsi="Arial" w:cs="Arial"/>
          <w:sz w:val="24"/>
          <w:szCs w:val="24"/>
        </w:rPr>
        <w:t xml:space="preserve"> clearly</w:t>
      </w:r>
      <w:r w:rsidR="00543468" w:rsidRPr="00941D4E">
        <w:rPr>
          <w:rFonts w:ascii="Arial" w:hAnsi="Arial" w:cs="Arial"/>
          <w:sz w:val="24"/>
          <w:szCs w:val="24"/>
        </w:rPr>
        <w:t xml:space="preserve"> had problems with choosing an appropriate discount rate to calculate </w:t>
      </w:r>
      <w:r w:rsidRPr="00941D4E">
        <w:rPr>
          <w:rFonts w:ascii="Arial" w:hAnsi="Arial" w:cs="Arial"/>
          <w:sz w:val="24"/>
          <w:szCs w:val="24"/>
        </w:rPr>
        <w:t>its present</w:t>
      </w:r>
      <w:r w:rsidR="00543468" w:rsidRPr="00941D4E">
        <w:rPr>
          <w:rFonts w:ascii="Arial" w:hAnsi="Arial" w:cs="Arial"/>
          <w:sz w:val="24"/>
          <w:szCs w:val="24"/>
        </w:rPr>
        <w:t xml:space="preserve"> values over 30 years. </w:t>
      </w:r>
      <w:proofErr w:type="spellStart"/>
      <w:r w:rsidR="00543468" w:rsidRPr="00941D4E">
        <w:rPr>
          <w:rFonts w:ascii="Arial" w:hAnsi="Arial" w:cs="Arial"/>
          <w:sz w:val="24"/>
          <w:szCs w:val="24"/>
        </w:rPr>
        <w:t>Transurban</w:t>
      </w:r>
      <w:proofErr w:type="spellEnd"/>
      <w:r w:rsidR="00543468" w:rsidRPr="00941D4E">
        <w:rPr>
          <w:rFonts w:ascii="Arial" w:hAnsi="Arial" w:cs="Arial"/>
          <w:sz w:val="24"/>
          <w:szCs w:val="24"/>
        </w:rPr>
        <w:t xml:space="preserve"> is operating a toll road, not a public road. A toll road has a limited concession life and carries a financial risk. By treating the </w:t>
      </w:r>
      <w:proofErr w:type="spellStart"/>
      <w:r w:rsidR="00543468" w:rsidRPr="00941D4E">
        <w:rPr>
          <w:rFonts w:ascii="Arial" w:hAnsi="Arial" w:cs="Arial"/>
          <w:sz w:val="24"/>
          <w:szCs w:val="24"/>
        </w:rPr>
        <w:t>M2</w:t>
      </w:r>
      <w:proofErr w:type="spellEnd"/>
      <w:r w:rsidR="00543468" w:rsidRPr="00941D4E">
        <w:rPr>
          <w:rFonts w:ascii="Arial" w:hAnsi="Arial" w:cs="Arial"/>
          <w:sz w:val="24"/>
          <w:szCs w:val="24"/>
        </w:rPr>
        <w:t xml:space="preserve"> as a public road and adopting the widely accepted social discount rate of </w:t>
      </w:r>
      <w:proofErr w:type="spellStart"/>
      <w:r w:rsidR="00543468" w:rsidRPr="00941D4E">
        <w:rPr>
          <w:rFonts w:ascii="Arial" w:hAnsi="Arial" w:cs="Arial"/>
          <w:sz w:val="24"/>
          <w:szCs w:val="24"/>
        </w:rPr>
        <w:t>7%pa</w:t>
      </w:r>
      <w:proofErr w:type="spellEnd"/>
      <w:r w:rsidR="00543468" w:rsidRPr="00EC4674">
        <w:rPr>
          <w:vertAlign w:val="superscript"/>
        </w:rPr>
        <w:footnoteReference w:id="4"/>
      </w:r>
      <w:r w:rsidR="00543468" w:rsidRPr="00941D4E">
        <w:rPr>
          <w:rFonts w:ascii="Arial" w:hAnsi="Arial" w:cs="Arial"/>
          <w:sz w:val="24"/>
          <w:szCs w:val="24"/>
        </w:rPr>
        <w:t xml:space="preserve">, </w:t>
      </w:r>
      <w:proofErr w:type="spellStart"/>
      <w:r w:rsidR="00543468" w:rsidRPr="00941D4E">
        <w:rPr>
          <w:rFonts w:ascii="Arial" w:hAnsi="Arial" w:cs="Arial"/>
          <w:sz w:val="24"/>
          <w:szCs w:val="24"/>
        </w:rPr>
        <w:t>Transurban</w:t>
      </w:r>
      <w:proofErr w:type="spellEnd"/>
      <w:r w:rsidR="00543468" w:rsidRPr="00941D4E">
        <w:rPr>
          <w:rFonts w:ascii="Arial" w:hAnsi="Arial" w:cs="Arial"/>
          <w:sz w:val="24"/>
          <w:szCs w:val="24"/>
        </w:rPr>
        <w:t xml:space="preserve"> was able to multiply its cost savings by approximately a factor of two compared with the author</w:t>
      </w:r>
      <w:r w:rsidR="00EB14C3">
        <w:rPr>
          <w:rFonts w:ascii="Arial" w:hAnsi="Arial" w:cs="Arial"/>
          <w:sz w:val="24"/>
          <w:szCs w:val="24"/>
        </w:rPr>
        <w:t>’</w:t>
      </w:r>
      <w:r w:rsidR="00543468" w:rsidRPr="00941D4E">
        <w:rPr>
          <w:rFonts w:ascii="Arial" w:hAnsi="Arial" w:cs="Arial"/>
          <w:sz w:val="24"/>
          <w:szCs w:val="24"/>
        </w:rPr>
        <w:t xml:space="preserve">s use of the value of </w:t>
      </w:r>
      <w:proofErr w:type="spellStart"/>
      <w:r w:rsidR="00543468" w:rsidRPr="00941D4E">
        <w:rPr>
          <w:rFonts w:ascii="Arial" w:hAnsi="Arial" w:cs="Arial"/>
          <w:sz w:val="24"/>
          <w:szCs w:val="24"/>
        </w:rPr>
        <w:t>13.7%pa</w:t>
      </w:r>
      <w:proofErr w:type="spellEnd"/>
      <w:r w:rsidR="00543468" w:rsidRPr="00941D4E">
        <w:rPr>
          <w:rFonts w:ascii="Arial" w:hAnsi="Arial" w:cs="Arial"/>
          <w:sz w:val="24"/>
          <w:szCs w:val="24"/>
        </w:rPr>
        <w:t xml:space="preserve"> (Goldberg, 2009) based directly on </w:t>
      </w:r>
      <w:r w:rsidR="00D36C71">
        <w:rPr>
          <w:rFonts w:ascii="Arial" w:hAnsi="Arial" w:cs="Arial"/>
          <w:sz w:val="24"/>
          <w:szCs w:val="24"/>
        </w:rPr>
        <w:t xml:space="preserve">the calculation of </w:t>
      </w:r>
      <w:proofErr w:type="spellStart"/>
      <w:r w:rsidR="00543468" w:rsidRPr="00941D4E">
        <w:rPr>
          <w:rFonts w:ascii="Arial" w:hAnsi="Arial" w:cs="Arial"/>
          <w:sz w:val="24"/>
          <w:szCs w:val="24"/>
        </w:rPr>
        <w:t>Transurban’s</w:t>
      </w:r>
      <w:proofErr w:type="spellEnd"/>
      <w:r w:rsidR="00543468" w:rsidRPr="00941D4E">
        <w:rPr>
          <w:rFonts w:ascii="Arial" w:hAnsi="Arial" w:cs="Arial"/>
          <w:sz w:val="24"/>
          <w:szCs w:val="24"/>
        </w:rPr>
        <w:t xml:space="preserve"> financial performance.  </w:t>
      </w:r>
      <w:proofErr w:type="spellStart"/>
      <w:r w:rsidRPr="00941D4E">
        <w:rPr>
          <w:rFonts w:ascii="Arial" w:hAnsi="Arial" w:cs="Arial"/>
          <w:sz w:val="24"/>
          <w:szCs w:val="24"/>
        </w:rPr>
        <w:t>Transurban’s</w:t>
      </w:r>
      <w:proofErr w:type="spellEnd"/>
      <w:r w:rsidRPr="00941D4E">
        <w:rPr>
          <w:rFonts w:ascii="Arial" w:hAnsi="Arial" w:cs="Arial"/>
          <w:sz w:val="24"/>
          <w:szCs w:val="24"/>
        </w:rPr>
        <w:t xml:space="preserve"> sensitivity</w:t>
      </w:r>
      <w:r w:rsidR="00543468" w:rsidRPr="00941D4E">
        <w:rPr>
          <w:rFonts w:ascii="Arial" w:hAnsi="Arial" w:cs="Arial"/>
          <w:sz w:val="24"/>
          <w:szCs w:val="24"/>
        </w:rPr>
        <w:t xml:space="preserve"> analysis based around the </w:t>
      </w:r>
      <w:proofErr w:type="spellStart"/>
      <w:r w:rsidR="00543468" w:rsidRPr="00941D4E">
        <w:rPr>
          <w:rFonts w:ascii="Arial" w:hAnsi="Arial" w:cs="Arial"/>
          <w:sz w:val="24"/>
          <w:szCs w:val="24"/>
        </w:rPr>
        <w:t>7%pa</w:t>
      </w:r>
      <w:proofErr w:type="spellEnd"/>
      <w:r w:rsidR="00543468" w:rsidRPr="00941D4E">
        <w:rPr>
          <w:rFonts w:ascii="Arial" w:hAnsi="Arial" w:cs="Arial"/>
          <w:sz w:val="24"/>
          <w:szCs w:val="24"/>
        </w:rPr>
        <w:t xml:space="preserve"> discount rate is therefore meaningless</w:t>
      </w:r>
      <w:r w:rsidR="00543468" w:rsidRPr="00941D4E">
        <w:rPr>
          <w:rFonts w:ascii="Arial" w:hAnsi="Arial" w:cs="Arial"/>
        </w:rPr>
        <w:t>.</w:t>
      </w:r>
    </w:p>
    <w:p w:rsidR="00543468" w:rsidRPr="00941D4E" w:rsidRDefault="00543468" w:rsidP="00A309D4">
      <w:pPr>
        <w:pStyle w:val="ListParagraph"/>
        <w:numPr>
          <w:ilvl w:val="0"/>
          <w:numId w:val="28"/>
        </w:numPr>
        <w:ind w:left="1560" w:hanging="981"/>
        <w:rPr>
          <w:rFonts w:ascii="Arial" w:hAnsi="Arial" w:cs="Arial"/>
          <w:sz w:val="24"/>
          <w:szCs w:val="24"/>
        </w:rPr>
      </w:pPr>
      <w:r w:rsidRPr="00941D4E">
        <w:rPr>
          <w:rFonts w:ascii="Arial" w:hAnsi="Arial" w:cs="Arial"/>
          <w:sz w:val="24"/>
          <w:szCs w:val="24"/>
        </w:rPr>
        <w:t xml:space="preserve">In summary, the factors </w:t>
      </w:r>
      <w:r w:rsidR="00941D4E" w:rsidRPr="00941D4E">
        <w:rPr>
          <w:rFonts w:ascii="Arial" w:hAnsi="Arial" w:cs="Arial"/>
          <w:sz w:val="24"/>
          <w:szCs w:val="24"/>
        </w:rPr>
        <w:t xml:space="preserve">used </w:t>
      </w:r>
      <w:r w:rsidRPr="00941D4E">
        <w:rPr>
          <w:rFonts w:ascii="Arial" w:hAnsi="Arial" w:cs="Arial"/>
          <w:sz w:val="24"/>
          <w:szCs w:val="24"/>
        </w:rPr>
        <w:t xml:space="preserve">by </w:t>
      </w:r>
      <w:proofErr w:type="spellStart"/>
      <w:r w:rsidRPr="00941D4E">
        <w:rPr>
          <w:rFonts w:ascii="Arial" w:hAnsi="Arial" w:cs="Arial"/>
          <w:sz w:val="24"/>
          <w:szCs w:val="24"/>
        </w:rPr>
        <w:t>Transurban</w:t>
      </w:r>
      <w:proofErr w:type="spellEnd"/>
      <w:r w:rsidRPr="00941D4E">
        <w:rPr>
          <w:rFonts w:ascii="Arial" w:hAnsi="Arial" w:cs="Arial"/>
          <w:sz w:val="24"/>
          <w:szCs w:val="24"/>
        </w:rPr>
        <w:t xml:space="preserve"> </w:t>
      </w:r>
      <w:r w:rsidR="00941D4E" w:rsidRPr="00941D4E">
        <w:rPr>
          <w:rFonts w:ascii="Arial" w:hAnsi="Arial" w:cs="Arial"/>
          <w:sz w:val="24"/>
          <w:szCs w:val="24"/>
        </w:rPr>
        <w:t xml:space="preserve">in its economic fabrication </w:t>
      </w:r>
      <w:r w:rsidRPr="00941D4E">
        <w:rPr>
          <w:rFonts w:ascii="Arial" w:hAnsi="Arial" w:cs="Arial"/>
          <w:sz w:val="24"/>
          <w:szCs w:val="24"/>
        </w:rPr>
        <w:t xml:space="preserve">are (1) = 4 times; (2) = 1.65 times; (3) = 2 times. The cumulative factor is 13.2 times. When this is applied to </w:t>
      </w:r>
      <w:proofErr w:type="spellStart"/>
      <w:r w:rsidRPr="00941D4E">
        <w:rPr>
          <w:rFonts w:ascii="Arial" w:hAnsi="Arial" w:cs="Arial"/>
          <w:sz w:val="24"/>
          <w:szCs w:val="24"/>
        </w:rPr>
        <w:t>Transurban’s</w:t>
      </w:r>
      <w:proofErr w:type="spellEnd"/>
      <w:r w:rsidRPr="00941D4E">
        <w:rPr>
          <w:rFonts w:ascii="Arial" w:hAnsi="Arial" w:cs="Arial"/>
          <w:sz w:val="24"/>
          <w:szCs w:val="24"/>
        </w:rPr>
        <w:t xml:space="preserve"> benefit-to-cost-ratio (</w:t>
      </w:r>
      <w:proofErr w:type="spellStart"/>
      <w:r w:rsidRPr="00941D4E">
        <w:rPr>
          <w:rFonts w:ascii="Arial" w:hAnsi="Arial" w:cs="Arial"/>
          <w:sz w:val="24"/>
          <w:szCs w:val="24"/>
        </w:rPr>
        <w:t>BCR</w:t>
      </w:r>
      <w:proofErr w:type="spellEnd"/>
      <w:r w:rsidRPr="00941D4E">
        <w:rPr>
          <w:rFonts w:ascii="Arial" w:hAnsi="Arial" w:cs="Arial"/>
          <w:sz w:val="24"/>
          <w:szCs w:val="24"/>
        </w:rPr>
        <w:t xml:space="preserve">) of 3.4 the result is </w:t>
      </w:r>
      <w:r w:rsidR="002F3AD5" w:rsidRPr="00941D4E">
        <w:rPr>
          <w:rFonts w:ascii="Arial" w:hAnsi="Arial" w:cs="Arial"/>
          <w:sz w:val="24"/>
          <w:szCs w:val="24"/>
        </w:rPr>
        <w:t xml:space="preserve">0.26 whereas </w:t>
      </w:r>
      <w:r w:rsidRPr="00941D4E">
        <w:rPr>
          <w:rFonts w:ascii="Arial" w:hAnsi="Arial" w:cs="Arial"/>
          <w:sz w:val="24"/>
          <w:szCs w:val="24"/>
        </w:rPr>
        <w:t>th</w:t>
      </w:r>
      <w:r w:rsidR="002F3AD5" w:rsidRPr="00941D4E">
        <w:rPr>
          <w:rFonts w:ascii="Arial" w:hAnsi="Arial" w:cs="Arial"/>
          <w:sz w:val="24"/>
          <w:szCs w:val="24"/>
        </w:rPr>
        <w:t xml:space="preserve">e author’s value for </w:t>
      </w:r>
      <w:proofErr w:type="spellStart"/>
      <w:r w:rsidR="002F3AD5" w:rsidRPr="00941D4E">
        <w:rPr>
          <w:rFonts w:ascii="Arial" w:hAnsi="Arial" w:cs="Arial"/>
          <w:sz w:val="24"/>
          <w:szCs w:val="24"/>
        </w:rPr>
        <w:t>BCR</w:t>
      </w:r>
      <w:proofErr w:type="spellEnd"/>
      <w:r w:rsidR="002F3AD5" w:rsidRPr="00941D4E">
        <w:rPr>
          <w:rFonts w:ascii="Arial" w:hAnsi="Arial" w:cs="Arial"/>
          <w:sz w:val="24"/>
          <w:szCs w:val="24"/>
        </w:rPr>
        <w:t xml:space="preserve"> is </w:t>
      </w:r>
      <w:proofErr w:type="spellStart"/>
      <w:r w:rsidR="002F3AD5" w:rsidRPr="00941D4E">
        <w:rPr>
          <w:rFonts w:ascii="Arial" w:hAnsi="Arial" w:cs="Arial"/>
          <w:sz w:val="24"/>
          <w:szCs w:val="24"/>
        </w:rPr>
        <w:t>0.29</w:t>
      </w:r>
      <w:r w:rsidRPr="00941D4E">
        <w:rPr>
          <w:rFonts w:ascii="Arial" w:hAnsi="Arial" w:cs="Arial"/>
          <w:sz w:val="24"/>
          <w:szCs w:val="24"/>
        </w:rPr>
        <w:t>.</w:t>
      </w:r>
      <w:r w:rsidR="00332DB6" w:rsidRPr="00941D4E">
        <w:rPr>
          <w:rFonts w:ascii="Arial" w:hAnsi="Arial" w:cs="Arial"/>
          <w:sz w:val="24"/>
          <w:szCs w:val="24"/>
        </w:rPr>
        <w:t>The</w:t>
      </w:r>
      <w:proofErr w:type="spellEnd"/>
      <w:r w:rsidR="00332DB6" w:rsidRPr="00941D4E">
        <w:rPr>
          <w:rFonts w:ascii="Arial" w:hAnsi="Arial" w:cs="Arial"/>
          <w:sz w:val="24"/>
          <w:szCs w:val="24"/>
        </w:rPr>
        <w:t xml:space="preserve"> relatively small difference in mean values could be attributed to the different evaluation periods (30 years for </w:t>
      </w:r>
      <w:proofErr w:type="spellStart"/>
      <w:r w:rsidR="00332DB6" w:rsidRPr="00941D4E">
        <w:rPr>
          <w:rFonts w:ascii="Arial" w:hAnsi="Arial" w:cs="Arial"/>
          <w:sz w:val="24"/>
          <w:szCs w:val="24"/>
        </w:rPr>
        <w:t>Transurban</w:t>
      </w:r>
      <w:proofErr w:type="spellEnd"/>
      <w:r w:rsidR="00332DB6" w:rsidRPr="00941D4E">
        <w:rPr>
          <w:rFonts w:ascii="Arial" w:hAnsi="Arial" w:cs="Arial"/>
          <w:sz w:val="24"/>
          <w:szCs w:val="24"/>
        </w:rPr>
        <w:t xml:space="preserve"> and 36 years for the author)</w:t>
      </w:r>
    </w:p>
    <w:p w:rsidR="00543468" w:rsidRPr="00847027" w:rsidRDefault="00A309D4" w:rsidP="00A309D4">
      <w:pPr>
        <w:ind w:left="993"/>
        <w:rPr>
          <w:rFonts w:ascii="Arial" w:hAnsi="Arial" w:cs="Arial"/>
          <w:b/>
          <w:sz w:val="24"/>
          <w:szCs w:val="24"/>
        </w:rPr>
      </w:pPr>
      <w:r>
        <w:rPr>
          <w:rFonts w:ascii="Arial" w:hAnsi="Arial" w:cs="Arial"/>
          <w:b/>
          <w:sz w:val="24"/>
          <w:szCs w:val="24"/>
        </w:rPr>
        <w:t>1.2</w:t>
      </w:r>
      <w:r w:rsidR="00EB14C3">
        <w:rPr>
          <w:rFonts w:ascii="Arial" w:hAnsi="Arial" w:cs="Arial"/>
          <w:b/>
          <w:sz w:val="24"/>
          <w:szCs w:val="24"/>
        </w:rPr>
        <w:t>.</w:t>
      </w:r>
      <w:r>
        <w:rPr>
          <w:rFonts w:ascii="Arial" w:hAnsi="Arial" w:cs="Arial"/>
          <w:b/>
          <w:sz w:val="24"/>
          <w:szCs w:val="24"/>
        </w:rPr>
        <w:t>3</w:t>
      </w:r>
      <w:r w:rsidR="00543468" w:rsidRPr="00847027">
        <w:rPr>
          <w:rFonts w:ascii="Arial" w:hAnsi="Arial" w:cs="Arial"/>
          <w:b/>
          <w:sz w:val="24"/>
          <w:szCs w:val="24"/>
        </w:rPr>
        <w:t xml:space="preserve"> Savings in accident costs</w:t>
      </w:r>
      <w:r w:rsidR="00C75084">
        <w:rPr>
          <w:rFonts w:ascii="Arial" w:hAnsi="Arial" w:cs="Arial"/>
          <w:b/>
          <w:sz w:val="24"/>
          <w:szCs w:val="24"/>
        </w:rPr>
        <w:t xml:space="preserve"> (note 2)</w:t>
      </w:r>
    </w:p>
    <w:p w:rsidR="00543468" w:rsidRPr="00941D4E" w:rsidRDefault="00A309D4" w:rsidP="00A309D4">
      <w:pPr>
        <w:pStyle w:val="ListParagraph"/>
        <w:numPr>
          <w:ilvl w:val="0"/>
          <w:numId w:val="29"/>
        </w:numPr>
        <w:ind w:left="1560"/>
        <w:rPr>
          <w:rFonts w:ascii="Arial" w:hAnsi="Arial" w:cs="Arial"/>
          <w:sz w:val="24"/>
          <w:szCs w:val="24"/>
        </w:rPr>
      </w:pPr>
      <w:proofErr w:type="spellStart"/>
      <w:r>
        <w:rPr>
          <w:rFonts w:ascii="Arial" w:hAnsi="Arial" w:cs="Arial"/>
          <w:sz w:val="24"/>
          <w:szCs w:val="24"/>
        </w:rPr>
        <w:t>Transurban</w:t>
      </w:r>
      <w:proofErr w:type="spellEnd"/>
      <w:r>
        <w:rPr>
          <w:rFonts w:ascii="Arial" w:hAnsi="Arial" w:cs="Arial"/>
          <w:sz w:val="24"/>
          <w:szCs w:val="24"/>
        </w:rPr>
        <w:t xml:space="preserve"> has claimed that widening the </w:t>
      </w:r>
      <w:proofErr w:type="spellStart"/>
      <w:r>
        <w:rPr>
          <w:rFonts w:ascii="Arial" w:hAnsi="Arial" w:cs="Arial"/>
          <w:sz w:val="24"/>
          <w:szCs w:val="24"/>
        </w:rPr>
        <w:t>M2</w:t>
      </w:r>
      <w:proofErr w:type="spellEnd"/>
      <w:r>
        <w:rPr>
          <w:rFonts w:ascii="Arial" w:hAnsi="Arial" w:cs="Arial"/>
          <w:sz w:val="24"/>
          <w:szCs w:val="24"/>
        </w:rPr>
        <w:t xml:space="preserve"> Motorway has resulted in a “favourable risk profile</w:t>
      </w:r>
      <w:r w:rsidR="00A46B22">
        <w:rPr>
          <w:rFonts w:ascii="Arial" w:hAnsi="Arial" w:cs="Arial"/>
          <w:sz w:val="24"/>
          <w:szCs w:val="24"/>
        </w:rPr>
        <w:t>”. But this claim is u</w:t>
      </w:r>
      <w:r w:rsidR="00EB14C3">
        <w:rPr>
          <w:rFonts w:ascii="Arial" w:hAnsi="Arial" w:cs="Arial"/>
          <w:sz w:val="24"/>
          <w:szCs w:val="24"/>
        </w:rPr>
        <w:t xml:space="preserve">nconvincing for a number of </w:t>
      </w:r>
      <w:proofErr w:type="spellStart"/>
      <w:r w:rsidR="00EB14C3">
        <w:rPr>
          <w:rFonts w:ascii="Arial" w:hAnsi="Arial" w:cs="Arial"/>
          <w:sz w:val="24"/>
          <w:szCs w:val="24"/>
        </w:rPr>
        <w:t>rea</w:t>
      </w:r>
      <w:r w:rsidR="00A46B22">
        <w:rPr>
          <w:rFonts w:ascii="Arial" w:hAnsi="Arial" w:cs="Arial"/>
          <w:sz w:val="24"/>
          <w:szCs w:val="24"/>
        </w:rPr>
        <w:t>sons.</w:t>
      </w:r>
      <w:r w:rsidR="00543468" w:rsidRPr="00941D4E">
        <w:rPr>
          <w:rFonts w:ascii="Arial" w:hAnsi="Arial" w:cs="Arial"/>
          <w:sz w:val="24"/>
          <w:szCs w:val="24"/>
        </w:rPr>
        <w:t>Transurban</w:t>
      </w:r>
      <w:proofErr w:type="spellEnd"/>
      <w:r w:rsidR="00543468" w:rsidRPr="00941D4E">
        <w:rPr>
          <w:rFonts w:ascii="Arial" w:hAnsi="Arial" w:cs="Arial"/>
          <w:sz w:val="24"/>
          <w:szCs w:val="24"/>
        </w:rPr>
        <w:t xml:space="preserve"> claimed that the savings in accident costs would </w:t>
      </w:r>
      <w:r w:rsidR="00EB14C3">
        <w:rPr>
          <w:rFonts w:ascii="Arial" w:hAnsi="Arial" w:cs="Arial"/>
          <w:sz w:val="24"/>
          <w:szCs w:val="24"/>
        </w:rPr>
        <w:t xml:space="preserve">amount to </w:t>
      </w:r>
      <w:r w:rsidR="00543468" w:rsidRPr="00941D4E">
        <w:rPr>
          <w:rFonts w:ascii="Arial" w:hAnsi="Arial" w:cs="Arial"/>
          <w:sz w:val="24"/>
          <w:szCs w:val="24"/>
        </w:rPr>
        <w:t>$</w:t>
      </w:r>
      <w:proofErr w:type="spellStart"/>
      <w:r w:rsidR="00543468" w:rsidRPr="00941D4E">
        <w:rPr>
          <w:rFonts w:ascii="Arial" w:hAnsi="Arial" w:cs="Arial"/>
          <w:sz w:val="24"/>
          <w:szCs w:val="24"/>
        </w:rPr>
        <w:t>33m</w:t>
      </w:r>
      <w:proofErr w:type="spellEnd"/>
      <w:r w:rsidR="00543468" w:rsidRPr="00941D4E">
        <w:rPr>
          <w:rFonts w:ascii="Arial" w:hAnsi="Arial" w:cs="Arial"/>
          <w:sz w:val="24"/>
          <w:szCs w:val="24"/>
        </w:rPr>
        <w:t xml:space="preserve"> over 30 years. The actual value calculated by the author </w:t>
      </w:r>
      <w:r w:rsidR="00EB14C3">
        <w:rPr>
          <w:rFonts w:ascii="Arial" w:hAnsi="Arial" w:cs="Arial"/>
          <w:sz w:val="24"/>
          <w:szCs w:val="24"/>
        </w:rPr>
        <w:t xml:space="preserve">was </w:t>
      </w:r>
      <w:r w:rsidR="00543468" w:rsidRPr="00941D4E">
        <w:rPr>
          <w:rFonts w:ascii="Arial" w:hAnsi="Arial" w:cs="Arial"/>
          <w:sz w:val="24"/>
          <w:szCs w:val="24"/>
        </w:rPr>
        <w:t>only $</w:t>
      </w:r>
      <w:proofErr w:type="spellStart"/>
      <w:r w:rsidR="00543468" w:rsidRPr="00941D4E">
        <w:rPr>
          <w:rFonts w:ascii="Arial" w:hAnsi="Arial" w:cs="Arial"/>
          <w:sz w:val="24"/>
          <w:szCs w:val="24"/>
        </w:rPr>
        <w:t>0.65m</w:t>
      </w:r>
      <w:proofErr w:type="spellEnd"/>
      <w:r w:rsidR="00543468" w:rsidRPr="00941D4E">
        <w:rPr>
          <w:rFonts w:ascii="Arial" w:hAnsi="Arial" w:cs="Arial"/>
          <w:sz w:val="24"/>
          <w:szCs w:val="24"/>
        </w:rPr>
        <w:t xml:space="preserve"> over 36 years a value derived from 13 years of </w:t>
      </w:r>
      <w:r w:rsidR="00A46B22">
        <w:rPr>
          <w:rFonts w:ascii="Arial" w:hAnsi="Arial" w:cs="Arial"/>
          <w:sz w:val="24"/>
          <w:szCs w:val="24"/>
        </w:rPr>
        <w:t xml:space="preserve">actual </w:t>
      </w:r>
      <w:proofErr w:type="spellStart"/>
      <w:r w:rsidR="00543468" w:rsidRPr="00941D4E">
        <w:rPr>
          <w:rFonts w:ascii="Arial" w:hAnsi="Arial" w:cs="Arial"/>
          <w:sz w:val="24"/>
          <w:szCs w:val="24"/>
        </w:rPr>
        <w:t>RTA</w:t>
      </w:r>
      <w:proofErr w:type="spellEnd"/>
      <w:r w:rsidR="00543468" w:rsidRPr="00941D4E">
        <w:rPr>
          <w:rFonts w:ascii="Arial" w:hAnsi="Arial" w:cs="Arial"/>
          <w:sz w:val="24"/>
          <w:szCs w:val="24"/>
        </w:rPr>
        <w:t xml:space="preserve"> crash data on the </w:t>
      </w:r>
      <w:proofErr w:type="spellStart"/>
      <w:r w:rsidR="00543468" w:rsidRPr="00941D4E">
        <w:rPr>
          <w:rFonts w:ascii="Arial" w:hAnsi="Arial" w:cs="Arial"/>
          <w:sz w:val="24"/>
          <w:szCs w:val="24"/>
        </w:rPr>
        <w:t>M2</w:t>
      </w:r>
      <w:proofErr w:type="spellEnd"/>
      <w:r w:rsidR="00543468" w:rsidRPr="00941D4E">
        <w:rPr>
          <w:rFonts w:ascii="Arial" w:hAnsi="Arial" w:cs="Arial"/>
          <w:sz w:val="24"/>
          <w:szCs w:val="24"/>
        </w:rPr>
        <w:t xml:space="preserve"> together with accident cost data from the Bureau of Infrastructure, Transport and Regional Economics (</w:t>
      </w:r>
      <w:proofErr w:type="spellStart"/>
      <w:r w:rsidR="00543468" w:rsidRPr="00941D4E">
        <w:rPr>
          <w:rFonts w:ascii="Arial" w:hAnsi="Arial" w:cs="Arial"/>
          <w:sz w:val="24"/>
          <w:szCs w:val="24"/>
        </w:rPr>
        <w:t>BITRE</w:t>
      </w:r>
      <w:proofErr w:type="spellEnd"/>
      <w:r w:rsidR="009B290E">
        <w:rPr>
          <w:rFonts w:ascii="Arial" w:hAnsi="Arial" w:cs="Arial"/>
          <w:sz w:val="24"/>
          <w:szCs w:val="24"/>
        </w:rPr>
        <w:t>, 2006</w:t>
      </w:r>
      <w:r w:rsidR="00543468" w:rsidRPr="00941D4E">
        <w:rPr>
          <w:rFonts w:ascii="Arial" w:hAnsi="Arial" w:cs="Arial"/>
          <w:sz w:val="24"/>
          <w:szCs w:val="24"/>
        </w:rPr>
        <w:t xml:space="preserve">). </w:t>
      </w:r>
    </w:p>
    <w:p w:rsidR="00C75084" w:rsidRDefault="00543468" w:rsidP="00243C23">
      <w:pPr>
        <w:pStyle w:val="ListParagraph"/>
        <w:numPr>
          <w:ilvl w:val="0"/>
          <w:numId w:val="29"/>
        </w:numPr>
        <w:ind w:left="1560"/>
        <w:rPr>
          <w:rFonts w:ascii="Arial" w:hAnsi="Arial" w:cs="Arial"/>
          <w:sz w:val="24"/>
          <w:szCs w:val="24"/>
        </w:rPr>
      </w:pPr>
      <w:r w:rsidRPr="00243C23">
        <w:rPr>
          <w:rFonts w:ascii="Arial" w:hAnsi="Arial" w:cs="Arial"/>
          <w:sz w:val="24"/>
          <w:szCs w:val="24"/>
        </w:rPr>
        <w:t xml:space="preserve">The </w:t>
      </w:r>
      <w:proofErr w:type="spellStart"/>
      <w:r w:rsidRPr="00243C23">
        <w:rPr>
          <w:rFonts w:ascii="Arial" w:hAnsi="Arial" w:cs="Arial"/>
          <w:sz w:val="24"/>
          <w:szCs w:val="24"/>
        </w:rPr>
        <w:t>Transurban</w:t>
      </w:r>
      <w:proofErr w:type="spellEnd"/>
      <w:r w:rsidRPr="00243C23">
        <w:rPr>
          <w:rFonts w:ascii="Arial" w:hAnsi="Arial" w:cs="Arial"/>
          <w:sz w:val="24"/>
          <w:szCs w:val="24"/>
        </w:rPr>
        <w:t xml:space="preserve"> result has clearly been fabricated because there is no reference whatsoever to the </w:t>
      </w:r>
      <w:proofErr w:type="spellStart"/>
      <w:r w:rsidRPr="00243C23">
        <w:rPr>
          <w:rFonts w:ascii="Arial" w:hAnsi="Arial" w:cs="Arial"/>
          <w:sz w:val="24"/>
          <w:szCs w:val="24"/>
        </w:rPr>
        <w:t>RTA</w:t>
      </w:r>
      <w:proofErr w:type="spellEnd"/>
      <w:r w:rsidRPr="00243C23">
        <w:rPr>
          <w:rFonts w:ascii="Arial" w:hAnsi="Arial" w:cs="Arial"/>
          <w:sz w:val="24"/>
          <w:szCs w:val="24"/>
        </w:rPr>
        <w:t xml:space="preserve"> </w:t>
      </w:r>
      <w:proofErr w:type="spellStart"/>
      <w:r w:rsidRPr="00243C23">
        <w:rPr>
          <w:rFonts w:ascii="Arial" w:hAnsi="Arial" w:cs="Arial"/>
          <w:sz w:val="24"/>
          <w:szCs w:val="24"/>
        </w:rPr>
        <w:t>M2</w:t>
      </w:r>
      <w:proofErr w:type="spellEnd"/>
      <w:r w:rsidRPr="00243C23">
        <w:rPr>
          <w:rFonts w:ascii="Arial" w:hAnsi="Arial" w:cs="Arial"/>
          <w:sz w:val="24"/>
          <w:szCs w:val="24"/>
        </w:rPr>
        <w:t xml:space="preserve"> </w:t>
      </w:r>
      <w:r w:rsidR="00A46B22" w:rsidRPr="00243C23">
        <w:rPr>
          <w:rFonts w:ascii="Arial" w:hAnsi="Arial" w:cs="Arial"/>
          <w:sz w:val="24"/>
          <w:szCs w:val="24"/>
        </w:rPr>
        <w:t xml:space="preserve">Motorway </w:t>
      </w:r>
      <w:r w:rsidRPr="00243C23">
        <w:rPr>
          <w:rFonts w:ascii="Arial" w:hAnsi="Arial" w:cs="Arial"/>
          <w:sz w:val="24"/>
          <w:szCs w:val="24"/>
        </w:rPr>
        <w:t xml:space="preserve">data base of which </w:t>
      </w:r>
      <w:proofErr w:type="spellStart"/>
      <w:r w:rsidRPr="00243C23">
        <w:rPr>
          <w:rFonts w:ascii="Arial" w:hAnsi="Arial" w:cs="Arial"/>
          <w:sz w:val="24"/>
          <w:szCs w:val="24"/>
        </w:rPr>
        <w:t>Transurban</w:t>
      </w:r>
      <w:proofErr w:type="spellEnd"/>
      <w:r w:rsidRPr="00243C23">
        <w:rPr>
          <w:rFonts w:ascii="Arial" w:hAnsi="Arial" w:cs="Arial"/>
          <w:sz w:val="24"/>
          <w:szCs w:val="24"/>
        </w:rPr>
        <w:t xml:space="preserve"> must have been aware, or to the </w:t>
      </w:r>
      <w:proofErr w:type="spellStart"/>
      <w:r w:rsidRPr="00243C23">
        <w:rPr>
          <w:rFonts w:ascii="Arial" w:hAnsi="Arial" w:cs="Arial"/>
          <w:sz w:val="24"/>
          <w:szCs w:val="24"/>
        </w:rPr>
        <w:t>BITRE</w:t>
      </w:r>
      <w:proofErr w:type="spellEnd"/>
      <w:r w:rsidR="00A46B22" w:rsidRPr="00243C23">
        <w:rPr>
          <w:rFonts w:ascii="Arial" w:hAnsi="Arial" w:cs="Arial"/>
          <w:sz w:val="24"/>
          <w:szCs w:val="24"/>
        </w:rPr>
        <w:t xml:space="preserve"> (2006)</w:t>
      </w:r>
      <w:r w:rsidRPr="00243C23">
        <w:rPr>
          <w:rFonts w:ascii="Arial" w:hAnsi="Arial" w:cs="Arial"/>
          <w:sz w:val="24"/>
          <w:szCs w:val="24"/>
        </w:rPr>
        <w:t xml:space="preserve"> results. Moreover, the </w:t>
      </w:r>
      <w:proofErr w:type="spellStart"/>
      <w:r w:rsidRPr="00243C23">
        <w:rPr>
          <w:rFonts w:ascii="Arial" w:hAnsi="Arial" w:cs="Arial"/>
          <w:sz w:val="24"/>
          <w:szCs w:val="24"/>
        </w:rPr>
        <w:t>Transurban</w:t>
      </w:r>
      <w:proofErr w:type="spellEnd"/>
      <w:r w:rsidRPr="00243C23">
        <w:rPr>
          <w:rFonts w:ascii="Arial" w:hAnsi="Arial" w:cs="Arial"/>
          <w:sz w:val="24"/>
          <w:szCs w:val="24"/>
        </w:rPr>
        <w:t xml:space="preserve"> </w:t>
      </w:r>
      <w:r w:rsidR="00975554" w:rsidRPr="00243C23">
        <w:rPr>
          <w:rFonts w:ascii="Arial" w:hAnsi="Arial" w:cs="Arial"/>
          <w:sz w:val="24"/>
          <w:szCs w:val="24"/>
        </w:rPr>
        <w:t>result for</w:t>
      </w:r>
      <w:r w:rsidR="009B290E" w:rsidRPr="00243C23">
        <w:rPr>
          <w:rFonts w:ascii="Arial" w:hAnsi="Arial" w:cs="Arial"/>
          <w:sz w:val="24"/>
          <w:szCs w:val="24"/>
        </w:rPr>
        <w:t xml:space="preserve"> relatively large savings in accident costs is being misinterpreted by that organisation as evidence of a “favourable </w:t>
      </w:r>
      <w:r w:rsidR="00243C23" w:rsidRPr="00243C23">
        <w:rPr>
          <w:rFonts w:ascii="Arial" w:hAnsi="Arial" w:cs="Arial"/>
          <w:sz w:val="24"/>
          <w:szCs w:val="24"/>
        </w:rPr>
        <w:t>accident profile”</w:t>
      </w:r>
      <w:r w:rsidR="00690365">
        <w:rPr>
          <w:rFonts w:ascii="Arial" w:hAnsi="Arial" w:cs="Arial"/>
          <w:sz w:val="24"/>
          <w:szCs w:val="24"/>
        </w:rPr>
        <w:t xml:space="preserve"> for the widened road</w:t>
      </w:r>
      <w:r w:rsidR="00975554">
        <w:rPr>
          <w:rFonts w:ascii="Arial" w:hAnsi="Arial" w:cs="Arial"/>
          <w:sz w:val="24"/>
          <w:szCs w:val="24"/>
        </w:rPr>
        <w:t>.</w:t>
      </w:r>
      <w:r w:rsidR="00243C23" w:rsidRPr="00243C23">
        <w:rPr>
          <w:rFonts w:ascii="Arial" w:hAnsi="Arial" w:cs="Arial"/>
          <w:sz w:val="24"/>
          <w:szCs w:val="24"/>
        </w:rPr>
        <w:t xml:space="preserve"> </w:t>
      </w:r>
      <w:r w:rsidR="00690365">
        <w:rPr>
          <w:rFonts w:ascii="Arial" w:hAnsi="Arial" w:cs="Arial"/>
          <w:sz w:val="24"/>
          <w:szCs w:val="24"/>
        </w:rPr>
        <w:t>This claim is not supported by the results of the author’s analysis</w:t>
      </w:r>
      <w:r w:rsidR="00975554">
        <w:rPr>
          <w:rFonts w:ascii="Arial" w:hAnsi="Arial" w:cs="Arial"/>
          <w:sz w:val="24"/>
          <w:szCs w:val="24"/>
        </w:rPr>
        <w:t>.</w:t>
      </w:r>
    </w:p>
    <w:p w:rsidR="006C2EE1" w:rsidRDefault="006C2EE1" w:rsidP="006C2EE1">
      <w:pPr>
        <w:rPr>
          <w:rFonts w:ascii="Arial" w:hAnsi="Arial" w:cs="Arial"/>
          <w:sz w:val="24"/>
          <w:szCs w:val="24"/>
        </w:rPr>
      </w:pPr>
    </w:p>
    <w:p w:rsidR="006C2EE1" w:rsidRPr="006C2EE1" w:rsidRDefault="006C2EE1" w:rsidP="006C2EE1">
      <w:pPr>
        <w:rPr>
          <w:rFonts w:ascii="Arial" w:hAnsi="Arial" w:cs="Arial"/>
          <w:sz w:val="24"/>
          <w:szCs w:val="24"/>
        </w:rPr>
      </w:pPr>
    </w:p>
    <w:p w:rsidR="00E519D0" w:rsidRPr="00243C23" w:rsidRDefault="00E519D0" w:rsidP="002C1846">
      <w:pPr>
        <w:pStyle w:val="ListParagraph"/>
        <w:ind w:left="1560"/>
        <w:rPr>
          <w:rFonts w:ascii="Arial" w:hAnsi="Arial" w:cs="Arial"/>
          <w:sz w:val="24"/>
          <w:szCs w:val="24"/>
        </w:rPr>
      </w:pPr>
    </w:p>
    <w:p w:rsidR="00543468" w:rsidRPr="00847027" w:rsidRDefault="00C75084" w:rsidP="00C75084">
      <w:pPr>
        <w:ind w:left="993"/>
        <w:rPr>
          <w:rFonts w:ascii="Arial" w:hAnsi="Arial" w:cs="Arial"/>
          <w:b/>
          <w:sz w:val="24"/>
          <w:szCs w:val="24"/>
        </w:rPr>
      </w:pPr>
      <w:r>
        <w:rPr>
          <w:rFonts w:ascii="Arial" w:hAnsi="Arial" w:cs="Arial"/>
          <w:b/>
          <w:sz w:val="24"/>
          <w:szCs w:val="24"/>
        </w:rPr>
        <w:lastRenderedPageBreak/>
        <w:t>1.2</w:t>
      </w:r>
      <w:r w:rsidR="00EB14C3">
        <w:rPr>
          <w:rFonts w:ascii="Arial" w:hAnsi="Arial" w:cs="Arial"/>
          <w:b/>
          <w:sz w:val="24"/>
          <w:szCs w:val="24"/>
        </w:rPr>
        <w:t>.</w:t>
      </w:r>
      <w:r>
        <w:rPr>
          <w:rFonts w:ascii="Arial" w:hAnsi="Arial" w:cs="Arial"/>
          <w:b/>
          <w:sz w:val="24"/>
          <w:szCs w:val="24"/>
        </w:rPr>
        <w:t>4</w:t>
      </w:r>
      <w:r w:rsidR="00201173">
        <w:rPr>
          <w:rFonts w:ascii="Arial" w:hAnsi="Arial" w:cs="Arial"/>
          <w:b/>
          <w:sz w:val="24"/>
          <w:szCs w:val="24"/>
        </w:rPr>
        <w:t xml:space="preserve"> S</w:t>
      </w:r>
      <w:r w:rsidR="00543468" w:rsidRPr="00847027">
        <w:rPr>
          <w:rFonts w:ascii="Arial" w:hAnsi="Arial" w:cs="Arial"/>
          <w:b/>
          <w:sz w:val="24"/>
          <w:szCs w:val="24"/>
        </w:rPr>
        <w:t>avings in vehicle operating costs</w:t>
      </w:r>
      <w:r>
        <w:rPr>
          <w:rFonts w:ascii="Arial" w:hAnsi="Arial" w:cs="Arial"/>
          <w:b/>
          <w:sz w:val="24"/>
          <w:szCs w:val="24"/>
        </w:rPr>
        <w:t xml:space="preserve"> (note 3)</w:t>
      </w:r>
      <w:r w:rsidR="00543468" w:rsidRPr="00847027">
        <w:rPr>
          <w:rFonts w:ascii="Arial" w:hAnsi="Arial" w:cs="Arial"/>
          <w:b/>
          <w:sz w:val="24"/>
          <w:szCs w:val="24"/>
        </w:rPr>
        <w:t>.</w:t>
      </w:r>
    </w:p>
    <w:p w:rsidR="002C1846" w:rsidRDefault="00543468" w:rsidP="00332DB6">
      <w:pPr>
        <w:ind w:left="1560"/>
        <w:rPr>
          <w:rFonts w:ascii="Arial" w:hAnsi="Arial" w:cs="Arial"/>
          <w:sz w:val="24"/>
          <w:szCs w:val="24"/>
        </w:rPr>
      </w:pPr>
      <w:r w:rsidRPr="00855B1B">
        <w:rPr>
          <w:rFonts w:ascii="Arial" w:hAnsi="Arial" w:cs="Arial"/>
          <w:sz w:val="24"/>
          <w:szCs w:val="24"/>
        </w:rPr>
        <w:t xml:space="preserve">Abelson (1988) using </w:t>
      </w:r>
      <w:proofErr w:type="spellStart"/>
      <w:r w:rsidRPr="00855B1B">
        <w:rPr>
          <w:rFonts w:ascii="Arial" w:hAnsi="Arial" w:cs="Arial"/>
          <w:sz w:val="24"/>
          <w:szCs w:val="24"/>
        </w:rPr>
        <w:t>NAASRA</w:t>
      </w:r>
      <w:proofErr w:type="spellEnd"/>
      <w:r w:rsidRPr="00855B1B">
        <w:rPr>
          <w:rFonts w:ascii="Arial" w:hAnsi="Arial" w:cs="Arial"/>
          <w:sz w:val="24"/>
          <w:szCs w:val="24"/>
        </w:rPr>
        <w:t xml:space="preserve"> data showed that vehicle operating costs are a function of speed as the main parameter.  The relationship is U-shaped. At low speeds the operating costs are very significantly lower than at higher speeds. The negative sign in the author’s results reflects this situation. The savings are actually costs. </w:t>
      </w:r>
      <w:proofErr w:type="spellStart"/>
      <w:r w:rsidRPr="00855B1B">
        <w:rPr>
          <w:rFonts w:ascii="Arial" w:hAnsi="Arial" w:cs="Arial"/>
          <w:sz w:val="24"/>
          <w:szCs w:val="24"/>
        </w:rPr>
        <w:t>Transurban’s</w:t>
      </w:r>
      <w:proofErr w:type="spellEnd"/>
      <w:r w:rsidRPr="00855B1B">
        <w:rPr>
          <w:rFonts w:ascii="Arial" w:hAnsi="Arial" w:cs="Arial"/>
          <w:sz w:val="24"/>
          <w:szCs w:val="24"/>
        </w:rPr>
        <w:t xml:space="preserve"> result is inconsistent with reality. </w:t>
      </w:r>
      <w:r>
        <w:rPr>
          <w:rFonts w:ascii="Arial" w:hAnsi="Arial" w:cs="Arial"/>
          <w:sz w:val="24"/>
          <w:szCs w:val="24"/>
        </w:rPr>
        <w:t xml:space="preserve">as </w:t>
      </w:r>
      <w:r w:rsidR="00975554">
        <w:rPr>
          <w:rFonts w:ascii="Arial" w:hAnsi="Arial" w:cs="Arial"/>
          <w:sz w:val="24"/>
          <w:szCs w:val="24"/>
        </w:rPr>
        <w:t xml:space="preserve">it </w:t>
      </w:r>
      <w:r w:rsidR="00975554" w:rsidRPr="00855B1B">
        <w:rPr>
          <w:rFonts w:ascii="Arial" w:hAnsi="Arial" w:cs="Arial"/>
          <w:sz w:val="24"/>
          <w:szCs w:val="24"/>
        </w:rPr>
        <w:t>calculated</w:t>
      </w:r>
      <w:r w:rsidRPr="00855B1B">
        <w:rPr>
          <w:rFonts w:ascii="Arial" w:hAnsi="Arial" w:cs="Arial"/>
          <w:sz w:val="24"/>
          <w:szCs w:val="24"/>
        </w:rPr>
        <w:t xml:space="preserve"> the savings in costs on the basis of an “average speed of 40 km/h”. But as shown in note </w:t>
      </w:r>
      <w:r w:rsidR="00332DB6">
        <w:rPr>
          <w:rFonts w:ascii="Arial" w:hAnsi="Arial" w:cs="Arial"/>
          <w:sz w:val="24"/>
          <w:szCs w:val="24"/>
        </w:rPr>
        <w:t>(</w:t>
      </w:r>
      <w:r w:rsidRPr="00855B1B">
        <w:rPr>
          <w:rFonts w:ascii="Arial" w:hAnsi="Arial" w:cs="Arial"/>
          <w:sz w:val="24"/>
          <w:szCs w:val="24"/>
        </w:rPr>
        <w:t xml:space="preserve">1) this </w:t>
      </w:r>
      <w:r>
        <w:rPr>
          <w:rFonts w:ascii="Arial" w:hAnsi="Arial" w:cs="Arial"/>
          <w:sz w:val="24"/>
          <w:szCs w:val="24"/>
        </w:rPr>
        <w:t xml:space="preserve">claimed </w:t>
      </w:r>
      <w:r w:rsidRPr="00855B1B">
        <w:rPr>
          <w:rFonts w:ascii="Arial" w:hAnsi="Arial" w:cs="Arial"/>
          <w:sz w:val="24"/>
          <w:szCs w:val="24"/>
        </w:rPr>
        <w:t xml:space="preserve">average speed is four times as great as it should be if it were properly based on the actual </w:t>
      </w:r>
      <w:proofErr w:type="spellStart"/>
      <w:r w:rsidRPr="00855B1B">
        <w:rPr>
          <w:rFonts w:ascii="Arial" w:hAnsi="Arial" w:cs="Arial"/>
          <w:sz w:val="24"/>
          <w:szCs w:val="24"/>
        </w:rPr>
        <w:t>M2</w:t>
      </w:r>
      <w:proofErr w:type="spellEnd"/>
      <w:r w:rsidRPr="00855B1B">
        <w:rPr>
          <w:rFonts w:ascii="Arial" w:hAnsi="Arial" w:cs="Arial"/>
          <w:sz w:val="24"/>
          <w:szCs w:val="24"/>
        </w:rPr>
        <w:t xml:space="preserve"> traffic densities.</w:t>
      </w:r>
    </w:p>
    <w:p w:rsidR="00543468" w:rsidRDefault="00543468" w:rsidP="00550B6C">
      <w:pPr>
        <w:jc w:val="center"/>
        <w:rPr>
          <w:rFonts w:ascii="Arial" w:hAnsi="Arial" w:cs="Arial"/>
          <w:b/>
          <w:sz w:val="28"/>
          <w:szCs w:val="28"/>
        </w:rPr>
      </w:pPr>
    </w:p>
    <w:p w:rsidR="00847027" w:rsidRDefault="002116EB" w:rsidP="00C75084">
      <w:pPr>
        <w:pStyle w:val="ListParagraph"/>
        <w:ind w:left="993"/>
        <w:rPr>
          <w:rFonts w:ascii="Arial" w:hAnsi="Arial" w:cs="Arial"/>
          <w:b/>
          <w:sz w:val="28"/>
          <w:szCs w:val="28"/>
        </w:rPr>
      </w:pPr>
      <w:r w:rsidRPr="00326D4D">
        <w:rPr>
          <w:rFonts w:ascii="Arial" w:hAnsi="Arial" w:cs="Arial"/>
          <w:b/>
          <w:sz w:val="28"/>
          <w:szCs w:val="28"/>
        </w:rPr>
        <w:t xml:space="preserve"> </w:t>
      </w:r>
      <w:r w:rsidR="00975554">
        <w:rPr>
          <w:rFonts w:ascii="Arial" w:hAnsi="Arial" w:cs="Arial"/>
          <w:b/>
          <w:sz w:val="28"/>
          <w:szCs w:val="28"/>
        </w:rPr>
        <w:t xml:space="preserve">1.3 </w:t>
      </w:r>
      <w:r w:rsidR="00975554" w:rsidRPr="009B125A">
        <w:rPr>
          <w:rFonts w:ascii="Arial" w:hAnsi="Arial" w:cs="Arial"/>
          <w:b/>
          <w:sz w:val="28"/>
          <w:szCs w:val="28"/>
        </w:rPr>
        <w:t>The</w:t>
      </w:r>
      <w:r w:rsidR="00847027" w:rsidRPr="00326D4D">
        <w:rPr>
          <w:rFonts w:ascii="Arial" w:hAnsi="Arial" w:cs="Arial"/>
          <w:b/>
          <w:sz w:val="28"/>
          <w:szCs w:val="28"/>
        </w:rPr>
        <w:t xml:space="preserve"> proposed </w:t>
      </w:r>
      <w:proofErr w:type="spellStart"/>
      <w:r w:rsidR="00847027" w:rsidRPr="00326D4D">
        <w:rPr>
          <w:rFonts w:ascii="Arial" w:hAnsi="Arial" w:cs="Arial"/>
          <w:b/>
          <w:sz w:val="28"/>
          <w:szCs w:val="28"/>
        </w:rPr>
        <w:t>NorthConnex</w:t>
      </w:r>
      <w:proofErr w:type="spellEnd"/>
      <w:r w:rsidR="00847027" w:rsidRPr="00326D4D">
        <w:rPr>
          <w:rFonts w:ascii="Arial" w:hAnsi="Arial" w:cs="Arial"/>
          <w:b/>
          <w:sz w:val="28"/>
          <w:szCs w:val="28"/>
        </w:rPr>
        <w:t xml:space="preserve"> road tun</w:t>
      </w:r>
      <w:r w:rsidR="00847027">
        <w:rPr>
          <w:rFonts w:ascii="Arial" w:hAnsi="Arial" w:cs="Arial"/>
          <w:b/>
          <w:sz w:val="28"/>
          <w:szCs w:val="28"/>
        </w:rPr>
        <w:t>n</w:t>
      </w:r>
      <w:r w:rsidR="00847027" w:rsidRPr="00326D4D">
        <w:rPr>
          <w:rFonts w:ascii="Arial" w:hAnsi="Arial" w:cs="Arial"/>
          <w:b/>
          <w:sz w:val="28"/>
          <w:szCs w:val="28"/>
        </w:rPr>
        <w:t>el</w:t>
      </w:r>
    </w:p>
    <w:p w:rsidR="00847027" w:rsidRDefault="00847027" w:rsidP="00847027">
      <w:pPr>
        <w:pStyle w:val="ListParagraph"/>
        <w:ind w:left="1080"/>
        <w:rPr>
          <w:rFonts w:ascii="Arial" w:hAnsi="Arial" w:cs="Arial"/>
          <w:sz w:val="24"/>
          <w:szCs w:val="24"/>
        </w:rPr>
      </w:pPr>
    </w:p>
    <w:p w:rsidR="00201173" w:rsidRDefault="00201173" w:rsidP="00E519D0">
      <w:pPr>
        <w:pStyle w:val="ListParagraph"/>
        <w:ind w:left="1701"/>
        <w:rPr>
          <w:rFonts w:ascii="Arial" w:hAnsi="Arial" w:cs="Arial"/>
          <w:sz w:val="24"/>
          <w:szCs w:val="24"/>
        </w:rPr>
      </w:pPr>
      <w:r>
        <w:rPr>
          <w:rFonts w:ascii="Arial" w:hAnsi="Arial" w:cs="Arial"/>
          <w:sz w:val="24"/>
          <w:szCs w:val="24"/>
        </w:rPr>
        <w:t xml:space="preserve">This project was an </w:t>
      </w:r>
      <w:r w:rsidR="00975554">
        <w:rPr>
          <w:rFonts w:ascii="Arial" w:hAnsi="Arial" w:cs="Arial"/>
          <w:sz w:val="24"/>
          <w:szCs w:val="24"/>
        </w:rPr>
        <w:t>unsolicited</w:t>
      </w:r>
      <w:r>
        <w:rPr>
          <w:rFonts w:ascii="Arial" w:hAnsi="Arial" w:cs="Arial"/>
          <w:sz w:val="24"/>
          <w:szCs w:val="24"/>
        </w:rPr>
        <w:t xml:space="preserve"> proposal by </w:t>
      </w:r>
      <w:proofErr w:type="spellStart"/>
      <w:r>
        <w:rPr>
          <w:rFonts w:ascii="Arial" w:hAnsi="Arial" w:cs="Arial"/>
          <w:sz w:val="24"/>
          <w:szCs w:val="24"/>
        </w:rPr>
        <w:t>Transurban</w:t>
      </w:r>
      <w:proofErr w:type="spellEnd"/>
      <w:r>
        <w:rPr>
          <w:rFonts w:ascii="Arial" w:hAnsi="Arial" w:cs="Arial"/>
          <w:sz w:val="24"/>
          <w:szCs w:val="24"/>
        </w:rPr>
        <w:t>, a toll collecting conglomerate. Acceptance by the NSW government would have the effect of raising its profile as an infra</w:t>
      </w:r>
      <w:r w:rsidR="002231C8">
        <w:rPr>
          <w:rFonts w:ascii="Arial" w:hAnsi="Arial" w:cs="Arial"/>
          <w:sz w:val="24"/>
          <w:szCs w:val="24"/>
        </w:rPr>
        <w:t>structure provider of substance despite its financially impaired state (Goldberg</w:t>
      </w:r>
      <w:r w:rsidR="00975554">
        <w:rPr>
          <w:rFonts w:ascii="Arial" w:hAnsi="Arial" w:cs="Arial"/>
          <w:sz w:val="24"/>
          <w:szCs w:val="24"/>
        </w:rPr>
        <w:t>, 2013</w:t>
      </w:r>
      <w:r w:rsidR="002231C8">
        <w:rPr>
          <w:rFonts w:ascii="Arial" w:hAnsi="Arial" w:cs="Arial"/>
          <w:sz w:val="24"/>
          <w:szCs w:val="24"/>
        </w:rPr>
        <w:t>).</w:t>
      </w:r>
    </w:p>
    <w:p w:rsidR="005E7B8B" w:rsidRDefault="005E7B8B" w:rsidP="00E519D0">
      <w:pPr>
        <w:pStyle w:val="ListParagraph"/>
        <w:ind w:left="1701"/>
        <w:rPr>
          <w:rFonts w:ascii="Arial" w:hAnsi="Arial" w:cs="Arial"/>
          <w:sz w:val="24"/>
          <w:szCs w:val="24"/>
        </w:rPr>
      </w:pPr>
    </w:p>
    <w:p w:rsidR="00847027" w:rsidRPr="00EE76EF" w:rsidRDefault="00847027" w:rsidP="00E519D0">
      <w:pPr>
        <w:pStyle w:val="ListParagraph"/>
        <w:ind w:left="1701"/>
        <w:rPr>
          <w:rFonts w:ascii="Arial" w:hAnsi="Arial" w:cs="Arial"/>
          <w:sz w:val="24"/>
          <w:szCs w:val="24"/>
        </w:rPr>
      </w:pPr>
      <w:r w:rsidRPr="00EE76EF">
        <w:rPr>
          <w:rFonts w:ascii="Arial" w:hAnsi="Arial" w:cs="Arial"/>
          <w:sz w:val="24"/>
          <w:szCs w:val="24"/>
        </w:rPr>
        <w:t>The National Infrastr</w:t>
      </w:r>
      <w:r w:rsidR="005E7B8B">
        <w:rPr>
          <w:rFonts w:ascii="Arial" w:hAnsi="Arial" w:cs="Arial"/>
          <w:sz w:val="24"/>
          <w:szCs w:val="24"/>
        </w:rPr>
        <w:t>ucture Co</w:t>
      </w:r>
      <w:r w:rsidRPr="00EE76EF">
        <w:rPr>
          <w:rFonts w:ascii="Arial" w:hAnsi="Arial" w:cs="Arial"/>
          <w:sz w:val="24"/>
          <w:szCs w:val="24"/>
        </w:rPr>
        <w:t xml:space="preserve">ordinator in 2012 </w:t>
      </w:r>
      <w:r w:rsidR="00EB14C3" w:rsidRPr="00EE76EF">
        <w:rPr>
          <w:rFonts w:ascii="Arial" w:hAnsi="Arial" w:cs="Arial"/>
          <w:sz w:val="24"/>
          <w:szCs w:val="24"/>
        </w:rPr>
        <w:t>reported</w:t>
      </w:r>
      <w:r w:rsidR="00EB14C3" w:rsidRPr="00EE76EF">
        <w:rPr>
          <w:rStyle w:val="FootnoteReference"/>
          <w:rFonts w:ascii="Arial" w:hAnsi="Arial" w:cs="Arial"/>
          <w:sz w:val="24"/>
          <w:szCs w:val="24"/>
        </w:rPr>
        <w:footnoteReference w:id="5"/>
      </w:r>
      <w:r w:rsidR="00EB14C3" w:rsidRPr="00EE76EF">
        <w:rPr>
          <w:rFonts w:ascii="Arial" w:hAnsi="Arial" w:cs="Arial"/>
          <w:sz w:val="24"/>
          <w:szCs w:val="24"/>
        </w:rPr>
        <w:t xml:space="preserve"> </w:t>
      </w:r>
      <w:r w:rsidRPr="00EE76EF">
        <w:rPr>
          <w:rFonts w:ascii="Arial" w:hAnsi="Arial" w:cs="Arial"/>
          <w:sz w:val="24"/>
          <w:szCs w:val="24"/>
        </w:rPr>
        <w:t>that the benefit to cost ratio (</w:t>
      </w:r>
      <w:proofErr w:type="spellStart"/>
      <w:r w:rsidRPr="00EE76EF">
        <w:rPr>
          <w:rFonts w:ascii="Arial" w:hAnsi="Arial" w:cs="Arial"/>
          <w:sz w:val="24"/>
          <w:szCs w:val="24"/>
        </w:rPr>
        <w:t>BCR</w:t>
      </w:r>
      <w:proofErr w:type="spellEnd"/>
      <w:r w:rsidRPr="00EE76EF">
        <w:rPr>
          <w:rFonts w:ascii="Arial" w:hAnsi="Arial" w:cs="Arial"/>
          <w:sz w:val="24"/>
          <w:szCs w:val="24"/>
        </w:rPr>
        <w:t>) for th</w:t>
      </w:r>
      <w:r>
        <w:rPr>
          <w:rFonts w:ascii="Arial" w:hAnsi="Arial" w:cs="Arial"/>
          <w:sz w:val="24"/>
          <w:szCs w:val="24"/>
        </w:rPr>
        <w:t xml:space="preserve">is </w:t>
      </w:r>
      <w:r w:rsidRPr="00EE76EF">
        <w:rPr>
          <w:rFonts w:ascii="Arial" w:hAnsi="Arial" w:cs="Arial"/>
          <w:sz w:val="24"/>
          <w:szCs w:val="24"/>
        </w:rPr>
        <w:t>project st</w:t>
      </w:r>
      <w:r w:rsidR="00941D1C">
        <w:rPr>
          <w:rFonts w:ascii="Arial" w:hAnsi="Arial" w:cs="Arial"/>
          <w:sz w:val="24"/>
          <w:szCs w:val="24"/>
        </w:rPr>
        <w:t xml:space="preserve">ood </w:t>
      </w:r>
      <w:r w:rsidRPr="00EE76EF">
        <w:rPr>
          <w:rFonts w:ascii="Arial" w:hAnsi="Arial" w:cs="Arial"/>
          <w:sz w:val="24"/>
          <w:szCs w:val="24"/>
        </w:rPr>
        <w:t>at somewhere bet</w:t>
      </w:r>
      <w:r>
        <w:rPr>
          <w:rFonts w:ascii="Arial" w:hAnsi="Arial" w:cs="Arial"/>
          <w:sz w:val="24"/>
          <w:szCs w:val="24"/>
        </w:rPr>
        <w:t>ween 0</w:t>
      </w:r>
      <w:r w:rsidR="00201173">
        <w:rPr>
          <w:rFonts w:ascii="Arial" w:hAnsi="Arial" w:cs="Arial"/>
          <w:sz w:val="24"/>
          <w:szCs w:val="24"/>
        </w:rPr>
        <w:t>.57 and 0.74</w:t>
      </w:r>
      <w:r w:rsidRPr="00EE76EF">
        <w:rPr>
          <w:rFonts w:ascii="Arial" w:hAnsi="Arial" w:cs="Arial"/>
          <w:sz w:val="24"/>
          <w:szCs w:val="24"/>
        </w:rPr>
        <w:t xml:space="preserve">. In </w:t>
      </w:r>
      <w:r w:rsidR="005E7B8B">
        <w:rPr>
          <w:rFonts w:ascii="Arial" w:hAnsi="Arial" w:cs="Arial"/>
          <w:sz w:val="24"/>
          <w:szCs w:val="24"/>
        </w:rPr>
        <w:t>the words of the Co</w:t>
      </w:r>
      <w:r w:rsidR="002231C8">
        <w:rPr>
          <w:rFonts w:ascii="Arial" w:hAnsi="Arial" w:cs="Arial"/>
          <w:sz w:val="24"/>
          <w:szCs w:val="24"/>
        </w:rPr>
        <w:t>ordinator</w:t>
      </w:r>
      <w:r w:rsidR="00975554">
        <w:rPr>
          <w:rFonts w:ascii="Arial" w:hAnsi="Arial" w:cs="Arial"/>
          <w:sz w:val="24"/>
          <w:szCs w:val="24"/>
        </w:rPr>
        <w:t xml:space="preserve">, </w:t>
      </w:r>
      <w:r w:rsidR="00975554" w:rsidRPr="00EE76EF">
        <w:rPr>
          <w:rFonts w:ascii="Arial" w:hAnsi="Arial" w:cs="Arial"/>
          <w:sz w:val="24"/>
          <w:szCs w:val="24"/>
        </w:rPr>
        <w:t>the</w:t>
      </w:r>
      <w:r w:rsidRPr="00EE76EF">
        <w:rPr>
          <w:rFonts w:ascii="Arial" w:hAnsi="Arial" w:cs="Arial"/>
          <w:sz w:val="24"/>
          <w:szCs w:val="24"/>
        </w:rPr>
        <w:t xml:space="preserve"> current proposal would “destroy” economic value.</w:t>
      </w:r>
      <w:r>
        <w:rPr>
          <w:rFonts w:ascii="Arial" w:hAnsi="Arial" w:cs="Arial"/>
          <w:sz w:val="24"/>
          <w:szCs w:val="24"/>
        </w:rPr>
        <w:t xml:space="preserve"> The d</w:t>
      </w:r>
      <w:r w:rsidRPr="00EE76EF">
        <w:rPr>
          <w:rFonts w:ascii="Arial" w:hAnsi="Arial" w:cs="Arial"/>
          <w:sz w:val="24"/>
          <w:szCs w:val="24"/>
        </w:rPr>
        <w:t xml:space="preserve">iscount rate </w:t>
      </w:r>
      <w:r>
        <w:rPr>
          <w:rFonts w:ascii="Arial" w:hAnsi="Arial" w:cs="Arial"/>
          <w:sz w:val="24"/>
          <w:szCs w:val="24"/>
        </w:rPr>
        <w:t xml:space="preserve">for this evaluation </w:t>
      </w:r>
      <w:r w:rsidRPr="00EE76EF">
        <w:rPr>
          <w:rFonts w:ascii="Arial" w:hAnsi="Arial" w:cs="Arial"/>
          <w:sz w:val="24"/>
          <w:szCs w:val="24"/>
        </w:rPr>
        <w:t xml:space="preserve">was unstated, but </w:t>
      </w:r>
      <w:r>
        <w:rPr>
          <w:rFonts w:ascii="Arial" w:hAnsi="Arial" w:cs="Arial"/>
          <w:sz w:val="24"/>
          <w:szCs w:val="24"/>
        </w:rPr>
        <w:t xml:space="preserve">it </w:t>
      </w:r>
      <w:r w:rsidRPr="00EE76EF">
        <w:rPr>
          <w:rFonts w:ascii="Arial" w:hAnsi="Arial" w:cs="Arial"/>
          <w:sz w:val="24"/>
          <w:szCs w:val="24"/>
        </w:rPr>
        <w:t xml:space="preserve">is possibly </w:t>
      </w:r>
      <w:proofErr w:type="spellStart"/>
      <w:r w:rsidRPr="00EE76EF">
        <w:rPr>
          <w:rFonts w:ascii="Arial" w:hAnsi="Arial" w:cs="Arial"/>
          <w:sz w:val="24"/>
          <w:szCs w:val="24"/>
        </w:rPr>
        <w:t>7%pa</w:t>
      </w:r>
      <w:proofErr w:type="spellEnd"/>
      <w:r w:rsidRPr="00EE76EF">
        <w:rPr>
          <w:rFonts w:ascii="Arial" w:hAnsi="Arial" w:cs="Arial"/>
          <w:sz w:val="24"/>
          <w:szCs w:val="24"/>
        </w:rPr>
        <w:t xml:space="preserve">, the usual </w:t>
      </w:r>
      <w:r>
        <w:rPr>
          <w:rFonts w:ascii="Arial" w:hAnsi="Arial" w:cs="Arial"/>
          <w:sz w:val="24"/>
          <w:szCs w:val="24"/>
        </w:rPr>
        <w:t xml:space="preserve">social discount rate </w:t>
      </w:r>
      <w:r w:rsidRPr="00EE76EF">
        <w:rPr>
          <w:rFonts w:ascii="Arial" w:hAnsi="Arial" w:cs="Arial"/>
          <w:sz w:val="24"/>
          <w:szCs w:val="24"/>
        </w:rPr>
        <w:t xml:space="preserve">used in </w:t>
      </w:r>
      <w:proofErr w:type="spellStart"/>
      <w:r w:rsidRPr="00EE76EF">
        <w:rPr>
          <w:rFonts w:ascii="Arial" w:hAnsi="Arial" w:cs="Arial"/>
          <w:sz w:val="24"/>
          <w:szCs w:val="24"/>
        </w:rPr>
        <w:t>RUCBA</w:t>
      </w:r>
      <w:proofErr w:type="spellEnd"/>
      <w:r w:rsidR="002231C8">
        <w:rPr>
          <w:rFonts w:ascii="Arial" w:hAnsi="Arial" w:cs="Arial"/>
          <w:sz w:val="24"/>
          <w:szCs w:val="24"/>
        </w:rPr>
        <w:t>.</w:t>
      </w:r>
    </w:p>
    <w:p w:rsidR="00847027" w:rsidRPr="00EE76EF" w:rsidRDefault="00847027" w:rsidP="00E519D0">
      <w:pPr>
        <w:pStyle w:val="ListParagraph"/>
        <w:ind w:left="1701"/>
        <w:rPr>
          <w:rFonts w:ascii="Arial" w:hAnsi="Arial" w:cs="Arial"/>
          <w:sz w:val="24"/>
          <w:szCs w:val="24"/>
        </w:rPr>
      </w:pPr>
    </w:p>
    <w:p w:rsidR="00941D1C" w:rsidRDefault="00B65E55" w:rsidP="00C57516">
      <w:pPr>
        <w:pStyle w:val="ListParagraph"/>
        <w:spacing w:before="240"/>
        <w:ind w:left="1701"/>
        <w:rPr>
          <w:rFonts w:ascii="Arial" w:hAnsi="Arial" w:cs="Arial"/>
          <w:sz w:val="24"/>
          <w:szCs w:val="24"/>
        </w:rPr>
      </w:pPr>
      <w:r w:rsidRPr="00EE76EF">
        <w:rPr>
          <w:rFonts w:ascii="Arial" w:hAnsi="Arial" w:cs="Arial"/>
          <w:sz w:val="24"/>
          <w:szCs w:val="24"/>
        </w:rPr>
        <w:t xml:space="preserve">A second </w:t>
      </w:r>
      <w:r>
        <w:rPr>
          <w:rFonts w:ascii="Arial" w:hAnsi="Arial" w:cs="Arial"/>
          <w:sz w:val="24"/>
          <w:szCs w:val="24"/>
        </w:rPr>
        <w:t xml:space="preserve">evaluation </w:t>
      </w:r>
      <w:r w:rsidRPr="00EE76EF">
        <w:rPr>
          <w:rFonts w:ascii="Arial" w:hAnsi="Arial" w:cs="Arial"/>
          <w:sz w:val="24"/>
          <w:szCs w:val="24"/>
        </w:rPr>
        <w:t xml:space="preserve">by </w:t>
      </w:r>
      <w:r>
        <w:rPr>
          <w:rFonts w:ascii="Arial" w:hAnsi="Arial" w:cs="Arial"/>
          <w:sz w:val="24"/>
          <w:szCs w:val="24"/>
        </w:rPr>
        <w:t xml:space="preserve">the consulting organisation </w:t>
      </w:r>
      <w:r w:rsidRPr="00EE76EF">
        <w:rPr>
          <w:rFonts w:ascii="Arial" w:hAnsi="Arial" w:cs="Arial"/>
          <w:sz w:val="24"/>
          <w:szCs w:val="24"/>
        </w:rPr>
        <w:t xml:space="preserve">Sinclair Knight </w:t>
      </w:r>
      <w:proofErr w:type="spellStart"/>
      <w:r w:rsidRPr="00EE76EF">
        <w:rPr>
          <w:rFonts w:ascii="Arial" w:hAnsi="Arial" w:cs="Arial"/>
          <w:sz w:val="24"/>
          <w:szCs w:val="24"/>
        </w:rPr>
        <w:t>Merz</w:t>
      </w:r>
      <w:proofErr w:type="spellEnd"/>
      <w:r w:rsidRPr="00EE76EF">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SKM</w:t>
      </w:r>
      <w:proofErr w:type="spellEnd"/>
      <w:r>
        <w:rPr>
          <w:rFonts w:ascii="Arial" w:hAnsi="Arial" w:cs="Arial"/>
          <w:sz w:val="24"/>
          <w:szCs w:val="24"/>
        </w:rPr>
        <w:t xml:space="preserve">) (2004) </w:t>
      </w:r>
      <w:r w:rsidRPr="00EE76EF">
        <w:rPr>
          <w:rFonts w:ascii="Arial" w:hAnsi="Arial" w:cs="Arial"/>
          <w:sz w:val="24"/>
          <w:szCs w:val="24"/>
        </w:rPr>
        <w:t xml:space="preserve">gave a </w:t>
      </w:r>
      <w:proofErr w:type="spellStart"/>
      <w:r w:rsidRPr="00EE76EF">
        <w:rPr>
          <w:rFonts w:ascii="Arial" w:hAnsi="Arial" w:cs="Arial"/>
          <w:sz w:val="24"/>
          <w:szCs w:val="24"/>
        </w:rPr>
        <w:t>BCR</w:t>
      </w:r>
      <w:proofErr w:type="spellEnd"/>
      <w:r w:rsidRPr="00EE76EF">
        <w:rPr>
          <w:rFonts w:ascii="Arial" w:hAnsi="Arial" w:cs="Arial"/>
          <w:sz w:val="24"/>
          <w:szCs w:val="24"/>
        </w:rPr>
        <w:t xml:space="preserve"> </w:t>
      </w:r>
      <w:r>
        <w:rPr>
          <w:rFonts w:ascii="Arial" w:hAnsi="Arial" w:cs="Arial"/>
          <w:sz w:val="24"/>
          <w:szCs w:val="24"/>
        </w:rPr>
        <w:t xml:space="preserve">for the type. A tunnel option </w:t>
      </w:r>
      <w:r w:rsidRPr="00EE76EF">
        <w:rPr>
          <w:rFonts w:ascii="Arial" w:hAnsi="Arial" w:cs="Arial"/>
          <w:sz w:val="24"/>
          <w:szCs w:val="24"/>
        </w:rPr>
        <w:t xml:space="preserve">of </w:t>
      </w:r>
      <w:r>
        <w:rPr>
          <w:rFonts w:ascii="Arial" w:hAnsi="Arial" w:cs="Arial"/>
          <w:sz w:val="24"/>
          <w:szCs w:val="24"/>
        </w:rPr>
        <w:t>1.2 (tolled) and 1.4 (</w:t>
      </w:r>
      <w:proofErr w:type="spellStart"/>
      <w:r>
        <w:rPr>
          <w:rFonts w:ascii="Arial" w:hAnsi="Arial" w:cs="Arial"/>
          <w:sz w:val="24"/>
          <w:szCs w:val="24"/>
        </w:rPr>
        <w:t>untolled</w:t>
      </w:r>
      <w:proofErr w:type="spellEnd"/>
      <w:r>
        <w:rPr>
          <w:rFonts w:ascii="Arial" w:hAnsi="Arial" w:cs="Arial"/>
          <w:sz w:val="24"/>
          <w:szCs w:val="24"/>
        </w:rPr>
        <w:t xml:space="preserve">).  </w:t>
      </w:r>
      <w:proofErr w:type="spellStart"/>
      <w:r w:rsidR="00433C86">
        <w:rPr>
          <w:rFonts w:ascii="Arial" w:hAnsi="Arial" w:cs="Arial"/>
          <w:sz w:val="24"/>
          <w:szCs w:val="24"/>
        </w:rPr>
        <w:t>S</w:t>
      </w:r>
      <w:r w:rsidR="00847027" w:rsidRPr="00EE76EF">
        <w:rPr>
          <w:rFonts w:ascii="Arial" w:hAnsi="Arial" w:cs="Arial"/>
          <w:sz w:val="24"/>
          <w:szCs w:val="24"/>
        </w:rPr>
        <w:t>KM</w:t>
      </w:r>
      <w:proofErr w:type="spellEnd"/>
      <w:r w:rsidR="00847027" w:rsidRPr="00EE76EF">
        <w:rPr>
          <w:rFonts w:ascii="Arial" w:hAnsi="Arial" w:cs="Arial"/>
          <w:sz w:val="24"/>
          <w:szCs w:val="24"/>
        </w:rPr>
        <w:t xml:space="preserve"> </w:t>
      </w:r>
      <w:r w:rsidR="00433C86">
        <w:rPr>
          <w:rFonts w:ascii="Arial" w:hAnsi="Arial" w:cs="Arial"/>
          <w:sz w:val="24"/>
          <w:szCs w:val="24"/>
        </w:rPr>
        <w:t xml:space="preserve">is assumed to have used </w:t>
      </w:r>
      <w:r w:rsidR="00847027" w:rsidRPr="00EE76EF">
        <w:rPr>
          <w:rFonts w:ascii="Arial" w:hAnsi="Arial" w:cs="Arial"/>
          <w:sz w:val="24"/>
          <w:szCs w:val="24"/>
        </w:rPr>
        <w:t>the social discount rate</w:t>
      </w:r>
      <w:r w:rsidR="00847027">
        <w:rPr>
          <w:rFonts w:ascii="Arial" w:hAnsi="Arial" w:cs="Arial"/>
          <w:sz w:val="24"/>
          <w:szCs w:val="24"/>
        </w:rPr>
        <w:t xml:space="preserve"> (</w:t>
      </w:r>
      <w:proofErr w:type="spellStart"/>
      <w:r w:rsidR="00847027">
        <w:rPr>
          <w:rFonts w:ascii="Arial" w:hAnsi="Arial" w:cs="Arial"/>
          <w:sz w:val="24"/>
          <w:szCs w:val="24"/>
        </w:rPr>
        <w:t>SDR</w:t>
      </w:r>
      <w:proofErr w:type="spellEnd"/>
      <w:r w:rsidR="00847027">
        <w:rPr>
          <w:rFonts w:ascii="Arial" w:hAnsi="Arial" w:cs="Arial"/>
          <w:sz w:val="24"/>
          <w:szCs w:val="24"/>
        </w:rPr>
        <w:t xml:space="preserve">) of 7% pa. However, this </w:t>
      </w:r>
      <w:proofErr w:type="spellStart"/>
      <w:r w:rsidR="00847027">
        <w:rPr>
          <w:rFonts w:ascii="Arial" w:hAnsi="Arial" w:cs="Arial"/>
          <w:sz w:val="24"/>
          <w:szCs w:val="24"/>
        </w:rPr>
        <w:t>SDR</w:t>
      </w:r>
      <w:proofErr w:type="spellEnd"/>
      <w:r w:rsidR="00847027">
        <w:rPr>
          <w:rFonts w:ascii="Arial" w:hAnsi="Arial" w:cs="Arial"/>
          <w:sz w:val="24"/>
          <w:szCs w:val="24"/>
        </w:rPr>
        <w:t xml:space="preserve"> is inappropriate for the private sector </w:t>
      </w:r>
      <w:r w:rsidR="00433C86">
        <w:rPr>
          <w:rFonts w:ascii="Arial" w:hAnsi="Arial" w:cs="Arial"/>
          <w:sz w:val="24"/>
          <w:szCs w:val="24"/>
        </w:rPr>
        <w:t xml:space="preserve">which involves tolling </w:t>
      </w:r>
      <w:r w:rsidR="00847027">
        <w:rPr>
          <w:rFonts w:ascii="Arial" w:hAnsi="Arial" w:cs="Arial"/>
          <w:sz w:val="24"/>
          <w:szCs w:val="24"/>
        </w:rPr>
        <w:t>as discussed below.</w:t>
      </w:r>
    </w:p>
    <w:p w:rsidR="005E7B8B" w:rsidRDefault="005E7B8B" w:rsidP="00C57516">
      <w:pPr>
        <w:pStyle w:val="ListParagraph"/>
        <w:spacing w:before="240"/>
        <w:ind w:left="1701"/>
        <w:rPr>
          <w:rFonts w:ascii="Arial" w:hAnsi="Arial" w:cs="Arial"/>
          <w:sz w:val="24"/>
          <w:szCs w:val="24"/>
        </w:rPr>
      </w:pPr>
    </w:p>
    <w:p w:rsidR="00847027" w:rsidRDefault="00C75084" w:rsidP="00C57516">
      <w:pPr>
        <w:pStyle w:val="ListParagraph"/>
        <w:spacing w:before="240"/>
        <w:ind w:left="1701"/>
        <w:rPr>
          <w:rFonts w:ascii="Arial" w:hAnsi="Arial" w:cs="Arial"/>
          <w:sz w:val="24"/>
          <w:szCs w:val="24"/>
        </w:rPr>
      </w:pPr>
      <w:r>
        <w:rPr>
          <w:rFonts w:ascii="Arial" w:hAnsi="Arial" w:cs="Arial"/>
          <w:sz w:val="24"/>
          <w:szCs w:val="24"/>
        </w:rPr>
        <w:t xml:space="preserve">If a discount rate </w:t>
      </w:r>
      <w:r w:rsidR="0034744F">
        <w:rPr>
          <w:rFonts w:ascii="Arial" w:hAnsi="Arial" w:cs="Arial"/>
          <w:sz w:val="24"/>
          <w:szCs w:val="24"/>
        </w:rPr>
        <w:t>is</w:t>
      </w:r>
      <w:r w:rsidR="00941D1C">
        <w:rPr>
          <w:rFonts w:ascii="Arial" w:hAnsi="Arial" w:cs="Arial"/>
          <w:sz w:val="24"/>
          <w:szCs w:val="24"/>
        </w:rPr>
        <w:t xml:space="preserve"> used which includes a risk component </w:t>
      </w:r>
      <w:r>
        <w:rPr>
          <w:rFonts w:ascii="Arial" w:hAnsi="Arial" w:cs="Arial"/>
          <w:sz w:val="24"/>
          <w:szCs w:val="24"/>
        </w:rPr>
        <w:t xml:space="preserve">such as </w:t>
      </w:r>
      <w:r w:rsidR="00941D1C">
        <w:rPr>
          <w:rFonts w:ascii="Arial" w:hAnsi="Arial" w:cs="Arial"/>
          <w:sz w:val="24"/>
          <w:szCs w:val="24"/>
        </w:rPr>
        <w:t xml:space="preserve">that </w:t>
      </w:r>
      <w:r>
        <w:rPr>
          <w:rFonts w:ascii="Arial" w:hAnsi="Arial" w:cs="Arial"/>
          <w:sz w:val="24"/>
          <w:szCs w:val="24"/>
        </w:rPr>
        <w:t>provided by the Capital Asset Pricing Model (</w:t>
      </w:r>
      <w:proofErr w:type="spellStart"/>
      <w:r>
        <w:rPr>
          <w:rFonts w:ascii="Arial" w:hAnsi="Arial" w:cs="Arial"/>
          <w:sz w:val="24"/>
          <w:szCs w:val="24"/>
        </w:rPr>
        <w:t>CAPM</w:t>
      </w:r>
      <w:proofErr w:type="spellEnd"/>
      <w:r w:rsidR="00C57516">
        <w:rPr>
          <w:rFonts w:ascii="Arial" w:hAnsi="Arial" w:cs="Arial"/>
          <w:sz w:val="24"/>
          <w:szCs w:val="24"/>
        </w:rPr>
        <w:t xml:space="preserve"> (Adcock and Clark, 1999</w:t>
      </w:r>
      <w:r>
        <w:rPr>
          <w:rFonts w:ascii="Arial" w:hAnsi="Arial" w:cs="Arial"/>
          <w:sz w:val="24"/>
          <w:szCs w:val="24"/>
        </w:rPr>
        <w:t>)</w:t>
      </w:r>
      <w:r w:rsidR="00941D1C">
        <w:rPr>
          <w:rFonts w:ascii="Arial" w:hAnsi="Arial" w:cs="Arial"/>
          <w:sz w:val="24"/>
          <w:szCs w:val="24"/>
        </w:rPr>
        <w:t xml:space="preserve">, then this higher discount rate </w:t>
      </w:r>
      <w:r w:rsidR="00F957AC">
        <w:rPr>
          <w:rFonts w:ascii="Arial" w:hAnsi="Arial" w:cs="Arial"/>
          <w:sz w:val="24"/>
          <w:szCs w:val="24"/>
        </w:rPr>
        <w:t xml:space="preserve">would </w:t>
      </w:r>
      <w:r w:rsidR="002C083B">
        <w:rPr>
          <w:rFonts w:ascii="Arial" w:hAnsi="Arial" w:cs="Arial"/>
          <w:sz w:val="24"/>
          <w:szCs w:val="24"/>
        </w:rPr>
        <w:t xml:space="preserve">very likely reveal </w:t>
      </w:r>
      <w:r w:rsidR="00F957AC">
        <w:rPr>
          <w:rFonts w:ascii="Arial" w:hAnsi="Arial" w:cs="Arial"/>
          <w:sz w:val="24"/>
          <w:szCs w:val="24"/>
        </w:rPr>
        <w:t xml:space="preserve">that the project is uneconomic. </w:t>
      </w:r>
      <w:r w:rsidR="00D407CA">
        <w:rPr>
          <w:rFonts w:ascii="Arial" w:hAnsi="Arial" w:cs="Arial"/>
          <w:sz w:val="24"/>
          <w:szCs w:val="24"/>
        </w:rPr>
        <w:t>(Goldberg, 2009)</w:t>
      </w:r>
      <w:r w:rsidR="00941D1C">
        <w:rPr>
          <w:rFonts w:ascii="Arial" w:hAnsi="Arial" w:cs="Arial"/>
          <w:sz w:val="24"/>
          <w:szCs w:val="24"/>
        </w:rPr>
        <w:t xml:space="preserve">. The presence of a private partner in an alliance with sovereign funders </w:t>
      </w:r>
      <w:r w:rsidR="002668C8">
        <w:rPr>
          <w:rFonts w:ascii="Arial" w:hAnsi="Arial" w:cs="Arial"/>
          <w:sz w:val="24"/>
          <w:szCs w:val="24"/>
        </w:rPr>
        <w:t xml:space="preserve">as shown in Table 2 below </w:t>
      </w:r>
      <w:r w:rsidR="00941D1C">
        <w:rPr>
          <w:rFonts w:ascii="Arial" w:hAnsi="Arial" w:cs="Arial"/>
          <w:sz w:val="24"/>
          <w:szCs w:val="24"/>
        </w:rPr>
        <w:t>would require this higher discount rate to be used. (Goldberg, 2009, 2010)</w:t>
      </w:r>
      <w:r w:rsidR="00430147">
        <w:rPr>
          <w:rFonts w:ascii="Arial" w:hAnsi="Arial" w:cs="Arial"/>
          <w:sz w:val="24"/>
          <w:szCs w:val="24"/>
        </w:rPr>
        <w:t>.</w:t>
      </w:r>
    </w:p>
    <w:p w:rsidR="00430147" w:rsidRDefault="00430147" w:rsidP="00C57516">
      <w:pPr>
        <w:pStyle w:val="ListParagraph"/>
        <w:spacing w:before="240"/>
        <w:ind w:left="1701"/>
        <w:rPr>
          <w:rFonts w:ascii="Arial" w:hAnsi="Arial" w:cs="Arial"/>
          <w:sz w:val="24"/>
          <w:szCs w:val="24"/>
        </w:rPr>
      </w:pPr>
    </w:p>
    <w:p w:rsidR="00430147" w:rsidRDefault="00430147" w:rsidP="00C57516">
      <w:pPr>
        <w:pStyle w:val="ListParagraph"/>
        <w:spacing w:before="240"/>
        <w:ind w:left="1701"/>
        <w:rPr>
          <w:rFonts w:ascii="Arial" w:hAnsi="Arial" w:cs="Arial"/>
          <w:sz w:val="24"/>
          <w:szCs w:val="24"/>
        </w:rPr>
      </w:pPr>
    </w:p>
    <w:p w:rsidR="00430147" w:rsidRDefault="00430147" w:rsidP="00C57516">
      <w:pPr>
        <w:pStyle w:val="ListParagraph"/>
        <w:spacing w:before="240"/>
        <w:ind w:left="1701"/>
        <w:rPr>
          <w:rFonts w:ascii="Arial" w:hAnsi="Arial" w:cs="Arial"/>
          <w:sz w:val="24"/>
          <w:szCs w:val="24"/>
        </w:rPr>
      </w:pPr>
    </w:p>
    <w:p w:rsidR="00430147" w:rsidRDefault="00430147" w:rsidP="00C57516">
      <w:pPr>
        <w:pStyle w:val="ListParagraph"/>
        <w:spacing w:before="240"/>
        <w:ind w:left="1701"/>
        <w:rPr>
          <w:rFonts w:ascii="Arial" w:hAnsi="Arial" w:cs="Arial"/>
          <w:sz w:val="24"/>
          <w:szCs w:val="24"/>
        </w:rPr>
      </w:pPr>
    </w:p>
    <w:p w:rsidR="00430147" w:rsidRPr="00EE76EF" w:rsidRDefault="00430147" w:rsidP="00C57516">
      <w:pPr>
        <w:pStyle w:val="ListParagraph"/>
        <w:spacing w:before="240"/>
        <w:ind w:left="1701"/>
        <w:rPr>
          <w:rFonts w:ascii="Arial" w:hAnsi="Arial" w:cs="Arial"/>
          <w:sz w:val="24"/>
          <w:szCs w:val="24"/>
        </w:rPr>
      </w:pPr>
    </w:p>
    <w:p w:rsidR="00847027" w:rsidRPr="00EE76EF" w:rsidRDefault="00847027" w:rsidP="00E519D0">
      <w:pPr>
        <w:pStyle w:val="ListParagraph"/>
        <w:ind w:left="1701"/>
        <w:rPr>
          <w:rFonts w:ascii="Arial" w:hAnsi="Arial" w:cs="Arial"/>
          <w:sz w:val="24"/>
          <w:szCs w:val="24"/>
        </w:rPr>
      </w:pPr>
    </w:p>
    <w:p w:rsidR="00847027" w:rsidRPr="00E519D0" w:rsidRDefault="00441211" w:rsidP="00E519D0">
      <w:pPr>
        <w:pStyle w:val="ListParagraph"/>
        <w:ind w:left="1701"/>
        <w:jc w:val="center"/>
        <w:rPr>
          <w:rFonts w:ascii="Arial" w:hAnsi="Arial" w:cs="Arial"/>
          <w:b/>
          <w:sz w:val="24"/>
          <w:szCs w:val="24"/>
        </w:rPr>
      </w:pPr>
      <w:r>
        <w:rPr>
          <w:rFonts w:ascii="Arial" w:hAnsi="Arial" w:cs="Arial"/>
          <w:b/>
          <w:sz w:val="24"/>
          <w:szCs w:val="24"/>
        </w:rPr>
        <w:t xml:space="preserve">TABLE 2. </w:t>
      </w:r>
      <w:r w:rsidR="00847027" w:rsidRPr="00E519D0">
        <w:rPr>
          <w:rFonts w:ascii="Arial" w:hAnsi="Arial" w:cs="Arial"/>
          <w:b/>
          <w:sz w:val="24"/>
          <w:szCs w:val="24"/>
        </w:rPr>
        <w:t xml:space="preserve">Funding for the </w:t>
      </w:r>
      <w:proofErr w:type="spellStart"/>
      <w:r w:rsidR="00847027" w:rsidRPr="00E519D0">
        <w:rPr>
          <w:rFonts w:ascii="Arial" w:hAnsi="Arial" w:cs="Arial"/>
          <w:b/>
          <w:sz w:val="24"/>
          <w:szCs w:val="24"/>
        </w:rPr>
        <w:t>NorthConnex</w:t>
      </w:r>
      <w:proofErr w:type="spellEnd"/>
      <w:r w:rsidR="00E519D0" w:rsidRPr="00E519D0">
        <w:rPr>
          <w:rFonts w:ascii="Arial" w:hAnsi="Arial" w:cs="Arial"/>
          <w:b/>
          <w:sz w:val="24"/>
          <w:szCs w:val="24"/>
        </w:rPr>
        <w:t xml:space="preserve"> road tunnel</w:t>
      </w:r>
    </w:p>
    <w:p w:rsidR="00847027" w:rsidRPr="00EE76EF" w:rsidRDefault="00847027" w:rsidP="00847027">
      <w:pPr>
        <w:pStyle w:val="ListParagraph"/>
        <w:ind w:left="1080"/>
        <w:rPr>
          <w:rFonts w:ascii="Arial" w:hAnsi="Arial" w:cs="Arial"/>
          <w:sz w:val="24"/>
          <w:szCs w:val="24"/>
        </w:rPr>
      </w:pPr>
    </w:p>
    <w:tbl>
      <w:tblPr>
        <w:tblStyle w:val="TableGrid"/>
        <w:tblW w:w="0" w:type="auto"/>
        <w:tblInd w:w="1809" w:type="dxa"/>
        <w:tblLook w:val="04A0" w:firstRow="1" w:lastRow="0" w:firstColumn="1" w:lastColumn="0" w:noHBand="0" w:noVBand="1"/>
      </w:tblPr>
      <w:tblGrid>
        <w:gridCol w:w="3338"/>
        <w:gridCol w:w="4095"/>
      </w:tblGrid>
      <w:tr w:rsidR="00847027" w:rsidRPr="00EE76EF" w:rsidTr="00E519D0">
        <w:tc>
          <w:tcPr>
            <w:tcW w:w="3338" w:type="dxa"/>
          </w:tcPr>
          <w:p w:rsidR="00847027" w:rsidRPr="00E519D0" w:rsidRDefault="00847027" w:rsidP="00E519D0">
            <w:pPr>
              <w:pStyle w:val="ListParagraph"/>
              <w:ind w:left="0"/>
              <w:jc w:val="center"/>
              <w:rPr>
                <w:rFonts w:ascii="Arial" w:hAnsi="Arial" w:cs="Arial"/>
                <w:b/>
                <w:sz w:val="24"/>
                <w:szCs w:val="24"/>
              </w:rPr>
            </w:pPr>
            <w:r w:rsidRPr="00E519D0">
              <w:rPr>
                <w:rFonts w:ascii="Arial" w:hAnsi="Arial" w:cs="Arial"/>
                <w:b/>
                <w:sz w:val="24"/>
                <w:szCs w:val="24"/>
              </w:rPr>
              <w:t>Contribution source</w:t>
            </w:r>
          </w:p>
        </w:tc>
        <w:tc>
          <w:tcPr>
            <w:tcW w:w="4095" w:type="dxa"/>
          </w:tcPr>
          <w:p w:rsidR="00847027" w:rsidRPr="00E519D0" w:rsidRDefault="00847027" w:rsidP="00E519D0">
            <w:pPr>
              <w:pStyle w:val="ListParagraph"/>
              <w:ind w:left="0"/>
              <w:jc w:val="center"/>
              <w:rPr>
                <w:rFonts w:ascii="Arial" w:hAnsi="Arial" w:cs="Arial"/>
                <w:b/>
                <w:sz w:val="24"/>
                <w:szCs w:val="24"/>
              </w:rPr>
            </w:pPr>
            <w:r w:rsidRPr="00E519D0">
              <w:rPr>
                <w:rFonts w:ascii="Arial" w:hAnsi="Arial" w:cs="Arial"/>
                <w:b/>
                <w:sz w:val="24"/>
                <w:szCs w:val="24"/>
              </w:rPr>
              <w:t>Amount ($billion)</w:t>
            </w:r>
          </w:p>
        </w:tc>
      </w:tr>
      <w:tr w:rsidR="00847027" w:rsidRPr="00EE76EF" w:rsidTr="00E519D0">
        <w:tc>
          <w:tcPr>
            <w:tcW w:w="3338" w:type="dxa"/>
          </w:tcPr>
          <w:p w:rsidR="00847027" w:rsidRPr="00EE76EF" w:rsidRDefault="00847027" w:rsidP="00E519D0">
            <w:pPr>
              <w:pStyle w:val="ListParagraph"/>
              <w:ind w:left="0"/>
              <w:jc w:val="center"/>
              <w:rPr>
                <w:rFonts w:ascii="Arial" w:hAnsi="Arial" w:cs="Arial"/>
                <w:sz w:val="24"/>
                <w:szCs w:val="24"/>
              </w:rPr>
            </w:pPr>
            <w:r w:rsidRPr="00EE76EF">
              <w:rPr>
                <w:rFonts w:ascii="Arial" w:hAnsi="Arial" w:cs="Arial"/>
                <w:sz w:val="24"/>
                <w:szCs w:val="24"/>
              </w:rPr>
              <w:t>NSW government</w:t>
            </w:r>
          </w:p>
        </w:tc>
        <w:tc>
          <w:tcPr>
            <w:tcW w:w="4095" w:type="dxa"/>
          </w:tcPr>
          <w:p w:rsidR="00847027" w:rsidRPr="00EE76EF" w:rsidRDefault="00847027" w:rsidP="00E519D0">
            <w:pPr>
              <w:pStyle w:val="ListParagraph"/>
              <w:ind w:left="0"/>
              <w:jc w:val="center"/>
              <w:rPr>
                <w:rFonts w:ascii="Arial" w:hAnsi="Arial" w:cs="Arial"/>
                <w:sz w:val="24"/>
                <w:szCs w:val="24"/>
              </w:rPr>
            </w:pPr>
            <w:r w:rsidRPr="00EE76EF">
              <w:rPr>
                <w:rFonts w:ascii="Arial" w:hAnsi="Arial" w:cs="Arial"/>
                <w:sz w:val="24"/>
                <w:szCs w:val="24"/>
              </w:rPr>
              <w:t>0.405 (capital)</w:t>
            </w:r>
          </w:p>
        </w:tc>
      </w:tr>
      <w:tr w:rsidR="00847027" w:rsidRPr="00EE76EF" w:rsidTr="00E519D0">
        <w:tc>
          <w:tcPr>
            <w:tcW w:w="3338" w:type="dxa"/>
          </w:tcPr>
          <w:p w:rsidR="00847027" w:rsidRPr="00EE76EF" w:rsidRDefault="00847027" w:rsidP="00E519D0">
            <w:pPr>
              <w:pStyle w:val="ListParagraph"/>
              <w:ind w:left="0"/>
              <w:jc w:val="center"/>
              <w:rPr>
                <w:rFonts w:ascii="Arial" w:hAnsi="Arial" w:cs="Arial"/>
                <w:sz w:val="24"/>
                <w:szCs w:val="24"/>
              </w:rPr>
            </w:pPr>
            <w:r w:rsidRPr="00EE76EF">
              <w:rPr>
                <w:rFonts w:ascii="Arial" w:hAnsi="Arial" w:cs="Arial"/>
                <w:sz w:val="24"/>
                <w:szCs w:val="24"/>
              </w:rPr>
              <w:t>Federal government</w:t>
            </w:r>
          </w:p>
        </w:tc>
        <w:tc>
          <w:tcPr>
            <w:tcW w:w="4095" w:type="dxa"/>
          </w:tcPr>
          <w:p w:rsidR="00847027" w:rsidRPr="00EE76EF" w:rsidRDefault="00847027" w:rsidP="00E519D0">
            <w:pPr>
              <w:pStyle w:val="ListParagraph"/>
              <w:ind w:left="0"/>
              <w:jc w:val="center"/>
              <w:rPr>
                <w:rFonts w:ascii="Arial" w:hAnsi="Arial" w:cs="Arial"/>
                <w:sz w:val="24"/>
                <w:szCs w:val="24"/>
              </w:rPr>
            </w:pPr>
            <w:r w:rsidRPr="00EE76EF">
              <w:rPr>
                <w:rFonts w:ascii="Arial" w:hAnsi="Arial" w:cs="Arial"/>
                <w:sz w:val="24"/>
                <w:szCs w:val="24"/>
              </w:rPr>
              <w:t>0.405(capital)</w:t>
            </w:r>
          </w:p>
        </w:tc>
      </w:tr>
      <w:tr w:rsidR="00847027" w:rsidRPr="00EE76EF" w:rsidTr="00E519D0">
        <w:tc>
          <w:tcPr>
            <w:tcW w:w="3338" w:type="dxa"/>
          </w:tcPr>
          <w:p w:rsidR="00847027" w:rsidRPr="00EE76EF" w:rsidRDefault="00847027" w:rsidP="00E519D0">
            <w:pPr>
              <w:pStyle w:val="ListParagraph"/>
              <w:ind w:left="0"/>
              <w:jc w:val="center"/>
              <w:rPr>
                <w:rFonts w:ascii="Arial" w:hAnsi="Arial" w:cs="Arial"/>
                <w:sz w:val="24"/>
                <w:szCs w:val="24"/>
              </w:rPr>
            </w:pPr>
            <w:proofErr w:type="spellStart"/>
            <w:r w:rsidRPr="00EE76EF">
              <w:rPr>
                <w:rFonts w:ascii="Arial" w:hAnsi="Arial" w:cs="Arial"/>
                <w:sz w:val="24"/>
                <w:szCs w:val="24"/>
              </w:rPr>
              <w:t>Transurban</w:t>
            </w:r>
            <w:proofErr w:type="spellEnd"/>
          </w:p>
        </w:tc>
        <w:tc>
          <w:tcPr>
            <w:tcW w:w="4095" w:type="dxa"/>
          </w:tcPr>
          <w:p w:rsidR="00847027" w:rsidRPr="00EE76EF" w:rsidRDefault="00847027" w:rsidP="00E519D0">
            <w:pPr>
              <w:pStyle w:val="ListParagraph"/>
              <w:ind w:left="0"/>
              <w:jc w:val="center"/>
              <w:rPr>
                <w:rFonts w:ascii="Arial" w:hAnsi="Arial" w:cs="Arial"/>
                <w:sz w:val="24"/>
                <w:szCs w:val="24"/>
              </w:rPr>
            </w:pPr>
            <w:r w:rsidRPr="00EE76EF">
              <w:rPr>
                <w:rFonts w:ascii="Arial" w:hAnsi="Arial" w:cs="Arial"/>
                <w:sz w:val="24"/>
                <w:szCs w:val="24"/>
              </w:rPr>
              <w:t>0.6 (equity)</w:t>
            </w:r>
          </w:p>
        </w:tc>
      </w:tr>
    </w:tbl>
    <w:p w:rsidR="00847027" w:rsidRPr="00EE76EF" w:rsidRDefault="00847027" w:rsidP="00847027">
      <w:pPr>
        <w:pStyle w:val="ListParagraph"/>
        <w:ind w:left="1080"/>
        <w:rPr>
          <w:rFonts w:ascii="Arial" w:hAnsi="Arial" w:cs="Arial"/>
          <w:sz w:val="24"/>
          <w:szCs w:val="24"/>
        </w:rPr>
      </w:pPr>
    </w:p>
    <w:p w:rsidR="00CA7F98" w:rsidRDefault="00847027" w:rsidP="00E519D0">
      <w:pPr>
        <w:pStyle w:val="ListParagraph"/>
        <w:ind w:left="1701"/>
        <w:rPr>
          <w:rFonts w:ascii="Arial" w:hAnsi="Arial" w:cs="Arial"/>
          <w:sz w:val="24"/>
          <w:szCs w:val="24"/>
        </w:rPr>
      </w:pPr>
      <w:r w:rsidRPr="00EE76EF">
        <w:rPr>
          <w:rFonts w:ascii="Arial" w:hAnsi="Arial" w:cs="Arial"/>
          <w:sz w:val="24"/>
          <w:szCs w:val="24"/>
        </w:rPr>
        <w:t>But th</w:t>
      </w:r>
      <w:r w:rsidR="00F67609">
        <w:rPr>
          <w:rFonts w:ascii="Arial" w:hAnsi="Arial" w:cs="Arial"/>
          <w:sz w:val="24"/>
          <w:szCs w:val="24"/>
        </w:rPr>
        <w:t>e</w:t>
      </w:r>
      <w:r w:rsidRPr="00EE76EF">
        <w:rPr>
          <w:rFonts w:ascii="Arial" w:hAnsi="Arial" w:cs="Arial"/>
          <w:sz w:val="24"/>
          <w:szCs w:val="24"/>
        </w:rPr>
        <w:t xml:space="preserve"> </w:t>
      </w:r>
      <w:r>
        <w:rPr>
          <w:rFonts w:ascii="Arial" w:hAnsi="Arial" w:cs="Arial"/>
          <w:sz w:val="24"/>
          <w:szCs w:val="24"/>
        </w:rPr>
        <w:t xml:space="preserve">economic </w:t>
      </w:r>
      <w:r w:rsidRPr="00EE76EF">
        <w:rPr>
          <w:rFonts w:ascii="Arial" w:hAnsi="Arial" w:cs="Arial"/>
          <w:sz w:val="24"/>
          <w:szCs w:val="24"/>
        </w:rPr>
        <w:t xml:space="preserve">non-viability is only one factor to be taken into account. </w:t>
      </w:r>
      <w:r w:rsidR="00CA7F98">
        <w:rPr>
          <w:rFonts w:ascii="Arial" w:hAnsi="Arial" w:cs="Arial"/>
          <w:sz w:val="24"/>
          <w:szCs w:val="24"/>
        </w:rPr>
        <w:t xml:space="preserve">The second important factor is the need to recognise the impaired financial position of </w:t>
      </w:r>
      <w:r w:rsidR="00F67609">
        <w:rPr>
          <w:rFonts w:ascii="Arial" w:hAnsi="Arial" w:cs="Arial"/>
          <w:sz w:val="24"/>
          <w:szCs w:val="24"/>
        </w:rPr>
        <w:t xml:space="preserve">the </w:t>
      </w:r>
      <w:proofErr w:type="spellStart"/>
      <w:r w:rsidR="00CA7F98">
        <w:rPr>
          <w:rFonts w:ascii="Arial" w:hAnsi="Arial" w:cs="Arial"/>
          <w:sz w:val="24"/>
          <w:szCs w:val="24"/>
        </w:rPr>
        <w:t>Transurban</w:t>
      </w:r>
      <w:proofErr w:type="spellEnd"/>
      <w:r w:rsidR="00F67609">
        <w:rPr>
          <w:rFonts w:ascii="Arial" w:hAnsi="Arial" w:cs="Arial"/>
          <w:sz w:val="24"/>
          <w:szCs w:val="24"/>
        </w:rPr>
        <w:t xml:space="preserve"> partner</w:t>
      </w:r>
      <w:r w:rsidR="00CA7F98">
        <w:rPr>
          <w:rFonts w:ascii="Arial" w:hAnsi="Arial" w:cs="Arial"/>
          <w:sz w:val="24"/>
          <w:szCs w:val="24"/>
        </w:rPr>
        <w:t xml:space="preserve"> in any decision to fund this project.</w:t>
      </w:r>
    </w:p>
    <w:p w:rsidR="00202FCB" w:rsidRDefault="00CA7F98" w:rsidP="00202FCB">
      <w:pPr>
        <w:ind w:left="1701"/>
        <w:rPr>
          <w:rFonts w:ascii="Arial" w:hAnsi="Arial" w:cs="Arial"/>
          <w:sz w:val="24"/>
          <w:szCs w:val="24"/>
        </w:rPr>
      </w:pPr>
      <w:r>
        <w:rPr>
          <w:rFonts w:ascii="Arial" w:hAnsi="Arial" w:cs="Arial"/>
          <w:sz w:val="24"/>
          <w:szCs w:val="24"/>
        </w:rPr>
        <w:t xml:space="preserve">An examination of the accounts over the 13 year period 2000-2012, shows that </w:t>
      </w:r>
      <w:r w:rsidR="00202FCB">
        <w:rPr>
          <w:rFonts w:ascii="Arial" w:hAnsi="Arial" w:cs="Arial"/>
          <w:sz w:val="24"/>
          <w:szCs w:val="24"/>
        </w:rPr>
        <w:t xml:space="preserve">the total annual toll revenue </w:t>
      </w:r>
      <w:r w:rsidR="00F67609">
        <w:rPr>
          <w:rFonts w:ascii="Arial" w:hAnsi="Arial" w:cs="Arial"/>
          <w:sz w:val="24"/>
          <w:szCs w:val="24"/>
        </w:rPr>
        <w:t xml:space="preserve">from all </w:t>
      </w:r>
      <w:proofErr w:type="spellStart"/>
      <w:r w:rsidR="00F67609">
        <w:rPr>
          <w:rFonts w:ascii="Arial" w:hAnsi="Arial" w:cs="Arial"/>
          <w:sz w:val="24"/>
          <w:szCs w:val="24"/>
        </w:rPr>
        <w:t>Transurban’s</w:t>
      </w:r>
      <w:proofErr w:type="spellEnd"/>
      <w:r w:rsidR="00F67609">
        <w:rPr>
          <w:rFonts w:ascii="Arial" w:hAnsi="Arial" w:cs="Arial"/>
          <w:sz w:val="24"/>
          <w:szCs w:val="24"/>
        </w:rPr>
        <w:t xml:space="preserve"> roads </w:t>
      </w:r>
      <w:r w:rsidR="00202FCB">
        <w:rPr>
          <w:rFonts w:ascii="Arial" w:hAnsi="Arial" w:cs="Arial"/>
          <w:sz w:val="24"/>
          <w:szCs w:val="24"/>
        </w:rPr>
        <w:t xml:space="preserve">over the 13 years from 2000 to 2012 was $5.79 billon. With other sources of revenue the total came to $9.59 billion, but the total expenses were $10.43 billion leaving a total loss of $0.84 billion. Moreover, in 2012 the long term debt was $4.49 billion. </w:t>
      </w:r>
    </w:p>
    <w:p w:rsidR="00CA7F98" w:rsidRDefault="00202FCB" w:rsidP="00202FCB">
      <w:pPr>
        <w:pStyle w:val="ListParagraph"/>
        <w:ind w:left="1701"/>
        <w:rPr>
          <w:rFonts w:ascii="Arial" w:hAnsi="Arial" w:cs="Arial"/>
          <w:sz w:val="24"/>
          <w:szCs w:val="24"/>
        </w:rPr>
      </w:pPr>
      <w:r>
        <w:rPr>
          <w:rFonts w:ascii="Arial" w:hAnsi="Arial" w:cs="Arial"/>
          <w:sz w:val="24"/>
          <w:szCs w:val="24"/>
        </w:rPr>
        <w:t xml:space="preserve">Yet </w:t>
      </w:r>
      <w:proofErr w:type="spellStart"/>
      <w:r>
        <w:rPr>
          <w:rFonts w:ascii="Arial" w:hAnsi="Arial" w:cs="Arial"/>
          <w:sz w:val="24"/>
          <w:szCs w:val="24"/>
        </w:rPr>
        <w:t>Transurban</w:t>
      </w:r>
      <w:proofErr w:type="spellEnd"/>
      <w:r>
        <w:rPr>
          <w:rFonts w:ascii="Arial" w:hAnsi="Arial" w:cs="Arial"/>
          <w:sz w:val="24"/>
          <w:szCs w:val="24"/>
        </w:rPr>
        <w:t xml:space="preserve"> managed to pay distributions of $2.1 billion over the 13 year period despite this loss. Up to the year 2008 the distributions were paid out of increased </w:t>
      </w:r>
      <w:r w:rsidR="00B65E55">
        <w:rPr>
          <w:rFonts w:ascii="Arial" w:hAnsi="Arial" w:cs="Arial"/>
          <w:sz w:val="24"/>
          <w:szCs w:val="24"/>
        </w:rPr>
        <w:t>borrowings. A</w:t>
      </w:r>
      <w:r>
        <w:rPr>
          <w:rFonts w:ascii="Arial" w:hAnsi="Arial" w:cs="Arial"/>
          <w:sz w:val="24"/>
          <w:szCs w:val="24"/>
        </w:rPr>
        <w:t xml:space="preserve"> different arrangement to pay distributions was entered into post-2008 and is described in the author’s submission to the Senate Inquiry into the Au</w:t>
      </w:r>
      <w:r w:rsidR="00EC5C14">
        <w:rPr>
          <w:rFonts w:ascii="Arial" w:hAnsi="Arial" w:cs="Arial"/>
          <w:sz w:val="24"/>
          <w:szCs w:val="24"/>
        </w:rPr>
        <w:t>str</w:t>
      </w:r>
      <w:r>
        <w:rPr>
          <w:rFonts w:ascii="Arial" w:hAnsi="Arial" w:cs="Arial"/>
          <w:sz w:val="24"/>
          <w:szCs w:val="24"/>
        </w:rPr>
        <w:t>alian Securities and Investments Commission (</w:t>
      </w:r>
      <w:proofErr w:type="spellStart"/>
      <w:r>
        <w:rPr>
          <w:rFonts w:ascii="Arial" w:hAnsi="Arial" w:cs="Arial"/>
          <w:sz w:val="24"/>
          <w:szCs w:val="24"/>
        </w:rPr>
        <w:t>ASIC</w:t>
      </w:r>
      <w:proofErr w:type="spellEnd"/>
      <w:r>
        <w:rPr>
          <w:rFonts w:ascii="Arial" w:hAnsi="Arial" w:cs="Arial"/>
          <w:sz w:val="24"/>
          <w:szCs w:val="24"/>
        </w:rPr>
        <w:t>) (Goldberg, 2013)</w:t>
      </w:r>
    </w:p>
    <w:p w:rsidR="00CA7F98" w:rsidRDefault="00202FCB" w:rsidP="00E519D0">
      <w:pPr>
        <w:pStyle w:val="ListParagraph"/>
        <w:ind w:left="1701"/>
        <w:rPr>
          <w:rFonts w:ascii="Arial" w:hAnsi="Arial" w:cs="Arial"/>
          <w:sz w:val="24"/>
          <w:szCs w:val="24"/>
        </w:rPr>
      </w:pPr>
      <w:r>
        <w:rPr>
          <w:rFonts w:ascii="Arial" w:hAnsi="Arial" w:cs="Arial"/>
          <w:sz w:val="24"/>
          <w:szCs w:val="24"/>
        </w:rPr>
        <w:t xml:space="preserve">A key element in </w:t>
      </w:r>
      <w:proofErr w:type="spellStart"/>
      <w:r>
        <w:rPr>
          <w:rFonts w:ascii="Arial" w:hAnsi="Arial" w:cs="Arial"/>
          <w:sz w:val="24"/>
          <w:szCs w:val="24"/>
        </w:rPr>
        <w:t>Transurban’s</w:t>
      </w:r>
      <w:proofErr w:type="spellEnd"/>
      <w:r>
        <w:rPr>
          <w:rFonts w:ascii="Arial" w:hAnsi="Arial" w:cs="Arial"/>
          <w:sz w:val="24"/>
          <w:szCs w:val="24"/>
        </w:rPr>
        <w:t xml:space="preserve"> financial position is the asset valuation. By 2013, 82.6% of the total assets were intangible and therefore unrealisable.</w:t>
      </w:r>
    </w:p>
    <w:p w:rsidR="006C3AB3" w:rsidRDefault="006C3AB3" w:rsidP="00E519D0">
      <w:pPr>
        <w:pStyle w:val="ListParagraph"/>
        <w:ind w:left="1701"/>
        <w:rPr>
          <w:rFonts w:ascii="Arial" w:hAnsi="Arial" w:cs="Arial"/>
          <w:sz w:val="24"/>
          <w:szCs w:val="24"/>
        </w:rPr>
      </w:pPr>
    </w:p>
    <w:p w:rsidR="006C3AB3" w:rsidRDefault="006C3AB3" w:rsidP="006C3AB3">
      <w:pPr>
        <w:pStyle w:val="ListParagraph"/>
        <w:ind w:left="1701"/>
        <w:rPr>
          <w:rFonts w:ascii="Arial" w:hAnsi="Arial" w:cs="Arial"/>
          <w:sz w:val="24"/>
          <w:szCs w:val="24"/>
        </w:rPr>
      </w:pPr>
      <w:r>
        <w:rPr>
          <w:rFonts w:ascii="Arial" w:hAnsi="Arial" w:cs="Arial"/>
          <w:sz w:val="24"/>
          <w:szCs w:val="24"/>
        </w:rPr>
        <w:t>Moreover, the capital used for the construction of a road is “sunk” and the valuation of the completed project depends on its profitability only. A road cannot be used for any other purpose except to carry traffic which may or may not ensure its profitability (Goldberg, 2009)</w:t>
      </w:r>
      <w:r w:rsidR="004D6DB5">
        <w:rPr>
          <w:rFonts w:ascii="Arial" w:hAnsi="Arial" w:cs="Arial"/>
          <w:sz w:val="24"/>
          <w:szCs w:val="24"/>
        </w:rPr>
        <w:t>. A building on the other hand has real estate value even if it is unoccupied.</w:t>
      </w:r>
    </w:p>
    <w:p w:rsidR="006C3AB3" w:rsidRDefault="006C3AB3" w:rsidP="00E519D0">
      <w:pPr>
        <w:pStyle w:val="ListParagraph"/>
        <w:ind w:left="1701"/>
        <w:rPr>
          <w:rFonts w:ascii="Arial" w:hAnsi="Arial" w:cs="Arial"/>
          <w:sz w:val="24"/>
          <w:szCs w:val="24"/>
        </w:rPr>
      </w:pPr>
    </w:p>
    <w:p w:rsidR="00BC77EE" w:rsidRDefault="006C3AB3" w:rsidP="00E519D0">
      <w:pPr>
        <w:pStyle w:val="ListParagraph"/>
        <w:ind w:left="1701"/>
        <w:rPr>
          <w:rFonts w:ascii="Arial" w:hAnsi="Arial" w:cs="Arial"/>
          <w:sz w:val="24"/>
          <w:szCs w:val="24"/>
        </w:rPr>
      </w:pPr>
      <w:r>
        <w:rPr>
          <w:rFonts w:ascii="Arial" w:hAnsi="Arial" w:cs="Arial"/>
          <w:sz w:val="24"/>
          <w:szCs w:val="24"/>
        </w:rPr>
        <w:t xml:space="preserve">The </w:t>
      </w:r>
      <w:r w:rsidR="00B65E55">
        <w:rPr>
          <w:rFonts w:ascii="Arial" w:hAnsi="Arial" w:cs="Arial"/>
          <w:sz w:val="24"/>
          <w:szCs w:val="24"/>
        </w:rPr>
        <w:t>implication of</w:t>
      </w:r>
      <w:r>
        <w:rPr>
          <w:rFonts w:ascii="Arial" w:hAnsi="Arial" w:cs="Arial"/>
          <w:sz w:val="24"/>
          <w:szCs w:val="24"/>
        </w:rPr>
        <w:t xml:space="preserve"> the above comments is that </w:t>
      </w:r>
      <w:proofErr w:type="spellStart"/>
      <w:r>
        <w:rPr>
          <w:rFonts w:ascii="Arial" w:hAnsi="Arial" w:cs="Arial"/>
          <w:sz w:val="24"/>
          <w:szCs w:val="24"/>
        </w:rPr>
        <w:t>Transurban</w:t>
      </w:r>
      <w:proofErr w:type="spellEnd"/>
      <w:r>
        <w:rPr>
          <w:rFonts w:ascii="Arial" w:hAnsi="Arial" w:cs="Arial"/>
          <w:sz w:val="24"/>
          <w:szCs w:val="24"/>
        </w:rPr>
        <w:t xml:space="preserve"> has no </w:t>
      </w:r>
      <w:r w:rsidR="006C2EE1">
        <w:rPr>
          <w:rFonts w:ascii="Arial" w:hAnsi="Arial" w:cs="Arial"/>
          <w:sz w:val="24"/>
          <w:szCs w:val="24"/>
        </w:rPr>
        <w:t xml:space="preserve">adequate </w:t>
      </w:r>
      <w:r>
        <w:rPr>
          <w:rFonts w:ascii="Arial" w:hAnsi="Arial" w:cs="Arial"/>
          <w:sz w:val="24"/>
          <w:szCs w:val="24"/>
        </w:rPr>
        <w:t>collateral to offer capital providers</w:t>
      </w:r>
      <w:r w:rsidR="00C42744">
        <w:rPr>
          <w:rFonts w:ascii="Arial" w:hAnsi="Arial" w:cs="Arial"/>
          <w:sz w:val="24"/>
          <w:szCs w:val="24"/>
        </w:rPr>
        <w:t>. Therefore the $</w:t>
      </w:r>
      <w:proofErr w:type="spellStart"/>
      <w:r w:rsidR="00C42744">
        <w:rPr>
          <w:rFonts w:ascii="Arial" w:hAnsi="Arial" w:cs="Arial"/>
          <w:sz w:val="24"/>
          <w:szCs w:val="24"/>
        </w:rPr>
        <w:t>600m</w:t>
      </w:r>
      <w:proofErr w:type="spellEnd"/>
      <w:r w:rsidR="00C42744">
        <w:rPr>
          <w:rFonts w:ascii="Arial" w:hAnsi="Arial" w:cs="Arial"/>
          <w:sz w:val="24"/>
          <w:szCs w:val="24"/>
        </w:rPr>
        <w:t xml:space="preserve"> of equity which it will provide to assist in funding </w:t>
      </w:r>
      <w:proofErr w:type="spellStart"/>
      <w:r w:rsidR="00C42744">
        <w:rPr>
          <w:rFonts w:ascii="Arial" w:hAnsi="Arial" w:cs="Arial"/>
          <w:sz w:val="24"/>
          <w:szCs w:val="24"/>
        </w:rPr>
        <w:t>NorthConnex</w:t>
      </w:r>
      <w:proofErr w:type="spellEnd"/>
      <w:r w:rsidR="00C42744">
        <w:rPr>
          <w:rFonts w:ascii="Arial" w:hAnsi="Arial" w:cs="Arial"/>
          <w:sz w:val="24"/>
          <w:szCs w:val="24"/>
        </w:rPr>
        <w:t xml:space="preserve"> has to have a proper asset base which it lacks. </w:t>
      </w:r>
    </w:p>
    <w:p w:rsidR="00BC77EE" w:rsidRDefault="00BC77EE" w:rsidP="00E519D0">
      <w:pPr>
        <w:pStyle w:val="ListParagraph"/>
        <w:ind w:left="1701"/>
        <w:rPr>
          <w:rFonts w:ascii="Arial" w:hAnsi="Arial" w:cs="Arial"/>
          <w:sz w:val="24"/>
          <w:szCs w:val="24"/>
        </w:rPr>
      </w:pPr>
    </w:p>
    <w:p w:rsidR="00C42744" w:rsidRDefault="00C42744" w:rsidP="00E519D0">
      <w:pPr>
        <w:pStyle w:val="ListParagraph"/>
        <w:ind w:left="1701"/>
        <w:rPr>
          <w:rFonts w:ascii="Arial" w:hAnsi="Arial" w:cs="Arial"/>
          <w:sz w:val="24"/>
          <w:szCs w:val="24"/>
        </w:rPr>
      </w:pPr>
      <w:r>
        <w:rPr>
          <w:rFonts w:ascii="Arial" w:hAnsi="Arial" w:cs="Arial"/>
          <w:sz w:val="24"/>
          <w:szCs w:val="24"/>
        </w:rPr>
        <w:t xml:space="preserve">The problem therefore is to determine </w:t>
      </w:r>
      <w:r w:rsidR="00BC77EE">
        <w:rPr>
          <w:rFonts w:ascii="Arial" w:hAnsi="Arial" w:cs="Arial"/>
          <w:sz w:val="24"/>
          <w:szCs w:val="24"/>
        </w:rPr>
        <w:t xml:space="preserve">whether there is an artificial price in play </w:t>
      </w:r>
      <w:r>
        <w:rPr>
          <w:rFonts w:ascii="Arial" w:hAnsi="Arial" w:cs="Arial"/>
          <w:sz w:val="24"/>
          <w:szCs w:val="24"/>
        </w:rPr>
        <w:t>for its securities. A High Court decision in June 2013 (</w:t>
      </w:r>
      <w:proofErr w:type="spellStart"/>
      <w:r>
        <w:rPr>
          <w:rFonts w:ascii="Arial" w:hAnsi="Arial" w:cs="Arial"/>
          <w:sz w:val="24"/>
          <w:szCs w:val="24"/>
        </w:rPr>
        <w:t>AFR</w:t>
      </w:r>
      <w:proofErr w:type="spellEnd"/>
      <w:r>
        <w:rPr>
          <w:rFonts w:ascii="Arial" w:hAnsi="Arial" w:cs="Arial"/>
          <w:sz w:val="24"/>
          <w:szCs w:val="24"/>
        </w:rPr>
        <w:t>, 28/6/13)</w:t>
      </w:r>
      <w:r w:rsidR="00E93147">
        <w:rPr>
          <w:rStyle w:val="FootnoteReference"/>
          <w:rFonts w:ascii="Arial" w:hAnsi="Arial" w:cs="Arial"/>
          <w:sz w:val="24"/>
          <w:szCs w:val="24"/>
        </w:rPr>
        <w:footnoteReference w:id="6"/>
      </w:r>
      <w:r w:rsidR="00590721">
        <w:rPr>
          <w:rFonts w:ascii="Arial" w:hAnsi="Arial" w:cs="Arial"/>
          <w:sz w:val="24"/>
          <w:szCs w:val="24"/>
        </w:rPr>
        <w:t xml:space="preserve"> </w:t>
      </w:r>
      <w:r>
        <w:rPr>
          <w:rFonts w:ascii="Arial" w:hAnsi="Arial" w:cs="Arial"/>
          <w:sz w:val="24"/>
          <w:szCs w:val="24"/>
        </w:rPr>
        <w:t>has broadened the legal definition</w:t>
      </w:r>
      <w:r w:rsidR="00BC77EE">
        <w:rPr>
          <w:rFonts w:ascii="Arial" w:hAnsi="Arial" w:cs="Arial"/>
          <w:sz w:val="24"/>
          <w:szCs w:val="24"/>
        </w:rPr>
        <w:t xml:space="preserve"> of artificial price to include securities where previously it applied only to commodities. </w:t>
      </w:r>
    </w:p>
    <w:p w:rsidR="00C42744" w:rsidRDefault="00C42744" w:rsidP="00E519D0">
      <w:pPr>
        <w:pStyle w:val="ListParagraph"/>
        <w:ind w:left="1701"/>
        <w:rPr>
          <w:rFonts w:ascii="Arial" w:hAnsi="Arial" w:cs="Arial"/>
          <w:sz w:val="24"/>
          <w:szCs w:val="24"/>
        </w:rPr>
      </w:pPr>
    </w:p>
    <w:p w:rsidR="00AA6A0D" w:rsidRDefault="00BC77EE" w:rsidP="00E519D0">
      <w:pPr>
        <w:pStyle w:val="ListParagraph"/>
        <w:ind w:left="1701"/>
        <w:rPr>
          <w:rFonts w:ascii="Arial" w:hAnsi="Arial" w:cs="Arial"/>
          <w:sz w:val="24"/>
          <w:szCs w:val="24"/>
        </w:rPr>
      </w:pPr>
      <w:r>
        <w:rPr>
          <w:rFonts w:ascii="Arial" w:hAnsi="Arial" w:cs="Arial"/>
          <w:sz w:val="24"/>
          <w:szCs w:val="24"/>
        </w:rPr>
        <w:t xml:space="preserve">The origin of the </w:t>
      </w:r>
      <w:proofErr w:type="spellStart"/>
      <w:r>
        <w:rPr>
          <w:rFonts w:ascii="Arial" w:hAnsi="Arial" w:cs="Arial"/>
          <w:sz w:val="24"/>
          <w:szCs w:val="24"/>
        </w:rPr>
        <w:t>Transurban</w:t>
      </w:r>
      <w:proofErr w:type="spellEnd"/>
      <w:r>
        <w:rPr>
          <w:rFonts w:ascii="Arial" w:hAnsi="Arial" w:cs="Arial"/>
          <w:sz w:val="24"/>
          <w:szCs w:val="24"/>
        </w:rPr>
        <w:t xml:space="preserve"> security prices has been examined </w:t>
      </w:r>
      <w:r w:rsidR="00AA6A0D">
        <w:rPr>
          <w:rFonts w:ascii="Arial" w:hAnsi="Arial" w:cs="Arial"/>
          <w:sz w:val="24"/>
          <w:szCs w:val="24"/>
        </w:rPr>
        <w:t xml:space="preserve">in detail </w:t>
      </w:r>
      <w:r>
        <w:rPr>
          <w:rFonts w:ascii="Arial" w:hAnsi="Arial" w:cs="Arial"/>
          <w:sz w:val="24"/>
          <w:szCs w:val="24"/>
        </w:rPr>
        <w:t>by the author in his submission to the Senate In</w:t>
      </w:r>
      <w:r w:rsidR="00590721">
        <w:rPr>
          <w:rFonts w:ascii="Arial" w:hAnsi="Arial" w:cs="Arial"/>
          <w:sz w:val="24"/>
          <w:szCs w:val="24"/>
        </w:rPr>
        <w:t>q</w:t>
      </w:r>
      <w:r>
        <w:rPr>
          <w:rFonts w:ascii="Arial" w:hAnsi="Arial" w:cs="Arial"/>
          <w:sz w:val="24"/>
          <w:szCs w:val="24"/>
        </w:rPr>
        <w:t xml:space="preserve">uiry into </w:t>
      </w:r>
      <w:proofErr w:type="spellStart"/>
      <w:r>
        <w:rPr>
          <w:rFonts w:ascii="Arial" w:hAnsi="Arial" w:cs="Arial"/>
          <w:sz w:val="24"/>
          <w:szCs w:val="24"/>
        </w:rPr>
        <w:t>ASIC</w:t>
      </w:r>
      <w:proofErr w:type="spellEnd"/>
      <w:r w:rsidR="00C22080">
        <w:rPr>
          <w:rFonts w:ascii="Arial" w:hAnsi="Arial" w:cs="Arial"/>
          <w:sz w:val="24"/>
          <w:szCs w:val="24"/>
        </w:rPr>
        <w:t xml:space="preserve"> (Goldberg, 2013)</w:t>
      </w:r>
      <w:r>
        <w:rPr>
          <w:rFonts w:ascii="Arial" w:hAnsi="Arial" w:cs="Arial"/>
          <w:sz w:val="24"/>
          <w:szCs w:val="24"/>
        </w:rPr>
        <w:t xml:space="preserve">. </w:t>
      </w:r>
      <w:r w:rsidR="00AA6A0D">
        <w:rPr>
          <w:rFonts w:ascii="Arial" w:hAnsi="Arial" w:cs="Arial"/>
          <w:sz w:val="24"/>
          <w:szCs w:val="24"/>
        </w:rPr>
        <w:t xml:space="preserve">The Senate submission is complex and for the purposes of this submission a more simple explanation is considered appropriate. The graph in Figure 1 below shows the relationship between the average market capitalisation </w:t>
      </w:r>
      <w:r w:rsidR="00B65E55">
        <w:rPr>
          <w:rFonts w:ascii="Arial" w:hAnsi="Arial" w:cs="Arial"/>
          <w:sz w:val="24"/>
          <w:szCs w:val="24"/>
        </w:rPr>
        <w:t>values of</w:t>
      </w:r>
      <w:r w:rsidR="00AA6A0D">
        <w:rPr>
          <w:rFonts w:ascii="Arial" w:hAnsi="Arial" w:cs="Arial"/>
          <w:sz w:val="24"/>
          <w:szCs w:val="24"/>
        </w:rPr>
        <w:t xml:space="preserve"> </w:t>
      </w:r>
      <w:proofErr w:type="spellStart"/>
      <w:r w:rsidR="00AA6A0D">
        <w:rPr>
          <w:rFonts w:ascii="Arial" w:hAnsi="Arial" w:cs="Arial"/>
          <w:sz w:val="24"/>
          <w:szCs w:val="24"/>
        </w:rPr>
        <w:t>Transurban</w:t>
      </w:r>
      <w:proofErr w:type="spellEnd"/>
      <w:r w:rsidR="00AA6A0D">
        <w:rPr>
          <w:rFonts w:ascii="Arial" w:hAnsi="Arial" w:cs="Arial"/>
          <w:sz w:val="24"/>
          <w:szCs w:val="24"/>
        </w:rPr>
        <w:t xml:space="preserve"> securities versus the number of securities on issue over a 12 year period. The correlation between the two variables  is statistically significant</w:t>
      </w:r>
      <w:r w:rsidR="00D90430">
        <w:rPr>
          <w:rFonts w:ascii="Arial" w:hAnsi="Arial" w:cs="Arial"/>
          <w:sz w:val="24"/>
          <w:szCs w:val="24"/>
        </w:rPr>
        <w:t xml:space="preserve"> (Pearson R = 0.9).</w:t>
      </w:r>
    </w:p>
    <w:p w:rsidR="00D90430" w:rsidRDefault="00D90430" w:rsidP="00E519D0">
      <w:pPr>
        <w:pStyle w:val="ListParagraph"/>
        <w:ind w:left="1701"/>
        <w:rPr>
          <w:rFonts w:ascii="Arial" w:hAnsi="Arial" w:cs="Arial"/>
          <w:sz w:val="24"/>
          <w:szCs w:val="24"/>
        </w:rPr>
      </w:pPr>
    </w:p>
    <w:p w:rsidR="00D90430" w:rsidRDefault="00E145A1" w:rsidP="00E519D0">
      <w:pPr>
        <w:pStyle w:val="ListParagraph"/>
        <w:ind w:left="1701"/>
        <w:rPr>
          <w:rFonts w:ascii="Arial" w:hAnsi="Arial" w:cs="Arial"/>
          <w:sz w:val="24"/>
          <w:szCs w:val="24"/>
        </w:rPr>
      </w:pPr>
      <w:r>
        <w:rPr>
          <w:rFonts w:ascii="Arial" w:hAnsi="Arial" w:cs="Arial"/>
          <w:noProof/>
          <w:sz w:val="24"/>
          <w:szCs w:val="24"/>
          <w:lang w:eastAsia="en-AU"/>
        </w:rPr>
        <w:drawing>
          <wp:inline distT="0" distB="0" distL="0" distR="0">
            <wp:extent cx="4437888" cy="36819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37888" cy="3681984"/>
                    </a:xfrm>
                    <a:prstGeom prst="rect">
                      <a:avLst/>
                    </a:prstGeom>
                  </pic:spPr>
                </pic:pic>
              </a:graphicData>
            </a:graphic>
          </wp:inline>
        </w:drawing>
      </w:r>
    </w:p>
    <w:p w:rsidR="00D90430" w:rsidRDefault="00D90430" w:rsidP="00E519D0">
      <w:pPr>
        <w:pStyle w:val="ListParagraph"/>
        <w:ind w:left="1701"/>
        <w:rPr>
          <w:rFonts w:ascii="Arial" w:hAnsi="Arial" w:cs="Arial"/>
          <w:sz w:val="24"/>
          <w:szCs w:val="24"/>
        </w:rPr>
      </w:pPr>
    </w:p>
    <w:p w:rsidR="00E145A1" w:rsidRPr="00E145A1" w:rsidRDefault="00E145A1" w:rsidP="00E145A1">
      <w:pPr>
        <w:pStyle w:val="ListParagraph"/>
        <w:ind w:left="1701"/>
        <w:jc w:val="center"/>
        <w:rPr>
          <w:rFonts w:ascii="Arial" w:hAnsi="Arial" w:cs="Arial"/>
          <w:sz w:val="24"/>
          <w:szCs w:val="24"/>
          <w:u w:val="single"/>
        </w:rPr>
      </w:pPr>
      <w:r w:rsidRPr="00E145A1">
        <w:rPr>
          <w:rFonts w:ascii="Arial" w:hAnsi="Arial" w:cs="Arial"/>
          <w:sz w:val="24"/>
          <w:szCs w:val="24"/>
          <w:u w:val="single"/>
        </w:rPr>
        <w:t>Figure 1</w:t>
      </w:r>
    </w:p>
    <w:p w:rsidR="00E145A1" w:rsidRDefault="00E145A1" w:rsidP="00E519D0">
      <w:pPr>
        <w:pStyle w:val="ListParagraph"/>
        <w:ind w:left="1701"/>
        <w:rPr>
          <w:rFonts w:ascii="Arial" w:hAnsi="Arial" w:cs="Arial"/>
          <w:sz w:val="24"/>
          <w:szCs w:val="24"/>
        </w:rPr>
      </w:pPr>
    </w:p>
    <w:p w:rsidR="00D90430" w:rsidRDefault="00D90430" w:rsidP="00E519D0">
      <w:pPr>
        <w:pStyle w:val="ListParagraph"/>
        <w:ind w:left="1701"/>
        <w:rPr>
          <w:rFonts w:ascii="Arial" w:hAnsi="Arial" w:cs="Arial"/>
          <w:sz w:val="24"/>
          <w:szCs w:val="24"/>
        </w:rPr>
      </w:pPr>
      <w:r>
        <w:rPr>
          <w:rFonts w:ascii="Arial" w:hAnsi="Arial" w:cs="Arial"/>
          <w:sz w:val="24"/>
          <w:szCs w:val="24"/>
        </w:rPr>
        <w:t>Th</w:t>
      </w:r>
      <w:r w:rsidR="00E145A1">
        <w:rPr>
          <w:rFonts w:ascii="Arial" w:hAnsi="Arial" w:cs="Arial"/>
          <w:sz w:val="24"/>
          <w:szCs w:val="24"/>
        </w:rPr>
        <w:t xml:space="preserve">e </w:t>
      </w:r>
      <w:r>
        <w:rPr>
          <w:rFonts w:ascii="Arial" w:hAnsi="Arial" w:cs="Arial"/>
          <w:sz w:val="24"/>
          <w:szCs w:val="24"/>
        </w:rPr>
        <w:t xml:space="preserve">relationship </w:t>
      </w:r>
      <w:r w:rsidR="00E145A1">
        <w:rPr>
          <w:rFonts w:ascii="Arial" w:hAnsi="Arial" w:cs="Arial"/>
          <w:sz w:val="24"/>
          <w:szCs w:val="24"/>
        </w:rPr>
        <w:t xml:space="preserve">shown in Figure 1 reveals </w:t>
      </w:r>
      <w:r>
        <w:rPr>
          <w:rFonts w:ascii="Arial" w:hAnsi="Arial" w:cs="Arial"/>
          <w:sz w:val="24"/>
          <w:szCs w:val="24"/>
        </w:rPr>
        <w:t>the potential for manipulating the market capitalisation (and therefore the security price) by increasing the number of securities on issue.</w:t>
      </w:r>
    </w:p>
    <w:p w:rsidR="00AA6A0D" w:rsidRDefault="00AA6A0D" w:rsidP="00E519D0">
      <w:pPr>
        <w:pStyle w:val="ListParagraph"/>
        <w:ind w:left="1701"/>
        <w:rPr>
          <w:rFonts w:ascii="Arial" w:hAnsi="Arial" w:cs="Arial"/>
          <w:sz w:val="24"/>
          <w:szCs w:val="24"/>
        </w:rPr>
      </w:pPr>
    </w:p>
    <w:p w:rsidR="00AA6A0D" w:rsidRDefault="00AA6A0D" w:rsidP="00E519D0">
      <w:pPr>
        <w:pStyle w:val="ListParagraph"/>
        <w:ind w:left="1701"/>
        <w:rPr>
          <w:rFonts w:ascii="Arial" w:hAnsi="Arial" w:cs="Arial"/>
          <w:sz w:val="24"/>
          <w:szCs w:val="24"/>
        </w:rPr>
      </w:pPr>
    </w:p>
    <w:p w:rsidR="00AA6A0D" w:rsidRDefault="00AA6A0D" w:rsidP="00E519D0">
      <w:pPr>
        <w:pStyle w:val="ListParagraph"/>
        <w:ind w:left="1701"/>
        <w:rPr>
          <w:rFonts w:ascii="Arial" w:hAnsi="Arial" w:cs="Arial"/>
          <w:sz w:val="24"/>
          <w:szCs w:val="24"/>
        </w:rPr>
      </w:pPr>
    </w:p>
    <w:p w:rsidR="00AA6A0D" w:rsidRDefault="00AA6A0D" w:rsidP="00E519D0">
      <w:pPr>
        <w:pStyle w:val="ListParagraph"/>
        <w:ind w:left="1701"/>
        <w:rPr>
          <w:rFonts w:ascii="Arial" w:hAnsi="Arial" w:cs="Arial"/>
          <w:sz w:val="24"/>
          <w:szCs w:val="24"/>
        </w:rPr>
      </w:pPr>
    </w:p>
    <w:p w:rsidR="00FF034B" w:rsidRDefault="00FF034B" w:rsidP="00E519D0">
      <w:pPr>
        <w:pStyle w:val="ListParagraph"/>
        <w:ind w:left="1701"/>
        <w:rPr>
          <w:rFonts w:ascii="Arial" w:hAnsi="Arial" w:cs="Arial"/>
          <w:sz w:val="24"/>
          <w:szCs w:val="24"/>
        </w:rPr>
      </w:pPr>
    </w:p>
    <w:p w:rsidR="00922B0D" w:rsidRDefault="00B65E55" w:rsidP="00E519D0">
      <w:pPr>
        <w:pStyle w:val="ListParagraph"/>
        <w:ind w:left="1701"/>
        <w:rPr>
          <w:rFonts w:ascii="Arial" w:hAnsi="Arial" w:cs="Arial"/>
          <w:sz w:val="24"/>
          <w:szCs w:val="24"/>
        </w:rPr>
      </w:pPr>
      <w:r>
        <w:rPr>
          <w:rFonts w:ascii="Arial" w:hAnsi="Arial" w:cs="Arial"/>
          <w:sz w:val="24"/>
          <w:szCs w:val="24"/>
        </w:rPr>
        <w:t xml:space="preserve">The Australian and NSW governments therefore need to recognise the financial risk of partnerships of this type as they may be required in the future to fund shortfalls which they did not anticipate. </w:t>
      </w:r>
      <w:r w:rsidR="002668C8">
        <w:rPr>
          <w:rFonts w:ascii="Arial" w:hAnsi="Arial" w:cs="Arial"/>
          <w:sz w:val="24"/>
          <w:szCs w:val="24"/>
        </w:rPr>
        <w:t xml:space="preserve">This is discussed </w:t>
      </w:r>
      <w:r w:rsidR="0034744F">
        <w:rPr>
          <w:rFonts w:ascii="Arial" w:hAnsi="Arial" w:cs="Arial"/>
          <w:sz w:val="24"/>
          <w:szCs w:val="24"/>
        </w:rPr>
        <w:t>below</w:t>
      </w:r>
      <w:r w:rsidR="002668C8">
        <w:rPr>
          <w:rFonts w:ascii="Arial" w:hAnsi="Arial" w:cs="Arial"/>
          <w:sz w:val="24"/>
          <w:szCs w:val="24"/>
        </w:rPr>
        <w:t>.</w:t>
      </w:r>
    </w:p>
    <w:p w:rsidR="00E309AA" w:rsidRDefault="00E309AA" w:rsidP="008E6222">
      <w:pPr>
        <w:pStyle w:val="ListParagraph"/>
        <w:ind w:left="1440"/>
        <w:rPr>
          <w:rFonts w:ascii="Arial" w:hAnsi="Arial" w:cs="Arial"/>
          <w:b/>
          <w:sz w:val="28"/>
          <w:szCs w:val="28"/>
        </w:rPr>
      </w:pPr>
    </w:p>
    <w:p w:rsidR="00AF222A" w:rsidRDefault="00AF222A" w:rsidP="00F50A79">
      <w:pPr>
        <w:pStyle w:val="ListParagraph"/>
        <w:numPr>
          <w:ilvl w:val="1"/>
          <w:numId w:val="24"/>
        </w:numPr>
        <w:ind w:left="1701"/>
        <w:rPr>
          <w:rFonts w:ascii="Arial" w:hAnsi="Arial" w:cs="Arial"/>
          <w:b/>
          <w:sz w:val="28"/>
          <w:szCs w:val="28"/>
        </w:rPr>
      </w:pPr>
      <w:r w:rsidRPr="009813D1">
        <w:rPr>
          <w:rFonts w:ascii="Arial" w:hAnsi="Arial" w:cs="Arial"/>
          <w:b/>
          <w:sz w:val="28"/>
          <w:szCs w:val="28"/>
        </w:rPr>
        <w:t xml:space="preserve">The </w:t>
      </w:r>
      <w:proofErr w:type="spellStart"/>
      <w:r w:rsidR="00B65E55">
        <w:rPr>
          <w:rFonts w:ascii="Arial" w:hAnsi="Arial" w:cs="Arial"/>
          <w:b/>
          <w:sz w:val="28"/>
          <w:szCs w:val="28"/>
        </w:rPr>
        <w:t>WestC</w:t>
      </w:r>
      <w:r w:rsidR="00B65E55" w:rsidRPr="009813D1">
        <w:rPr>
          <w:rFonts w:ascii="Arial" w:hAnsi="Arial" w:cs="Arial"/>
          <w:b/>
          <w:sz w:val="28"/>
          <w:szCs w:val="28"/>
        </w:rPr>
        <w:t>onnex</w:t>
      </w:r>
      <w:proofErr w:type="spellEnd"/>
      <w:r w:rsidRPr="009813D1">
        <w:rPr>
          <w:rFonts w:ascii="Arial" w:hAnsi="Arial" w:cs="Arial"/>
          <w:b/>
          <w:sz w:val="28"/>
          <w:szCs w:val="28"/>
        </w:rPr>
        <w:t xml:space="preserve"> road </w:t>
      </w:r>
      <w:r w:rsidR="00E519D0">
        <w:rPr>
          <w:rFonts w:ascii="Arial" w:hAnsi="Arial" w:cs="Arial"/>
          <w:b/>
          <w:sz w:val="28"/>
          <w:szCs w:val="28"/>
        </w:rPr>
        <w:t xml:space="preserve">tunnel </w:t>
      </w:r>
      <w:r w:rsidRPr="009813D1">
        <w:rPr>
          <w:rFonts w:ascii="Arial" w:hAnsi="Arial" w:cs="Arial"/>
          <w:b/>
          <w:sz w:val="28"/>
          <w:szCs w:val="28"/>
        </w:rPr>
        <w:t>proposal</w:t>
      </w:r>
    </w:p>
    <w:p w:rsidR="00BA337A" w:rsidRDefault="00BA337A" w:rsidP="00BA337A">
      <w:pPr>
        <w:pStyle w:val="ListParagraph"/>
        <w:ind w:left="2410" w:hanging="862"/>
        <w:rPr>
          <w:rFonts w:ascii="Arial" w:hAnsi="Arial" w:cs="Arial"/>
          <w:b/>
          <w:sz w:val="28"/>
          <w:szCs w:val="28"/>
        </w:rPr>
      </w:pPr>
    </w:p>
    <w:p w:rsidR="00AF222A" w:rsidRDefault="00B65E55" w:rsidP="00BA337A">
      <w:pPr>
        <w:pStyle w:val="ListParagraph"/>
        <w:ind w:left="1701"/>
        <w:rPr>
          <w:rFonts w:ascii="Arial" w:hAnsi="Arial" w:cs="Arial"/>
          <w:sz w:val="24"/>
          <w:szCs w:val="24"/>
        </w:rPr>
      </w:pPr>
      <w:r w:rsidRPr="00EE76EF">
        <w:rPr>
          <w:rFonts w:ascii="Arial" w:hAnsi="Arial" w:cs="Arial"/>
          <w:sz w:val="24"/>
          <w:szCs w:val="24"/>
        </w:rPr>
        <w:t xml:space="preserve">A </w:t>
      </w:r>
      <w:proofErr w:type="spellStart"/>
      <w:r w:rsidRPr="00EE76EF">
        <w:rPr>
          <w:rFonts w:ascii="Arial" w:hAnsi="Arial" w:cs="Arial"/>
          <w:sz w:val="24"/>
          <w:szCs w:val="24"/>
        </w:rPr>
        <w:t>BCR</w:t>
      </w:r>
      <w:proofErr w:type="spellEnd"/>
      <w:r w:rsidRPr="00EE76EF">
        <w:rPr>
          <w:rFonts w:ascii="Arial" w:hAnsi="Arial" w:cs="Arial"/>
          <w:sz w:val="24"/>
          <w:szCs w:val="24"/>
        </w:rPr>
        <w:t xml:space="preserve"> </w:t>
      </w:r>
      <w:r>
        <w:rPr>
          <w:rFonts w:ascii="Arial" w:hAnsi="Arial" w:cs="Arial"/>
          <w:sz w:val="24"/>
          <w:szCs w:val="24"/>
        </w:rPr>
        <w:t xml:space="preserve">of 2.55 is claimed for the </w:t>
      </w:r>
      <w:proofErr w:type="spellStart"/>
      <w:r>
        <w:rPr>
          <w:rFonts w:ascii="Arial" w:hAnsi="Arial" w:cs="Arial"/>
          <w:sz w:val="24"/>
          <w:szCs w:val="24"/>
        </w:rPr>
        <w:t>WestC</w:t>
      </w:r>
      <w:r w:rsidRPr="00EE76EF">
        <w:rPr>
          <w:rFonts w:ascii="Arial" w:hAnsi="Arial" w:cs="Arial"/>
          <w:sz w:val="24"/>
          <w:szCs w:val="24"/>
        </w:rPr>
        <w:t>onnex</w:t>
      </w:r>
      <w:proofErr w:type="spellEnd"/>
      <w:r w:rsidRPr="00EE76EF">
        <w:rPr>
          <w:rFonts w:ascii="Arial" w:hAnsi="Arial" w:cs="Arial"/>
          <w:sz w:val="24"/>
          <w:szCs w:val="24"/>
        </w:rPr>
        <w:t xml:space="preserve"> motorway</w:t>
      </w:r>
      <w:r>
        <w:rPr>
          <w:rFonts w:ascii="Arial" w:hAnsi="Arial" w:cs="Arial"/>
          <w:sz w:val="24"/>
          <w:szCs w:val="24"/>
        </w:rPr>
        <w:t xml:space="preserve"> (</w:t>
      </w:r>
      <w:proofErr w:type="spellStart"/>
      <w:r>
        <w:rPr>
          <w:rFonts w:ascii="Arial" w:hAnsi="Arial" w:cs="Arial"/>
          <w:sz w:val="24"/>
          <w:szCs w:val="24"/>
        </w:rPr>
        <w:t>WestConnex</w:t>
      </w:r>
      <w:proofErr w:type="spellEnd"/>
      <w:r>
        <w:rPr>
          <w:rFonts w:ascii="Arial" w:hAnsi="Arial" w:cs="Arial"/>
          <w:sz w:val="24"/>
          <w:szCs w:val="24"/>
        </w:rPr>
        <w:t xml:space="preserve"> Business Case, 2013). </w:t>
      </w:r>
      <w:r w:rsidR="00AF222A">
        <w:rPr>
          <w:rFonts w:ascii="Arial" w:hAnsi="Arial" w:cs="Arial"/>
          <w:sz w:val="24"/>
          <w:szCs w:val="24"/>
        </w:rPr>
        <w:t>.As</w:t>
      </w:r>
      <w:r w:rsidR="00AF222A" w:rsidRPr="00EE76EF">
        <w:rPr>
          <w:rFonts w:ascii="Arial" w:hAnsi="Arial" w:cs="Arial"/>
          <w:sz w:val="24"/>
          <w:szCs w:val="24"/>
        </w:rPr>
        <w:t xml:space="preserve"> a </w:t>
      </w:r>
      <w:r w:rsidR="0034744F" w:rsidRPr="00EE76EF">
        <w:rPr>
          <w:rFonts w:ascii="Arial" w:hAnsi="Arial" w:cs="Arial"/>
          <w:sz w:val="24"/>
          <w:szCs w:val="24"/>
        </w:rPr>
        <w:t xml:space="preserve">substantial </w:t>
      </w:r>
      <w:r w:rsidR="0034744F">
        <w:rPr>
          <w:rFonts w:ascii="Arial" w:hAnsi="Arial" w:cs="Arial"/>
          <w:sz w:val="24"/>
          <w:szCs w:val="24"/>
        </w:rPr>
        <w:t>part</w:t>
      </w:r>
      <w:r w:rsidR="00AF222A" w:rsidRPr="00EE76EF">
        <w:rPr>
          <w:rFonts w:ascii="Arial" w:hAnsi="Arial" w:cs="Arial"/>
          <w:sz w:val="24"/>
          <w:szCs w:val="24"/>
        </w:rPr>
        <w:t xml:space="preserve"> (9-</w:t>
      </w:r>
      <w:proofErr w:type="spellStart"/>
      <w:r w:rsidR="00AF222A" w:rsidRPr="00EE76EF">
        <w:rPr>
          <w:rFonts w:ascii="Arial" w:hAnsi="Arial" w:cs="Arial"/>
          <w:sz w:val="24"/>
          <w:szCs w:val="24"/>
        </w:rPr>
        <w:t>10km</w:t>
      </w:r>
      <w:proofErr w:type="spellEnd"/>
      <w:r w:rsidR="00AF222A" w:rsidRPr="00EE76EF">
        <w:rPr>
          <w:rFonts w:ascii="Arial" w:hAnsi="Arial" w:cs="Arial"/>
          <w:sz w:val="24"/>
          <w:szCs w:val="24"/>
        </w:rPr>
        <w:t xml:space="preserve">) of the motorway is to be </w:t>
      </w:r>
      <w:r w:rsidR="00AF222A">
        <w:rPr>
          <w:rFonts w:ascii="Arial" w:hAnsi="Arial" w:cs="Arial"/>
          <w:sz w:val="24"/>
          <w:szCs w:val="24"/>
        </w:rPr>
        <w:t xml:space="preserve">constructed </w:t>
      </w:r>
      <w:r w:rsidR="00AF222A" w:rsidRPr="00EE76EF">
        <w:rPr>
          <w:rFonts w:ascii="Arial" w:hAnsi="Arial" w:cs="Arial"/>
          <w:sz w:val="24"/>
          <w:szCs w:val="24"/>
        </w:rPr>
        <w:t xml:space="preserve">by widening the </w:t>
      </w:r>
      <w:proofErr w:type="spellStart"/>
      <w:r w:rsidR="00AF222A" w:rsidRPr="00EE76EF">
        <w:rPr>
          <w:rFonts w:ascii="Arial" w:hAnsi="Arial" w:cs="Arial"/>
          <w:sz w:val="24"/>
          <w:szCs w:val="24"/>
        </w:rPr>
        <w:t>M4</w:t>
      </w:r>
      <w:proofErr w:type="spellEnd"/>
      <w:r w:rsidR="00AF222A">
        <w:rPr>
          <w:rFonts w:ascii="Arial" w:hAnsi="Arial" w:cs="Arial"/>
          <w:sz w:val="24"/>
          <w:szCs w:val="24"/>
        </w:rPr>
        <w:t xml:space="preserve"> motorway by one lane</w:t>
      </w:r>
      <w:r w:rsidR="00AF222A" w:rsidRPr="00EE76EF">
        <w:rPr>
          <w:rFonts w:ascii="Arial" w:hAnsi="Arial" w:cs="Arial"/>
          <w:sz w:val="24"/>
          <w:szCs w:val="24"/>
        </w:rPr>
        <w:t xml:space="preserve">, </w:t>
      </w:r>
      <w:r w:rsidR="00AF222A">
        <w:rPr>
          <w:rFonts w:ascii="Arial" w:hAnsi="Arial" w:cs="Arial"/>
          <w:sz w:val="24"/>
          <w:szCs w:val="24"/>
        </w:rPr>
        <w:t xml:space="preserve">or an increase in capacity of 16%, </w:t>
      </w:r>
      <w:r w:rsidR="00AF222A" w:rsidRPr="00EE76EF">
        <w:rPr>
          <w:rFonts w:ascii="Arial" w:hAnsi="Arial" w:cs="Arial"/>
          <w:sz w:val="24"/>
          <w:szCs w:val="24"/>
        </w:rPr>
        <w:t>t</w:t>
      </w:r>
      <w:r w:rsidR="00AF222A">
        <w:rPr>
          <w:rFonts w:ascii="Arial" w:hAnsi="Arial" w:cs="Arial"/>
          <w:sz w:val="24"/>
          <w:szCs w:val="24"/>
        </w:rPr>
        <w:t xml:space="preserve">he claimed </w:t>
      </w:r>
      <w:proofErr w:type="spellStart"/>
      <w:r w:rsidR="00AF222A">
        <w:rPr>
          <w:rFonts w:ascii="Arial" w:hAnsi="Arial" w:cs="Arial"/>
          <w:sz w:val="24"/>
          <w:szCs w:val="24"/>
        </w:rPr>
        <w:t>BCR</w:t>
      </w:r>
      <w:proofErr w:type="spellEnd"/>
      <w:r w:rsidR="00AF222A">
        <w:rPr>
          <w:rFonts w:ascii="Arial" w:hAnsi="Arial" w:cs="Arial"/>
          <w:sz w:val="24"/>
          <w:szCs w:val="24"/>
        </w:rPr>
        <w:t xml:space="preserve"> is suspect. </w:t>
      </w:r>
      <w:r w:rsidR="00590721">
        <w:rPr>
          <w:rFonts w:ascii="Arial" w:hAnsi="Arial" w:cs="Arial"/>
          <w:sz w:val="24"/>
          <w:szCs w:val="24"/>
        </w:rPr>
        <w:t>As</w:t>
      </w:r>
      <w:r w:rsidR="00F67609">
        <w:rPr>
          <w:rFonts w:ascii="Arial" w:hAnsi="Arial" w:cs="Arial"/>
          <w:sz w:val="24"/>
          <w:szCs w:val="24"/>
        </w:rPr>
        <w:t xml:space="preserve"> previously discussed, w</w:t>
      </w:r>
      <w:r w:rsidR="00AF222A">
        <w:rPr>
          <w:rFonts w:ascii="Arial" w:hAnsi="Arial" w:cs="Arial"/>
          <w:sz w:val="24"/>
          <w:szCs w:val="24"/>
        </w:rPr>
        <w:t>idening existing roads does not result in increase</w:t>
      </w:r>
      <w:r w:rsidR="00F67609">
        <w:rPr>
          <w:rFonts w:ascii="Arial" w:hAnsi="Arial" w:cs="Arial"/>
          <w:sz w:val="24"/>
          <w:szCs w:val="24"/>
        </w:rPr>
        <w:t xml:space="preserve">d </w:t>
      </w:r>
      <w:r w:rsidR="00AF222A">
        <w:rPr>
          <w:rFonts w:ascii="Arial" w:hAnsi="Arial" w:cs="Arial"/>
          <w:sz w:val="24"/>
          <w:szCs w:val="24"/>
        </w:rPr>
        <w:t xml:space="preserve">benefits in proportion to the capacity increase. </w:t>
      </w:r>
      <w:r w:rsidR="00F50A79">
        <w:rPr>
          <w:rFonts w:ascii="Arial" w:hAnsi="Arial" w:cs="Arial"/>
          <w:sz w:val="24"/>
          <w:szCs w:val="24"/>
        </w:rPr>
        <w:t xml:space="preserve">On the contrary, </w:t>
      </w:r>
      <w:r w:rsidR="00F67609">
        <w:rPr>
          <w:rFonts w:ascii="Arial" w:hAnsi="Arial" w:cs="Arial"/>
          <w:sz w:val="24"/>
          <w:szCs w:val="24"/>
        </w:rPr>
        <w:t xml:space="preserve">it only increases benefits </w:t>
      </w:r>
      <w:r w:rsidR="00521AA9">
        <w:rPr>
          <w:rFonts w:ascii="Arial" w:hAnsi="Arial" w:cs="Arial"/>
          <w:sz w:val="24"/>
          <w:szCs w:val="24"/>
        </w:rPr>
        <w:t>by a relatively small percentage</w:t>
      </w:r>
      <w:r>
        <w:rPr>
          <w:rFonts w:ascii="Arial" w:hAnsi="Arial" w:cs="Arial"/>
          <w:sz w:val="24"/>
          <w:szCs w:val="24"/>
        </w:rPr>
        <w:t>. (</w:t>
      </w:r>
      <w:r w:rsidR="00F50A79">
        <w:rPr>
          <w:rFonts w:ascii="Arial" w:hAnsi="Arial" w:cs="Arial"/>
          <w:sz w:val="24"/>
          <w:szCs w:val="24"/>
        </w:rPr>
        <w:t>Goldberg, 2010)</w:t>
      </w:r>
    </w:p>
    <w:p w:rsidR="00FD11F9" w:rsidRDefault="00FD11F9" w:rsidP="00BA337A">
      <w:pPr>
        <w:pStyle w:val="ListParagraph"/>
        <w:ind w:left="1701"/>
        <w:rPr>
          <w:rFonts w:ascii="Arial" w:hAnsi="Arial" w:cs="Arial"/>
          <w:sz w:val="24"/>
          <w:szCs w:val="24"/>
        </w:rPr>
      </w:pPr>
    </w:p>
    <w:p w:rsidR="00FD11F9" w:rsidRPr="00FD3190" w:rsidRDefault="00F50A79" w:rsidP="00FD3190">
      <w:pPr>
        <w:pStyle w:val="ListParagraph"/>
        <w:ind w:left="1701"/>
        <w:rPr>
          <w:rFonts w:ascii="Arial" w:hAnsi="Arial" w:cs="Arial"/>
          <w:sz w:val="24"/>
          <w:szCs w:val="24"/>
        </w:rPr>
      </w:pPr>
      <w:r>
        <w:rPr>
          <w:rFonts w:ascii="Arial" w:hAnsi="Arial" w:cs="Arial"/>
          <w:sz w:val="24"/>
          <w:szCs w:val="24"/>
        </w:rPr>
        <w:t xml:space="preserve">Moreover, </w:t>
      </w:r>
      <w:r w:rsidR="00FD11F9">
        <w:rPr>
          <w:rFonts w:ascii="Arial" w:hAnsi="Arial" w:cs="Arial"/>
          <w:sz w:val="24"/>
          <w:szCs w:val="24"/>
        </w:rPr>
        <w:t xml:space="preserve">increasing capacity will generate traffic by induction </w:t>
      </w:r>
      <w:r>
        <w:rPr>
          <w:rFonts w:ascii="Arial" w:hAnsi="Arial" w:cs="Arial"/>
          <w:sz w:val="24"/>
          <w:szCs w:val="24"/>
        </w:rPr>
        <w:t>(</w:t>
      </w:r>
      <w:proofErr w:type="spellStart"/>
      <w:r>
        <w:rPr>
          <w:rFonts w:ascii="Arial" w:hAnsi="Arial" w:cs="Arial"/>
          <w:sz w:val="24"/>
          <w:szCs w:val="24"/>
        </w:rPr>
        <w:t>Litman</w:t>
      </w:r>
      <w:proofErr w:type="spellEnd"/>
      <w:r>
        <w:rPr>
          <w:rFonts w:ascii="Arial" w:hAnsi="Arial" w:cs="Arial"/>
          <w:sz w:val="24"/>
          <w:szCs w:val="24"/>
        </w:rPr>
        <w:t xml:space="preserve">, </w:t>
      </w:r>
      <w:r w:rsidR="007E1277">
        <w:rPr>
          <w:rFonts w:ascii="Arial" w:hAnsi="Arial" w:cs="Arial"/>
          <w:sz w:val="24"/>
          <w:szCs w:val="24"/>
        </w:rPr>
        <w:t xml:space="preserve">2009) </w:t>
      </w:r>
      <w:r w:rsidR="00FD11F9">
        <w:rPr>
          <w:rFonts w:ascii="Arial" w:hAnsi="Arial" w:cs="Arial"/>
          <w:sz w:val="24"/>
          <w:szCs w:val="24"/>
        </w:rPr>
        <w:t>and the gains in productivity for businesses and freight may be cancelled by increasing congestion</w:t>
      </w:r>
      <w:r>
        <w:rPr>
          <w:rFonts w:ascii="Arial" w:hAnsi="Arial" w:cs="Arial"/>
          <w:sz w:val="24"/>
          <w:szCs w:val="24"/>
        </w:rPr>
        <w:t>.</w:t>
      </w:r>
      <w:r w:rsidR="007E1277">
        <w:rPr>
          <w:rFonts w:ascii="Arial" w:hAnsi="Arial" w:cs="Arial"/>
          <w:sz w:val="24"/>
          <w:szCs w:val="24"/>
        </w:rPr>
        <w:t xml:space="preserve"> Traffic flows in the Sydney region strongly suggest that it is impossible to beat demand for road space by increasing the road supply.</w:t>
      </w:r>
      <w:r w:rsidR="00FD3190">
        <w:rPr>
          <w:rFonts w:ascii="Arial" w:hAnsi="Arial" w:cs="Arial"/>
          <w:sz w:val="24"/>
          <w:szCs w:val="24"/>
        </w:rPr>
        <w:t xml:space="preserve"> I</w:t>
      </w:r>
      <w:r w:rsidR="00FD11F9" w:rsidRPr="00FD3190">
        <w:rPr>
          <w:rFonts w:ascii="Arial" w:hAnsi="Arial" w:cs="Arial"/>
          <w:sz w:val="24"/>
          <w:szCs w:val="24"/>
        </w:rPr>
        <w:t xml:space="preserve">ncreasing the capacity will almost certainly result in traffic induction which will reduce the travel time savings claimed to amount to a discounted value of $15, </w:t>
      </w:r>
      <w:proofErr w:type="spellStart"/>
      <w:r w:rsidR="00FD11F9" w:rsidRPr="00FD3190">
        <w:rPr>
          <w:rFonts w:ascii="Arial" w:hAnsi="Arial" w:cs="Arial"/>
          <w:sz w:val="24"/>
          <w:szCs w:val="24"/>
        </w:rPr>
        <w:t>410m</w:t>
      </w:r>
      <w:proofErr w:type="spellEnd"/>
      <w:r w:rsidR="00FD11F9" w:rsidRPr="00FD3190">
        <w:rPr>
          <w:rFonts w:ascii="Arial" w:hAnsi="Arial" w:cs="Arial"/>
          <w:sz w:val="24"/>
          <w:szCs w:val="24"/>
        </w:rPr>
        <w:t>.</w:t>
      </w:r>
    </w:p>
    <w:p w:rsidR="00AF222A" w:rsidRDefault="00AF222A" w:rsidP="00BA337A">
      <w:pPr>
        <w:pStyle w:val="ListParagraph"/>
        <w:ind w:left="1701"/>
        <w:rPr>
          <w:rFonts w:ascii="Arial" w:hAnsi="Arial" w:cs="Arial"/>
          <w:sz w:val="24"/>
          <w:szCs w:val="24"/>
        </w:rPr>
      </w:pPr>
      <w:r w:rsidRPr="00EE76EF">
        <w:rPr>
          <w:rFonts w:ascii="Arial" w:hAnsi="Arial" w:cs="Arial"/>
          <w:sz w:val="24"/>
          <w:szCs w:val="24"/>
        </w:rPr>
        <w:t xml:space="preserve"> </w:t>
      </w:r>
    </w:p>
    <w:p w:rsidR="00AF222A" w:rsidRDefault="00AF222A" w:rsidP="00BA337A">
      <w:pPr>
        <w:pStyle w:val="ListParagraph"/>
        <w:ind w:left="1701"/>
        <w:rPr>
          <w:rFonts w:ascii="Arial" w:hAnsi="Arial" w:cs="Arial"/>
          <w:sz w:val="24"/>
          <w:szCs w:val="24"/>
        </w:rPr>
      </w:pPr>
      <w:r>
        <w:rPr>
          <w:rFonts w:ascii="Arial" w:hAnsi="Arial" w:cs="Arial"/>
          <w:sz w:val="24"/>
          <w:szCs w:val="24"/>
        </w:rPr>
        <w:t xml:space="preserve">The business case for the </w:t>
      </w:r>
      <w:proofErr w:type="spellStart"/>
      <w:r w:rsidR="00B65E55">
        <w:rPr>
          <w:rFonts w:ascii="Arial" w:hAnsi="Arial" w:cs="Arial"/>
          <w:sz w:val="24"/>
          <w:szCs w:val="24"/>
        </w:rPr>
        <w:t>WestConnex</w:t>
      </w:r>
      <w:proofErr w:type="spellEnd"/>
      <w:r>
        <w:rPr>
          <w:rFonts w:ascii="Arial" w:hAnsi="Arial" w:cs="Arial"/>
          <w:sz w:val="24"/>
          <w:szCs w:val="24"/>
        </w:rPr>
        <w:t xml:space="preserve"> includes benefits from increases in reliability </w:t>
      </w:r>
      <w:r w:rsidR="00497C59">
        <w:rPr>
          <w:rFonts w:ascii="Arial" w:hAnsi="Arial" w:cs="Arial"/>
          <w:sz w:val="24"/>
          <w:szCs w:val="24"/>
        </w:rPr>
        <w:t>($</w:t>
      </w:r>
      <w:proofErr w:type="spellStart"/>
      <w:r w:rsidR="00497C59">
        <w:rPr>
          <w:rFonts w:ascii="Arial" w:hAnsi="Arial" w:cs="Arial"/>
          <w:sz w:val="24"/>
          <w:szCs w:val="24"/>
        </w:rPr>
        <w:t>2,603m</w:t>
      </w:r>
      <w:proofErr w:type="spellEnd"/>
      <w:r w:rsidR="00497C59">
        <w:rPr>
          <w:rFonts w:ascii="Arial" w:hAnsi="Arial" w:cs="Arial"/>
          <w:sz w:val="24"/>
          <w:szCs w:val="24"/>
        </w:rPr>
        <w:t xml:space="preserve">) </w:t>
      </w:r>
      <w:r>
        <w:rPr>
          <w:rFonts w:ascii="Arial" w:hAnsi="Arial" w:cs="Arial"/>
          <w:sz w:val="24"/>
          <w:szCs w:val="24"/>
        </w:rPr>
        <w:t>and productivity</w:t>
      </w:r>
      <w:r w:rsidR="00497C59">
        <w:rPr>
          <w:rFonts w:ascii="Arial" w:hAnsi="Arial" w:cs="Arial"/>
          <w:sz w:val="24"/>
          <w:szCs w:val="24"/>
        </w:rPr>
        <w:t xml:space="preserve"> ($</w:t>
      </w:r>
      <w:proofErr w:type="spellStart"/>
      <w:r w:rsidR="00497C59">
        <w:rPr>
          <w:rFonts w:ascii="Arial" w:hAnsi="Arial" w:cs="Arial"/>
          <w:sz w:val="24"/>
          <w:szCs w:val="24"/>
        </w:rPr>
        <w:t>3,402m</w:t>
      </w:r>
      <w:proofErr w:type="spellEnd"/>
      <w:r w:rsidR="00497C59">
        <w:rPr>
          <w:rFonts w:ascii="Arial" w:hAnsi="Arial" w:cs="Arial"/>
          <w:sz w:val="24"/>
          <w:szCs w:val="24"/>
        </w:rPr>
        <w:t>)</w:t>
      </w:r>
      <w:r>
        <w:rPr>
          <w:rFonts w:ascii="Arial" w:hAnsi="Arial" w:cs="Arial"/>
          <w:sz w:val="24"/>
          <w:szCs w:val="24"/>
        </w:rPr>
        <w:t xml:space="preserve">. </w:t>
      </w:r>
      <w:r w:rsidR="00FD11F9">
        <w:rPr>
          <w:rFonts w:ascii="Arial" w:hAnsi="Arial" w:cs="Arial"/>
          <w:sz w:val="24"/>
          <w:szCs w:val="24"/>
        </w:rPr>
        <w:t xml:space="preserve">These inclusions </w:t>
      </w:r>
      <w:r w:rsidR="00E93147">
        <w:rPr>
          <w:rFonts w:ascii="Arial" w:hAnsi="Arial" w:cs="Arial"/>
          <w:sz w:val="24"/>
          <w:szCs w:val="24"/>
        </w:rPr>
        <w:t xml:space="preserve">have </w:t>
      </w:r>
      <w:r w:rsidR="00FD11F9">
        <w:rPr>
          <w:rFonts w:ascii="Arial" w:hAnsi="Arial" w:cs="Arial"/>
          <w:sz w:val="24"/>
          <w:szCs w:val="24"/>
        </w:rPr>
        <w:t xml:space="preserve">artificially </w:t>
      </w:r>
      <w:r w:rsidR="00B65E55">
        <w:rPr>
          <w:rFonts w:ascii="Arial" w:hAnsi="Arial" w:cs="Arial"/>
          <w:sz w:val="24"/>
          <w:szCs w:val="24"/>
        </w:rPr>
        <w:t>inflated the</w:t>
      </w:r>
      <w:r w:rsidR="00FD11F9">
        <w:rPr>
          <w:rFonts w:ascii="Arial" w:hAnsi="Arial" w:cs="Arial"/>
          <w:sz w:val="24"/>
          <w:szCs w:val="24"/>
        </w:rPr>
        <w:t xml:space="preserve"> </w:t>
      </w:r>
      <w:proofErr w:type="spellStart"/>
      <w:r w:rsidR="00FD11F9">
        <w:rPr>
          <w:rFonts w:ascii="Arial" w:hAnsi="Arial" w:cs="Arial"/>
          <w:sz w:val="24"/>
          <w:szCs w:val="24"/>
        </w:rPr>
        <w:t>BCR</w:t>
      </w:r>
      <w:proofErr w:type="spellEnd"/>
      <w:r w:rsidR="00FD11F9">
        <w:rPr>
          <w:rFonts w:ascii="Arial" w:hAnsi="Arial" w:cs="Arial"/>
          <w:sz w:val="24"/>
          <w:szCs w:val="24"/>
        </w:rPr>
        <w:t xml:space="preserve"> but their quantification by the NSW </w:t>
      </w:r>
      <w:r w:rsidR="0034744F">
        <w:rPr>
          <w:rFonts w:ascii="Arial" w:hAnsi="Arial" w:cs="Arial"/>
          <w:sz w:val="24"/>
          <w:szCs w:val="24"/>
        </w:rPr>
        <w:t>government</w:t>
      </w:r>
      <w:r w:rsidR="00FD11F9">
        <w:rPr>
          <w:rFonts w:ascii="Arial" w:hAnsi="Arial" w:cs="Arial"/>
          <w:sz w:val="24"/>
          <w:szCs w:val="24"/>
        </w:rPr>
        <w:t xml:space="preserve"> is suspect for the following reasons.</w:t>
      </w:r>
    </w:p>
    <w:p w:rsidR="00FD3190" w:rsidRDefault="00FD3190" w:rsidP="00BA337A">
      <w:pPr>
        <w:pStyle w:val="ListParagraph"/>
        <w:ind w:left="1701"/>
        <w:rPr>
          <w:rFonts w:ascii="Arial" w:hAnsi="Arial" w:cs="Arial"/>
          <w:sz w:val="24"/>
          <w:szCs w:val="24"/>
        </w:rPr>
      </w:pPr>
    </w:p>
    <w:p w:rsidR="00FD11F9" w:rsidRDefault="00497C59" w:rsidP="00FD3190">
      <w:pPr>
        <w:pStyle w:val="ListParagraph"/>
        <w:numPr>
          <w:ilvl w:val="2"/>
          <w:numId w:val="34"/>
        </w:numPr>
        <w:rPr>
          <w:rFonts w:ascii="Arial" w:hAnsi="Arial" w:cs="Arial"/>
          <w:sz w:val="24"/>
          <w:szCs w:val="24"/>
        </w:rPr>
      </w:pPr>
      <w:r w:rsidRPr="00FD3190">
        <w:rPr>
          <w:rFonts w:ascii="Arial" w:hAnsi="Arial" w:cs="Arial"/>
          <w:sz w:val="24"/>
          <w:szCs w:val="24"/>
        </w:rPr>
        <w:t>R</w:t>
      </w:r>
      <w:r w:rsidR="00FD11F9" w:rsidRPr="00FD3190">
        <w:rPr>
          <w:rFonts w:ascii="Arial" w:hAnsi="Arial" w:cs="Arial"/>
          <w:sz w:val="24"/>
          <w:szCs w:val="24"/>
        </w:rPr>
        <w:t xml:space="preserve">eliability. has to be measured in terms of journey time variability. It is a function of the mean speed of traffic on the motorway and the </w:t>
      </w:r>
      <w:r w:rsidR="0034744F" w:rsidRPr="00FD3190">
        <w:rPr>
          <w:rFonts w:ascii="Arial" w:hAnsi="Arial" w:cs="Arial"/>
          <w:sz w:val="24"/>
          <w:szCs w:val="24"/>
        </w:rPr>
        <w:t>variance of</w:t>
      </w:r>
      <w:r w:rsidR="00FD11F9" w:rsidRPr="00FD3190">
        <w:rPr>
          <w:rFonts w:ascii="Arial" w:hAnsi="Arial" w:cs="Arial"/>
          <w:sz w:val="24"/>
          <w:szCs w:val="24"/>
        </w:rPr>
        <w:t xml:space="preserve"> speeds </w:t>
      </w:r>
      <w:r w:rsidR="0034744F" w:rsidRPr="00FD3190">
        <w:rPr>
          <w:rFonts w:ascii="Arial" w:hAnsi="Arial" w:cs="Arial"/>
          <w:sz w:val="24"/>
          <w:szCs w:val="24"/>
        </w:rPr>
        <w:t>about the</w:t>
      </w:r>
      <w:r w:rsidR="00FD11F9" w:rsidRPr="00FD3190">
        <w:rPr>
          <w:rFonts w:ascii="Arial" w:hAnsi="Arial" w:cs="Arial"/>
          <w:sz w:val="24"/>
          <w:szCs w:val="24"/>
        </w:rPr>
        <w:t xml:space="preserve"> </w:t>
      </w:r>
      <w:r w:rsidR="0034744F" w:rsidRPr="00FD3190">
        <w:rPr>
          <w:rFonts w:ascii="Arial" w:hAnsi="Arial" w:cs="Arial"/>
          <w:sz w:val="24"/>
          <w:szCs w:val="24"/>
        </w:rPr>
        <w:t>mean. It</w:t>
      </w:r>
      <w:r w:rsidR="00FD11F9" w:rsidRPr="00FD3190">
        <w:rPr>
          <w:rFonts w:ascii="Arial" w:hAnsi="Arial" w:cs="Arial"/>
          <w:sz w:val="24"/>
          <w:szCs w:val="24"/>
        </w:rPr>
        <w:t xml:space="preserve"> </w:t>
      </w:r>
      <w:r w:rsidR="00B65E55" w:rsidRPr="00FD3190">
        <w:rPr>
          <w:rFonts w:ascii="Arial" w:hAnsi="Arial" w:cs="Arial"/>
          <w:sz w:val="24"/>
          <w:szCs w:val="24"/>
        </w:rPr>
        <w:t>cannot therefore</w:t>
      </w:r>
      <w:r w:rsidR="00FD11F9" w:rsidRPr="00FD3190">
        <w:rPr>
          <w:rFonts w:ascii="Arial" w:hAnsi="Arial" w:cs="Arial"/>
          <w:sz w:val="24"/>
          <w:szCs w:val="24"/>
        </w:rPr>
        <w:t xml:space="preserve"> be specified by a single quantity as claimed by the proponents.</w:t>
      </w:r>
    </w:p>
    <w:p w:rsidR="00FD3190" w:rsidRPr="00FD3190" w:rsidRDefault="00FD3190" w:rsidP="00FD3190">
      <w:pPr>
        <w:pStyle w:val="ListParagraph"/>
        <w:ind w:left="2160"/>
        <w:rPr>
          <w:rFonts w:ascii="Arial" w:hAnsi="Arial" w:cs="Arial"/>
          <w:sz w:val="24"/>
          <w:szCs w:val="24"/>
        </w:rPr>
      </w:pPr>
    </w:p>
    <w:p w:rsidR="007E1277" w:rsidRDefault="00497C59" w:rsidP="00FD3190">
      <w:pPr>
        <w:pStyle w:val="ListParagraph"/>
        <w:numPr>
          <w:ilvl w:val="2"/>
          <w:numId w:val="34"/>
        </w:numPr>
        <w:rPr>
          <w:rFonts w:ascii="Arial" w:hAnsi="Arial" w:cs="Arial"/>
          <w:sz w:val="24"/>
          <w:szCs w:val="24"/>
        </w:rPr>
      </w:pPr>
      <w:r>
        <w:rPr>
          <w:rFonts w:ascii="Arial" w:hAnsi="Arial" w:cs="Arial"/>
          <w:sz w:val="24"/>
          <w:szCs w:val="24"/>
        </w:rPr>
        <w:t>P</w:t>
      </w:r>
      <w:r w:rsidR="00FD11F9">
        <w:rPr>
          <w:rFonts w:ascii="Arial" w:hAnsi="Arial" w:cs="Arial"/>
          <w:sz w:val="24"/>
          <w:szCs w:val="24"/>
        </w:rPr>
        <w:t xml:space="preserve">roductivity </w:t>
      </w:r>
      <w:r>
        <w:rPr>
          <w:rFonts w:ascii="Arial" w:hAnsi="Arial" w:cs="Arial"/>
          <w:sz w:val="24"/>
          <w:szCs w:val="24"/>
        </w:rPr>
        <w:t xml:space="preserve">can only </w:t>
      </w:r>
      <w:r w:rsidR="00FD11F9">
        <w:rPr>
          <w:rFonts w:ascii="Arial" w:hAnsi="Arial" w:cs="Arial"/>
          <w:sz w:val="24"/>
          <w:szCs w:val="24"/>
        </w:rPr>
        <w:t>result from the development of what is known as an “agglomeration economy”. Benefits can accrue to businesses from being near one another</w:t>
      </w:r>
      <w:r w:rsidR="0034744F">
        <w:rPr>
          <w:rFonts w:ascii="Arial" w:hAnsi="Arial" w:cs="Arial"/>
          <w:sz w:val="24"/>
          <w:szCs w:val="24"/>
        </w:rPr>
        <w:t>. (</w:t>
      </w:r>
      <w:proofErr w:type="spellStart"/>
      <w:r w:rsidR="00FD11F9">
        <w:rPr>
          <w:rFonts w:ascii="Arial" w:hAnsi="Arial" w:cs="Arial"/>
          <w:sz w:val="24"/>
          <w:szCs w:val="24"/>
        </w:rPr>
        <w:t>Haughwout</w:t>
      </w:r>
      <w:proofErr w:type="spellEnd"/>
      <w:r w:rsidR="00FD11F9">
        <w:rPr>
          <w:rFonts w:ascii="Arial" w:hAnsi="Arial" w:cs="Arial"/>
          <w:sz w:val="24"/>
          <w:szCs w:val="24"/>
        </w:rPr>
        <w:t xml:space="preserve">, 2000) </w:t>
      </w:r>
      <w:r w:rsidR="0034744F">
        <w:rPr>
          <w:rFonts w:ascii="Arial" w:hAnsi="Arial" w:cs="Arial"/>
          <w:sz w:val="24"/>
          <w:szCs w:val="24"/>
        </w:rPr>
        <w:lastRenderedPageBreak/>
        <w:t>but an</w:t>
      </w:r>
      <w:r w:rsidR="00FD11F9">
        <w:rPr>
          <w:rFonts w:ascii="Arial" w:hAnsi="Arial" w:cs="Arial"/>
          <w:sz w:val="24"/>
          <w:szCs w:val="24"/>
        </w:rPr>
        <w:t xml:space="preserve"> investment in a roadway development such as </w:t>
      </w:r>
      <w:proofErr w:type="spellStart"/>
      <w:r w:rsidR="00B65E55">
        <w:rPr>
          <w:rFonts w:ascii="Arial" w:hAnsi="Arial" w:cs="Arial"/>
          <w:sz w:val="24"/>
          <w:szCs w:val="24"/>
        </w:rPr>
        <w:t>WestConnex</w:t>
      </w:r>
      <w:proofErr w:type="spellEnd"/>
      <w:r w:rsidR="00FD11F9">
        <w:rPr>
          <w:rFonts w:ascii="Arial" w:hAnsi="Arial" w:cs="Arial"/>
          <w:sz w:val="24"/>
          <w:szCs w:val="24"/>
        </w:rPr>
        <w:t xml:space="preserve"> is really subsidising the dispersion of jobs and has the potential to reduce productivity.</w:t>
      </w:r>
    </w:p>
    <w:p w:rsidR="007E1277" w:rsidRDefault="007E1277" w:rsidP="00BA337A">
      <w:pPr>
        <w:pStyle w:val="ListParagraph"/>
        <w:ind w:left="1701"/>
        <w:rPr>
          <w:rFonts w:ascii="Arial" w:hAnsi="Arial" w:cs="Arial"/>
          <w:sz w:val="24"/>
          <w:szCs w:val="24"/>
        </w:rPr>
      </w:pPr>
    </w:p>
    <w:p w:rsidR="00FD11F9" w:rsidRDefault="00FD11F9" w:rsidP="00FD3190">
      <w:pPr>
        <w:pStyle w:val="ListParagraph"/>
        <w:numPr>
          <w:ilvl w:val="2"/>
          <w:numId w:val="34"/>
        </w:numPr>
        <w:rPr>
          <w:rFonts w:ascii="Arial" w:hAnsi="Arial" w:cs="Arial"/>
          <w:sz w:val="24"/>
          <w:szCs w:val="24"/>
        </w:rPr>
      </w:pPr>
      <w:r>
        <w:rPr>
          <w:rFonts w:ascii="Arial" w:hAnsi="Arial" w:cs="Arial"/>
          <w:sz w:val="24"/>
          <w:szCs w:val="24"/>
        </w:rPr>
        <w:t>Th</w:t>
      </w:r>
      <w:r w:rsidR="00E93147">
        <w:rPr>
          <w:rFonts w:ascii="Arial" w:hAnsi="Arial" w:cs="Arial"/>
          <w:sz w:val="24"/>
          <w:szCs w:val="24"/>
        </w:rPr>
        <w:t xml:space="preserve">e </w:t>
      </w:r>
      <w:r>
        <w:rPr>
          <w:rFonts w:ascii="Arial" w:hAnsi="Arial" w:cs="Arial"/>
          <w:sz w:val="24"/>
          <w:szCs w:val="24"/>
        </w:rPr>
        <w:t xml:space="preserve">paradoxical situation </w:t>
      </w:r>
      <w:r w:rsidR="00E93147">
        <w:rPr>
          <w:rFonts w:ascii="Arial" w:hAnsi="Arial" w:cs="Arial"/>
          <w:sz w:val="24"/>
          <w:szCs w:val="24"/>
        </w:rPr>
        <w:t xml:space="preserve">described above </w:t>
      </w:r>
      <w:r>
        <w:rPr>
          <w:rFonts w:ascii="Arial" w:hAnsi="Arial" w:cs="Arial"/>
          <w:sz w:val="24"/>
          <w:szCs w:val="24"/>
        </w:rPr>
        <w:t xml:space="preserve">makes it more difficult to accept the quantification presented in support of this road. Moreover, reliability and productivity are non-standard items in </w:t>
      </w:r>
      <w:proofErr w:type="spellStart"/>
      <w:r>
        <w:rPr>
          <w:rFonts w:ascii="Arial" w:hAnsi="Arial" w:cs="Arial"/>
          <w:sz w:val="24"/>
          <w:szCs w:val="24"/>
        </w:rPr>
        <w:t>CBA</w:t>
      </w:r>
      <w:proofErr w:type="spellEnd"/>
      <w:r>
        <w:rPr>
          <w:rFonts w:ascii="Arial" w:hAnsi="Arial" w:cs="Arial"/>
          <w:sz w:val="24"/>
          <w:szCs w:val="24"/>
        </w:rPr>
        <w:t xml:space="preserve"> </w:t>
      </w:r>
      <w:r w:rsidR="0034744F">
        <w:rPr>
          <w:rFonts w:ascii="Arial" w:hAnsi="Arial" w:cs="Arial"/>
          <w:sz w:val="24"/>
          <w:szCs w:val="24"/>
        </w:rPr>
        <w:t>usage. It</w:t>
      </w:r>
      <w:r>
        <w:rPr>
          <w:rFonts w:ascii="Arial" w:hAnsi="Arial" w:cs="Arial"/>
          <w:sz w:val="24"/>
          <w:szCs w:val="24"/>
        </w:rPr>
        <w:t xml:space="preserve"> is therefore suggested that </w:t>
      </w:r>
      <w:proofErr w:type="spellStart"/>
      <w:r w:rsidR="00B65E55">
        <w:rPr>
          <w:rFonts w:ascii="Arial" w:hAnsi="Arial" w:cs="Arial"/>
          <w:sz w:val="24"/>
          <w:szCs w:val="24"/>
        </w:rPr>
        <w:t>WestConnex</w:t>
      </w:r>
      <w:proofErr w:type="spellEnd"/>
      <w:r>
        <w:rPr>
          <w:rFonts w:ascii="Arial" w:hAnsi="Arial" w:cs="Arial"/>
          <w:sz w:val="24"/>
          <w:szCs w:val="24"/>
        </w:rPr>
        <w:t xml:space="preserve"> may well prove to be yet another case where public money will have been misallocated for illusory benefits</w:t>
      </w:r>
    </w:p>
    <w:p w:rsidR="002C1846" w:rsidRPr="002C1846" w:rsidRDefault="002C1846" w:rsidP="002C1846">
      <w:pPr>
        <w:pStyle w:val="ListParagraph"/>
        <w:rPr>
          <w:rFonts w:ascii="Arial" w:hAnsi="Arial" w:cs="Arial"/>
          <w:sz w:val="24"/>
          <w:szCs w:val="24"/>
        </w:rPr>
      </w:pPr>
    </w:p>
    <w:p w:rsidR="00AF222A" w:rsidRPr="007E1277" w:rsidRDefault="00AF222A" w:rsidP="007E1277">
      <w:pPr>
        <w:pStyle w:val="ListParagraph"/>
        <w:ind w:left="1080"/>
        <w:rPr>
          <w:rFonts w:ascii="Arial" w:hAnsi="Arial" w:cs="Arial"/>
          <w:sz w:val="28"/>
          <w:szCs w:val="28"/>
        </w:rPr>
      </w:pPr>
    </w:p>
    <w:p w:rsidR="008B2CEC" w:rsidRPr="007E1277" w:rsidRDefault="008B2CEC" w:rsidP="007E1277">
      <w:pPr>
        <w:pStyle w:val="ListParagraph"/>
        <w:numPr>
          <w:ilvl w:val="0"/>
          <w:numId w:val="17"/>
        </w:numPr>
        <w:ind w:left="1080" w:firstLine="0"/>
        <w:rPr>
          <w:rFonts w:ascii="Arial" w:hAnsi="Arial" w:cs="Arial"/>
          <w:b/>
          <w:sz w:val="28"/>
          <w:szCs w:val="28"/>
        </w:rPr>
      </w:pPr>
      <w:r w:rsidRPr="007E1277">
        <w:rPr>
          <w:rFonts w:ascii="Arial" w:hAnsi="Arial" w:cs="Arial"/>
          <w:b/>
          <w:sz w:val="28"/>
          <w:szCs w:val="28"/>
        </w:rPr>
        <w:t>Comments on risk and its allocation</w:t>
      </w:r>
    </w:p>
    <w:p w:rsidR="008B2CEC" w:rsidRDefault="008B2CEC" w:rsidP="00BA337A">
      <w:pPr>
        <w:pStyle w:val="ListParagraph"/>
        <w:ind w:left="1985"/>
        <w:rPr>
          <w:rFonts w:ascii="Arial" w:hAnsi="Arial" w:cs="Arial"/>
          <w:sz w:val="24"/>
          <w:szCs w:val="24"/>
        </w:rPr>
      </w:pPr>
    </w:p>
    <w:p w:rsidR="008B2CEC" w:rsidRDefault="008B2CEC" w:rsidP="00BA337A">
      <w:pPr>
        <w:pStyle w:val="ListParagraph"/>
        <w:ind w:left="1560"/>
        <w:rPr>
          <w:rFonts w:ascii="Arial" w:hAnsi="Arial" w:cs="Arial"/>
          <w:sz w:val="24"/>
          <w:szCs w:val="24"/>
        </w:rPr>
      </w:pPr>
      <w:r>
        <w:rPr>
          <w:rFonts w:ascii="Arial" w:hAnsi="Arial" w:cs="Arial"/>
          <w:sz w:val="24"/>
          <w:szCs w:val="24"/>
        </w:rPr>
        <w:t xml:space="preserve">The Productivity Commission in its Draft Report </w:t>
      </w:r>
      <w:r w:rsidR="007E1277">
        <w:rPr>
          <w:rFonts w:ascii="Arial" w:hAnsi="Arial" w:cs="Arial"/>
          <w:sz w:val="24"/>
          <w:szCs w:val="24"/>
        </w:rPr>
        <w:t xml:space="preserve">(2014) </w:t>
      </w:r>
      <w:r>
        <w:rPr>
          <w:rFonts w:ascii="Arial" w:hAnsi="Arial" w:cs="Arial"/>
          <w:sz w:val="24"/>
          <w:szCs w:val="24"/>
        </w:rPr>
        <w:t>has drawn attention to the consequences of inefficient risk allocation. At page 381 of the Report, the matter is canvassed of placing certain probity related obl</w:t>
      </w:r>
      <w:r w:rsidR="007E1277">
        <w:rPr>
          <w:rFonts w:ascii="Arial" w:hAnsi="Arial" w:cs="Arial"/>
          <w:sz w:val="24"/>
          <w:szCs w:val="24"/>
        </w:rPr>
        <w:t xml:space="preserve">igations on potential suppliers, such as an </w:t>
      </w:r>
      <w:r w:rsidR="0034744F">
        <w:rPr>
          <w:rFonts w:ascii="Arial" w:hAnsi="Arial" w:cs="Arial"/>
          <w:sz w:val="24"/>
          <w:szCs w:val="24"/>
        </w:rPr>
        <w:t>obligation not</w:t>
      </w:r>
      <w:r>
        <w:rPr>
          <w:rFonts w:ascii="Arial" w:hAnsi="Arial" w:cs="Arial"/>
          <w:sz w:val="24"/>
          <w:szCs w:val="24"/>
        </w:rPr>
        <w:t xml:space="preserve"> </w:t>
      </w:r>
      <w:r w:rsidR="007E1277">
        <w:rPr>
          <w:rFonts w:ascii="Arial" w:hAnsi="Arial" w:cs="Arial"/>
          <w:sz w:val="24"/>
          <w:szCs w:val="24"/>
        </w:rPr>
        <w:t xml:space="preserve">to </w:t>
      </w:r>
      <w:r>
        <w:rPr>
          <w:rFonts w:ascii="Arial" w:hAnsi="Arial" w:cs="Arial"/>
          <w:sz w:val="24"/>
          <w:szCs w:val="24"/>
        </w:rPr>
        <w:t>be involved in potential</w:t>
      </w:r>
      <w:r w:rsidR="007E1277">
        <w:rPr>
          <w:rFonts w:ascii="Arial" w:hAnsi="Arial" w:cs="Arial"/>
          <w:sz w:val="24"/>
          <w:szCs w:val="24"/>
        </w:rPr>
        <w:t>ly</w:t>
      </w:r>
      <w:r>
        <w:rPr>
          <w:rFonts w:ascii="Arial" w:hAnsi="Arial" w:cs="Arial"/>
          <w:sz w:val="24"/>
          <w:szCs w:val="24"/>
        </w:rPr>
        <w:t xml:space="preserve"> corrupt activities.</w:t>
      </w:r>
    </w:p>
    <w:p w:rsidR="007E1277" w:rsidRDefault="007E1277" w:rsidP="00BA337A">
      <w:pPr>
        <w:pStyle w:val="ListParagraph"/>
        <w:ind w:left="1560"/>
        <w:rPr>
          <w:rFonts w:ascii="Arial" w:hAnsi="Arial" w:cs="Arial"/>
          <w:sz w:val="24"/>
          <w:szCs w:val="24"/>
        </w:rPr>
      </w:pPr>
    </w:p>
    <w:p w:rsidR="008B2CEC" w:rsidRDefault="008B2CEC" w:rsidP="00BA337A">
      <w:pPr>
        <w:pStyle w:val="ListParagraph"/>
        <w:ind w:left="1560"/>
        <w:rPr>
          <w:rFonts w:ascii="Arial" w:hAnsi="Arial" w:cs="Arial"/>
          <w:sz w:val="24"/>
          <w:szCs w:val="24"/>
        </w:rPr>
      </w:pPr>
      <w:r>
        <w:rPr>
          <w:rFonts w:ascii="Arial" w:hAnsi="Arial" w:cs="Arial"/>
          <w:sz w:val="24"/>
          <w:szCs w:val="24"/>
        </w:rPr>
        <w:t>In the author’s experience such an obligation has been systemically evaded not only by suppliers of infrastructure but also by government agencies such as the NSW Department of Planning</w:t>
      </w:r>
      <w:r w:rsidR="007E1277">
        <w:rPr>
          <w:rFonts w:ascii="Arial" w:hAnsi="Arial" w:cs="Arial"/>
          <w:sz w:val="24"/>
          <w:szCs w:val="24"/>
        </w:rPr>
        <w:t xml:space="preserve"> and Infrastructure as already described </w:t>
      </w:r>
      <w:r w:rsidR="00FD3190">
        <w:rPr>
          <w:rFonts w:ascii="Arial" w:hAnsi="Arial" w:cs="Arial"/>
          <w:sz w:val="24"/>
          <w:szCs w:val="24"/>
        </w:rPr>
        <w:t xml:space="preserve">above </w:t>
      </w:r>
      <w:r w:rsidR="007E1277">
        <w:rPr>
          <w:rFonts w:ascii="Arial" w:hAnsi="Arial" w:cs="Arial"/>
          <w:sz w:val="24"/>
          <w:szCs w:val="24"/>
        </w:rPr>
        <w:t>in this submission.</w:t>
      </w:r>
    </w:p>
    <w:p w:rsidR="008B2CEC" w:rsidRDefault="008B2CEC" w:rsidP="00BA337A">
      <w:pPr>
        <w:pStyle w:val="ListParagraph"/>
        <w:ind w:left="1560"/>
        <w:rPr>
          <w:rFonts w:ascii="Arial" w:hAnsi="Arial" w:cs="Arial"/>
          <w:sz w:val="24"/>
          <w:szCs w:val="24"/>
        </w:rPr>
      </w:pPr>
    </w:p>
    <w:p w:rsidR="008B2CEC" w:rsidRDefault="00FD3190" w:rsidP="00BA337A">
      <w:pPr>
        <w:pStyle w:val="ListParagraph"/>
        <w:ind w:left="1560"/>
        <w:rPr>
          <w:rFonts w:ascii="Arial" w:hAnsi="Arial" w:cs="Arial"/>
          <w:sz w:val="24"/>
          <w:szCs w:val="24"/>
        </w:rPr>
      </w:pPr>
      <w:r>
        <w:rPr>
          <w:rFonts w:ascii="Arial" w:hAnsi="Arial" w:cs="Arial"/>
          <w:sz w:val="24"/>
          <w:szCs w:val="24"/>
        </w:rPr>
        <w:t>S</w:t>
      </w:r>
      <w:r w:rsidR="008B2CEC">
        <w:rPr>
          <w:rFonts w:ascii="Arial" w:hAnsi="Arial" w:cs="Arial"/>
          <w:sz w:val="24"/>
          <w:szCs w:val="24"/>
        </w:rPr>
        <w:t xml:space="preserve">ome examples </w:t>
      </w:r>
      <w:r>
        <w:rPr>
          <w:rFonts w:ascii="Arial" w:hAnsi="Arial" w:cs="Arial"/>
          <w:sz w:val="24"/>
          <w:szCs w:val="24"/>
        </w:rPr>
        <w:t>are given in the following section.</w:t>
      </w:r>
    </w:p>
    <w:p w:rsidR="006C2EE1" w:rsidRDefault="006C2EE1" w:rsidP="00BA337A">
      <w:pPr>
        <w:pStyle w:val="ListParagraph"/>
        <w:ind w:left="1560"/>
        <w:rPr>
          <w:rFonts w:ascii="Arial" w:hAnsi="Arial" w:cs="Arial"/>
          <w:sz w:val="24"/>
          <w:szCs w:val="24"/>
        </w:rPr>
      </w:pPr>
    </w:p>
    <w:p w:rsidR="008B2CEC" w:rsidRPr="00E309AA" w:rsidRDefault="00E309AA" w:rsidP="00BA337A">
      <w:pPr>
        <w:ind w:left="1560"/>
        <w:rPr>
          <w:rFonts w:ascii="Arial" w:hAnsi="Arial" w:cs="Arial"/>
          <w:b/>
          <w:sz w:val="24"/>
          <w:szCs w:val="24"/>
        </w:rPr>
      </w:pPr>
      <w:r>
        <w:rPr>
          <w:rFonts w:ascii="Arial" w:hAnsi="Arial" w:cs="Arial"/>
          <w:b/>
          <w:sz w:val="24"/>
          <w:szCs w:val="24"/>
        </w:rPr>
        <w:t xml:space="preserve"> 2.1 </w:t>
      </w:r>
      <w:r w:rsidR="008B2CEC" w:rsidRPr="00E309AA">
        <w:rPr>
          <w:rFonts w:ascii="Arial" w:hAnsi="Arial" w:cs="Arial"/>
          <w:b/>
          <w:sz w:val="24"/>
          <w:szCs w:val="24"/>
        </w:rPr>
        <w:t>Patronage risk in relation to road infrastructure.</w:t>
      </w:r>
    </w:p>
    <w:p w:rsidR="008B2CEC" w:rsidRDefault="008B2CEC" w:rsidP="00BA337A">
      <w:pPr>
        <w:pStyle w:val="ListParagraph"/>
        <w:ind w:left="1560" w:firstLine="1134"/>
        <w:rPr>
          <w:rFonts w:ascii="Arial" w:hAnsi="Arial" w:cs="Arial"/>
          <w:sz w:val="24"/>
          <w:szCs w:val="24"/>
        </w:rPr>
      </w:pPr>
    </w:p>
    <w:p w:rsidR="008B2CEC" w:rsidRDefault="008B2CEC" w:rsidP="00BA337A">
      <w:pPr>
        <w:pStyle w:val="ListParagraph"/>
        <w:ind w:left="1560"/>
        <w:rPr>
          <w:rFonts w:ascii="Arial" w:hAnsi="Arial" w:cs="Arial"/>
          <w:sz w:val="24"/>
          <w:szCs w:val="24"/>
        </w:rPr>
      </w:pPr>
      <w:r>
        <w:rPr>
          <w:rFonts w:ascii="Arial" w:hAnsi="Arial" w:cs="Arial"/>
          <w:sz w:val="24"/>
          <w:szCs w:val="24"/>
        </w:rPr>
        <w:t xml:space="preserve">The author has forecast the financial collapse of a number of road projects (Goldberg, 2006). The most recent example is the </w:t>
      </w:r>
      <w:proofErr w:type="spellStart"/>
      <w:r>
        <w:rPr>
          <w:rFonts w:ascii="Arial" w:hAnsi="Arial" w:cs="Arial"/>
          <w:sz w:val="24"/>
          <w:szCs w:val="24"/>
        </w:rPr>
        <w:t>Brisconnections</w:t>
      </w:r>
      <w:proofErr w:type="spellEnd"/>
      <w:r>
        <w:rPr>
          <w:rFonts w:ascii="Arial" w:hAnsi="Arial" w:cs="Arial"/>
          <w:sz w:val="24"/>
          <w:szCs w:val="24"/>
        </w:rPr>
        <w:t xml:space="preserve"> Airport Link tunnel which collapsed in November 2012</w:t>
      </w:r>
      <w:r w:rsidR="0034744F">
        <w:rPr>
          <w:rFonts w:ascii="Arial" w:hAnsi="Arial" w:cs="Arial"/>
          <w:sz w:val="24"/>
          <w:szCs w:val="24"/>
        </w:rPr>
        <w:t xml:space="preserve"> (</w:t>
      </w:r>
      <w:r>
        <w:rPr>
          <w:rFonts w:ascii="Arial" w:hAnsi="Arial" w:cs="Arial"/>
          <w:sz w:val="24"/>
          <w:szCs w:val="24"/>
        </w:rPr>
        <w:t>Goldberg, 2012)</w:t>
      </w:r>
      <w:r w:rsidR="003355FB">
        <w:rPr>
          <w:rFonts w:ascii="Arial" w:hAnsi="Arial" w:cs="Arial"/>
          <w:sz w:val="24"/>
          <w:szCs w:val="24"/>
        </w:rPr>
        <w:t>.</w:t>
      </w:r>
      <w:r>
        <w:rPr>
          <w:rFonts w:ascii="Arial" w:hAnsi="Arial" w:cs="Arial"/>
          <w:sz w:val="24"/>
          <w:szCs w:val="24"/>
        </w:rPr>
        <w:t xml:space="preserve"> The analysis</w:t>
      </w:r>
      <w:r w:rsidR="003355FB">
        <w:rPr>
          <w:rFonts w:ascii="Arial" w:hAnsi="Arial" w:cs="Arial"/>
          <w:sz w:val="24"/>
          <w:szCs w:val="24"/>
        </w:rPr>
        <w:t xml:space="preserve"> (Appendix A)</w:t>
      </w:r>
      <w:r>
        <w:rPr>
          <w:rFonts w:ascii="Arial" w:hAnsi="Arial" w:cs="Arial"/>
          <w:sz w:val="24"/>
          <w:szCs w:val="24"/>
        </w:rPr>
        <w:t xml:space="preserve"> </w:t>
      </w:r>
      <w:r w:rsidR="00EC5C14">
        <w:rPr>
          <w:rFonts w:ascii="Arial" w:hAnsi="Arial" w:cs="Arial"/>
          <w:sz w:val="24"/>
          <w:szCs w:val="24"/>
        </w:rPr>
        <w:t xml:space="preserve">used probability theory to show </w:t>
      </w:r>
      <w:r w:rsidR="0034744F">
        <w:rPr>
          <w:rFonts w:ascii="Arial" w:hAnsi="Arial" w:cs="Arial"/>
          <w:sz w:val="24"/>
          <w:szCs w:val="24"/>
        </w:rPr>
        <w:t>that</w:t>
      </w:r>
      <w:r>
        <w:rPr>
          <w:rFonts w:ascii="Arial" w:hAnsi="Arial" w:cs="Arial"/>
          <w:sz w:val="24"/>
          <w:szCs w:val="24"/>
        </w:rPr>
        <w:t xml:space="preserve"> the patronage figures were </w:t>
      </w:r>
      <w:r w:rsidR="00EC5C14">
        <w:rPr>
          <w:rFonts w:ascii="Arial" w:hAnsi="Arial" w:cs="Arial"/>
          <w:sz w:val="24"/>
          <w:szCs w:val="24"/>
        </w:rPr>
        <w:t xml:space="preserve">consistent </w:t>
      </w:r>
      <w:r w:rsidR="00B65E55">
        <w:rPr>
          <w:rFonts w:ascii="Arial" w:hAnsi="Arial" w:cs="Arial"/>
          <w:sz w:val="24"/>
          <w:szCs w:val="24"/>
        </w:rPr>
        <w:t>with a</w:t>
      </w:r>
      <w:r>
        <w:rPr>
          <w:rFonts w:ascii="Arial" w:hAnsi="Arial" w:cs="Arial"/>
          <w:sz w:val="24"/>
          <w:szCs w:val="24"/>
        </w:rPr>
        <w:t xml:space="preserve"> </w:t>
      </w:r>
      <w:r w:rsidR="0034744F">
        <w:rPr>
          <w:rFonts w:ascii="Arial" w:hAnsi="Arial" w:cs="Arial"/>
          <w:sz w:val="24"/>
          <w:szCs w:val="24"/>
        </w:rPr>
        <w:t>work back</w:t>
      </w:r>
      <w:r>
        <w:rPr>
          <w:rFonts w:ascii="Arial" w:hAnsi="Arial" w:cs="Arial"/>
          <w:sz w:val="24"/>
          <w:szCs w:val="24"/>
        </w:rPr>
        <w:t xml:space="preserve"> from the promised returns to equity investors</w:t>
      </w:r>
      <w:r w:rsidR="00EC5C14">
        <w:rPr>
          <w:rStyle w:val="FootnoteReference"/>
          <w:rFonts w:ascii="Arial" w:hAnsi="Arial" w:cs="Arial"/>
          <w:sz w:val="24"/>
          <w:szCs w:val="24"/>
        </w:rPr>
        <w:footnoteReference w:id="7"/>
      </w:r>
      <w:r>
        <w:rPr>
          <w:rFonts w:ascii="Arial" w:hAnsi="Arial" w:cs="Arial"/>
          <w:sz w:val="24"/>
          <w:szCs w:val="24"/>
        </w:rPr>
        <w:t>.</w:t>
      </w:r>
      <w:r w:rsidR="00E02D19">
        <w:rPr>
          <w:rFonts w:ascii="Arial" w:hAnsi="Arial" w:cs="Arial"/>
          <w:sz w:val="24"/>
          <w:szCs w:val="24"/>
        </w:rPr>
        <w:t xml:space="preserve"> </w:t>
      </w:r>
      <w:r>
        <w:rPr>
          <w:rFonts w:ascii="Arial" w:hAnsi="Arial" w:cs="Arial"/>
          <w:sz w:val="24"/>
          <w:szCs w:val="24"/>
        </w:rPr>
        <w:t>A</w:t>
      </w:r>
      <w:r w:rsidR="003355FB">
        <w:rPr>
          <w:rFonts w:ascii="Arial" w:hAnsi="Arial" w:cs="Arial"/>
          <w:sz w:val="24"/>
          <w:szCs w:val="24"/>
        </w:rPr>
        <w:t xml:space="preserve"> total of a</w:t>
      </w:r>
      <w:r>
        <w:rPr>
          <w:rFonts w:ascii="Arial" w:hAnsi="Arial" w:cs="Arial"/>
          <w:sz w:val="24"/>
          <w:szCs w:val="24"/>
        </w:rPr>
        <w:t>bout $</w:t>
      </w:r>
      <w:r w:rsidR="00EC5C14">
        <w:rPr>
          <w:rFonts w:ascii="Arial" w:hAnsi="Arial" w:cs="Arial"/>
          <w:sz w:val="24"/>
          <w:szCs w:val="24"/>
        </w:rPr>
        <w:t xml:space="preserve">4.8 </w:t>
      </w:r>
      <w:r>
        <w:rPr>
          <w:rFonts w:ascii="Arial" w:hAnsi="Arial" w:cs="Arial"/>
          <w:sz w:val="24"/>
          <w:szCs w:val="24"/>
        </w:rPr>
        <w:t xml:space="preserve">billion was liquidated in the collapse involving debt and equity. A class </w:t>
      </w:r>
      <w:r w:rsidR="0034744F">
        <w:rPr>
          <w:rFonts w:ascii="Arial" w:hAnsi="Arial" w:cs="Arial"/>
          <w:sz w:val="24"/>
          <w:szCs w:val="24"/>
        </w:rPr>
        <w:t>action for</w:t>
      </w:r>
      <w:r>
        <w:rPr>
          <w:rFonts w:ascii="Arial" w:hAnsi="Arial" w:cs="Arial"/>
          <w:sz w:val="24"/>
          <w:szCs w:val="24"/>
        </w:rPr>
        <w:t xml:space="preserve"> $</w:t>
      </w:r>
      <w:proofErr w:type="spellStart"/>
      <w:r>
        <w:rPr>
          <w:rFonts w:ascii="Arial" w:hAnsi="Arial" w:cs="Arial"/>
          <w:sz w:val="24"/>
          <w:szCs w:val="24"/>
        </w:rPr>
        <w:t>450m</w:t>
      </w:r>
      <w:proofErr w:type="spellEnd"/>
      <w:r>
        <w:rPr>
          <w:rFonts w:ascii="Arial" w:hAnsi="Arial" w:cs="Arial"/>
          <w:sz w:val="24"/>
          <w:szCs w:val="24"/>
        </w:rPr>
        <w:t xml:space="preserve"> was instituted against the traffic forecasters Arup </w:t>
      </w:r>
    </w:p>
    <w:p w:rsidR="008B2CEC" w:rsidRDefault="008B2CEC" w:rsidP="00BA337A">
      <w:pPr>
        <w:pStyle w:val="ListParagraph"/>
        <w:ind w:left="1560" w:firstLine="1134"/>
        <w:rPr>
          <w:rFonts w:ascii="Arial" w:hAnsi="Arial" w:cs="Arial"/>
          <w:sz w:val="24"/>
          <w:szCs w:val="24"/>
        </w:rPr>
      </w:pPr>
    </w:p>
    <w:p w:rsidR="002C1846" w:rsidRDefault="008B2CEC" w:rsidP="002C1846">
      <w:pPr>
        <w:pStyle w:val="ListParagraph"/>
        <w:numPr>
          <w:ilvl w:val="1"/>
          <w:numId w:val="17"/>
        </w:numPr>
        <w:rPr>
          <w:rFonts w:ascii="Arial" w:hAnsi="Arial" w:cs="Arial"/>
          <w:b/>
          <w:sz w:val="24"/>
          <w:szCs w:val="24"/>
        </w:rPr>
      </w:pPr>
      <w:r w:rsidRPr="00E309AA">
        <w:rPr>
          <w:rFonts w:ascii="Arial" w:hAnsi="Arial" w:cs="Arial"/>
          <w:b/>
          <w:sz w:val="24"/>
          <w:szCs w:val="24"/>
        </w:rPr>
        <w:lastRenderedPageBreak/>
        <w:t xml:space="preserve">Financial risk due to failure to take into account the time </w:t>
      </w:r>
      <w:r w:rsidRPr="00F63F58">
        <w:rPr>
          <w:rFonts w:ascii="Arial" w:hAnsi="Arial" w:cs="Arial"/>
          <w:b/>
          <w:sz w:val="24"/>
          <w:szCs w:val="24"/>
        </w:rPr>
        <w:t xml:space="preserve">value </w:t>
      </w:r>
      <w:r w:rsidR="0034744F" w:rsidRPr="00F63F58">
        <w:rPr>
          <w:rFonts w:ascii="Arial" w:hAnsi="Arial" w:cs="Arial"/>
          <w:b/>
          <w:sz w:val="24"/>
          <w:szCs w:val="24"/>
        </w:rPr>
        <w:t>of money</w:t>
      </w:r>
    </w:p>
    <w:p w:rsidR="008B2CEC" w:rsidRPr="00E309AA" w:rsidRDefault="00F63F58" w:rsidP="002C1846">
      <w:pPr>
        <w:pStyle w:val="ListParagraph"/>
        <w:ind w:left="1713"/>
        <w:rPr>
          <w:rFonts w:ascii="Arial" w:hAnsi="Arial" w:cs="Arial"/>
          <w:sz w:val="24"/>
          <w:szCs w:val="24"/>
        </w:rPr>
      </w:pPr>
      <w:r>
        <w:rPr>
          <w:rFonts w:ascii="Arial" w:hAnsi="Arial" w:cs="Arial"/>
          <w:sz w:val="24"/>
          <w:szCs w:val="24"/>
        </w:rPr>
        <w:t xml:space="preserve"> </w:t>
      </w:r>
    </w:p>
    <w:p w:rsidR="005E7B8B" w:rsidRDefault="005E7B8B" w:rsidP="00BA337A">
      <w:pPr>
        <w:pStyle w:val="ListParagraph"/>
        <w:ind w:left="1560"/>
        <w:rPr>
          <w:rFonts w:ascii="Arial" w:hAnsi="Arial" w:cs="Arial"/>
          <w:sz w:val="24"/>
          <w:szCs w:val="24"/>
        </w:rPr>
      </w:pPr>
      <w:r>
        <w:rPr>
          <w:rFonts w:ascii="Arial" w:hAnsi="Arial" w:cs="Arial"/>
          <w:sz w:val="24"/>
          <w:szCs w:val="24"/>
        </w:rPr>
        <w:t xml:space="preserve">Money received or paid in the future does not have the same value as at present because of the existence of positive interest rates. Only if the prevailing interest rate was zero would future values be the same as present values. A positive interest rate means that </w:t>
      </w:r>
      <w:r w:rsidR="00B65E55">
        <w:rPr>
          <w:rFonts w:ascii="Arial" w:hAnsi="Arial" w:cs="Arial"/>
          <w:sz w:val="24"/>
          <w:szCs w:val="24"/>
        </w:rPr>
        <w:t>today’s</w:t>
      </w:r>
      <w:r>
        <w:rPr>
          <w:rFonts w:ascii="Arial" w:hAnsi="Arial" w:cs="Arial"/>
          <w:sz w:val="24"/>
          <w:szCs w:val="24"/>
        </w:rPr>
        <w:t xml:space="preserve"> dollars will become more valuable in the future; hence future payments are worth less now; just as a distant building looks tiny.</w:t>
      </w:r>
    </w:p>
    <w:p w:rsidR="005E7B8B" w:rsidRDefault="005E7B8B" w:rsidP="00BA337A">
      <w:pPr>
        <w:pStyle w:val="ListParagraph"/>
        <w:ind w:left="1560"/>
        <w:rPr>
          <w:rFonts w:ascii="Arial" w:hAnsi="Arial" w:cs="Arial"/>
          <w:sz w:val="24"/>
          <w:szCs w:val="24"/>
        </w:rPr>
      </w:pPr>
    </w:p>
    <w:p w:rsidR="002C1846" w:rsidRDefault="00B65E55" w:rsidP="00BA337A">
      <w:pPr>
        <w:pStyle w:val="ListParagraph"/>
        <w:ind w:left="1560"/>
        <w:rPr>
          <w:rFonts w:ascii="Arial" w:hAnsi="Arial" w:cs="Arial"/>
          <w:sz w:val="24"/>
          <w:szCs w:val="24"/>
        </w:rPr>
      </w:pPr>
      <w:r>
        <w:rPr>
          <w:rFonts w:ascii="Arial" w:hAnsi="Arial" w:cs="Arial"/>
          <w:sz w:val="24"/>
          <w:szCs w:val="24"/>
        </w:rPr>
        <w:t>Therefore when</w:t>
      </w:r>
      <w:r w:rsidR="008B2CEC">
        <w:rPr>
          <w:rFonts w:ascii="Arial" w:hAnsi="Arial" w:cs="Arial"/>
          <w:sz w:val="24"/>
          <w:szCs w:val="24"/>
        </w:rPr>
        <w:t xml:space="preserve"> funding a project is partly dependent on user payments collected in the future, the value of these future payments ha</w:t>
      </w:r>
      <w:r w:rsidR="007E1277">
        <w:rPr>
          <w:rFonts w:ascii="Arial" w:hAnsi="Arial" w:cs="Arial"/>
          <w:sz w:val="24"/>
          <w:szCs w:val="24"/>
        </w:rPr>
        <w:t xml:space="preserve">s </w:t>
      </w:r>
      <w:r w:rsidR="008B2CEC">
        <w:rPr>
          <w:rFonts w:ascii="Arial" w:hAnsi="Arial" w:cs="Arial"/>
          <w:sz w:val="24"/>
          <w:szCs w:val="24"/>
        </w:rPr>
        <w:t xml:space="preserve">to be discounted to present values. </w:t>
      </w:r>
      <w:r w:rsidR="00E02D19">
        <w:rPr>
          <w:rFonts w:ascii="Arial" w:hAnsi="Arial" w:cs="Arial"/>
          <w:sz w:val="24"/>
          <w:szCs w:val="24"/>
        </w:rPr>
        <w:t>T</w:t>
      </w:r>
      <w:r w:rsidR="008B2CEC">
        <w:rPr>
          <w:rFonts w:ascii="Arial" w:hAnsi="Arial" w:cs="Arial"/>
          <w:sz w:val="24"/>
          <w:szCs w:val="24"/>
        </w:rPr>
        <w:t xml:space="preserve">he </w:t>
      </w:r>
      <w:r w:rsidR="003355FB">
        <w:rPr>
          <w:rFonts w:ascii="Arial" w:hAnsi="Arial" w:cs="Arial"/>
          <w:sz w:val="24"/>
          <w:szCs w:val="24"/>
        </w:rPr>
        <w:t xml:space="preserve">funding of the </w:t>
      </w:r>
      <w:proofErr w:type="spellStart"/>
      <w:r w:rsidR="008B2CEC">
        <w:rPr>
          <w:rFonts w:ascii="Arial" w:hAnsi="Arial" w:cs="Arial"/>
          <w:sz w:val="24"/>
          <w:szCs w:val="24"/>
        </w:rPr>
        <w:t>WestConnex</w:t>
      </w:r>
      <w:proofErr w:type="spellEnd"/>
      <w:r w:rsidR="008B2CEC">
        <w:rPr>
          <w:rFonts w:ascii="Arial" w:hAnsi="Arial" w:cs="Arial"/>
          <w:sz w:val="24"/>
          <w:szCs w:val="24"/>
        </w:rPr>
        <w:t xml:space="preserve"> proposal </w:t>
      </w:r>
      <w:r w:rsidR="00F63F58">
        <w:rPr>
          <w:rFonts w:ascii="Arial" w:hAnsi="Arial" w:cs="Arial"/>
          <w:sz w:val="24"/>
          <w:szCs w:val="24"/>
        </w:rPr>
        <w:t xml:space="preserve">is said to involve </w:t>
      </w:r>
      <w:r>
        <w:rPr>
          <w:rFonts w:ascii="Arial" w:hAnsi="Arial" w:cs="Arial"/>
          <w:sz w:val="24"/>
          <w:szCs w:val="24"/>
        </w:rPr>
        <w:t>such</w:t>
      </w:r>
      <w:r w:rsidR="00331519">
        <w:rPr>
          <w:rFonts w:ascii="Arial" w:hAnsi="Arial" w:cs="Arial"/>
          <w:sz w:val="24"/>
          <w:szCs w:val="24"/>
        </w:rPr>
        <w:t xml:space="preserve"> h </w:t>
      </w:r>
      <w:r w:rsidR="00F63F58">
        <w:rPr>
          <w:rFonts w:ascii="Arial" w:hAnsi="Arial" w:cs="Arial"/>
          <w:sz w:val="24"/>
          <w:szCs w:val="24"/>
        </w:rPr>
        <w:t xml:space="preserve">user charges in an attempt to provide partial funding for the project. </w:t>
      </w:r>
    </w:p>
    <w:p w:rsidR="008B2CEC" w:rsidRDefault="008B2CEC" w:rsidP="00BA337A">
      <w:pPr>
        <w:pStyle w:val="ListParagraph"/>
        <w:ind w:left="1560"/>
        <w:rPr>
          <w:rFonts w:ascii="Arial" w:hAnsi="Arial" w:cs="Arial"/>
          <w:sz w:val="24"/>
          <w:szCs w:val="24"/>
        </w:rPr>
      </w:pPr>
      <w:r>
        <w:rPr>
          <w:rFonts w:ascii="Arial" w:hAnsi="Arial" w:cs="Arial"/>
          <w:sz w:val="24"/>
          <w:szCs w:val="24"/>
        </w:rPr>
        <w:t>.</w:t>
      </w:r>
    </w:p>
    <w:p w:rsidR="008B2CEC" w:rsidRDefault="008B2CEC" w:rsidP="008B2CEC">
      <w:pPr>
        <w:pStyle w:val="ListParagraph"/>
        <w:rPr>
          <w:rFonts w:ascii="Arial" w:hAnsi="Arial" w:cs="Arial"/>
          <w:sz w:val="24"/>
          <w:szCs w:val="24"/>
        </w:rPr>
      </w:pPr>
    </w:p>
    <w:p w:rsidR="008B2CEC" w:rsidRPr="00421B02" w:rsidRDefault="008E6222" w:rsidP="002C1846">
      <w:pPr>
        <w:ind w:left="1559"/>
        <w:rPr>
          <w:rFonts w:ascii="Arial" w:hAnsi="Arial" w:cs="Arial"/>
          <w:b/>
          <w:sz w:val="24"/>
          <w:szCs w:val="24"/>
        </w:rPr>
      </w:pPr>
      <w:r w:rsidRPr="00E309AA">
        <w:rPr>
          <w:rFonts w:ascii="Arial" w:hAnsi="Arial" w:cs="Arial"/>
          <w:b/>
          <w:sz w:val="24"/>
          <w:szCs w:val="24"/>
        </w:rPr>
        <w:t>2.3</w:t>
      </w:r>
      <w:r>
        <w:rPr>
          <w:rFonts w:ascii="Arial" w:hAnsi="Arial" w:cs="Arial"/>
          <w:sz w:val="24"/>
          <w:szCs w:val="24"/>
        </w:rPr>
        <w:t xml:space="preserve"> </w:t>
      </w:r>
      <w:r w:rsidR="008B2CEC" w:rsidRPr="00421B02">
        <w:rPr>
          <w:rFonts w:ascii="Arial" w:hAnsi="Arial" w:cs="Arial"/>
          <w:b/>
          <w:sz w:val="24"/>
          <w:szCs w:val="24"/>
        </w:rPr>
        <w:t>Financial risk to the State and Federal governments through an alliance with the private sector.</w:t>
      </w:r>
    </w:p>
    <w:p w:rsidR="002C083B" w:rsidRDefault="008B2CEC" w:rsidP="00F63F58">
      <w:pPr>
        <w:pStyle w:val="ListParagraph"/>
        <w:ind w:left="1560"/>
        <w:rPr>
          <w:rFonts w:ascii="Arial" w:hAnsi="Arial" w:cs="Arial"/>
          <w:sz w:val="24"/>
          <w:szCs w:val="24"/>
        </w:rPr>
      </w:pPr>
      <w:r>
        <w:rPr>
          <w:rFonts w:ascii="Arial" w:hAnsi="Arial" w:cs="Arial"/>
          <w:sz w:val="24"/>
          <w:szCs w:val="24"/>
        </w:rPr>
        <w:t xml:space="preserve">This risk is </w:t>
      </w:r>
      <w:r w:rsidR="0034744F">
        <w:rPr>
          <w:rFonts w:ascii="Arial" w:hAnsi="Arial" w:cs="Arial"/>
          <w:sz w:val="24"/>
          <w:szCs w:val="24"/>
        </w:rPr>
        <w:t xml:space="preserve">illustrated </w:t>
      </w:r>
      <w:r w:rsidR="0034744F" w:rsidRPr="00DD586C">
        <w:rPr>
          <w:rFonts w:ascii="Arial" w:hAnsi="Arial" w:cs="Arial"/>
          <w:sz w:val="24"/>
          <w:szCs w:val="24"/>
        </w:rPr>
        <w:t>by</w:t>
      </w:r>
      <w:r w:rsidRPr="00DD586C">
        <w:rPr>
          <w:rFonts w:ascii="Arial" w:hAnsi="Arial" w:cs="Arial"/>
          <w:sz w:val="24"/>
          <w:szCs w:val="24"/>
        </w:rPr>
        <w:t xml:space="preserve"> the </w:t>
      </w:r>
      <w:r w:rsidR="00E309AA">
        <w:rPr>
          <w:rFonts w:ascii="Arial" w:hAnsi="Arial" w:cs="Arial"/>
          <w:sz w:val="24"/>
          <w:szCs w:val="24"/>
        </w:rPr>
        <w:t xml:space="preserve">case of the </w:t>
      </w:r>
      <w:proofErr w:type="spellStart"/>
      <w:r w:rsidR="00B65E55">
        <w:rPr>
          <w:rFonts w:ascii="Arial" w:hAnsi="Arial" w:cs="Arial"/>
          <w:sz w:val="24"/>
          <w:szCs w:val="24"/>
        </w:rPr>
        <w:t>NorthC</w:t>
      </w:r>
      <w:r w:rsidR="00B65E55" w:rsidRPr="00DD586C">
        <w:rPr>
          <w:rFonts w:ascii="Arial" w:hAnsi="Arial" w:cs="Arial"/>
          <w:sz w:val="24"/>
          <w:szCs w:val="24"/>
        </w:rPr>
        <w:t>onnex</w:t>
      </w:r>
      <w:proofErr w:type="spellEnd"/>
      <w:r w:rsidRPr="00DD586C">
        <w:rPr>
          <w:rFonts w:ascii="Arial" w:hAnsi="Arial" w:cs="Arial"/>
          <w:sz w:val="24"/>
          <w:szCs w:val="24"/>
        </w:rPr>
        <w:t xml:space="preserve"> road </w:t>
      </w:r>
      <w:r w:rsidR="00322A05" w:rsidRPr="00DD586C">
        <w:rPr>
          <w:rFonts w:ascii="Arial" w:hAnsi="Arial" w:cs="Arial"/>
          <w:sz w:val="24"/>
          <w:szCs w:val="24"/>
        </w:rPr>
        <w:t xml:space="preserve">proposal </w:t>
      </w:r>
      <w:r w:rsidR="00322A05">
        <w:rPr>
          <w:rFonts w:ascii="Arial" w:hAnsi="Arial" w:cs="Arial"/>
          <w:sz w:val="24"/>
          <w:szCs w:val="24"/>
        </w:rPr>
        <w:t>already</w:t>
      </w:r>
      <w:r w:rsidR="00F63F58">
        <w:rPr>
          <w:rFonts w:ascii="Arial" w:hAnsi="Arial" w:cs="Arial"/>
          <w:sz w:val="24"/>
          <w:szCs w:val="24"/>
        </w:rPr>
        <w:t xml:space="preserve"> referred to which involves </w:t>
      </w:r>
      <w:r w:rsidRPr="00DD586C">
        <w:rPr>
          <w:rFonts w:ascii="Arial" w:hAnsi="Arial" w:cs="Arial"/>
          <w:sz w:val="24"/>
          <w:szCs w:val="24"/>
        </w:rPr>
        <w:t xml:space="preserve">the financially impaired </w:t>
      </w:r>
      <w:proofErr w:type="spellStart"/>
      <w:r w:rsidRPr="00DD586C">
        <w:rPr>
          <w:rFonts w:ascii="Arial" w:hAnsi="Arial" w:cs="Arial"/>
          <w:sz w:val="24"/>
          <w:szCs w:val="24"/>
        </w:rPr>
        <w:t>Transurban</w:t>
      </w:r>
      <w:proofErr w:type="spellEnd"/>
      <w:r w:rsidRPr="00DD586C">
        <w:rPr>
          <w:rFonts w:ascii="Arial" w:hAnsi="Arial" w:cs="Arial"/>
          <w:sz w:val="24"/>
          <w:szCs w:val="24"/>
        </w:rPr>
        <w:t xml:space="preserve"> toll road owner and operator</w:t>
      </w:r>
      <w:r w:rsidR="00F63F58">
        <w:rPr>
          <w:rFonts w:ascii="Arial" w:hAnsi="Arial" w:cs="Arial"/>
          <w:sz w:val="24"/>
          <w:szCs w:val="24"/>
        </w:rPr>
        <w:t xml:space="preserve"> in a partnership with the Australian and NSW government. </w:t>
      </w:r>
      <w:r w:rsidR="00521AA9">
        <w:rPr>
          <w:rFonts w:ascii="Arial" w:hAnsi="Arial" w:cs="Arial"/>
          <w:sz w:val="24"/>
          <w:szCs w:val="24"/>
        </w:rPr>
        <w:t xml:space="preserve">The method of equity raising by </w:t>
      </w:r>
      <w:proofErr w:type="spellStart"/>
      <w:r w:rsidR="00521AA9">
        <w:rPr>
          <w:rFonts w:ascii="Arial" w:hAnsi="Arial" w:cs="Arial"/>
          <w:sz w:val="24"/>
          <w:szCs w:val="24"/>
        </w:rPr>
        <w:t>Transurban</w:t>
      </w:r>
      <w:proofErr w:type="spellEnd"/>
      <w:r w:rsidR="00CA3296">
        <w:rPr>
          <w:rFonts w:ascii="Arial" w:hAnsi="Arial" w:cs="Arial"/>
          <w:sz w:val="24"/>
          <w:szCs w:val="24"/>
        </w:rPr>
        <w:t xml:space="preserve"> and the real value of its </w:t>
      </w:r>
      <w:r w:rsidR="00B65E55">
        <w:rPr>
          <w:rFonts w:ascii="Arial" w:hAnsi="Arial" w:cs="Arial"/>
          <w:sz w:val="24"/>
          <w:szCs w:val="24"/>
        </w:rPr>
        <w:t>securities (</w:t>
      </w:r>
      <w:r w:rsidR="00CA3296">
        <w:rPr>
          <w:rFonts w:ascii="Arial" w:hAnsi="Arial" w:cs="Arial"/>
          <w:sz w:val="24"/>
          <w:szCs w:val="24"/>
        </w:rPr>
        <w:t>Goldberg, 2013</w:t>
      </w:r>
      <w:r w:rsidR="00B65E55">
        <w:rPr>
          <w:rFonts w:ascii="Arial" w:hAnsi="Arial" w:cs="Arial"/>
          <w:sz w:val="24"/>
          <w:szCs w:val="24"/>
        </w:rPr>
        <w:t>) should</w:t>
      </w:r>
      <w:r w:rsidR="00521AA9">
        <w:rPr>
          <w:rFonts w:ascii="Arial" w:hAnsi="Arial" w:cs="Arial"/>
          <w:sz w:val="24"/>
          <w:szCs w:val="24"/>
        </w:rPr>
        <w:t xml:space="preserve"> be carefully canvassed by the two governments</w:t>
      </w:r>
      <w:r w:rsidR="00E145A1">
        <w:rPr>
          <w:rFonts w:ascii="Arial" w:hAnsi="Arial" w:cs="Arial"/>
          <w:sz w:val="24"/>
          <w:szCs w:val="24"/>
        </w:rPr>
        <w:t xml:space="preserve">. </w:t>
      </w:r>
    </w:p>
    <w:p w:rsidR="002C083B" w:rsidRDefault="002C083B" w:rsidP="00F63F58">
      <w:pPr>
        <w:pStyle w:val="ListParagraph"/>
        <w:ind w:left="1560"/>
        <w:rPr>
          <w:rFonts w:ascii="Arial" w:hAnsi="Arial" w:cs="Arial"/>
          <w:sz w:val="24"/>
          <w:szCs w:val="24"/>
        </w:rPr>
      </w:pPr>
    </w:p>
    <w:p w:rsidR="008B2CEC" w:rsidRDefault="00E145A1" w:rsidP="00F63F58">
      <w:pPr>
        <w:pStyle w:val="ListParagraph"/>
        <w:ind w:left="1560"/>
        <w:rPr>
          <w:rFonts w:ascii="Arial" w:hAnsi="Arial" w:cs="Arial"/>
          <w:sz w:val="24"/>
          <w:szCs w:val="24"/>
        </w:rPr>
      </w:pPr>
      <w:r>
        <w:rPr>
          <w:rFonts w:ascii="Arial" w:hAnsi="Arial" w:cs="Arial"/>
          <w:sz w:val="24"/>
          <w:szCs w:val="24"/>
        </w:rPr>
        <w:t xml:space="preserve">As described above, there is potential for </w:t>
      </w:r>
      <w:proofErr w:type="spellStart"/>
      <w:r>
        <w:rPr>
          <w:rFonts w:ascii="Arial" w:hAnsi="Arial" w:cs="Arial"/>
          <w:sz w:val="24"/>
          <w:szCs w:val="24"/>
        </w:rPr>
        <w:t>Transurban</w:t>
      </w:r>
      <w:proofErr w:type="spellEnd"/>
      <w:r>
        <w:rPr>
          <w:rFonts w:ascii="Arial" w:hAnsi="Arial" w:cs="Arial"/>
          <w:sz w:val="24"/>
          <w:szCs w:val="24"/>
        </w:rPr>
        <w:t xml:space="preserve"> and any other partner</w:t>
      </w:r>
      <w:r w:rsidR="00521AA9">
        <w:rPr>
          <w:rFonts w:ascii="Arial" w:hAnsi="Arial" w:cs="Arial"/>
          <w:sz w:val="24"/>
          <w:szCs w:val="24"/>
        </w:rPr>
        <w:t xml:space="preserve"> </w:t>
      </w:r>
      <w:r>
        <w:rPr>
          <w:rFonts w:ascii="Arial" w:hAnsi="Arial" w:cs="Arial"/>
          <w:sz w:val="24"/>
          <w:szCs w:val="24"/>
        </w:rPr>
        <w:t>to create an artificial price for its securities by market manipulation</w:t>
      </w:r>
      <w:r w:rsidR="002C083B">
        <w:rPr>
          <w:rFonts w:ascii="Arial" w:hAnsi="Arial" w:cs="Arial"/>
          <w:sz w:val="24"/>
          <w:szCs w:val="24"/>
        </w:rPr>
        <w:t xml:space="preserve">. When considered in relation to a lack of tangible asset backing, a financial risk is created that cannot be readily hedged. A default by </w:t>
      </w:r>
      <w:proofErr w:type="spellStart"/>
      <w:r w:rsidR="002C083B">
        <w:rPr>
          <w:rFonts w:ascii="Arial" w:hAnsi="Arial" w:cs="Arial"/>
          <w:sz w:val="24"/>
          <w:szCs w:val="24"/>
        </w:rPr>
        <w:t>Transurban</w:t>
      </w:r>
      <w:proofErr w:type="spellEnd"/>
      <w:r w:rsidR="002C083B">
        <w:rPr>
          <w:rFonts w:ascii="Arial" w:hAnsi="Arial" w:cs="Arial"/>
          <w:sz w:val="24"/>
          <w:szCs w:val="24"/>
        </w:rPr>
        <w:t xml:space="preserve"> will place additional financial stress on the governments. </w:t>
      </w:r>
      <w:r w:rsidR="008B2CEC" w:rsidRPr="00DD586C">
        <w:rPr>
          <w:rFonts w:ascii="Arial" w:hAnsi="Arial" w:cs="Arial"/>
          <w:sz w:val="24"/>
          <w:szCs w:val="24"/>
        </w:rPr>
        <w:t xml:space="preserve">There is also a similar financial risk involved with funding the </w:t>
      </w:r>
      <w:proofErr w:type="spellStart"/>
      <w:r w:rsidR="00B65E55">
        <w:rPr>
          <w:rFonts w:ascii="Arial" w:hAnsi="Arial" w:cs="Arial"/>
          <w:sz w:val="24"/>
          <w:szCs w:val="24"/>
        </w:rPr>
        <w:t>WestC</w:t>
      </w:r>
      <w:r w:rsidR="00B65E55" w:rsidRPr="00DD586C">
        <w:rPr>
          <w:rFonts w:ascii="Arial" w:hAnsi="Arial" w:cs="Arial"/>
          <w:sz w:val="24"/>
          <w:szCs w:val="24"/>
        </w:rPr>
        <w:t>onnex</w:t>
      </w:r>
      <w:proofErr w:type="spellEnd"/>
      <w:r w:rsidR="008B2CEC" w:rsidRPr="00DD586C">
        <w:rPr>
          <w:rFonts w:ascii="Arial" w:hAnsi="Arial" w:cs="Arial"/>
          <w:sz w:val="24"/>
          <w:szCs w:val="24"/>
        </w:rPr>
        <w:t xml:space="preserve"> road proposal.</w:t>
      </w:r>
    </w:p>
    <w:p w:rsidR="00356D14" w:rsidRDefault="00356D14" w:rsidP="00F63F58">
      <w:pPr>
        <w:pStyle w:val="ListParagraph"/>
        <w:ind w:left="1560"/>
        <w:rPr>
          <w:rFonts w:ascii="Arial" w:hAnsi="Arial" w:cs="Arial"/>
          <w:sz w:val="24"/>
          <w:szCs w:val="24"/>
        </w:rPr>
      </w:pPr>
    </w:p>
    <w:p w:rsidR="00222D9B" w:rsidRPr="00593365" w:rsidRDefault="00B269A4" w:rsidP="00BA337A">
      <w:pPr>
        <w:ind w:left="1134" w:firstLine="142"/>
        <w:rPr>
          <w:rFonts w:ascii="Arial" w:hAnsi="Arial" w:cs="Arial"/>
          <w:b/>
          <w:sz w:val="28"/>
          <w:szCs w:val="28"/>
        </w:rPr>
      </w:pPr>
      <w:r w:rsidRPr="00593365">
        <w:rPr>
          <w:rFonts w:ascii="Arial" w:hAnsi="Arial" w:cs="Arial"/>
          <w:b/>
          <w:sz w:val="28"/>
          <w:szCs w:val="28"/>
        </w:rPr>
        <w:t>3.</w:t>
      </w:r>
      <w:r w:rsidR="008E6222" w:rsidRPr="00593365">
        <w:rPr>
          <w:rFonts w:ascii="Arial" w:hAnsi="Arial" w:cs="Arial"/>
          <w:b/>
          <w:sz w:val="28"/>
          <w:szCs w:val="28"/>
        </w:rPr>
        <w:t xml:space="preserve"> </w:t>
      </w:r>
      <w:r w:rsidR="00222D9B" w:rsidRPr="00593365">
        <w:rPr>
          <w:rFonts w:ascii="Arial" w:hAnsi="Arial" w:cs="Arial"/>
          <w:b/>
          <w:sz w:val="28"/>
          <w:szCs w:val="28"/>
        </w:rPr>
        <w:t>Concluding remarks</w:t>
      </w:r>
    </w:p>
    <w:p w:rsidR="00222D9B" w:rsidRDefault="00222D9B" w:rsidP="00593365">
      <w:pPr>
        <w:ind w:left="1701"/>
        <w:rPr>
          <w:rFonts w:ascii="Arial" w:hAnsi="Arial" w:cs="Arial"/>
          <w:sz w:val="24"/>
          <w:szCs w:val="24"/>
        </w:rPr>
      </w:pPr>
      <w:r>
        <w:rPr>
          <w:rFonts w:ascii="Arial" w:hAnsi="Arial" w:cs="Arial"/>
          <w:sz w:val="24"/>
          <w:szCs w:val="24"/>
        </w:rPr>
        <w:t xml:space="preserve">The cases given in this submission </w:t>
      </w:r>
      <w:r w:rsidR="00331519">
        <w:rPr>
          <w:rFonts w:ascii="Arial" w:hAnsi="Arial" w:cs="Arial"/>
          <w:sz w:val="24"/>
          <w:szCs w:val="24"/>
        </w:rPr>
        <w:t xml:space="preserve">illustrate how </w:t>
      </w:r>
      <w:r>
        <w:rPr>
          <w:rFonts w:ascii="Arial" w:hAnsi="Arial" w:cs="Arial"/>
          <w:sz w:val="24"/>
          <w:szCs w:val="24"/>
        </w:rPr>
        <w:t xml:space="preserve">cost benefit analysis </w:t>
      </w:r>
      <w:r w:rsidR="00331519">
        <w:rPr>
          <w:rFonts w:ascii="Arial" w:hAnsi="Arial" w:cs="Arial"/>
          <w:sz w:val="24"/>
          <w:szCs w:val="24"/>
        </w:rPr>
        <w:t xml:space="preserve">has been used </w:t>
      </w:r>
      <w:r>
        <w:rPr>
          <w:rFonts w:ascii="Arial" w:hAnsi="Arial" w:cs="Arial"/>
          <w:sz w:val="24"/>
          <w:szCs w:val="24"/>
        </w:rPr>
        <w:t xml:space="preserve">to </w:t>
      </w:r>
      <w:r w:rsidR="00331519">
        <w:rPr>
          <w:rFonts w:ascii="Arial" w:hAnsi="Arial" w:cs="Arial"/>
          <w:sz w:val="24"/>
          <w:szCs w:val="24"/>
        </w:rPr>
        <w:t xml:space="preserve">justify </w:t>
      </w:r>
      <w:r>
        <w:rPr>
          <w:rFonts w:ascii="Arial" w:hAnsi="Arial" w:cs="Arial"/>
          <w:sz w:val="24"/>
          <w:szCs w:val="24"/>
        </w:rPr>
        <w:t xml:space="preserve">the </w:t>
      </w:r>
      <w:r w:rsidR="00331519">
        <w:rPr>
          <w:rFonts w:ascii="Arial" w:hAnsi="Arial" w:cs="Arial"/>
          <w:sz w:val="24"/>
          <w:szCs w:val="24"/>
        </w:rPr>
        <w:t xml:space="preserve">funding </w:t>
      </w:r>
      <w:r w:rsidR="00B65E55">
        <w:rPr>
          <w:rFonts w:ascii="Arial" w:hAnsi="Arial" w:cs="Arial"/>
          <w:sz w:val="24"/>
          <w:szCs w:val="24"/>
        </w:rPr>
        <w:t>of uneconomic</w:t>
      </w:r>
      <w:r w:rsidR="00331519">
        <w:rPr>
          <w:rFonts w:ascii="Arial" w:hAnsi="Arial" w:cs="Arial"/>
          <w:sz w:val="24"/>
          <w:szCs w:val="24"/>
        </w:rPr>
        <w:t xml:space="preserve"> projects by </w:t>
      </w:r>
      <w:r>
        <w:rPr>
          <w:rFonts w:ascii="Arial" w:hAnsi="Arial" w:cs="Arial"/>
          <w:sz w:val="24"/>
          <w:szCs w:val="24"/>
        </w:rPr>
        <w:t>public and private money</w:t>
      </w:r>
      <w:r w:rsidR="00EB308B">
        <w:rPr>
          <w:rFonts w:ascii="Arial" w:hAnsi="Arial" w:cs="Arial"/>
          <w:sz w:val="24"/>
          <w:szCs w:val="24"/>
        </w:rPr>
        <w:t>, either separately or in combination</w:t>
      </w:r>
      <w:r w:rsidR="00331519">
        <w:rPr>
          <w:rFonts w:ascii="Arial" w:hAnsi="Arial" w:cs="Arial"/>
          <w:sz w:val="24"/>
          <w:szCs w:val="24"/>
        </w:rPr>
        <w:t>.</w:t>
      </w:r>
    </w:p>
    <w:p w:rsidR="00222D9B" w:rsidRDefault="00222D9B" w:rsidP="00593365">
      <w:pPr>
        <w:ind w:left="1701"/>
        <w:rPr>
          <w:rFonts w:ascii="Arial" w:hAnsi="Arial" w:cs="Arial"/>
          <w:sz w:val="24"/>
          <w:szCs w:val="24"/>
        </w:rPr>
      </w:pPr>
      <w:r>
        <w:rPr>
          <w:rFonts w:ascii="Arial" w:hAnsi="Arial" w:cs="Arial"/>
          <w:sz w:val="24"/>
          <w:szCs w:val="24"/>
        </w:rPr>
        <w:lastRenderedPageBreak/>
        <w:t>The Productivity Commission has canvassed this probity issue in its Draft Report (page 381). The Commission suggests the greater use of codes of practice which</w:t>
      </w:r>
    </w:p>
    <w:p w:rsidR="00222D9B" w:rsidRPr="007B1FCA" w:rsidRDefault="00222D9B" w:rsidP="00593365">
      <w:pPr>
        <w:ind w:left="1701"/>
        <w:rPr>
          <w:rFonts w:ascii="Arial" w:hAnsi="Arial" w:cs="Arial"/>
          <w:i/>
          <w:sz w:val="24"/>
          <w:szCs w:val="24"/>
        </w:rPr>
      </w:pPr>
      <w:r w:rsidRPr="007B1FCA">
        <w:rPr>
          <w:rFonts w:ascii="Arial" w:hAnsi="Arial" w:cs="Arial"/>
          <w:i/>
          <w:sz w:val="24"/>
          <w:szCs w:val="24"/>
        </w:rPr>
        <w:t xml:space="preserve"> “set obligations on the businesses that deliver projects on behalf of government clients”</w:t>
      </w:r>
      <w:r w:rsidR="0034744F" w:rsidRPr="007B1FCA">
        <w:rPr>
          <w:rFonts w:ascii="Arial" w:hAnsi="Arial" w:cs="Arial"/>
          <w:i/>
          <w:sz w:val="24"/>
          <w:szCs w:val="24"/>
        </w:rPr>
        <w:t>.</w:t>
      </w:r>
      <w:r w:rsidRPr="007B1FCA">
        <w:rPr>
          <w:rFonts w:ascii="Arial" w:hAnsi="Arial" w:cs="Arial"/>
          <w:i/>
          <w:sz w:val="24"/>
          <w:szCs w:val="24"/>
        </w:rPr>
        <w:t xml:space="preserve"> </w:t>
      </w:r>
    </w:p>
    <w:p w:rsidR="00222D9B" w:rsidRDefault="00222D9B" w:rsidP="00593365">
      <w:pPr>
        <w:ind w:left="1701"/>
        <w:rPr>
          <w:rFonts w:ascii="Arial" w:hAnsi="Arial" w:cs="Arial"/>
          <w:sz w:val="24"/>
          <w:szCs w:val="24"/>
        </w:rPr>
      </w:pPr>
      <w:r>
        <w:rPr>
          <w:rFonts w:ascii="Arial" w:hAnsi="Arial" w:cs="Arial"/>
          <w:sz w:val="24"/>
          <w:szCs w:val="24"/>
        </w:rPr>
        <w:t>It also suggests that the scope of codes of practice be extended</w:t>
      </w:r>
    </w:p>
    <w:p w:rsidR="00222D9B" w:rsidRPr="007B1FCA" w:rsidRDefault="00222D9B" w:rsidP="00593365">
      <w:pPr>
        <w:ind w:left="1701"/>
        <w:rPr>
          <w:rFonts w:ascii="Arial" w:hAnsi="Arial" w:cs="Arial"/>
          <w:i/>
          <w:sz w:val="24"/>
          <w:szCs w:val="24"/>
        </w:rPr>
      </w:pPr>
      <w:r w:rsidRPr="007B1FCA">
        <w:rPr>
          <w:rFonts w:ascii="Arial" w:hAnsi="Arial" w:cs="Arial"/>
          <w:i/>
          <w:sz w:val="24"/>
          <w:szCs w:val="24"/>
        </w:rPr>
        <w:t xml:space="preserve"> “to place certain probity related obligations on potential su</w:t>
      </w:r>
      <w:r w:rsidR="00FD3190">
        <w:rPr>
          <w:rFonts w:ascii="Arial" w:hAnsi="Arial" w:cs="Arial"/>
          <w:i/>
          <w:sz w:val="24"/>
          <w:szCs w:val="24"/>
        </w:rPr>
        <w:t xml:space="preserve">ppliers…such as an obligation </w:t>
      </w:r>
      <w:r w:rsidRPr="007B1FCA">
        <w:rPr>
          <w:rFonts w:ascii="Arial" w:hAnsi="Arial" w:cs="Arial"/>
          <w:i/>
          <w:sz w:val="24"/>
          <w:szCs w:val="24"/>
        </w:rPr>
        <w:t>not</w:t>
      </w:r>
      <w:r w:rsidR="00FD3190">
        <w:rPr>
          <w:rFonts w:ascii="Arial" w:hAnsi="Arial" w:cs="Arial"/>
          <w:i/>
          <w:sz w:val="24"/>
          <w:szCs w:val="24"/>
        </w:rPr>
        <w:t xml:space="preserve"> to</w:t>
      </w:r>
      <w:r w:rsidRPr="007B1FCA">
        <w:rPr>
          <w:rFonts w:ascii="Arial" w:hAnsi="Arial" w:cs="Arial"/>
          <w:i/>
          <w:sz w:val="24"/>
          <w:szCs w:val="24"/>
        </w:rPr>
        <w:t xml:space="preserve"> be </w:t>
      </w:r>
      <w:r w:rsidR="0034744F" w:rsidRPr="007B1FCA">
        <w:rPr>
          <w:rFonts w:ascii="Arial" w:hAnsi="Arial" w:cs="Arial"/>
          <w:i/>
          <w:sz w:val="24"/>
          <w:szCs w:val="24"/>
        </w:rPr>
        <w:t>involved</w:t>
      </w:r>
      <w:r w:rsidRPr="007B1FCA">
        <w:rPr>
          <w:rFonts w:ascii="Arial" w:hAnsi="Arial" w:cs="Arial"/>
          <w:i/>
          <w:sz w:val="24"/>
          <w:szCs w:val="24"/>
        </w:rPr>
        <w:t xml:space="preserve"> in potentially corrupt activities”.</w:t>
      </w:r>
    </w:p>
    <w:p w:rsidR="00222D9B" w:rsidRDefault="00222D9B" w:rsidP="00593365">
      <w:pPr>
        <w:ind w:left="1701"/>
        <w:rPr>
          <w:rFonts w:ascii="Arial" w:hAnsi="Arial" w:cs="Arial"/>
          <w:sz w:val="24"/>
          <w:szCs w:val="24"/>
        </w:rPr>
      </w:pPr>
      <w:r>
        <w:rPr>
          <w:rFonts w:ascii="Arial" w:hAnsi="Arial" w:cs="Arial"/>
          <w:sz w:val="24"/>
          <w:szCs w:val="24"/>
        </w:rPr>
        <w:t xml:space="preserve">The author suggests that </w:t>
      </w:r>
      <w:r w:rsidR="00B269A4">
        <w:rPr>
          <w:rFonts w:ascii="Arial" w:hAnsi="Arial" w:cs="Arial"/>
          <w:sz w:val="24"/>
          <w:szCs w:val="24"/>
        </w:rPr>
        <w:t xml:space="preserve">the case studies </w:t>
      </w:r>
      <w:r>
        <w:rPr>
          <w:rFonts w:ascii="Arial" w:hAnsi="Arial" w:cs="Arial"/>
          <w:sz w:val="24"/>
          <w:szCs w:val="24"/>
        </w:rPr>
        <w:t xml:space="preserve">described in this submission should create serious doubts that such an approach will be effective in reducing the </w:t>
      </w:r>
      <w:r w:rsidR="00331519">
        <w:rPr>
          <w:rFonts w:ascii="Arial" w:hAnsi="Arial" w:cs="Arial"/>
          <w:sz w:val="24"/>
          <w:szCs w:val="24"/>
        </w:rPr>
        <w:t>misuse of cost-benefit analysis</w:t>
      </w:r>
      <w:r w:rsidR="00B65E55">
        <w:rPr>
          <w:rFonts w:ascii="Arial" w:hAnsi="Arial" w:cs="Arial"/>
          <w:sz w:val="24"/>
          <w:szCs w:val="24"/>
        </w:rPr>
        <w:t>.</w:t>
      </w:r>
    </w:p>
    <w:p w:rsidR="00222D9B" w:rsidRDefault="00222D9B" w:rsidP="00593365">
      <w:pPr>
        <w:ind w:left="1701"/>
        <w:rPr>
          <w:rFonts w:ascii="Arial" w:hAnsi="Arial" w:cs="Arial"/>
          <w:sz w:val="24"/>
          <w:szCs w:val="24"/>
        </w:rPr>
      </w:pPr>
      <w:r>
        <w:rPr>
          <w:rFonts w:ascii="Arial" w:hAnsi="Arial" w:cs="Arial"/>
          <w:sz w:val="24"/>
          <w:szCs w:val="24"/>
        </w:rPr>
        <w:t xml:space="preserve">As expressed by the Chairman of the Productivity Commission there is a potential for a reduction in Australia’s </w:t>
      </w:r>
      <w:proofErr w:type="spellStart"/>
      <w:r>
        <w:rPr>
          <w:rFonts w:ascii="Arial" w:hAnsi="Arial" w:cs="Arial"/>
          <w:sz w:val="24"/>
          <w:szCs w:val="24"/>
        </w:rPr>
        <w:t>AAA</w:t>
      </w:r>
      <w:proofErr w:type="spellEnd"/>
      <w:r>
        <w:rPr>
          <w:rFonts w:ascii="Arial" w:hAnsi="Arial" w:cs="Arial"/>
          <w:sz w:val="24"/>
          <w:szCs w:val="24"/>
        </w:rPr>
        <w:t xml:space="preserve"> </w:t>
      </w:r>
      <w:r w:rsidR="0034744F">
        <w:rPr>
          <w:rFonts w:ascii="Arial" w:hAnsi="Arial" w:cs="Arial"/>
          <w:sz w:val="24"/>
          <w:szCs w:val="24"/>
        </w:rPr>
        <w:t>rating and</w:t>
      </w:r>
      <w:r>
        <w:rPr>
          <w:rFonts w:ascii="Arial" w:hAnsi="Arial" w:cs="Arial"/>
          <w:sz w:val="24"/>
          <w:szCs w:val="24"/>
        </w:rPr>
        <w:t xml:space="preserve"> this decline in </w:t>
      </w:r>
      <w:r w:rsidR="0034744F">
        <w:rPr>
          <w:rFonts w:ascii="Arial" w:hAnsi="Arial" w:cs="Arial"/>
          <w:sz w:val="24"/>
          <w:szCs w:val="24"/>
        </w:rPr>
        <w:t>Australia’s financial</w:t>
      </w:r>
      <w:r>
        <w:rPr>
          <w:rFonts w:ascii="Arial" w:hAnsi="Arial" w:cs="Arial"/>
          <w:sz w:val="24"/>
          <w:szCs w:val="24"/>
        </w:rPr>
        <w:t xml:space="preserve"> standing would have serious flow-on consequences. (Australian Financial Review, 2014)</w:t>
      </w:r>
      <w:r>
        <w:rPr>
          <w:rStyle w:val="FootnoteReference"/>
          <w:rFonts w:ascii="Arial" w:hAnsi="Arial" w:cs="Arial"/>
          <w:sz w:val="24"/>
          <w:szCs w:val="24"/>
        </w:rPr>
        <w:footnoteReference w:id="8"/>
      </w:r>
    </w:p>
    <w:p w:rsidR="00FD3190" w:rsidRDefault="00222D9B" w:rsidP="00593365">
      <w:pPr>
        <w:ind w:left="1701"/>
        <w:rPr>
          <w:rFonts w:ascii="Arial" w:hAnsi="Arial" w:cs="Arial"/>
          <w:sz w:val="24"/>
          <w:szCs w:val="24"/>
        </w:rPr>
      </w:pPr>
      <w:r>
        <w:rPr>
          <w:rFonts w:ascii="Arial" w:hAnsi="Arial" w:cs="Arial"/>
          <w:sz w:val="24"/>
          <w:szCs w:val="24"/>
        </w:rPr>
        <w:t xml:space="preserve">The author suggests instead that a Commonwealth </w:t>
      </w:r>
      <w:r w:rsidRPr="008B5EB2">
        <w:rPr>
          <w:rFonts w:ascii="Arial" w:hAnsi="Arial" w:cs="Arial"/>
          <w:sz w:val="24"/>
          <w:szCs w:val="24"/>
          <w:u w:val="single"/>
        </w:rPr>
        <w:t>Infrastructure Act</w:t>
      </w:r>
      <w:r>
        <w:rPr>
          <w:rFonts w:ascii="Arial" w:hAnsi="Arial" w:cs="Arial"/>
          <w:sz w:val="24"/>
          <w:szCs w:val="24"/>
        </w:rPr>
        <w:t xml:space="preserve"> be introduced with force in all states</w:t>
      </w:r>
      <w:r w:rsidR="00EB308B">
        <w:rPr>
          <w:rFonts w:ascii="Arial" w:hAnsi="Arial" w:cs="Arial"/>
          <w:sz w:val="24"/>
          <w:szCs w:val="24"/>
        </w:rPr>
        <w:t xml:space="preserve"> for major infrastructure projects</w:t>
      </w:r>
      <w:r w:rsidR="00B65E55">
        <w:rPr>
          <w:rFonts w:ascii="Arial" w:hAnsi="Arial" w:cs="Arial"/>
          <w:sz w:val="24"/>
          <w:szCs w:val="24"/>
        </w:rPr>
        <w:t>.</w:t>
      </w:r>
      <w:r>
        <w:rPr>
          <w:rFonts w:ascii="Arial" w:hAnsi="Arial" w:cs="Arial"/>
          <w:sz w:val="24"/>
          <w:szCs w:val="24"/>
        </w:rPr>
        <w:t xml:space="preserve"> It should contain penal provisions for any contravention that misleads or misrepresents any matter that is in the public interest in relation to infrastructure. </w:t>
      </w:r>
    </w:p>
    <w:p w:rsidR="00222D9B" w:rsidRDefault="00222D9B" w:rsidP="00593365">
      <w:pPr>
        <w:ind w:left="1701"/>
        <w:rPr>
          <w:rFonts w:ascii="Arial" w:hAnsi="Arial" w:cs="Arial"/>
          <w:sz w:val="24"/>
          <w:szCs w:val="24"/>
        </w:rPr>
      </w:pPr>
      <w:r>
        <w:rPr>
          <w:rFonts w:ascii="Arial" w:hAnsi="Arial" w:cs="Arial"/>
          <w:sz w:val="24"/>
          <w:szCs w:val="24"/>
        </w:rPr>
        <w:t xml:space="preserve">The powers of consent </w:t>
      </w:r>
      <w:r w:rsidR="00CA3296">
        <w:rPr>
          <w:rFonts w:ascii="Arial" w:hAnsi="Arial" w:cs="Arial"/>
          <w:sz w:val="24"/>
          <w:szCs w:val="24"/>
        </w:rPr>
        <w:t xml:space="preserve">for any project using Australian Government funding </w:t>
      </w:r>
      <w:r>
        <w:rPr>
          <w:rFonts w:ascii="Arial" w:hAnsi="Arial" w:cs="Arial"/>
          <w:sz w:val="24"/>
          <w:szCs w:val="24"/>
        </w:rPr>
        <w:t>would thus be removed from organisations such as the NSW Department of Planning and Infrastructure which has misused these powers</w:t>
      </w:r>
      <w:r w:rsidR="0034744F">
        <w:rPr>
          <w:rFonts w:ascii="Arial" w:hAnsi="Arial" w:cs="Arial"/>
          <w:sz w:val="24"/>
          <w:szCs w:val="24"/>
        </w:rPr>
        <w:t>.</w:t>
      </w:r>
      <w:r>
        <w:rPr>
          <w:rFonts w:ascii="Arial" w:hAnsi="Arial" w:cs="Arial"/>
          <w:sz w:val="24"/>
          <w:szCs w:val="24"/>
        </w:rPr>
        <w:t xml:space="preserve"> Th</w:t>
      </w:r>
      <w:r w:rsidR="00FD3190">
        <w:rPr>
          <w:rFonts w:ascii="Arial" w:hAnsi="Arial" w:cs="Arial"/>
          <w:sz w:val="24"/>
          <w:szCs w:val="24"/>
        </w:rPr>
        <w:t xml:space="preserve">e </w:t>
      </w:r>
      <w:r w:rsidR="002C083B">
        <w:rPr>
          <w:rFonts w:ascii="Arial" w:hAnsi="Arial" w:cs="Arial"/>
          <w:sz w:val="24"/>
          <w:szCs w:val="24"/>
        </w:rPr>
        <w:t xml:space="preserve">suggested </w:t>
      </w:r>
      <w:r w:rsidR="00FD3190">
        <w:rPr>
          <w:rFonts w:ascii="Arial" w:hAnsi="Arial" w:cs="Arial"/>
          <w:sz w:val="24"/>
          <w:szCs w:val="24"/>
        </w:rPr>
        <w:t xml:space="preserve">model </w:t>
      </w:r>
      <w:r>
        <w:rPr>
          <w:rFonts w:ascii="Arial" w:hAnsi="Arial" w:cs="Arial"/>
          <w:sz w:val="24"/>
          <w:szCs w:val="24"/>
        </w:rPr>
        <w:t xml:space="preserve">is the NSW Independent Commission Against Corruption Act 1988. This Act is based on the idea that the public interest is paramount. </w:t>
      </w:r>
    </w:p>
    <w:p w:rsidR="00941D4E" w:rsidRDefault="00941D4E" w:rsidP="00593365">
      <w:pPr>
        <w:ind w:left="1701"/>
        <w:rPr>
          <w:rFonts w:ascii="Arial" w:hAnsi="Arial" w:cs="Arial"/>
          <w:sz w:val="24"/>
          <w:szCs w:val="24"/>
        </w:rPr>
      </w:pPr>
    </w:p>
    <w:p w:rsidR="00446B14" w:rsidRPr="00593365" w:rsidRDefault="00446B14" w:rsidP="007F6730">
      <w:pPr>
        <w:pStyle w:val="ListParagraph"/>
        <w:ind w:left="567"/>
        <w:rPr>
          <w:rFonts w:ascii="Arial" w:hAnsi="Arial" w:cs="Arial"/>
          <w:b/>
          <w:sz w:val="24"/>
          <w:szCs w:val="24"/>
          <w:u w:val="single"/>
        </w:rPr>
      </w:pPr>
      <w:r w:rsidRPr="00593365">
        <w:rPr>
          <w:rFonts w:ascii="Arial" w:hAnsi="Arial" w:cs="Arial"/>
          <w:b/>
          <w:sz w:val="24"/>
          <w:szCs w:val="24"/>
          <w:u w:val="single"/>
        </w:rPr>
        <w:t>References</w:t>
      </w:r>
    </w:p>
    <w:p w:rsidR="00446B14" w:rsidRDefault="00446B14" w:rsidP="007F6730">
      <w:pPr>
        <w:pStyle w:val="ListParagraph"/>
        <w:ind w:left="567"/>
        <w:rPr>
          <w:rFonts w:ascii="Arial" w:hAnsi="Arial" w:cs="Arial"/>
          <w:sz w:val="24"/>
          <w:szCs w:val="24"/>
        </w:rPr>
      </w:pPr>
    </w:p>
    <w:p w:rsidR="00446B14" w:rsidRDefault="00446B14" w:rsidP="007F6730">
      <w:pPr>
        <w:pStyle w:val="ListParagraph"/>
        <w:ind w:left="567"/>
        <w:rPr>
          <w:rFonts w:ascii="Arial" w:hAnsi="Arial" w:cs="Arial"/>
          <w:sz w:val="24"/>
          <w:szCs w:val="24"/>
        </w:rPr>
      </w:pPr>
      <w:r>
        <w:rPr>
          <w:rFonts w:ascii="Arial" w:hAnsi="Arial" w:cs="Arial"/>
          <w:sz w:val="24"/>
          <w:szCs w:val="24"/>
        </w:rPr>
        <w:t>Abelson, P. (1986) The economic valuation of roads in Australia (Australian Professional Publications, Sydney).</w:t>
      </w:r>
    </w:p>
    <w:p w:rsidR="00C57516" w:rsidRDefault="00C57516" w:rsidP="007F6730">
      <w:pPr>
        <w:pStyle w:val="ListParagraph"/>
        <w:ind w:left="567"/>
        <w:rPr>
          <w:rFonts w:ascii="Arial" w:hAnsi="Arial" w:cs="Arial"/>
          <w:sz w:val="24"/>
          <w:szCs w:val="24"/>
        </w:rPr>
      </w:pPr>
    </w:p>
    <w:p w:rsidR="00676EB6" w:rsidRDefault="00C57516" w:rsidP="007F6730">
      <w:pPr>
        <w:pStyle w:val="ListParagraph"/>
        <w:ind w:left="567"/>
        <w:rPr>
          <w:rFonts w:ascii="Arial" w:hAnsi="Arial" w:cs="Arial"/>
          <w:sz w:val="24"/>
          <w:szCs w:val="24"/>
        </w:rPr>
      </w:pPr>
      <w:r>
        <w:rPr>
          <w:rFonts w:ascii="Arial" w:hAnsi="Arial" w:cs="Arial"/>
          <w:sz w:val="24"/>
          <w:szCs w:val="24"/>
        </w:rPr>
        <w:t xml:space="preserve">Adcock, </w:t>
      </w:r>
      <w:proofErr w:type="spellStart"/>
      <w:r>
        <w:rPr>
          <w:rFonts w:ascii="Arial" w:hAnsi="Arial" w:cs="Arial"/>
          <w:sz w:val="24"/>
          <w:szCs w:val="24"/>
        </w:rPr>
        <w:t>C.J</w:t>
      </w:r>
      <w:proofErr w:type="spellEnd"/>
      <w:r>
        <w:rPr>
          <w:rFonts w:ascii="Arial" w:hAnsi="Arial" w:cs="Arial"/>
          <w:sz w:val="24"/>
          <w:szCs w:val="24"/>
        </w:rPr>
        <w:t xml:space="preserve"> and Clark, </w:t>
      </w:r>
      <w:proofErr w:type="spellStart"/>
      <w:r>
        <w:rPr>
          <w:rFonts w:ascii="Arial" w:hAnsi="Arial" w:cs="Arial"/>
          <w:sz w:val="24"/>
          <w:szCs w:val="24"/>
        </w:rPr>
        <w:t>E.A</w:t>
      </w:r>
      <w:proofErr w:type="spellEnd"/>
      <w:r>
        <w:rPr>
          <w:rFonts w:ascii="Arial" w:hAnsi="Arial" w:cs="Arial"/>
          <w:sz w:val="24"/>
          <w:szCs w:val="24"/>
        </w:rPr>
        <w:t xml:space="preserve">. (1999) Beta lives.-some statistical perspectives on the Capital Asset Pricing </w:t>
      </w:r>
      <w:r w:rsidR="0034744F">
        <w:rPr>
          <w:rFonts w:ascii="Arial" w:hAnsi="Arial" w:cs="Arial"/>
          <w:sz w:val="24"/>
          <w:szCs w:val="24"/>
        </w:rPr>
        <w:t>Model. The</w:t>
      </w:r>
      <w:r>
        <w:rPr>
          <w:rFonts w:ascii="Arial" w:hAnsi="Arial" w:cs="Arial"/>
          <w:sz w:val="24"/>
          <w:szCs w:val="24"/>
        </w:rPr>
        <w:t xml:space="preserve"> European Journal of Finance. 5, 213-224.</w:t>
      </w:r>
    </w:p>
    <w:p w:rsidR="00C57516" w:rsidRDefault="00C57516" w:rsidP="007F6730">
      <w:pPr>
        <w:pStyle w:val="ListParagraph"/>
        <w:ind w:left="567"/>
        <w:rPr>
          <w:rFonts w:ascii="Arial" w:hAnsi="Arial" w:cs="Arial"/>
          <w:sz w:val="24"/>
          <w:szCs w:val="24"/>
        </w:rPr>
      </w:pPr>
    </w:p>
    <w:p w:rsidR="00446B14" w:rsidRDefault="00446B14" w:rsidP="007F6730">
      <w:pPr>
        <w:pStyle w:val="ListParagraph"/>
        <w:ind w:left="567"/>
        <w:rPr>
          <w:rFonts w:ascii="Arial" w:hAnsi="Arial" w:cs="Arial"/>
          <w:sz w:val="24"/>
          <w:szCs w:val="24"/>
        </w:rPr>
      </w:pPr>
      <w:r>
        <w:rPr>
          <w:rFonts w:ascii="Arial" w:hAnsi="Arial" w:cs="Arial"/>
          <w:sz w:val="24"/>
          <w:szCs w:val="24"/>
        </w:rPr>
        <w:t>Bureau of Infrastructure, Transport and Regional Economics (</w:t>
      </w:r>
      <w:proofErr w:type="spellStart"/>
      <w:r>
        <w:rPr>
          <w:rFonts w:ascii="Arial" w:hAnsi="Arial" w:cs="Arial"/>
          <w:sz w:val="24"/>
          <w:szCs w:val="24"/>
        </w:rPr>
        <w:t>BITRE</w:t>
      </w:r>
      <w:proofErr w:type="spellEnd"/>
      <w:r>
        <w:rPr>
          <w:rFonts w:ascii="Arial" w:hAnsi="Arial" w:cs="Arial"/>
          <w:sz w:val="24"/>
          <w:szCs w:val="24"/>
        </w:rPr>
        <w:t>) (2006) Cost of road crashes in Australia. Research Report 118, page 61.</w:t>
      </w:r>
    </w:p>
    <w:p w:rsidR="00404E96" w:rsidRDefault="00404E96" w:rsidP="00404E96">
      <w:pPr>
        <w:ind w:left="567"/>
        <w:rPr>
          <w:rFonts w:ascii="Arial" w:hAnsi="Arial" w:cs="Arial"/>
          <w:sz w:val="24"/>
          <w:szCs w:val="24"/>
        </w:rPr>
      </w:pPr>
      <w:r w:rsidRPr="00D43439">
        <w:rPr>
          <w:rFonts w:ascii="Arial" w:hAnsi="Arial" w:cs="Arial"/>
          <w:sz w:val="24"/>
          <w:szCs w:val="24"/>
        </w:rPr>
        <w:t xml:space="preserve">Goldberg, </w:t>
      </w:r>
      <w:proofErr w:type="spellStart"/>
      <w:r w:rsidRPr="00D43439">
        <w:rPr>
          <w:rFonts w:ascii="Arial" w:hAnsi="Arial" w:cs="Arial"/>
          <w:sz w:val="24"/>
          <w:szCs w:val="24"/>
        </w:rPr>
        <w:t>J.L</w:t>
      </w:r>
      <w:proofErr w:type="spellEnd"/>
      <w:r w:rsidRPr="00D43439">
        <w:rPr>
          <w:rFonts w:ascii="Arial" w:hAnsi="Arial" w:cs="Arial"/>
          <w:sz w:val="24"/>
          <w:szCs w:val="24"/>
        </w:rPr>
        <w:t>. (2006</w:t>
      </w:r>
      <w:r w:rsidR="0034744F" w:rsidRPr="00D43439">
        <w:rPr>
          <w:rFonts w:ascii="Arial" w:hAnsi="Arial" w:cs="Arial"/>
          <w:sz w:val="24"/>
          <w:szCs w:val="24"/>
        </w:rPr>
        <w:t>) The</w:t>
      </w:r>
      <w:r w:rsidRPr="00D43439">
        <w:rPr>
          <w:rFonts w:ascii="Arial" w:hAnsi="Arial" w:cs="Arial"/>
          <w:sz w:val="24"/>
          <w:szCs w:val="24"/>
        </w:rPr>
        <w:t xml:space="preserve"> fatal flaw in the financing of private </w:t>
      </w:r>
      <w:r>
        <w:rPr>
          <w:rFonts w:ascii="Arial" w:hAnsi="Arial" w:cs="Arial"/>
          <w:sz w:val="24"/>
          <w:szCs w:val="24"/>
        </w:rPr>
        <w:t>road infrastructure in Australia. Australasian Transport Research Forum (</w:t>
      </w:r>
      <w:proofErr w:type="spellStart"/>
      <w:r>
        <w:rPr>
          <w:rFonts w:ascii="Arial" w:hAnsi="Arial" w:cs="Arial"/>
          <w:sz w:val="24"/>
          <w:szCs w:val="24"/>
        </w:rPr>
        <w:t>ATRF06</w:t>
      </w:r>
      <w:proofErr w:type="spellEnd"/>
      <w:r>
        <w:rPr>
          <w:rFonts w:ascii="Arial" w:hAnsi="Arial" w:cs="Arial"/>
          <w:sz w:val="24"/>
          <w:szCs w:val="24"/>
        </w:rPr>
        <w:t>).</w:t>
      </w:r>
    </w:p>
    <w:p w:rsidR="00446B14" w:rsidRDefault="00446B14" w:rsidP="007F6730">
      <w:pPr>
        <w:pStyle w:val="ListParagraph"/>
        <w:ind w:left="567"/>
        <w:rPr>
          <w:rFonts w:ascii="Arial" w:hAnsi="Arial" w:cs="Arial"/>
          <w:sz w:val="24"/>
          <w:szCs w:val="24"/>
        </w:rPr>
      </w:pPr>
      <w:r>
        <w:rPr>
          <w:rFonts w:ascii="Arial" w:hAnsi="Arial" w:cs="Arial"/>
          <w:sz w:val="24"/>
          <w:szCs w:val="24"/>
        </w:rPr>
        <w:t>Goldberg, J. L (2009) The valuation of toll roads and the</w:t>
      </w:r>
      <w:r w:rsidR="00E055D6">
        <w:rPr>
          <w:rFonts w:ascii="Arial" w:hAnsi="Arial" w:cs="Arial"/>
          <w:sz w:val="24"/>
          <w:szCs w:val="24"/>
        </w:rPr>
        <w:t xml:space="preserve"> implication for f</w:t>
      </w:r>
      <w:r>
        <w:rPr>
          <w:rFonts w:ascii="Arial" w:hAnsi="Arial" w:cs="Arial"/>
          <w:sz w:val="24"/>
          <w:szCs w:val="24"/>
        </w:rPr>
        <w:t xml:space="preserve">uture solvency with special reference to the </w:t>
      </w:r>
      <w:proofErr w:type="spellStart"/>
      <w:r>
        <w:rPr>
          <w:rFonts w:ascii="Arial" w:hAnsi="Arial" w:cs="Arial"/>
          <w:sz w:val="24"/>
          <w:szCs w:val="24"/>
        </w:rPr>
        <w:t>Transurban</w:t>
      </w:r>
      <w:proofErr w:type="spellEnd"/>
      <w:r>
        <w:rPr>
          <w:rFonts w:ascii="Arial" w:hAnsi="Arial" w:cs="Arial"/>
          <w:sz w:val="24"/>
          <w:szCs w:val="24"/>
        </w:rPr>
        <w:t xml:space="preserve"> Group. Journal of Business Valuation and Economic Loss Analysis. Volume 4. Issue 1, article 2.</w:t>
      </w:r>
    </w:p>
    <w:p w:rsidR="00404E96" w:rsidRDefault="00404E96" w:rsidP="00404E96">
      <w:pPr>
        <w:ind w:left="567"/>
        <w:rPr>
          <w:rFonts w:ascii="Arial" w:hAnsi="Arial" w:cs="Arial"/>
          <w:sz w:val="24"/>
          <w:szCs w:val="24"/>
        </w:rPr>
      </w:pPr>
      <w:r>
        <w:rPr>
          <w:rFonts w:ascii="Arial" w:hAnsi="Arial" w:cs="Arial"/>
          <w:sz w:val="24"/>
          <w:szCs w:val="24"/>
        </w:rPr>
        <w:t xml:space="preserve">Goldberg, </w:t>
      </w:r>
      <w:proofErr w:type="spellStart"/>
      <w:r>
        <w:rPr>
          <w:rFonts w:ascii="Arial" w:hAnsi="Arial" w:cs="Arial"/>
          <w:sz w:val="24"/>
          <w:szCs w:val="24"/>
        </w:rPr>
        <w:t>J.L</w:t>
      </w:r>
      <w:proofErr w:type="spellEnd"/>
      <w:r>
        <w:rPr>
          <w:rFonts w:ascii="Arial" w:hAnsi="Arial" w:cs="Arial"/>
          <w:sz w:val="24"/>
          <w:szCs w:val="24"/>
        </w:rPr>
        <w:t xml:space="preserve">. (2010) Cost-benefit analysis of road </w:t>
      </w:r>
      <w:r w:rsidR="0034744F">
        <w:rPr>
          <w:rFonts w:ascii="Arial" w:hAnsi="Arial" w:cs="Arial"/>
          <w:sz w:val="24"/>
          <w:szCs w:val="24"/>
        </w:rPr>
        <w:t>widening</w:t>
      </w:r>
      <w:r>
        <w:rPr>
          <w:rFonts w:ascii="Arial" w:hAnsi="Arial" w:cs="Arial"/>
          <w:sz w:val="24"/>
          <w:szCs w:val="24"/>
        </w:rPr>
        <w:t xml:space="preserve"> proposals with special reference to the </w:t>
      </w:r>
      <w:proofErr w:type="spellStart"/>
      <w:r>
        <w:rPr>
          <w:rFonts w:ascii="Arial" w:hAnsi="Arial" w:cs="Arial"/>
          <w:sz w:val="24"/>
          <w:szCs w:val="24"/>
        </w:rPr>
        <w:t>M2</w:t>
      </w:r>
      <w:proofErr w:type="spellEnd"/>
      <w:r>
        <w:rPr>
          <w:rFonts w:ascii="Arial" w:hAnsi="Arial" w:cs="Arial"/>
          <w:sz w:val="24"/>
          <w:szCs w:val="24"/>
        </w:rPr>
        <w:t xml:space="preserve"> Motorway in the Sydney region: a statistical </w:t>
      </w:r>
      <w:proofErr w:type="spellStart"/>
      <w:r>
        <w:rPr>
          <w:rFonts w:ascii="Arial" w:hAnsi="Arial" w:cs="Arial"/>
          <w:sz w:val="24"/>
          <w:szCs w:val="24"/>
        </w:rPr>
        <w:t>evaluation.</w:t>
      </w:r>
      <w:r w:rsidR="00E055D6">
        <w:rPr>
          <w:rFonts w:ascii="Arial" w:hAnsi="Arial" w:cs="Arial"/>
          <w:sz w:val="24"/>
          <w:szCs w:val="24"/>
        </w:rPr>
        <w:t>Proceedings</w:t>
      </w:r>
      <w:proofErr w:type="spellEnd"/>
      <w:r w:rsidR="00E055D6">
        <w:rPr>
          <w:rFonts w:ascii="Arial" w:hAnsi="Arial" w:cs="Arial"/>
          <w:sz w:val="24"/>
          <w:szCs w:val="24"/>
        </w:rPr>
        <w:t xml:space="preserve"> of the </w:t>
      </w:r>
      <w:r>
        <w:rPr>
          <w:rFonts w:ascii="Arial" w:hAnsi="Arial" w:cs="Arial"/>
          <w:sz w:val="24"/>
          <w:szCs w:val="24"/>
        </w:rPr>
        <w:t xml:space="preserve"> Austral</w:t>
      </w:r>
      <w:r w:rsidR="00E055D6">
        <w:rPr>
          <w:rFonts w:ascii="Arial" w:hAnsi="Arial" w:cs="Arial"/>
          <w:sz w:val="24"/>
          <w:szCs w:val="24"/>
        </w:rPr>
        <w:t>as</w:t>
      </w:r>
      <w:r>
        <w:rPr>
          <w:rFonts w:ascii="Arial" w:hAnsi="Arial" w:cs="Arial"/>
          <w:sz w:val="24"/>
          <w:szCs w:val="24"/>
        </w:rPr>
        <w:t>ian Transport Research Forum.</w:t>
      </w:r>
    </w:p>
    <w:p w:rsidR="00404E96" w:rsidRDefault="00404E96" w:rsidP="00404E96">
      <w:pPr>
        <w:ind w:left="567"/>
        <w:rPr>
          <w:bCs/>
          <w:sz w:val="28"/>
          <w:szCs w:val="28"/>
        </w:rPr>
      </w:pPr>
      <w:r>
        <w:rPr>
          <w:rFonts w:ascii="Arial" w:hAnsi="Arial" w:cs="Arial"/>
          <w:sz w:val="24"/>
          <w:szCs w:val="24"/>
        </w:rPr>
        <w:t xml:space="preserve">Goldberg, </w:t>
      </w:r>
      <w:proofErr w:type="spellStart"/>
      <w:r>
        <w:rPr>
          <w:rFonts w:ascii="Arial" w:hAnsi="Arial" w:cs="Arial"/>
          <w:sz w:val="24"/>
          <w:szCs w:val="24"/>
        </w:rPr>
        <w:t>J.L</w:t>
      </w:r>
      <w:proofErr w:type="spellEnd"/>
      <w:r>
        <w:rPr>
          <w:rFonts w:ascii="Arial" w:hAnsi="Arial" w:cs="Arial"/>
          <w:sz w:val="24"/>
          <w:szCs w:val="24"/>
        </w:rPr>
        <w:t xml:space="preserve">. (2012) </w:t>
      </w:r>
      <w:r w:rsidRPr="00F83CF9">
        <w:rPr>
          <w:rFonts w:ascii="Arial" w:hAnsi="Arial" w:cs="Arial"/>
          <w:bCs/>
          <w:sz w:val="24"/>
          <w:szCs w:val="24"/>
        </w:rPr>
        <w:t xml:space="preserve">The </w:t>
      </w:r>
      <w:proofErr w:type="spellStart"/>
      <w:r w:rsidRPr="00F83CF9">
        <w:rPr>
          <w:rFonts w:ascii="Arial" w:hAnsi="Arial" w:cs="Arial"/>
          <w:bCs/>
          <w:sz w:val="24"/>
          <w:szCs w:val="24"/>
        </w:rPr>
        <w:t>Brisconnections</w:t>
      </w:r>
      <w:proofErr w:type="spellEnd"/>
      <w:r w:rsidRPr="00F83CF9">
        <w:rPr>
          <w:rFonts w:ascii="Arial" w:hAnsi="Arial" w:cs="Arial"/>
          <w:bCs/>
          <w:sz w:val="24"/>
          <w:szCs w:val="24"/>
        </w:rPr>
        <w:t xml:space="preserve"> Airport Link: the inevitable financial collapse of a five billion dollar megaproject</w:t>
      </w:r>
      <w:r>
        <w:rPr>
          <w:b/>
          <w:bCs/>
          <w:sz w:val="28"/>
          <w:szCs w:val="28"/>
        </w:rPr>
        <w:t xml:space="preserve">. </w:t>
      </w:r>
      <w:r w:rsidRPr="00BD41E3">
        <w:rPr>
          <w:bCs/>
          <w:sz w:val="28"/>
          <w:szCs w:val="28"/>
        </w:rPr>
        <w:t>Submission to the Super System Review 2009 (Updated)</w:t>
      </w:r>
      <w:r w:rsidR="0034744F">
        <w:rPr>
          <w:bCs/>
          <w:sz w:val="28"/>
          <w:szCs w:val="28"/>
        </w:rPr>
        <w:t>. (</w:t>
      </w:r>
      <w:r>
        <w:rPr>
          <w:bCs/>
          <w:sz w:val="28"/>
          <w:szCs w:val="28"/>
        </w:rPr>
        <w:t>PDF copy attached-Appendix A)</w:t>
      </w:r>
    </w:p>
    <w:p w:rsidR="00446B14" w:rsidRDefault="00446B14" w:rsidP="007F6730">
      <w:pPr>
        <w:pStyle w:val="ListParagraph"/>
        <w:ind w:left="567"/>
        <w:rPr>
          <w:rFonts w:ascii="Arial" w:hAnsi="Arial" w:cs="Arial"/>
          <w:sz w:val="24"/>
          <w:szCs w:val="24"/>
        </w:rPr>
      </w:pPr>
      <w:r>
        <w:rPr>
          <w:bCs/>
          <w:sz w:val="28"/>
          <w:szCs w:val="28"/>
        </w:rPr>
        <w:t>Goldberg, J. L. (2013 )</w:t>
      </w:r>
      <w:r w:rsidRPr="00BD41E3">
        <w:rPr>
          <w:rFonts w:ascii="Arial" w:hAnsi="Arial" w:cs="Arial"/>
          <w:sz w:val="24"/>
          <w:szCs w:val="24"/>
        </w:rPr>
        <w:t xml:space="preserve"> </w:t>
      </w:r>
      <w:r w:rsidRPr="00F83CF9">
        <w:rPr>
          <w:rFonts w:ascii="Arial" w:hAnsi="Arial" w:cs="Arial"/>
          <w:sz w:val="24"/>
          <w:szCs w:val="24"/>
        </w:rPr>
        <w:t>The failure of the Australian Securities and Investments Commission to undertake an enforc</w:t>
      </w:r>
      <w:r w:rsidR="00404E96">
        <w:rPr>
          <w:rFonts w:ascii="Arial" w:hAnsi="Arial" w:cs="Arial"/>
          <w:sz w:val="24"/>
          <w:szCs w:val="24"/>
        </w:rPr>
        <w:t>ement action in a case of marke</w:t>
      </w:r>
      <w:r w:rsidRPr="00F83CF9">
        <w:rPr>
          <w:rFonts w:ascii="Arial" w:hAnsi="Arial" w:cs="Arial"/>
          <w:sz w:val="24"/>
          <w:szCs w:val="24"/>
        </w:rPr>
        <w:t xml:space="preserve">t rigging involving the securities of the </w:t>
      </w:r>
      <w:proofErr w:type="spellStart"/>
      <w:r w:rsidRPr="00F83CF9">
        <w:rPr>
          <w:rFonts w:ascii="Arial" w:hAnsi="Arial" w:cs="Arial"/>
          <w:sz w:val="24"/>
          <w:szCs w:val="24"/>
        </w:rPr>
        <w:t>Transurban</w:t>
      </w:r>
      <w:proofErr w:type="spellEnd"/>
      <w:r w:rsidRPr="00F83CF9">
        <w:rPr>
          <w:rFonts w:ascii="Arial" w:hAnsi="Arial" w:cs="Arial"/>
          <w:sz w:val="24"/>
          <w:szCs w:val="24"/>
        </w:rPr>
        <w:t xml:space="preserve"> Group. Submission to the Senate Inquiry into </w:t>
      </w:r>
      <w:proofErr w:type="spellStart"/>
      <w:r w:rsidRPr="00F83CF9">
        <w:rPr>
          <w:rFonts w:ascii="Arial" w:hAnsi="Arial" w:cs="Arial"/>
          <w:sz w:val="24"/>
          <w:szCs w:val="24"/>
        </w:rPr>
        <w:t>ASIC</w:t>
      </w:r>
      <w:proofErr w:type="spellEnd"/>
      <w:r w:rsidR="00EB308B">
        <w:rPr>
          <w:rFonts w:ascii="Arial" w:hAnsi="Arial" w:cs="Arial"/>
          <w:sz w:val="24"/>
          <w:szCs w:val="24"/>
        </w:rPr>
        <w:t xml:space="preserve"> </w:t>
      </w:r>
      <w:r w:rsidR="00322A05">
        <w:rPr>
          <w:rFonts w:ascii="Arial" w:hAnsi="Arial" w:cs="Arial"/>
          <w:sz w:val="24"/>
          <w:szCs w:val="24"/>
        </w:rPr>
        <w:t>(Submission</w:t>
      </w:r>
      <w:r w:rsidR="00EB308B">
        <w:rPr>
          <w:rFonts w:ascii="Arial" w:hAnsi="Arial" w:cs="Arial"/>
          <w:sz w:val="24"/>
          <w:szCs w:val="24"/>
        </w:rPr>
        <w:t xml:space="preserve"> No</w:t>
      </w:r>
      <w:r w:rsidR="00322A05">
        <w:rPr>
          <w:rFonts w:ascii="Arial" w:hAnsi="Arial" w:cs="Arial"/>
          <w:sz w:val="24"/>
          <w:szCs w:val="24"/>
        </w:rPr>
        <w:t>, 148). (</w:t>
      </w:r>
      <w:r w:rsidR="007F6730">
        <w:rPr>
          <w:rFonts w:ascii="Arial" w:hAnsi="Arial" w:cs="Arial"/>
          <w:sz w:val="24"/>
          <w:szCs w:val="24"/>
        </w:rPr>
        <w:t>PDF copy attached-Appendix B)</w:t>
      </w:r>
    </w:p>
    <w:p w:rsidR="00404E96" w:rsidRDefault="00404E96" w:rsidP="00404E96">
      <w:pPr>
        <w:ind w:left="567"/>
        <w:rPr>
          <w:rFonts w:ascii="Arial" w:hAnsi="Arial" w:cs="Arial"/>
          <w:sz w:val="24"/>
          <w:szCs w:val="24"/>
        </w:rPr>
      </w:pPr>
      <w:r>
        <w:rPr>
          <w:rFonts w:ascii="Arial" w:hAnsi="Arial" w:cs="Arial"/>
          <w:sz w:val="24"/>
          <w:szCs w:val="24"/>
        </w:rPr>
        <w:t xml:space="preserve">Goldberg, </w:t>
      </w:r>
      <w:proofErr w:type="spellStart"/>
      <w:r>
        <w:rPr>
          <w:rFonts w:ascii="Arial" w:hAnsi="Arial" w:cs="Arial"/>
          <w:sz w:val="24"/>
          <w:szCs w:val="24"/>
        </w:rPr>
        <w:t>J.L</w:t>
      </w:r>
      <w:proofErr w:type="spellEnd"/>
      <w:r>
        <w:rPr>
          <w:rFonts w:ascii="Arial" w:hAnsi="Arial" w:cs="Arial"/>
          <w:sz w:val="24"/>
          <w:szCs w:val="24"/>
        </w:rPr>
        <w:t>. (2014) An audit of the Deloitte cost benefit analysis for the Northern Sydney Freight Corridor. Submission</w:t>
      </w:r>
      <w:r w:rsidR="006B1F4A">
        <w:rPr>
          <w:rFonts w:ascii="Arial" w:hAnsi="Arial" w:cs="Arial"/>
          <w:sz w:val="24"/>
          <w:szCs w:val="24"/>
        </w:rPr>
        <w:t xml:space="preserve"> (084)</w:t>
      </w:r>
      <w:r>
        <w:rPr>
          <w:rFonts w:ascii="Arial" w:hAnsi="Arial" w:cs="Arial"/>
          <w:sz w:val="24"/>
          <w:szCs w:val="24"/>
        </w:rPr>
        <w:t xml:space="preserve"> to the Productivity Commission</w:t>
      </w:r>
    </w:p>
    <w:p w:rsidR="00446B14" w:rsidRDefault="00446B14" w:rsidP="007F6730">
      <w:pPr>
        <w:ind w:left="567"/>
        <w:rPr>
          <w:rFonts w:ascii="Arial" w:hAnsi="Arial" w:cs="Arial"/>
          <w:sz w:val="24"/>
          <w:szCs w:val="24"/>
        </w:rPr>
      </w:pPr>
      <w:proofErr w:type="spellStart"/>
      <w:r>
        <w:rPr>
          <w:rFonts w:ascii="Arial" w:hAnsi="Arial" w:cs="Arial"/>
          <w:sz w:val="24"/>
          <w:szCs w:val="24"/>
        </w:rPr>
        <w:t>Haughwout</w:t>
      </w:r>
      <w:proofErr w:type="spellEnd"/>
      <w:r>
        <w:rPr>
          <w:rFonts w:ascii="Arial" w:hAnsi="Arial" w:cs="Arial"/>
          <w:sz w:val="24"/>
          <w:szCs w:val="24"/>
        </w:rPr>
        <w:t>, A. F</w:t>
      </w:r>
      <w:r w:rsidR="0034744F">
        <w:rPr>
          <w:rFonts w:ascii="Arial" w:hAnsi="Arial" w:cs="Arial"/>
          <w:sz w:val="24"/>
          <w:szCs w:val="24"/>
        </w:rPr>
        <w:t>. (</w:t>
      </w:r>
      <w:r>
        <w:rPr>
          <w:rFonts w:ascii="Arial" w:hAnsi="Arial" w:cs="Arial"/>
          <w:sz w:val="24"/>
          <w:szCs w:val="24"/>
        </w:rPr>
        <w:t>2000) The paradox of infrastructure investment: can a productive good reduce productivity? Brookings Institute, Summer.</w:t>
      </w:r>
      <w:r w:rsidRPr="00D43439">
        <w:rPr>
          <w:rFonts w:ascii="Arial" w:hAnsi="Arial" w:cs="Arial"/>
          <w:sz w:val="24"/>
          <w:szCs w:val="24"/>
        </w:rPr>
        <w:t xml:space="preserve"> </w:t>
      </w:r>
    </w:p>
    <w:p w:rsidR="00446B14" w:rsidRPr="004008EE" w:rsidRDefault="00446B14" w:rsidP="007F6730">
      <w:pPr>
        <w:ind w:left="567"/>
        <w:rPr>
          <w:rFonts w:ascii="Arial" w:hAnsi="Arial" w:cs="Arial"/>
          <w:sz w:val="24"/>
          <w:szCs w:val="24"/>
        </w:rPr>
      </w:pPr>
      <w:r>
        <w:rPr>
          <w:rFonts w:ascii="Arial" w:hAnsi="Arial" w:cs="Arial"/>
          <w:sz w:val="24"/>
          <w:szCs w:val="24"/>
        </w:rPr>
        <w:t xml:space="preserve">Hills </w:t>
      </w:r>
      <w:proofErr w:type="spellStart"/>
      <w:r>
        <w:rPr>
          <w:rFonts w:ascii="Arial" w:hAnsi="Arial" w:cs="Arial"/>
          <w:sz w:val="24"/>
          <w:szCs w:val="24"/>
        </w:rPr>
        <w:t>M2</w:t>
      </w:r>
      <w:proofErr w:type="spellEnd"/>
      <w:r>
        <w:rPr>
          <w:rFonts w:ascii="Arial" w:hAnsi="Arial" w:cs="Arial"/>
          <w:sz w:val="24"/>
          <w:szCs w:val="24"/>
        </w:rPr>
        <w:t xml:space="preserve"> (2010) </w:t>
      </w:r>
      <w:proofErr w:type="spellStart"/>
      <w:r>
        <w:rPr>
          <w:rFonts w:ascii="Arial" w:hAnsi="Arial" w:cs="Arial"/>
          <w:sz w:val="24"/>
          <w:szCs w:val="24"/>
        </w:rPr>
        <w:t>M2</w:t>
      </w:r>
      <w:proofErr w:type="spellEnd"/>
      <w:r>
        <w:rPr>
          <w:rFonts w:ascii="Arial" w:hAnsi="Arial" w:cs="Arial"/>
          <w:sz w:val="24"/>
          <w:szCs w:val="24"/>
        </w:rPr>
        <w:t xml:space="preserve"> Upgrade. </w:t>
      </w:r>
      <w:r w:rsidRPr="004008EE">
        <w:rPr>
          <w:rFonts w:ascii="Arial" w:hAnsi="Arial" w:cs="Arial"/>
          <w:sz w:val="24"/>
          <w:szCs w:val="24"/>
        </w:rPr>
        <w:t>Environmental Assessment. Vol</w:t>
      </w:r>
      <w:r w:rsidR="001545A3">
        <w:rPr>
          <w:rFonts w:ascii="Arial" w:hAnsi="Arial" w:cs="Arial"/>
          <w:sz w:val="24"/>
          <w:szCs w:val="24"/>
        </w:rPr>
        <w:t>. 1.</w:t>
      </w:r>
      <w:r w:rsidRPr="004008EE">
        <w:rPr>
          <w:rFonts w:ascii="Arial" w:hAnsi="Arial" w:cs="Arial"/>
          <w:sz w:val="24"/>
          <w:szCs w:val="24"/>
        </w:rPr>
        <w:t xml:space="preserve"> Appendix E.</w:t>
      </w:r>
    </w:p>
    <w:p w:rsidR="00446B14" w:rsidRDefault="00446B14" w:rsidP="007F6730">
      <w:pPr>
        <w:pStyle w:val="ListParagraph"/>
        <w:ind w:left="567"/>
        <w:rPr>
          <w:rFonts w:ascii="Arial" w:hAnsi="Arial" w:cs="Arial"/>
          <w:sz w:val="24"/>
          <w:szCs w:val="24"/>
        </w:rPr>
      </w:pPr>
      <w:proofErr w:type="spellStart"/>
      <w:r>
        <w:rPr>
          <w:rFonts w:ascii="Arial" w:hAnsi="Arial" w:cs="Arial"/>
          <w:sz w:val="24"/>
          <w:szCs w:val="24"/>
        </w:rPr>
        <w:t>Litman</w:t>
      </w:r>
      <w:proofErr w:type="spellEnd"/>
      <w:r>
        <w:rPr>
          <w:rFonts w:ascii="Arial" w:hAnsi="Arial" w:cs="Arial"/>
          <w:sz w:val="24"/>
          <w:szCs w:val="24"/>
        </w:rPr>
        <w:t>, T. (2009) Generated traffic and induced travel-Implic</w:t>
      </w:r>
      <w:r w:rsidR="00322A05">
        <w:rPr>
          <w:rFonts w:ascii="Arial" w:hAnsi="Arial" w:cs="Arial"/>
          <w:sz w:val="24"/>
          <w:szCs w:val="24"/>
        </w:rPr>
        <w:t>ations for transport planning.</w:t>
      </w:r>
      <w:r>
        <w:rPr>
          <w:rFonts w:ascii="Arial" w:hAnsi="Arial" w:cs="Arial"/>
          <w:sz w:val="24"/>
          <w:szCs w:val="24"/>
        </w:rPr>
        <w:t xml:space="preserve"> December. Victoria Transport Policy Institute (</w:t>
      </w:r>
      <w:proofErr w:type="spellStart"/>
      <w:r w:rsidR="00860FF2">
        <w:fldChar w:fldCharType="begin"/>
      </w:r>
      <w:r w:rsidR="00860FF2">
        <w:instrText xml:space="preserve"> HYPERLINK "http://www.vtpi.org" </w:instrText>
      </w:r>
      <w:r w:rsidR="00860FF2">
        <w:fldChar w:fldCharType="separate"/>
      </w:r>
      <w:r w:rsidRPr="0022508A">
        <w:rPr>
          <w:rStyle w:val="Hyperlink"/>
          <w:rFonts w:ascii="Arial" w:hAnsi="Arial" w:cs="Arial"/>
          <w:sz w:val="24"/>
          <w:szCs w:val="24"/>
        </w:rPr>
        <w:t>www.vtpi.org</w:t>
      </w:r>
      <w:proofErr w:type="spellEnd"/>
      <w:r w:rsidR="00860FF2">
        <w:rPr>
          <w:rStyle w:val="Hyperlink"/>
          <w:rFonts w:ascii="Arial" w:hAnsi="Arial" w:cs="Arial"/>
          <w:sz w:val="24"/>
          <w:szCs w:val="24"/>
        </w:rPr>
        <w:fldChar w:fldCharType="end"/>
      </w:r>
      <w:r>
        <w:rPr>
          <w:rFonts w:ascii="Arial" w:hAnsi="Arial" w:cs="Arial"/>
          <w:sz w:val="24"/>
          <w:szCs w:val="24"/>
        </w:rPr>
        <w:t>)</w:t>
      </w:r>
      <w:r w:rsidR="00676EB6">
        <w:rPr>
          <w:rFonts w:ascii="Arial" w:hAnsi="Arial" w:cs="Arial"/>
          <w:sz w:val="24"/>
          <w:szCs w:val="24"/>
        </w:rPr>
        <w:t>.</w:t>
      </w:r>
    </w:p>
    <w:p w:rsidR="00676EB6" w:rsidRDefault="00676EB6" w:rsidP="007F6730">
      <w:pPr>
        <w:pStyle w:val="ListParagraph"/>
        <w:ind w:left="567"/>
        <w:rPr>
          <w:rFonts w:ascii="Arial" w:hAnsi="Arial" w:cs="Arial"/>
          <w:sz w:val="24"/>
          <w:szCs w:val="24"/>
        </w:rPr>
      </w:pPr>
    </w:p>
    <w:p w:rsidR="00446B14" w:rsidRDefault="00446B14" w:rsidP="007F6730">
      <w:pPr>
        <w:pStyle w:val="ListParagraph"/>
        <w:ind w:left="567"/>
        <w:rPr>
          <w:rFonts w:ascii="Arial" w:hAnsi="Arial" w:cs="Arial"/>
          <w:sz w:val="24"/>
          <w:szCs w:val="24"/>
        </w:rPr>
      </w:pPr>
      <w:r>
        <w:rPr>
          <w:rFonts w:ascii="Arial" w:hAnsi="Arial" w:cs="Arial"/>
          <w:sz w:val="24"/>
          <w:szCs w:val="24"/>
        </w:rPr>
        <w:t>Mackie, P</w:t>
      </w:r>
      <w:r w:rsidR="00877648">
        <w:rPr>
          <w:rFonts w:ascii="Arial" w:hAnsi="Arial" w:cs="Arial"/>
          <w:sz w:val="24"/>
          <w:szCs w:val="24"/>
        </w:rPr>
        <w:t xml:space="preserve"> </w:t>
      </w:r>
      <w:r w:rsidR="007F6730">
        <w:rPr>
          <w:rFonts w:ascii="Arial" w:hAnsi="Arial" w:cs="Arial"/>
          <w:sz w:val="24"/>
          <w:szCs w:val="24"/>
        </w:rPr>
        <w:t>(</w:t>
      </w:r>
      <w:r w:rsidR="00877648">
        <w:rPr>
          <w:rFonts w:ascii="Arial" w:hAnsi="Arial" w:cs="Arial"/>
          <w:sz w:val="24"/>
          <w:szCs w:val="24"/>
        </w:rPr>
        <w:t>1996)</w:t>
      </w:r>
      <w:r>
        <w:rPr>
          <w:rFonts w:ascii="Arial" w:hAnsi="Arial" w:cs="Arial"/>
          <w:sz w:val="24"/>
          <w:szCs w:val="24"/>
        </w:rPr>
        <w:t xml:space="preserve"> Induced traffic and economic appraisal. Transportation. </w:t>
      </w:r>
      <w:proofErr w:type="spellStart"/>
      <w:r>
        <w:rPr>
          <w:rFonts w:ascii="Arial" w:hAnsi="Arial" w:cs="Arial"/>
          <w:sz w:val="24"/>
          <w:szCs w:val="24"/>
        </w:rPr>
        <w:t>Vol.23</w:t>
      </w:r>
      <w:proofErr w:type="spellEnd"/>
      <w:r>
        <w:rPr>
          <w:rFonts w:ascii="Arial" w:hAnsi="Arial" w:cs="Arial"/>
          <w:sz w:val="24"/>
          <w:szCs w:val="24"/>
        </w:rPr>
        <w:t>, pages 102-119.</w:t>
      </w:r>
    </w:p>
    <w:p w:rsidR="00243C23" w:rsidRDefault="00243C23" w:rsidP="007F6730">
      <w:pPr>
        <w:pStyle w:val="ListParagraph"/>
        <w:ind w:left="567"/>
        <w:rPr>
          <w:rFonts w:ascii="Arial" w:hAnsi="Arial" w:cs="Arial"/>
          <w:sz w:val="24"/>
          <w:szCs w:val="24"/>
        </w:rPr>
      </w:pPr>
    </w:p>
    <w:p w:rsidR="00243C23" w:rsidRPr="00F83CF9" w:rsidRDefault="00243C23" w:rsidP="007F6730">
      <w:pPr>
        <w:pStyle w:val="ListParagraph"/>
        <w:ind w:left="567"/>
        <w:rPr>
          <w:rFonts w:ascii="Arial" w:hAnsi="Arial" w:cs="Arial"/>
          <w:b/>
          <w:sz w:val="24"/>
          <w:szCs w:val="24"/>
        </w:rPr>
      </w:pPr>
      <w:r>
        <w:rPr>
          <w:rFonts w:ascii="Arial" w:hAnsi="Arial" w:cs="Arial"/>
          <w:sz w:val="24"/>
          <w:szCs w:val="24"/>
        </w:rPr>
        <w:t xml:space="preserve">Masson, Wilson, </w:t>
      </w:r>
      <w:proofErr w:type="spellStart"/>
      <w:r>
        <w:rPr>
          <w:rFonts w:ascii="Arial" w:hAnsi="Arial" w:cs="Arial"/>
          <w:sz w:val="24"/>
          <w:szCs w:val="24"/>
        </w:rPr>
        <w:t>Twiney</w:t>
      </w:r>
      <w:proofErr w:type="spellEnd"/>
      <w:r>
        <w:rPr>
          <w:rFonts w:ascii="Arial" w:hAnsi="Arial" w:cs="Arial"/>
          <w:sz w:val="24"/>
          <w:szCs w:val="24"/>
        </w:rPr>
        <w:t xml:space="preserve"> (2000) Cross City Tunnel. Environmental Impact Statement. June. Prepared for the NSW Roads and Traffic Authority. Technical paper No. 8. Traffic and Transport.</w:t>
      </w:r>
    </w:p>
    <w:p w:rsidR="00446B14" w:rsidRDefault="00446B14" w:rsidP="007F6730">
      <w:pPr>
        <w:ind w:left="567"/>
        <w:rPr>
          <w:rFonts w:ascii="Arial" w:hAnsi="Arial" w:cs="Arial"/>
          <w:sz w:val="24"/>
          <w:szCs w:val="24"/>
        </w:rPr>
      </w:pPr>
      <w:r>
        <w:rPr>
          <w:rFonts w:ascii="Arial" w:hAnsi="Arial" w:cs="Arial"/>
          <w:sz w:val="24"/>
          <w:szCs w:val="24"/>
        </w:rPr>
        <w:t xml:space="preserve">National Infrastructure Co-ordinator (2012) Report to Minister for Infrastructure and Transport on private financing options for upgrades in Sydney. </w:t>
      </w:r>
      <w:proofErr w:type="spellStart"/>
      <w:r>
        <w:rPr>
          <w:rFonts w:ascii="Arial" w:hAnsi="Arial" w:cs="Arial"/>
          <w:sz w:val="24"/>
          <w:szCs w:val="24"/>
        </w:rPr>
        <w:t>M5</w:t>
      </w:r>
      <w:proofErr w:type="spellEnd"/>
      <w:r>
        <w:rPr>
          <w:rFonts w:ascii="Arial" w:hAnsi="Arial" w:cs="Arial"/>
          <w:sz w:val="24"/>
          <w:szCs w:val="24"/>
        </w:rPr>
        <w:t xml:space="preserve"> and </w:t>
      </w:r>
      <w:proofErr w:type="spellStart"/>
      <w:r>
        <w:rPr>
          <w:rFonts w:ascii="Arial" w:hAnsi="Arial" w:cs="Arial"/>
          <w:sz w:val="24"/>
          <w:szCs w:val="24"/>
        </w:rPr>
        <w:t>F3-M2</w:t>
      </w:r>
      <w:proofErr w:type="spellEnd"/>
      <w:r>
        <w:rPr>
          <w:rFonts w:ascii="Arial" w:hAnsi="Arial" w:cs="Arial"/>
          <w:sz w:val="24"/>
          <w:szCs w:val="24"/>
        </w:rPr>
        <w:t xml:space="preserve"> corridors- March.</w:t>
      </w:r>
    </w:p>
    <w:p w:rsidR="007F6730" w:rsidRDefault="007F6730" w:rsidP="007F6730">
      <w:pPr>
        <w:ind w:left="567"/>
        <w:rPr>
          <w:rFonts w:ascii="Arial" w:hAnsi="Arial" w:cs="Arial"/>
          <w:sz w:val="24"/>
          <w:szCs w:val="24"/>
        </w:rPr>
      </w:pPr>
      <w:r>
        <w:rPr>
          <w:rFonts w:ascii="Arial" w:hAnsi="Arial" w:cs="Arial"/>
          <w:sz w:val="24"/>
          <w:szCs w:val="24"/>
        </w:rPr>
        <w:lastRenderedPageBreak/>
        <w:t xml:space="preserve">NSW Government (2013) </w:t>
      </w:r>
      <w:proofErr w:type="spellStart"/>
      <w:r w:rsidR="00B65E55">
        <w:rPr>
          <w:rFonts w:ascii="Arial" w:hAnsi="Arial" w:cs="Arial"/>
          <w:sz w:val="24"/>
          <w:szCs w:val="24"/>
        </w:rPr>
        <w:t>WestConnex</w:t>
      </w:r>
      <w:proofErr w:type="spellEnd"/>
      <w:r>
        <w:rPr>
          <w:rFonts w:ascii="Arial" w:hAnsi="Arial" w:cs="Arial"/>
          <w:sz w:val="24"/>
          <w:szCs w:val="24"/>
        </w:rPr>
        <w:t>-Business case.</w:t>
      </w:r>
    </w:p>
    <w:p w:rsidR="00446B14" w:rsidRDefault="00446B14" w:rsidP="007F6730">
      <w:pPr>
        <w:ind w:left="567"/>
        <w:rPr>
          <w:rFonts w:ascii="Arial" w:hAnsi="Arial" w:cs="Arial"/>
          <w:sz w:val="24"/>
          <w:szCs w:val="24"/>
        </w:rPr>
      </w:pPr>
      <w:r>
        <w:rPr>
          <w:rFonts w:ascii="Arial" w:hAnsi="Arial" w:cs="Arial"/>
          <w:sz w:val="24"/>
          <w:szCs w:val="24"/>
        </w:rPr>
        <w:t>Sinclai</w:t>
      </w:r>
      <w:r w:rsidR="007F6730">
        <w:rPr>
          <w:rFonts w:ascii="Arial" w:hAnsi="Arial" w:cs="Arial"/>
          <w:sz w:val="24"/>
          <w:szCs w:val="24"/>
        </w:rPr>
        <w:t>r</w:t>
      </w:r>
      <w:r>
        <w:rPr>
          <w:rFonts w:ascii="Arial" w:hAnsi="Arial" w:cs="Arial"/>
          <w:sz w:val="24"/>
          <w:szCs w:val="24"/>
        </w:rPr>
        <w:t xml:space="preserve"> Knight </w:t>
      </w:r>
      <w:proofErr w:type="spellStart"/>
      <w:r>
        <w:rPr>
          <w:rFonts w:ascii="Arial" w:hAnsi="Arial" w:cs="Arial"/>
          <w:sz w:val="24"/>
          <w:szCs w:val="24"/>
        </w:rPr>
        <w:t>Merz</w:t>
      </w:r>
      <w:proofErr w:type="spellEnd"/>
      <w:r>
        <w:rPr>
          <w:rFonts w:ascii="Arial" w:hAnsi="Arial" w:cs="Arial"/>
          <w:sz w:val="24"/>
          <w:szCs w:val="24"/>
        </w:rPr>
        <w:t xml:space="preserve"> (2004) </w:t>
      </w:r>
      <w:proofErr w:type="spellStart"/>
      <w:r>
        <w:rPr>
          <w:rFonts w:ascii="Arial" w:hAnsi="Arial" w:cs="Arial"/>
          <w:sz w:val="24"/>
          <w:szCs w:val="24"/>
        </w:rPr>
        <w:t>F3</w:t>
      </w:r>
      <w:proofErr w:type="spellEnd"/>
      <w:r>
        <w:rPr>
          <w:rFonts w:ascii="Arial" w:hAnsi="Arial" w:cs="Arial"/>
          <w:sz w:val="24"/>
          <w:szCs w:val="24"/>
        </w:rPr>
        <w:t xml:space="preserve"> to </w:t>
      </w:r>
      <w:proofErr w:type="spellStart"/>
      <w:r>
        <w:rPr>
          <w:rFonts w:ascii="Arial" w:hAnsi="Arial" w:cs="Arial"/>
          <w:sz w:val="24"/>
          <w:szCs w:val="24"/>
        </w:rPr>
        <w:t>M2</w:t>
      </w:r>
      <w:proofErr w:type="spellEnd"/>
      <w:r>
        <w:rPr>
          <w:rFonts w:ascii="Arial" w:hAnsi="Arial" w:cs="Arial"/>
          <w:sz w:val="24"/>
          <w:szCs w:val="24"/>
        </w:rPr>
        <w:t xml:space="preserve"> Orbital link study</w:t>
      </w:r>
    </w:p>
    <w:p w:rsidR="00674E95" w:rsidRPr="00C349E3" w:rsidRDefault="00674E95" w:rsidP="007F6730">
      <w:pPr>
        <w:ind w:left="567"/>
        <w:rPr>
          <w:rFonts w:ascii="Arial" w:hAnsi="Arial" w:cs="Arial"/>
          <w:sz w:val="28"/>
          <w:szCs w:val="28"/>
        </w:rPr>
      </w:pPr>
    </w:p>
    <w:p w:rsidR="00674E95" w:rsidRDefault="00EB308B" w:rsidP="007F6730">
      <w:pPr>
        <w:ind w:left="567"/>
        <w:rPr>
          <w:rFonts w:ascii="Arial" w:hAnsi="Arial" w:cs="Arial"/>
          <w:b/>
          <w:sz w:val="28"/>
          <w:szCs w:val="28"/>
          <w:u w:val="single"/>
        </w:rPr>
      </w:pPr>
      <w:proofErr w:type="spellStart"/>
      <w:r w:rsidRPr="00C349E3">
        <w:rPr>
          <w:rFonts w:ascii="Arial" w:hAnsi="Arial" w:cs="Arial"/>
          <w:b/>
          <w:sz w:val="28"/>
          <w:szCs w:val="28"/>
          <w:u w:val="single"/>
        </w:rPr>
        <w:t>Appendices</w:t>
      </w:r>
      <w:proofErr w:type="spellEnd"/>
    </w:p>
    <w:p w:rsidR="00C349E3" w:rsidRPr="00C349E3" w:rsidRDefault="00C349E3" w:rsidP="007F6730">
      <w:pPr>
        <w:ind w:left="567"/>
        <w:rPr>
          <w:rFonts w:ascii="Arial" w:hAnsi="Arial" w:cs="Arial"/>
          <w:b/>
          <w:sz w:val="28"/>
          <w:szCs w:val="28"/>
          <w:u w:val="single"/>
        </w:rPr>
      </w:pPr>
    </w:p>
    <w:p w:rsidR="00BF2B4D" w:rsidRPr="00C349E3" w:rsidRDefault="00C349E3" w:rsidP="00674E95">
      <w:pPr>
        <w:ind w:left="567"/>
        <w:rPr>
          <w:rFonts w:ascii="Arial" w:hAnsi="Arial" w:cs="Arial"/>
          <w:b/>
          <w:sz w:val="28"/>
          <w:szCs w:val="28"/>
          <w:u w:val="single"/>
        </w:rPr>
      </w:pPr>
      <w:r w:rsidRPr="00C349E3">
        <w:rPr>
          <w:rFonts w:ascii="Arial" w:hAnsi="Arial" w:cs="Arial"/>
          <w:b/>
          <w:sz w:val="28"/>
          <w:szCs w:val="28"/>
          <w:u w:val="single"/>
        </w:rPr>
        <w:t>Appendix A</w:t>
      </w:r>
    </w:p>
    <w:p w:rsidR="00674E95" w:rsidRDefault="00674E95" w:rsidP="00674E95">
      <w:pPr>
        <w:ind w:left="567"/>
        <w:rPr>
          <w:rFonts w:ascii="Arial" w:hAnsi="Arial" w:cs="Arial"/>
          <w:bCs/>
          <w:sz w:val="28"/>
          <w:szCs w:val="28"/>
        </w:rPr>
      </w:pPr>
      <w:r w:rsidRPr="00C349E3">
        <w:rPr>
          <w:rFonts w:ascii="Arial" w:hAnsi="Arial" w:cs="Arial"/>
          <w:sz w:val="28"/>
          <w:szCs w:val="28"/>
        </w:rPr>
        <w:t xml:space="preserve">Goldberg, </w:t>
      </w:r>
      <w:proofErr w:type="spellStart"/>
      <w:r w:rsidRPr="00C349E3">
        <w:rPr>
          <w:rFonts w:ascii="Arial" w:hAnsi="Arial" w:cs="Arial"/>
          <w:sz w:val="28"/>
          <w:szCs w:val="28"/>
        </w:rPr>
        <w:t>J.L</w:t>
      </w:r>
      <w:proofErr w:type="spellEnd"/>
      <w:r w:rsidRPr="00C349E3">
        <w:rPr>
          <w:rFonts w:ascii="Arial" w:hAnsi="Arial" w:cs="Arial"/>
          <w:sz w:val="28"/>
          <w:szCs w:val="28"/>
        </w:rPr>
        <w:t xml:space="preserve">. (2012) </w:t>
      </w:r>
      <w:r w:rsidRPr="00C349E3">
        <w:rPr>
          <w:rFonts w:ascii="Arial" w:hAnsi="Arial" w:cs="Arial"/>
          <w:bCs/>
          <w:sz w:val="28"/>
          <w:szCs w:val="28"/>
        </w:rPr>
        <w:t xml:space="preserve">The </w:t>
      </w:r>
      <w:proofErr w:type="spellStart"/>
      <w:r w:rsidRPr="00C349E3">
        <w:rPr>
          <w:rFonts w:ascii="Arial" w:hAnsi="Arial" w:cs="Arial"/>
          <w:bCs/>
          <w:sz w:val="28"/>
          <w:szCs w:val="28"/>
        </w:rPr>
        <w:t>Brisconnections</w:t>
      </w:r>
      <w:proofErr w:type="spellEnd"/>
      <w:r w:rsidRPr="00C349E3">
        <w:rPr>
          <w:rFonts w:ascii="Arial" w:hAnsi="Arial" w:cs="Arial"/>
          <w:bCs/>
          <w:sz w:val="28"/>
          <w:szCs w:val="28"/>
        </w:rPr>
        <w:t xml:space="preserve"> Airport Link: the inevitable financial collapse of a five billion dollar megaproject</w:t>
      </w:r>
      <w:r w:rsidRPr="00C349E3">
        <w:rPr>
          <w:rFonts w:ascii="Arial" w:hAnsi="Arial" w:cs="Arial"/>
          <w:b/>
          <w:bCs/>
          <w:sz w:val="28"/>
          <w:szCs w:val="28"/>
        </w:rPr>
        <w:t xml:space="preserve">. </w:t>
      </w:r>
      <w:r w:rsidRPr="00C349E3">
        <w:rPr>
          <w:rFonts w:ascii="Arial" w:hAnsi="Arial" w:cs="Arial"/>
          <w:bCs/>
          <w:sz w:val="28"/>
          <w:szCs w:val="28"/>
        </w:rPr>
        <w:t>Submission to the Super System Review 2009 (Updated</w:t>
      </w:r>
      <w:r w:rsidR="003265F9">
        <w:rPr>
          <w:rFonts w:ascii="Arial" w:hAnsi="Arial" w:cs="Arial"/>
          <w:bCs/>
          <w:sz w:val="28"/>
          <w:szCs w:val="28"/>
        </w:rPr>
        <w:t>, 2012</w:t>
      </w:r>
      <w:r w:rsidRPr="00C349E3">
        <w:rPr>
          <w:rFonts w:ascii="Arial" w:hAnsi="Arial" w:cs="Arial"/>
          <w:bCs/>
          <w:sz w:val="28"/>
          <w:szCs w:val="28"/>
        </w:rPr>
        <w:t>)</w:t>
      </w:r>
      <w:r w:rsidR="003A3EA4" w:rsidRPr="00C349E3">
        <w:rPr>
          <w:rFonts w:ascii="Arial" w:hAnsi="Arial" w:cs="Arial"/>
          <w:bCs/>
          <w:sz w:val="28"/>
          <w:szCs w:val="28"/>
        </w:rPr>
        <w:t>. (</w:t>
      </w:r>
      <w:r w:rsidRPr="00C349E3">
        <w:rPr>
          <w:rFonts w:ascii="Arial" w:hAnsi="Arial" w:cs="Arial"/>
          <w:bCs/>
          <w:sz w:val="28"/>
          <w:szCs w:val="28"/>
        </w:rPr>
        <w:t>PDF copy attached</w:t>
      </w:r>
      <w:r w:rsidR="00C349E3" w:rsidRPr="00C349E3">
        <w:rPr>
          <w:rFonts w:ascii="Arial" w:hAnsi="Arial" w:cs="Arial"/>
          <w:bCs/>
          <w:sz w:val="28"/>
          <w:szCs w:val="28"/>
        </w:rPr>
        <w:t>)</w:t>
      </w:r>
      <w:r w:rsidR="00C349E3">
        <w:rPr>
          <w:rFonts w:ascii="Arial" w:hAnsi="Arial" w:cs="Arial"/>
          <w:bCs/>
          <w:sz w:val="28"/>
          <w:szCs w:val="28"/>
        </w:rPr>
        <w:t>.</w:t>
      </w:r>
    </w:p>
    <w:p w:rsidR="00C349E3" w:rsidRPr="00C349E3" w:rsidRDefault="00C349E3" w:rsidP="00674E95">
      <w:pPr>
        <w:ind w:left="567"/>
        <w:rPr>
          <w:rFonts w:ascii="Arial" w:hAnsi="Arial" w:cs="Arial"/>
          <w:bCs/>
          <w:sz w:val="28"/>
          <w:szCs w:val="28"/>
        </w:rPr>
      </w:pPr>
    </w:p>
    <w:p w:rsidR="00BF2B4D" w:rsidRPr="00C349E3" w:rsidRDefault="00C349E3" w:rsidP="00674E95">
      <w:pPr>
        <w:pStyle w:val="ListParagraph"/>
        <w:ind w:left="567"/>
        <w:rPr>
          <w:rFonts w:ascii="Arial" w:hAnsi="Arial" w:cs="Arial"/>
          <w:b/>
          <w:bCs/>
          <w:sz w:val="28"/>
          <w:szCs w:val="28"/>
          <w:u w:val="single"/>
        </w:rPr>
      </w:pPr>
      <w:r w:rsidRPr="00C349E3">
        <w:rPr>
          <w:rFonts w:ascii="Arial" w:hAnsi="Arial" w:cs="Arial"/>
          <w:b/>
          <w:bCs/>
          <w:sz w:val="28"/>
          <w:szCs w:val="28"/>
          <w:u w:val="single"/>
        </w:rPr>
        <w:t>Appendix B</w:t>
      </w:r>
    </w:p>
    <w:p w:rsidR="00C349E3" w:rsidRDefault="00674E95" w:rsidP="00674E95">
      <w:pPr>
        <w:pStyle w:val="ListParagraph"/>
        <w:ind w:left="567"/>
        <w:rPr>
          <w:rFonts w:ascii="Arial" w:hAnsi="Arial" w:cs="Arial"/>
          <w:sz w:val="28"/>
          <w:szCs w:val="28"/>
        </w:rPr>
      </w:pPr>
      <w:r w:rsidRPr="00BF2B4D">
        <w:rPr>
          <w:rFonts w:ascii="Arial" w:hAnsi="Arial" w:cs="Arial"/>
          <w:bCs/>
          <w:sz w:val="28"/>
          <w:szCs w:val="28"/>
        </w:rPr>
        <w:t>Goldberg, J. L. (2013 )</w:t>
      </w:r>
      <w:r w:rsidRPr="00BF2B4D">
        <w:rPr>
          <w:rFonts w:ascii="Arial" w:hAnsi="Arial" w:cs="Arial"/>
          <w:sz w:val="28"/>
          <w:szCs w:val="28"/>
        </w:rPr>
        <w:t xml:space="preserve"> The failure of the Australian Securities and Investments Commission to undertake an enforcement action in a case of </w:t>
      </w:r>
      <w:r w:rsidR="0034744F" w:rsidRPr="00BF2B4D">
        <w:rPr>
          <w:rFonts w:ascii="Arial" w:hAnsi="Arial" w:cs="Arial"/>
          <w:sz w:val="28"/>
          <w:szCs w:val="28"/>
        </w:rPr>
        <w:t>market</w:t>
      </w:r>
      <w:r w:rsidRPr="00BF2B4D">
        <w:rPr>
          <w:rFonts w:ascii="Arial" w:hAnsi="Arial" w:cs="Arial"/>
          <w:sz w:val="28"/>
          <w:szCs w:val="28"/>
        </w:rPr>
        <w:t xml:space="preserve"> rigging involving the securities of the </w:t>
      </w:r>
      <w:proofErr w:type="spellStart"/>
      <w:r w:rsidRPr="00BF2B4D">
        <w:rPr>
          <w:rFonts w:ascii="Arial" w:hAnsi="Arial" w:cs="Arial"/>
          <w:sz w:val="28"/>
          <w:szCs w:val="28"/>
        </w:rPr>
        <w:t>Transurban</w:t>
      </w:r>
      <w:proofErr w:type="spellEnd"/>
      <w:r w:rsidRPr="00BF2B4D">
        <w:rPr>
          <w:rFonts w:ascii="Arial" w:hAnsi="Arial" w:cs="Arial"/>
          <w:sz w:val="28"/>
          <w:szCs w:val="28"/>
        </w:rPr>
        <w:t xml:space="preserve"> Group. Submission to</w:t>
      </w:r>
      <w:r w:rsidR="00C349E3">
        <w:rPr>
          <w:rFonts w:ascii="Arial" w:hAnsi="Arial" w:cs="Arial"/>
          <w:sz w:val="28"/>
          <w:szCs w:val="28"/>
        </w:rPr>
        <w:t xml:space="preserve"> the Senate Inquiry into </w:t>
      </w:r>
      <w:proofErr w:type="spellStart"/>
      <w:r w:rsidR="00C349E3">
        <w:rPr>
          <w:rFonts w:ascii="Arial" w:hAnsi="Arial" w:cs="Arial"/>
          <w:sz w:val="28"/>
          <w:szCs w:val="28"/>
        </w:rPr>
        <w:t>ASIC</w:t>
      </w:r>
      <w:proofErr w:type="spellEnd"/>
      <w:r w:rsidR="00C349E3">
        <w:rPr>
          <w:rFonts w:ascii="Arial" w:hAnsi="Arial" w:cs="Arial"/>
          <w:sz w:val="28"/>
          <w:szCs w:val="28"/>
        </w:rPr>
        <w:t xml:space="preserve">, submission </w:t>
      </w:r>
      <w:proofErr w:type="spellStart"/>
      <w:r w:rsidR="00C349E3">
        <w:rPr>
          <w:rFonts w:ascii="Arial" w:hAnsi="Arial" w:cs="Arial"/>
          <w:sz w:val="28"/>
          <w:szCs w:val="28"/>
        </w:rPr>
        <w:t>no.148</w:t>
      </w:r>
      <w:proofErr w:type="spellEnd"/>
      <w:r w:rsidR="00C349E3">
        <w:rPr>
          <w:rFonts w:ascii="Arial" w:hAnsi="Arial" w:cs="Arial"/>
          <w:sz w:val="28"/>
          <w:szCs w:val="28"/>
        </w:rPr>
        <w:t xml:space="preserve">. </w:t>
      </w:r>
      <w:r w:rsidR="0034744F" w:rsidRPr="00BF2B4D">
        <w:rPr>
          <w:rFonts w:ascii="Arial" w:hAnsi="Arial" w:cs="Arial"/>
          <w:sz w:val="28"/>
          <w:szCs w:val="28"/>
        </w:rPr>
        <w:t xml:space="preserve"> (</w:t>
      </w:r>
      <w:r w:rsidRPr="00BF2B4D">
        <w:rPr>
          <w:rFonts w:ascii="Arial" w:hAnsi="Arial" w:cs="Arial"/>
          <w:sz w:val="28"/>
          <w:szCs w:val="28"/>
        </w:rPr>
        <w:t>PDF copy attached</w:t>
      </w:r>
      <w:r w:rsidR="00B86CE7">
        <w:rPr>
          <w:rFonts w:ascii="Arial" w:hAnsi="Arial" w:cs="Arial"/>
          <w:sz w:val="28"/>
          <w:szCs w:val="28"/>
        </w:rPr>
        <w:t xml:space="preserve">. </w:t>
      </w:r>
    </w:p>
    <w:p w:rsidR="00674E95" w:rsidRPr="00BF2B4D" w:rsidRDefault="00B86CE7" w:rsidP="00674E95">
      <w:pPr>
        <w:pStyle w:val="ListParagraph"/>
        <w:ind w:left="567"/>
        <w:rPr>
          <w:rFonts w:ascii="Arial" w:hAnsi="Arial" w:cs="Arial"/>
          <w:sz w:val="28"/>
          <w:szCs w:val="28"/>
        </w:rPr>
      </w:pPr>
      <w:r>
        <w:rPr>
          <w:rFonts w:ascii="Arial" w:hAnsi="Arial" w:cs="Arial"/>
          <w:sz w:val="28"/>
          <w:szCs w:val="28"/>
        </w:rPr>
        <w:t>This submission has full parliamentary privilege granted by the Senate Economic References Committee.</w:t>
      </w:r>
    </w:p>
    <w:p w:rsidR="00674E95" w:rsidRDefault="00674E95" w:rsidP="007F6730">
      <w:pPr>
        <w:ind w:left="567"/>
        <w:rPr>
          <w:rFonts w:ascii="Arial" w:hAnsi="Arial" w:cs="Arial"/>
          <w:sz w:val="24"/>
          <w:szCs w:val="24"/>
        </w:rPr>
      </w:pPr>
    </w:p>
    <w:sectPr w:rsidR="00674E9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B1" w:rsidRDefault="007740B1" w:rsidP="00891232">
      <w:pPr>
        <w:spacing w:after="0" w:line="240" w:lineRule="auto"/>
      </w:pPr>
      <w:r>
        <w:separator/>
      </w:r>
    </w:p>
  </w:endnote>
  <w:endnote w:type="continuationSeparator" w:id="0">
    <w:p w:rsidR="007740B1" w:rsidRDefault="007740B1" w:rsidP="0089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B1" w:rsidRDefault="007740B1" w:rsidP="00891232">
      <w:pPr>
        <w:spacing w:after="0" w:line="240" w:lineRule="auto"/>
      </w:pPr>
      <w:r>
        <w:separator/>
      </w:r>
    </w:p>
  </w:footnote>
  <w:footnote w:type="continuationSeparator" w:id="0">
    <w:p w:rsidR="007740B1" w:rsidRDefault="007740B1" w:rsidP="00891232">
      <w:pPr>
        <w:spacing w:after="0" w:line="240" w:lineRule="auto"/>
      </w:pPr>
      <w:r>
        <w:continuationSeparator/>
      </w:r>
    </w:p>
  </w:footnote>
  <w:footnote w:id="1">
    <w:p w:rsidR="00B90435" w:rsidRPr="004F4901" w:rsidRDefault="00B90435" w:rsidP="00543468">
      <w:pPr>
        <w:pStyle w:val="FootnoteText"/>
        <w:rPr>
          <w:sz w:val="24"/>
          <w:szCs w:val="24"/>
          <w:lang w:val="en-US"/>
        </w:rPr>
      </w:pPr>
      <w:r w:rsidRPr="004F4901">
        <w:rPr>
          <w:rStyle w:val="FootnoteReference"/>
          <w:sz w:val="24"/>
          <w:szCs w:val="24"/>
        </w:rPr>
        <w:footnoteRef/>
      </w:r>
      <w:r w:rsidRPr="004F4901">
        <w:rPr>
          <w:sz w:val="24"/>
          <w:szCs w:val="24"/>
        </w:rPr>
        <w:t xml:space="preserve"> </w:t>
      </w:r>
      <w:r w:rsidRPr="004F4901">
        <w:rPr>
          <w:sz w:val="24"/>
          <w:szCs w:val="24"/>
          <w:lang w:val="en-US"/>
        </w:rPr>
        <w:t xml:space="preserve">Letter </w:t>
      </w:r>
      <w:r w:rsidR="00CF455F">
        <w:rPr>
          <w:sz w:val="24"/>
          <w:szCs w:val="24"/>
          <w:lang w:val="en-US"/>
        </w:rPr>
        <w:t>from the</w:t>
      </w:r>
      <w:r w:rsidR="0034744F" w:rsidRPr="004F4901">
        <w:rPr>
          <w:sz w:val="24"/>
          <w:szCs w:val="24"/>
          <w:lang w:val="en-US"/>
        </w:rPr>
        <w:t xml:space="preserve"> </w:t>
      </w:r>
      <w:proofErr w:type="spellStart"/>
      <w:r w:rsidR="0034744F" w:rsidRPr="004F4901">
        <w:rPr>
          <w:sz w:val="24"/>
          <w:szCs w:val="24"/>
          <w:lang w:val="en-US"/>
        </w:rPr>
        <w:t>NSFC</w:t>
      </w:r>
      <w:proofErr w:type="spellEnd"/>
      <w:r w:rsidRPr="004F4901">
        <w:rPr>
          <w:sz w:val="24"/>
          <w:szCs w:val="24"/>
          <w:lang w:val="en-US"/>
        </w:rPr>
        <w:t xml:space="preserve"> </w:t>
      </w:r>
      <w:r w:rsidR="00CF455F">
        <w:rPr>
          <w:sz w:val="24"/>
          <w:szCs w:val="24"/>
          <w:lang w:val="en-US"/>
        </w:rPr>
        <w:t xml:space="preserve">Program </w:t>
      </w:r>
      <w:r w:rsidRPr="004F4901">
        <w:rPr>
          <w:sz w:val="24"/>
          <w:szCs w:val="24"/>
          <w:lang w:val="en-US"/>
        </w:rPr>
        <w:t>(Transport for NSW)</w:t>
      </w:r>
      <w:r>
        <w:rPr>
          <w:sz w:val="24"/>
          <w:szCs w:val="24"/>
          <w:lang w:val="en-US"/>
        </w:rPr>
        <w:t xml:space="preserve"> 28 May 2013</w:t>
      </w:r>
      <w:r w:rsidR="001F0A14">
        <w:rPr>
          <w:sz w:val="24"/>
          <w:szCs w:val="24"/>
          <w:lang w:val="en-US"/>
        </w:rPr>
        <w:t>. Reference 2480560_1</w:t>
      </w:r>
    </w:p>
  </w:footnote>
  <w:footnote w:id="2">
    <w:p w:rsidR="0029588B" w:rsidRPr="001E4F13" w:rsidRDefault="0029588B">
      <w:pPr>
        <w:pStyle w:val="FootnoteText"/>
        <w:rPr>
          <w:sz w:val="24"/>
          <w:szCs w:val="24"/>
        </w:rPr>
      </w:pPr>
      <w:r w:rsidRPr="001E4F13">
        <w:rPr>
          <w:rStyle w:val="FootnoteReference"/>
          <w:sz w:val="24"/>
          <w:szCs w:val="24"/>
        </w:rPr>
        <w:footnoteRef/>
      </w:r>
      <w:r w:rsidRPr="001E4F13">
        <w:rPr>
          <w:sz w:val="24"/>
          <w:szCs w:val="24"/>
        </w:rPr>
        <w:t xml:space="preserve"> Letter from the author 14 December 2013, the Minister’s reply 21 January 2014, </w:t>
      </w:r>
    </w:p>
  </w:footnote>
  <w:footnote w:id="3">
    <w:p w:rsidR="00B90435" w:rsidRPr="00A46B22" w:rsidRDefault="00B90435" w:rsidP="00543468">
      <w:pPr>
        <w:pStyle w:val="FootnoteText"/>
        <w:rPr>
          <w:rFonts w:cs="Arial"/>
          <w:sz w:val="24"/>
          <w:szCs w:val="24"/>
          <w:lang w:val="en-US"/>
        </w:rPr>
      </w:pPr>
      <w:r w:rsidRPr="00322A05">
        <w:rPr>
          <w:rStyle w:val="FootnoteReference"/>
          <w:rFonts w:cs="Arial"/>
          <w:sz w:val="28"/>
          <w:szCs w:val="28"/>
        </w:rPr>
        <w:footnoteRef/>
      </w:r>
      <w:r w:rsidRPr="00322A05">
        <w:rPr>
          <w:rFonts w:cs="Arial"/>
          <w:sz w:val="28"/>
          <w:szCs w:val="28"/>
        </w:rPr>
        <w:t xml:space="preserve"> </w:t>
      </w:r>
      <w:r w:rsidRPr="00A46B22">
        <w:rPr>
          <w:rFonts w:cs="Arial"/>
          <w:sz w:val="24"/>
          <w:szCs w:val="24"/>
          <w:lang w:val="en-US"/>
        </w:rPr>
        <w:t xml:space="preserve">This matter was dealt with by Andrew West in the </w:t>
      </w:r>
      <w:proofErr w:type="spellStart"/>
      <w:r w:rsidRPr="00A46B22">
        <w:rPr>
          <w:rFonts w:cs="Arial"/>
          <w:sz w:val="24"/>
          <w:szCs w:val="24"/>
          <w:lang w:val="en-US"/>
        </w:rPr>
        <w:t>SMH</w:t>
      </w:r>
      <w:proofErr w:type="spellEnd"/>
      <w:r w:rsidRPr="00A46B22">
        <w:rPr>
          <w:rFonts w:cs="Arial"/>
          <w:sz w:val="24"/>
          <w:szCs w:val="24"/>
          <w:lang w:val="en-US"/>
        </w:rPr>
        <w:t xml:space="preserve"> 10 September </w:t>
      </w:r>
      <w:proofErr w:type="spellStart"/>
      <w:r w:rsidRPr="00A46B22">
        <w:rPr>
          <w:rFonts w:cs="Arial"/>
          <w:sz w:val="24"/>
          <w:szCs w:val="24"/>
          <w:lang w:val="en-US"/>
        </w:rPr>
        <w:t>2010.”Review</w:t>
      </w:r>
      <w:proofErr w:type="spellEnd"/>
      <w:r w:rsidRPr="00A46B22">
        <w:rPr>
          <w:rFonts w:cs="Arial"/>
          <w:sz w:val="24"/>
          <w:szCs w:val="24"/>
          <w:lang w:val="en-US"/>
        </w:rPr>
        <w:t xml:space="preserve"> disputes benefits from widening of </w:t>
      </w:r>
      <w:proofErr w:type="spellStart"/>
      <w:r w:rsidRPr="00A46B22">
        <w:rPr>
          <w:rFonts w:cs="Arial"/>
          <w:sz w:val="24"/>
          <w:szCs w:val="24"/>
          <w:lang w:val="en-US"/>
        </w:rPr>
        <w:t>M2</w:t>
      </w:r>
      <w:proofErr w:type="spellEnd"/>
      <w:r w:rsidRPr="00A46B22">
        <w:rPr>
          <w:rFonts w:cs="Arial"/>
          <w:sz w:val="24"/>
          <w:szCs w:val="24"/>
          <w:lang w:val="en-US"/>
        </w:rPr>
        <w:t>”.</w:t>
      </w:r>
    </w:p>
  </w:footnote>
  <w:footnote w:id="4">
    <w:p w:rsidR="00B90435" w:rsidRPr="00E6482C" w:rsidRDefault="00B90435" w:rsidP="00543468">
      <w:pPr>
        <w:pStyle w:val="FootnoteText"/>
        <w:ind w:left="567"/>
        <w:rPr>
          <w:rFonts w:cs="Arial"/>
          <w:lang w:val="en-US"/>
        </w:rPr>
      </w:pPr>
    </w:p>
  </w:footnote>
  <w:footnote w:id="5">
    <w:p w:rsidR="00EB14C3" w:rsidRPr="006C2EE1" w:rsidRDefault="00EB14C3" w:rsidP="00EB14C3">
      <w:pPr>
        <w:pStyle w:val="FootnoteText"/>
        <w:rPr>
          <w:sz w:val="24"/>
          <w:szCs w:val="24"/>
          <w:lang w:val="en-US"/>
        </w:rPr>
      </w:pPr>
      <w:r w:rsidRPr="006C2EE1">
        <w:rPr>
          <w:rStyle w:val="FootnoteReference"/>
          <w:sz w:val="24"/>
          <w:szCs w:val="24"/>
        </w:rPr>
        <w:footnoteRef/>
      </w:r>
      <w:r w:rsidRPr="006C2EE1">
        <w:rPr>
          <w:sz w:val="24"/>
          <w:szCs w:val="24"/>
        </w:rPr>
        <w:t xml:space="preserve"> National Infrastructure Co-ordinator-Report to Minister for Infrastructure and Transport on Private Financing Options for Upgrades in Sydney </w:t>
      </w:r>
      <w:proofErr w:type="spellStart"/>
      <w:r w:rsidRPr="006C2EE1">
        <w:rPr>
          <w:sz w:val="24"/>
          <w:szCs w:val="24"/>
        </w:rPr>
        <w:t>M5</w:t>
      </w:r>
      <w:proofErr w:type="spellEnd"/>
      <w:r w:rsidRPr="006C2EE1">
        <w:rPr>
          <w:sz w:val="24"/>
          <w:szCs w:val="24"/>
        </w:rPr>
        <w:t xml:space="preserve"> and </w:t>
      </w:r>
      <w:proofErr w:type="spellStart"/>
      <w:r w:rsidRPr="006C2EE1">
        <w:rPr>
          <w:sz w:val="24"/>
          <w:szCs w:val="24"/>
        </w:rPr>
        <w:t>F3-M2</w:t>
      </w:r>
      <w:proofErr w:type="spellEnd"/>
      <w:r w:rsidRPr="006C2EE1">
        <w:rPr>
          <w:sz w:val="24"/>
          <w:szCs w:val="24"/>
        </w:rPr>
        <w:t xml:space="preserve"> Corridors-March 2012</w:t>
      </w:r>
    </w:p>
  </w:footnote>
  <w:footnote w:id="6">
    <w:p w:rsidR="00E93147" w:rsidRPr="00E93147" w:rsidRDefault="00E93147">
      <w:pPr>
        <w:pStyle w:val="FootnoteText"/>
        <w:rPr>
          <w:sz w:val="24"/>
          <w:szCs w:val="24"/>
          <w:lang w:val="en-US"/>
        </w:rPr>
      </w:pPr>
      <w:r w:rsidRPr="00E93147">
        <w:rPr>
          <w:rStyle w:val="FootnoteReference"/>
          <w:sz w:val="24"/>
          <w:szCs w:val="24"/>
        </w:rPr>
        <w:footnoteRef/>
      </w:r>
      <w:r w:rsidRPr="00E93147">
        <w:rPr>
          <w:sz w:val="24"/>
          <w:szCs w:val="24"/>
        </w:rPr>
        <w:t xml:space="preserve"> Director of Public Prosecutions (</w:t>
      </w:r>
      <w:proofErr w:type="spellStart"/>
      <w:r w:rsidRPr="00E93147">
        <w:rPr>
          <w:sz w:val="24"/>
          <w:szCs w:val="24"/>
        </w:rPr>
        <w:t>Cth</w:t>
      </w:r>
      <w:proofErr w:type="spellEnd"/>
      <w:r w:rsidRPr="00E93147">
        <w:rPr>
          <w:sz w:val="24"/>
          <w:szCs w:val="24"/>
        </w:rPr>
        <w:t xml:space="preserve">) v </w:t>
      </w:r>
      <w:proofErr w:type="spellStart"/>
      <w:r w:rsidRPr="00E93147">
        <w:rPr>
          <w:sz w:val="24"/>
          <w:szCs w:val="24"/>
        </w:rPr>
        <w:t>JM</w:t>
      </w:r>
      <w:proofErr w:type="spellEnd"/>
      <w:r w:rsidRPr="00E93147">
        <w:rPr>
          <w:sz w:val="24"/>
          <w:szCs w:val="24"/>
        </w:rPr>
        <w:t xml:space="preserve"> [2013] HCA 30</w:t>
      </w:r>
    </w:p>
  </w:footnote>
  <w:footnote w:id="7">
    <w:p w:rsidR="00EC5C14" w:rsidRPr="003355FB" w:rsidRDefault="00EC5C14">
      <w:pPr>
        <w:pStyle w:val="FootnoteText"/>
        <w:rPr>
          <w:sz w:val="24"/>
          <w:szCs w:val="24"/>
        </w:rPr>
      </w:pPr>
      <w:r w:rsidRPr="003355FB">
        <w:rPr>
          <w:rStyle w:val="FootnoteReference"/>
          <w:sz w:val="24"/>
          <w:szCs w:val="24"/>
        </w:rPr>
        <w:footnoteRef/>
      </w:r>
      <w:r w:rsidRPr="003355FB">
        <w:rPr>
          <w:sz w:val="24"/>
          <w:szCs w:val="24"/>
        </w:rPr>
        <w:t xml:space="preserve"> The correlation </w:t>
      </w:r>
      <w:r w:rsidR="00B65E55" w:rsidRPr="003355FB">
        <w:rPr>
          <w:sz w:val="24"/>
          <w:szCs w:val="24"/>
        </w:rPr>
        <w:t>coeffi</w:t>
      </w:r>
      <w:r w:rsidR="00B65E55">
        <w:rPr>
          <w:sz w:val="24"/>
          <w:szCs w:val="24"/>
        </w:rPr>
        <w:t>ci</w:t>
      </w:r>
      <w:r w:rsidR="00B65E55" w:rsidRPr="003355FB">
        <w:rPr>
          <w:sz w:val="24"/>
          <w:szCs w:val="24"/>
        </w:rPr>
        <w:t>ent (</w:t>
      </w:r>
      <w:r w:rsidR="003355FB" w:rsidRPr="003355FB">
        <w:rPr>
          <w:sz w:val="24"/>
          <w:szCs w:val="24"/>
        </w:rPr>
        <w:t xml:space="preserve">Pearson R) between the equity internal rate of </w:t>
      </w:r>
      <w:r w:rsidR="00B65E55" w:rsidRPr="003355FB">
        <w:rPr>
          <w:sz w:val="24"/>
          <w:szCs w:val="24"/>
        </w:rPr>
        <w:t>return and</w:t>
      </w:r>
      <w:r w:rsidR="003355FB" w:rsidRPr="003355FB">
        <w:rPr>
          <w:sz w:val="24"/>
          <w:szCs w:val="24"/>
        </w:rPr>
        <w:t xml:space="preserve"> forecast traffic volumes was 0.96.</w:t>
      </w:r>
    </w:p>
  </w:footnote>
  <w:footnote w:id="8">
    <w:p w:rsidR="00B90435" w:rsidRPr="00B27902" w:rsidRDefault="00B90435" w:rsidP="00222D9B">
      <w:pPr>
        <w:pStyle w:val="FootnoteText"/>
        <w:rPr>
          <w:sz w:val="24"/>
          <w:szCs w:val="24"/>
        </w:rPr>
      </w:pPr>
      <w:r w:rsidRPr="00B27902">
        <w:rPr>
          <w:rStyle w:val="FootnoteReference"/>
          <w:sz w:val="24"/>
          <w:szCs w:val="24"/>
        </w:rPr>
        <w:footnoteRef/>
      </w:r>
      <w:r w:rsidRPr="00B27902">
        <w:rPr>
          <w:sz w:val="24"/>
          <w:szCs w:val="24"/>
        </w:rPr>
        <w:t xml:space="preserve"> “Project spree risks </w:t>
      </w:r>
      <w:proofErr w:type="spellStart"/>
      <w:r w:rsidRPr="00B27902">
        <w:rPr>
          <w:sz w:val="24"/>
          <w:szCs w:val="24"/>
        </w:rPr>
        <w:t>AAA</w:t>
      </w:r>
      <w:proofErr w:type="spellEnd"/>
      <w:r w:rsidRPr="00B27902">
        <w:rPr>
          <w:sz w:val="24"/>
          <w:szCs w:val="24"/>
        </w:rPr>
        <w:t xml:space="preserve"> rating”. (Joanna Heath) Australian Financial Review Thursday 13 March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271521"/>
      <w:docPartObj>
        <w:docPartGallery w:val="Page Numbers (Top of Page)"/>
        <w:docPartUnique/>
      </w:docPartObj>
    </w:sdtPr>
    <w:sdtEndPr>
      <w:rPr>
        <w:noProof/>
      </w:rPr>
    </w:sdtEndPr>
    <w:sdtContent>
      <w:p w:rsidR="00B90435" w:rsidRDefault="00B90435">
        <w:pPr>
          <w:pStyle w:val="Header"/>
          <w:jc w:val="right"/>
        </w:pPr>
        <w:r>
          <w:fldChar w:fldCharType="begin"/>
        </w:r>
        <w:r>
          <w:instrText xml:space="preserve"> PAGE   \* MERGEFORMAT </w:instrText>
        </w:r>
        <w:r>
          <w:fldChar w:fldCharType="separate"/>
        </w:r>
        <w:r w:rsidR="00437A67">
          <w:rPr>
            <w:noProof/>
          </w:rPr>
          <w:t>1</w:t>
        </w:r>
        <w:r>
          <w:rPr>
            <w:noProof/>
          </w:rPr>
          <w:fldChar w:fldCharType="end"/>
        </w:r>
      </w:p>
    </w:sdtContent>
  </w:sdt>
  <w:p w:rsidR="00B90435" w:rsidRDefault="00B90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001"/>
    <w:multiLevelType w:val="multilevel"/>
    <w:tmpl w:val="ED94F1D4"/>
    <w:lvl w:ilvl="0">
      <w:start w:val="2"/>
      <w:numFmt w:val="decimal"/>
      <w:lvlText w:val="%1"/>
      <w:lvlJc w:val="left"/>
      <w:pPr>
        <w:ind w:left="405" w:hanging="405"/>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948" w:hanging="144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
    <w:nsid w:val="06A06715"/>
    <w:multiLevelType w:val="hybridMultilevel"/>
    <w:tmpl w:val="9CEEF9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B3119E4"/>
    <w:multiLevelType w:val="multilevel"/>
    <w:tmpl w:val="09B47FCE"/>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
    <w:nsid w:val="105A0151"/>
    <w:multiLevelType w:val="multilevel"/>
    <w:tmpl w:val="7FE26F58"/>
    <w:lvl w:ilvl="0">
      <w:start w:val="1"/>
      <w:numFmt w:val="decimal"/>
      <w:lvlText w:val="%1"/>
      <w:lvlJc w:val="left"/>
      <w:pPr>
        <w:ind w:left="405" w:hanging="405"/>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1E4279A8"/>
    <w:multiLevelType w:val="multilevel"/>
    <w:tmpl w:val="D7567A32"/>
    <w:lvl w:ilvl="0">
      <w:start w:val="1"/>
      <w:numFmt w:val="decimal"/>
      <w:lvlText w:val="%1"/>
      <w:lvlJc w:val="left"/>
      <w:pPr>
        <w:ind w:left="465" w:hanging="465"/>
      </w:pPr>
      <w:rPr>
        <w:rFonts w:hint="default"/>
      </w:rPr>
    </w:lvl>
    <w:lvl w:ilvl="1">
      <w:start w:val="21"/>
      <w:numFmt w:val="decimal"/>
      <w:lvlText w:val="%1.%2"/>
      <w:lvlJc w:val="left"/>
      <w:pPr>
        <w:ind w:left="2025" w:hanging="46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5">
    <w:nsid w:val="233A2A5B"/>
    <w:multiLevelType w:val="hybridMultilevel"/>
    <w:tmpl w:val="0744FD3A"/>
    <w:lvl w:ilvl="0" w:tplc="6E623C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AC2B05"/>
    <w:multiLevelType w:val="multilevel"/>
    <w:tmpl w:val="481E1ABC"/>
    <w:lvl w:ilvl="0">
      <w:start w:val="1"/>
      <w:numFmt w:val="decimal"/>
      <w:lvlText w:val="%1"/>
      <w:lvlJc w:val="left"/>
      <w:pPr>
        <w:ind w:left="465" w:hanging="465"/>
      </w:pPr>
      <w:rPr>
        <w:rFonts w:hint="default"/>
      </w:rPr>
    </w:lvl>
    <w:lvl w:ilvl="1">
      <w:start w:val="2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nsid w:val="256B2DE3"/>
    <w:multiLevelType w:val="hybridMultilevel"/>
    <w:tmpl w:val="F02C672A"/>
    <w:lvl w:ilvl="0" w:tplc="7AA6D69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7192A77"/>
    <w:multiLevelType w:val="hybridMultilevel"/>
    <w:tmpl w:val="B7A00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1D0C4C"/>
    <w:multiLevelType w:val="multilevel"/>
    <w:tmpl w:val="8FF4F1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55540A6"/>
    <w:multiLevelType w:val="hybridMultilevel"/>
    <w:tmpl w:val="A2980D6E"/>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C834C8"/>
    <w:multiLevelType w:val="hybridMultilevel"/>
    <w:tmpl w:val="3FC8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F477D2"/>
    <w:multiLevelType w:val="hybridMultilevel"/>
    <w:tmpl w:val="B172E5DE"/>
    <w:lvl w:ilvl="0" w:tplc="B1BE6EB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E840201"/>
    <w:multiLevelType w:val="hybridMultilevel"/>
    <w:tmpl w:val="4B962F7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F37513F"/>
    <w:multiLevelType w:val="hybridMultilevel"/>
    <w:tmpl w:val="FC6C7940"/>
    <w:lvl w:ilvl="0" w:tplc="65F6FB58">
      <w:start w:val="4"/>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401C2542"/>
    <w:multiLevelType w:val="multilevel"/>
    <w:tmpl w:val="8FF4F1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2922958"/>
    <w:multiLevelType w:val="hybridMultilevel"/>
    <w:tmpl w:val="ADC4C122"/>
    <w:lvl w:ilvl="0" w:tplc="3B6C02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42C84503"/>
    <w:multiLevelType w:val="multilevel"/>
    <w:tmpl w:val="AD9CE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61F68C1"/>
    <w:multiLevelType w:val="hybridMultilevel"/>
    <w:tmpl w:val="1CDEC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A26A16"/>
    <w:multiLevelType w:val="hybridMultilevel"/>
    <w:tmpl w:val="14160B0E"/>
    <w:lvl w:ilvl="0" w:tplc="5482828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166042E"/>
    <w:multiLevelType w:val="hybridMultilevel"/>
    <w:tmpl w:val="151C3546"/>
    <w:lvl w:ilvl="0" w:tplc="3B6C02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6D031E7"/>
    <w:multiLevelType w:val="hybridMultilevel"/>
    <w:tmpl w:val="05EC7030"/>
    <w:lvl w:ilvl="0" w:tplc="5482828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BD37B37"/>
    <w:multiLevelType w:val="multilevel"/>
    <w:tmpl w:val="600ACCD4"/>
    <w:lvl w:ilvl="0">
      <w:start w:val="1"/>
      <w:numFmt w:val="decimal"/>
      <w:lvlText w:val="%1"/>
      <w:lvlJc w:val="left"/>
      <w:pPr>
        <w:ind w:left="465" w:hanging="465"/>
      </w:pPr>
      <w:rPr>
        <w:rFonts w:hint="default"/>
      </w:rPr>
    </w:lvl>
    <w:lvl w:ilvl="1">
      <w:start w:val="21"/>
      <w:numFmt w:val="decimal"/>
      <w:lvlText w:val="%1.%2"/>
      <w:lvlJc w:val="left"/>
      <w:pPr>
        <w:ind w:left="1458" w:hanging="46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23">
    <w:nsid w:val="5F714A8A"/>
    <w:multiLevelType w:val="hybridMultilevel"/>
    <w:tmpl w:val="084E067A"/>
    <w:lvl w:ilvl="0" w:tplc="8F8EAC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FB84F1C"/>
    <w:multiLevelType w:val="hybridMultilevel"/>
    <w:tmpl w:val="D9786E36"/>
    <w:lvl w:ilvl="0" w:tplc="FF40EC5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FEF0FCD"/>
    <w:multiLevelType w:val="multilevel"/>
    <w:tmpl w:val="BECC3258"/>
    <w:lvl w:ilvl="0">
      <w:start w:val="1"/>
      <w:numFmt w:val="decimal"/>
      <w:lvlText w:val="%1."/>
      <w:lvlJc w:val="left"/>
      <w:pPr>
        <w:ind w:left="720" w:hanging="360"/>
      </w:pPr>
      <w:rPr>
        <w:rFonts w:hint="default"/>
      </w:rPr>
    </w:lvl>
    <w:lvl w:ilvl="1">
      <w:start w:val="4"/>
      <w:numFmt w:val="decimal"/>
      <w:isLgl/>
      <w:lvlText w:val="%1.%2"/>
      <w:lvlJc w:val="left"/>
      <w:pPr>
        <w:ind w:left="2421" w:hanging="72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7164" w:hanging="144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10206" w:hanging="180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3248" w:hanging="2160"/>
      </w:pPr>
      <w:rPr>
        <w:rFonts w:hint="default"/>
      </w:rPr>
    </w:lvl>
  </w:abstractNum>
  <w:abstractNum w:abstractNumId="26">
    <w:nsid w:val="629E08F5"/>
    <w:multiLevelType w:val="multilevel"/>
    <w:tmpl w:val="C68A2E2A"/>
    <w:lvl w:ilvl="0">
      <w:start w:val="1"/>
      <w:numFmt w:val="decimal"/>
      <w:lvlText w:val="%1."/>
      <w:lvlJc w:val="left"/>
      <w:pPr>
        <w:ind w:left="720" w:hanging="360"/>
      </w:pPr>
      <w:rPr>
        <w:rFonts w:hint="default"/>
      </w:rPr>
    </w:lvl>
    <w:lvl w:ilvl="1">
      <w:start w:val="2"/>
      <w:numFmt w:val="decimal"/>
      <w:isLgl/>
      <w:lvlText w:val="%1.%2"/>
      <w:lvlJc w:val="left"/>
      <w:pPr>
        <w:ind w:left="22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9F47207"/>
    <w:multiLevelType w:val="multilevel"/>
    <w:tmpl w:val="80688EC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6C467807"/>
    <w:multiLevelType w:val="hybridMultilevel"/>
    <w:tmpl w:val="0A688E68"/>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9">
    <w:nsid w:val="6E1E43F5"/>
    <w:multiLevelType w:val="hybridMultilevel"/>
    <w:tmpl w:val="B3EE5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38220B6"/>
    <w:multiLevelType w:val="hybridMultilevel"/>
    <w:tmpl w:val="0492B4A4"/>
    <w:lvl w:ilvl="0" w:tplc="0A3CD9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2F047E"/>
    <w:multiLevelType w:val="hybridMultilevel"/>
    <w:tmpl w:val="23A4CB82"/>
    <w:lvl w:ilvl="0" w:tplc="3B6C02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7C62070E"/>
    <w:multiLevelType w:val="hybridMultilevel"/>
    <w:tmpl w:val="90E654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7EDC1120"/>
    <w:multiLevelType w:val="hybridMultilevel"/>
    <w:tmpl w:val="4A3E8006"/>
    <w:lvl w:ilvl="0" w:tplc="1DCEE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24"/>
  </w:num>
  <w:num w:numId="4">
    <w:abstractNumId w:val="31"/>
  </w:num>
  <w:num w:numId="5">
    <w:abstractNumId w:val="10"/>
  </w:num>
  <w:num w:numId="6">
    <w:abstractNumId w:val="27"/>
  </w:num>
  <w:num w:numId="7">
    <w:abstractNumId w:val="14"/>
  </w:num>
  <w:num w:numId="8">
    <w:abstractNumId w:val="29"/>
  </w:num>
  <w:num w:numId="9">
    <w:abstractNumId w:val="23"/>
  </w:num>
  <w:num w:numId="10">
    <w:abstractNumId w:val="12"/>
  </w:num>
  <w:num w:numId="11">
    <w:abstractNumId w:val="21"/>
  </w:num>
  <w:num w:numId="12">
    <w:abstractNumId w:val="19"/>
  </w:num>
  <w:num w:numId="13">
    <w:abstractNumId w:val="18"/>
  </w:num>
  <w:num w:numId="14">
    <w:abstractNumId w:val="30"/>
  </w:num>
  <w:num w:numId="15">
    <w:abstractNumId w:val="13"/>
  </w:num>
  <w:num w:numId="16">
    <w:abstractNumId w:val="15"/>
  </w:num>
  <w:num w:numId="17">
    <w:abstractNumId w:val="26"/>
  </w:num>
  <w:num w:numId="18">
    <w:abstractNumId w:val="6"/>
  </w:num>
  <w:num w:numId="19">
    <w:abstractNumId w:val="17"/>
  </w:num>
  <w:num w:numId="20">
    <w:abstractNumId w:val="3"/>
  </w:num>
  <w:num w:numId="21">
    <w:abstractNumId w:val="0"/>
  </w:num>
  <w:num w:numId="22">
    <w:abstractNumId w:val="9"/>
  </w:num>
  <w:num w:numId="23">
    <w:abstractNumId w:val="22"/>
  </w:num>
  <w:num w:numId="24">
    <w:abstractNumId w:val="25"/>
  </w:num>
  <w:num w:numId="25">
    <w:abstractNumId w:val="4"/>
  </w:num>
  <w:num w:numId="26">
    <w:abstractNumId w:val="2"/>
  </w:num>
  <w:num w:numId="27">
    <w:abstractNumId w:val="11"/>
  </w:num>
  <w:num w:numId="28">
    <w:abstractNumId w:val="1"/>
  </w:num>
  <w:num w:numId="29">
    <w:abstractNumId w:val="28"/>
  </w:num>
  <w:num w:numId="30">
    <w:abstractNumId w:val="33"/>
  </w:num>
  <w:num w:numId="31">
    <w:abstractNumId w:val="32"/>
  </w:num>
  <w:num w:numId="32">
    <w:abstractNumId w:val="16"/>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47"/>
    <w:rsid w:val="00011953"/>
    <w:rsid w:val="00012F0A"/>
    <w:rsid w:val="0002423A"/>
    <w:rsid w:val="00042F8B"/>
    <w:rsid w:val="00044F66"/>
    <w:rsid w:val="00045BCF"/>
    <w:rsid w:val="00050EE8"/>
    <w:rsid w:val="0005470B"/>
    <w:rsid w:val="000609FD"/>
    <w:rsid w:val="00074CB3"/>
    <w:rsid w:val="000864E5"/>
    <w:rsid w:val="0009372C"/>
    <w:rsid w:val="00093CE0"/>
    <w:rsid w:val="00097C20"/>
    <w:rsid w:val="000A6A0B"/>
    <w:rsid w:val="000A71DF"/>
    <w:rsid w:val="000A79BF"/>
    <w:rsid w:val="000C0281"/>
    <w:rsid w:val="000D3478"/>
    <w:rsid w:val="000D7A1A"/>
    <w:rsid w:val="000E250F"/>
    <w:rsid w:val="000E5C33"/>
    <w:rsid w:val="000E631F"/>
    <w:rsid w:val="00101D29"/>
    <w:rsid w:val="00137F08"/>
    <w:rsid w:val="00147114"/>
    <w:rsid w:val="001534DD"/>
    <w:rsid w:val="001545A3"/>
    <w:rsid w:val="00156259"/>
    <w:rsid w:val="001606C7"/>
    <w:rsid w:val="00160D2E"/>
    <w:rsid w:val="001614CB"/>
    <w:rsid w:val="00167DE1"/>
    <w:rsid w:val="001748A8"/>
    <w:rsid w:val="001951F9"/>
    <w:rsid w:val="001954D4"/>
    <w:rsid w:val="001B10CB"/>
    <w:rsid w:val="001B128E"/>
    <w:rsid w:val="001B7680"/>
    <w:rsid w:val="001D072C"/>
    <w:rsid w:val="001D36AF"/>
    <w:rsid w:val="001D6C02"/>
    <w:rsid w:val="001D7DFF"/>
    <w:rsid w:val="001E16A3"/>
    <w:rsid w:val="001E1901"/>
    <w:rsid w:val="001E290D"/>
    <w:rsid w:val="001E4F13"/>
    <w:rsid w:val="001F0A14"/>
    <w:rsid w:val="001F1F83"/>
    <w:rsid w:val="00201173"/>
    <w:rsid w:val="00202FCB"/>
    <w:rsid w:val="002116EB"/>
    <w:rsid w:val="00215D0C"/>
    <w:rsid w:val="00222D9B"/>
    <w:rsid w:val="002231C8"/>
    <w:rsid w:val="002366A2"/>
    <w:rsid w:val="00240C63"/>
    <w:rsid w:val="00243C23"/>
    <w:rsid w:val="00251633"/>
    <w:rsid w:val="002668C8"/>
    <w:rsid w:val="00267493"/>
    <w:rsid w:val="00273A23"/>
    <w:rsid w:val="00281545"/>
    <w:rsid w:val="0029063E"/>
    <w:rsid w:val="0029588B"/>
    <w:rsid w:val="002A748F"/>
    <w:rsid w:val="002C083B"/>
    <w:rsid w:val="002C1846"/>
    <w:rsid w:val="002C4F73"/>
    <w:rsid w:val="002D590A"/>
    <w:rsid w:val="002D63FC"/>
    <w:rsid w:val="002F3AD5"/>
    <w:rsid w:val="002F6EC5"/>
    <w:rsid w:val="00302C88"/>
    <w:rsid w:val="00304823"/>
    <w:rsid w:val="00312012"/>
    <w:rsid w:val="00322A05"/>
    <w:rsid w:val="003265F9"/>
    <w:rsid w:val="00326D4D"/>
    <w:rsid w:val="00330D43"/>
    <w:rsid w:val="00331047"/>
    <w:rsid w:val="00331519"/>
    <w:rsid w:val="00332DB6"/>
    <w:rsid w:val="003355FB"/>
    <w:rsid w:val="00337E70"/>
    <w:rsid w:val="003457C9"/>
    <w:rsid w:val="0034744F"/>
    <w:rsid w:val="00356D14"/>
    <w:rsid w:val="00380BE4"/>
    <w:rsid w:val="0038300A"/>
    <w:rsid w:val="00396DCF"/>
    <w:rsid w:val="003A23FE"/>
    <w:rsid w:val="003A2C7E"/>
    <w:rsid w:val="003A3EA4"/>
    <w:rsid w:val="003B2061"/>
    <w:rsid w:val="003D0794"/>
    <w:rsid w:val="003E53F0"/>
    <w:rsid w:val="003E54D4"/>
    <w:rsid w:val="003F257D"/>
    <w:rsid w:val="004008EE"/>
    <w:rsid w:val="00404E96"/>
    <w:rsid w:val="00421B02"/>
    <w:rsid w:val="00427B9A"/>
    <w:rsid w:val="00430147"/>
    <w:rsid w:val="00433C86"/>
    <w:rsid w:val="0043471E"/>
    <w:rsid w:val="00437A67"/>
    <w:rsid w:val="00441211"/>
    <w:rsid w:val="004437D2"/>
    <w:rsid w:val="00444396"/>
    <w:rsid w:val="00446B14"/>
    <w:rsid w:val="00446FB7"/>
    <w:rsid w:val="00465E13"/>
    <w:rsid w:val="00466259"/>
    <w:rsid w:val="00471935"/>
    <w:rsid w:val="00483FB1"/>
    <w:rsid w:val="00486A8C"/>
    <w:rsid w:val="00491A6B"/>
    <w:rsid w:val="00496A34"/>
    <w:rsid w:val="00497C59"/>
    <w:rsid w:val="004A12D4"/>
    <w:rsid w:val="004A481C"/>
    <w:rsid w:val="004B04E1"/>
    <w:rsid w:val="004B7792"/>
    <w:rsid w:val="004D6DB5"/>
    <w:rsid w:val="004D7EE9"/>
    <w:rsid w:val="004E3AC1"/>
    <w:rsid w:val="004F4901"/>
    <w:rsid w:val="00521AA9"/>
    <w:rsid w:val="00543468"/>
    <w:rsid w:val="00543EDF"/>
    <w:rsid w:val="00544D32"/>
    <w:rsid w:val="00550B6C"/>
    <w:rsid w:val="00551C23"/>
    <w:rsid w:val="00567542"/>
    <w:rsid w:val="00567F90"/>
    <w:rsid w:val="00586A0A"/>
    <w:rsid w:val="00590721"/>
    <w:rsid w:val="00593365"/>
    <w:rsid w:val="005A08B9"/>
    <w:rsid w:val="005B437C"/>
    <w:rsid w:val="005B50E7"/>
    <w:rsid w:val="005E5EC2"/>
    <w:rsid w:val="005E7B8B"/>
    <w:rsid w:val="005F1560"/>
    <w:rsid w:val="005F2915"/>
    <w:rsid w:val="00611654"/>
    <w:rsid w:val="00616117"/>
    <w:rsid w:val="00642E9F"/>
    <w:rsid w:val="00644B3E"/>
    <w:rsid w:val="0064788C"/>
    <w:rsid w:val="00657C7A"/>
    <w:rsid w:val="00670E77"/>
    <w:rsid w:val="00674E95"/>
    <w:rsid w:val="00676EB6"/>
    <w:rsid w:val="006823EB"/>
    <w:rsid w:val="006879F7"/>
    <w:rsid w:val="00690365"/>
    <w:rsid w:val="00694540"/>
    <w:rsid w:val="00697085"/>
    <w:rsid w:val="006B1F4A"/>
    <w:rsid w:val="006C0CE4"/>
    <w:rsid w:val="006C2EE1"/>
    <w:rsid w:val="006C3AB3"/>
    <w:rsid w:val="006E24D1"/>
    <w:rsid w:val="006E653D"/>
    <w:rsid w:val="006F4F61"/>
    <w:rsid w:val="006F7CF7"/>
    <w:rsid w:val="00702870"/>
    <w:rsid w:val="0070743C"/>
    <w:rsid w:val="007219F0"/>
    <w:rsid w:val="00722BF9"/>
    <w:rsid w:val="00732AD5"/>
    <w:rsid w:val="00733D6C"/>
    <w:rsid w:val="00740726"/>
    <w:rsid w:val="007418D1"/>
    <w:rsid w:val="0076029B"/>
    <w:rsid w:val="00761F67"/>
    <w:rsid w:val="007740B1"/>
    <w:rsid w:val="00775E64"/>
    <w:rsid w:val="00781593"/>
    <w:rsid w:val="00795084"/>
    <w:rsid w:val="007B1FCA"/>
    <w:rsid w:val="007B7412"/>
    <w:rsid w:val="007D03A3"/>
    <w:rsid w:val="007E1277"/>
    <w:rsid w:val="007F4867"/>
    <w:rsid w:val="007F6730"/>
    <w:rsid w:val="00800DC4"/>
    <w:rsid w:val="00804623"/>
    <w:rsid w:val="00812D8B"/>
    <w:rsid w:val="00816653"/>
    <w:rsid w:val="00826F94"/>
    <w:rsid w:val="00847027"/>
    <w:rsid w:val="00855B1B"/>
    <w:rsid w:val="00860FF2"/>
    <w:rsid w:val="00877648"/>
    <w:rsid w:val="00883CC3"/>
    <w:rsid w:val="008841B2"/>
    <w:rsid w:val="00891232"/>
    <w:rsid w:val="008934AF"/>
    <w:rsid w:val="008B2CEC"/>
    <w:rsid w:val="008B5EB2"/>
    <w:rsid w:val="008C034D"/>
    <w:rsid w:val="008D2A0A"/>
    <w:rsid w:val="008E5814"/>
    <w:rsid w:val="008E6222"/>
    <w:rsid w:val="008F1130"/>
    <w:rsid w:val="009051E1"/>
    <w:rsid w:val="00906B06"/>
    <w:rsid w:val="00922B0D"/>
    <w:rsid w:val="00941D1C"/>
    <w:rsid w:val="00941D4E"/>
    <w:rsid w:val="00947E76"/>
    <w:rsid w:val="00964FD7"/>
    <w:rsid w:val="0096754A"/>
    <w:rsid w:val="00975554"/>
    <w:rsid w:val="009813D1"/>
    <w:rsid w:val="00984331"/>
    <w:rsid w:val="00990621"/>
    <w:rsid w:val="00991DA3"/>
    <w:rsid w:val="009A2AA9"/>
    <w:rsid w:val="009A6791"/>
    <w:rsid w:val="009B125A"/>
    <w:rsid w:val="009B12DC"/>
    <w:rsid w:val="009B290E"/>
    <w:rsid w:val="009B2915"/>
    <w:rsid w:val="009D0FED"/>
    <w:rsid w:val="009E70B2"/>
    <w:rsid w:val="009F03F0"/>
    <w:rsid w:val="00A02E0F"/>
    <w:rsid w:val="00A03D44"/>
    <w:rsid w:val="00A04A13"/>
    <w:rsid w:val="00A054BC"/>
    <w:rsid w:val="00A07747"/>
    <w:rsid w:val="00A2244F"/>
    <w:rsid w:val="00A235F7"/>
    <w:rsid w:val="00A309D4"/>
    <w:rsid w:val="00A45EDE"/>
    <w:rsid w:val="00A46B22"/>
    <w:rsid w:val="00A47EEA"/>
    <w:rsid w:val="00A535AB"/>
    <w:rsid w:val="00A60AAE"/>
    <w:rsid w:val="00A61D56"/>
    <w:rsid w:val="00AA1198"/>
    <w:rsid w:val="00AA25C2"/>
    <w:rsid w:val="00AA6A0D"/>
    <w:rsid w:val="00AC0925"/>
    <w:rsid w:val="00AC1E0B"/>
    <w:rsid w:val="00AC525F"/>
    <w:rsid w:val="00AD5CA1"/>
    <w:rsid w:val="00AE17C1"/>
    <w:rsid w:val="00AE285B"/>
    <w:rsid w:val="00AF0536"/>
    <w:rsid w:val="00AF1297"/>
    <w:rsid w:val="00AF222A"/>
    <w:rsid w:val="00B054AD"/>
    <w:rsid w:val="00B11D55"/>
    <w:rsid w:val="00B14742"/>
    <w:rsid w:val="00B24942"/>
    <w:rsid w:val="00B2688B"/>
    <w:rsid w:val="00B269A4"/>
    <w:rsid w:val="00B27902"/>
    <w:rsid w:val="00B322C3"/>
    <w:rsid w:val="00B40693"/>
    <w:rsid w:val="00B43CD8"/>
    <w:rsid w:val="00B65E55"/>
    <w:rsid w:val="00B76A11"/>
    <w:rsid w:val="00B86CE7"/>
    <w:rsid w:val="00B90435"/>
    <w:rsid w:val="00B90D1F"/>
    <w:rsid w:val="00BA337A"/>
    <w:rsid w:val="00BA3E5A"/>
    <w:rsid w:val="00BA4FBC"/>
    <w:rsid w:val="00BC77EE"/>
    <w:rsid w:val="00BD1F8A"/>
    <w:rsid w:val="00BD41E3"/>
    <w:rsid w:val="00BD7BCD"/>
    <w:rsid w:val="00BE0C99"/>
    <w:rsid w:val="00BE68AF"/>
    <w:rsid w:val="00BF11F7"/>
    <w:rsid w:val="00BF2B4D"/>
    <w:rsid w:val="00BF39C4"/>
    <w:rsid w:val="00C178B1"/>
    <w:rsid w:val="00C17AE6"/>
    <w:rsid w:val="00C22080"/>
    <w:rsid w:val="00C349E3"/>
    <w:rsid w:val="00C42744"/>
    <w:rsid w:val="00C57516"/>
    <w:rsid w:val="00C61A8A"/>
    <w:rsid w:val="00C75084"/>
    <w:rsid w:val="00C8662F"/>
    <w:rsid w:val="00C907FE"/>
    <w:rsid w:val="00C91C43"/>
    <w:rsid w:val="00C9201D"/>
    <w:rsid w:val="00CA3296"/>
    <w:rsid w:val="00CA7F98"/>
    <w:rsid w:val="00CB0DAB"/>
    <w:rsid w:val="00CC5841"/>
    <w:rsid w:val="00CD35E3"/>
    <w:rsid w:val="00CE6F91"/>
    <w:rsid w:val="00CF0686"/>
    <w:rsid w:val="00CF0806"/>
    <w:rsid w:val="00CF455F"/>
    <w:rsid w:val="00CF4704"/>
    <w:rsid w:val="00D06491"/>
    <w:rsid w:val="00D32CB8"/>
    <w:rsid w:val="00D35288"/>
    <w:rsid w:val="00D36C71"/>
    <w:rsid w:val="00D407CA"/>
    <w:rsid w:val="00D40C56"/>
    <w:rsid w:val="00D41380"/>
    <w:rsid w:val="00D41E79"/>
    <w:rsid w:val="00D43439"/>
    <w:rsid w:val="00D53A50"/>
    <w:rsid w:val="00D54A2D"/>
    <w:rsid w:val="00D63F0C"/>
    <w:rsid w:val="00D7448B"/>
    <w:rsid w:val="00D75AF8"/>
    <w:rsid w:val="00D800C0"/>
    <w:rsid w:val="00D80F53"/>
    <w:rsid w:val="00D85272"/>
    <w:rsid w:val="00D90430"/>
    <w:rsid w:val="00D92015"/>
    <w:rsid w:val="00D92D4D"/>
    <w:rsid w:val="00D95B2E"/>
    <w:rsid w:val="00D97319"/>
    <w:rsid w:val="00DC5911"/>
    <w:rsid w:val="00DC5C31"/>
    <w:rsid w:val="00DD3996"/>
    <w:rsid w:val="00DD45D4"/>
    <w:rsid w:val="00DD586C"/>
    <w:rsid w:val="00DE2399"/>
    <w:rsid w:val="00DE24D6"/>
    <w:rsid w:val="00DE49DD"/>
    <w:rsid w:val="00DF1BC9"/>
    <w:rsid w:val="00DF2047"/>
    <w:rsid w:val="00E02D19"/>
    <w:rsid w:val="00E055D6"/>
    <w:rsid w:val="00E05E8C"/>
    <w:rsid w:val="00E145A1"/>
    <w:rsid w:val="00E15004"/>
    <w:rsid w:val="00E16303"/>
    <w:rsid w:val="00E179C4"/>
    <w:rsid w:val="00E21EDF"/>
    <w:rsid w:val="00E309AA"/>
    <w:rsid w:val="00E32707"/>
    <w:rsid w:val="00E45D66"/>
    <w:rsid w:val="00E478AB"/>
    <w:rsid w:val="00E519D0"/>
    <w:rsid w:val="00E5675B"/>
    <w:rsid w:val="00E572B4"/>
    <w:rsid w:val="00E62496"/>
    <w:rsid w:val="00E634BE"/>
    <w:rsid w:val="00E93147"/>
    <w:rsid w:val="00EA6A05"/>
    <w:rsid w:val="00EA767D"/>
    <w:rsid w:val="00EB020A"/>
    <w:rsid w:val="00EB14C3"/>
    <w:rsid w:val="00EB308B"/>
    <w:rsid w:val="00EB6672"/>
    <w:rsid w:val="00EC4674"/>
    <w:rsid w:val="00EC5C14"/>
    <w:rsid w:val="00ED015E"/>
    <w:rsid w:val="00EE1B77"/>
    <w:rsid w:val="00EE76EF"/>
    <w:rsid w:val="00F02322"/>
    <w:rsid w:val="00F1299C"/>
    <w:rsid w:val="00F32DC1"/>
    <w:rsid w:val="00F43976"/>
    <w:rsid w:val="00F50A79"/>
    <w:rsid w:val="00F5545C"/>
    <w:rsid w:val="00F57412"/>
    <w:rsid w:val="00F63B73"/>
    <w:rsid w:val="00F63F58"/>
    <w:rsid w:val="00F67609"/>
    <w:rsid w:val="00F753D2"/>
    <w:rsid w:val="00F837AC"/>
    <w:rsid w:val="00F83CF9"/>
    <w:rsid w:val="00F957AC"/>
    <w:rsid w:val="00FA463C"/>
    <w:rsid w:val="00FB206E"/>
    <w:rsid w:val="00FB3C7E"/>
    <w:rsid w:val="00FC1699"/>
    <w:rsid w:val="00FD11F9"/>
    <w:rsid w:val="00FD3190"/>
    <w:rsid w:val="00FD39C9"/>
    <w:rsid w:val="00FE45A2"/>
    <w:rsid w:val="00FF034B"/>
    <w:rsid w:val="00FF7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47"/>
    <w:pPr>
      <w:ind w:left="720"/>
      <w:contextualSpacing/>
    </w:pPr>
  </w:style>
  <w:style w:type="paragraph" w:styleId="FootnoteText">
    <w:name w:val="footnote text"/>
    <w:basedOn w:val="Normal"/>
    <w:link w:val="FootnoteTextChar"/>
    <w:uiPriority w:val="99"/>
    <w:semiHidden/>
    <w:unhideWhenUsed/>
    <w:rsid w:val="00891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232"/>
    <w:rPr>
      <w:sz w:val="20"/>
      <w:szCs w:val="20"/>
    </w:rPr>
  </w:style>
  <w:style w:type="character" w:styleId="FootnoteReference">
    <w:name w:val="footnote reference"/>
    <w:basedOn w:val="DefaultParagraphFont"/>
    <w:uiPriority w:val="99"/>
    <w:semiHidden/>
    <w:unhideWhenUsed/>
    <w:rsid w:val="00891232"/>
    <w:rPr>
      <w:vertAlign w:val="superscript"/>
    </w:rPr>
  </w:style>
  <w:style w:type="table" w:styleId="TableGrid">
    <w:name w:val="Table Grid"/>
    <w:basedOn w:val="TableNormal"/>
    <w:uiPriority w:val="59"/>
    <w:rsid w:val="00446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F61"/>
  </w:style>
  <w:style w:type="paragraph" w:styleId="Footer">
    <w:name w:val="footer"/>
    <w:basedOn w:val="Normal"/>
    <w:link w:val="FooterChar"/>
    <w:uiPriority w:val="99"/>
    <w:unhideWhenUsed/>
    <w:rsid w:val="006F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F61"/>
  </w:style>
  <w:style w:type="table" w:customStyle="1" w:styleId="TableGrid2">
    <w:name w:val="Table Grid2"/>
    <w:basedOn w:val="TableNormal"/>
    <w:next w:val="TableGrid"/>
    <w:rsid w:val="00281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5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F8"/>
    <w:rPr>
      <w:rFonts w:ascii="Tahoma" w:hAnsi="Tahoma" w:cs="Tahoma"/>
      <w:sz w:val="16"/>
      <w:szCs w:val="16"/>
    </w:rPr>
  </w:style>
  <w:style w:type="paragraph" w:customStyle="1" w:styleId="Default">
    <w:name w:val="Default"/>
    <w:rsid w:val="00E179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46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47"/>
    <w:pPr>
      <w:ind w:left="720"/>
      <w:contextualSpacing/>
    </w:pPr>
  </w:style>
  <w:style w:type="paragraph" w:styleId="FootnoteText">
    <w:name w:val="footnote text"/>
    <w:basedOn w:val="Normal"/>
    <w:link w:val="FootnoteTextChar"/>
    <w:uiPriority w:val="99"/>
    <w:semiHidden/>
    <w:unhideWhenUsed/>
    <w:rsid w:val="00891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232"/>
    <w:rPr>
      <w:sz w:val="20"/>
      <w:szCs w:val="20"/>
    </w:rPr>
  </w:style>
  <w:style w:type="character" w:styleId="FootnoteReference">
    <w:name w:val="footnote reference"/>
    <w:basedOn w:val="DefaultParagraphFont"/>
    <w:uiPriority w:val="99"/>
    <w:semiHidden/>
    <w:unhideWhenUsed/>
    <w:rsid w:val="00891232"/>
    <w:rPr>
      <w:vertAlign w:val="superscript"/>
    </w:rPr>
  </w:style>
  <w:style w:type="table" w:styleId="TableGrid">
    <w:name w:val="Table Grid"/>
    <w:basedOn w:val="TableNormal"/>
    <w:uiPriority w:val="59"/>
    <w:rsid w:val="00446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F61"/>
  </w:style>
  <w:style w:type="paragraph" w:styleId="Footer">
    <w:name w:val="footer"/>
    <w:basedOn w:val="Normal"/>
    <w:link w:val="FooterChar"/>
    <w:uiPriority w:val="99"/>
    <w:unhideWhenUsed/>
    <w:rsid w:val="006F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F61"/>
  </w:style>
  <w:style w:type="table" w:customStyle="1" w:styleId="TableGrid2">
    <w:name w:val="Table Grid2"/>
    <w:basedOn w:val="TableNormal"/>
    <w:next w:val="TableGrid"/>
    <w:rsid w:val="00281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5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F8"/>
    <w:rPr>
      <w:rFonts w:ascii="Tahoma" w:hAnsi="Tahoma" w:cs="Tahoma"/>
      <w:sz w:val="16"/>
      <w:szCs w:val="16"/>
    </w:rPr>
  </w:style>
  <w:style w:type="paragraph" w:customStyle="1" w:styleId="Default">
    <w:name w:val="Default"/>
    <w:rsid w:val="00E179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46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lgoldber@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7DAA-2500-46CC-8930-ED982545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4681</Words>
  <Characters>26687</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31306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DR179 - John Goldberg - Public Infrastructure - Public inquiry</dc:title>
  <dc:creator>John Goldberg</dc:creator>
  <cp:lastModifiedBy>Productivity Commission</cp:lastModifiedBy>
  <cp:revision>2</cp:revision>
  <cp:lastPrinted>2014-04-08T02:02:00Z</cp:lastPrinted>
  <dcterms:created xsi:type="dcterms:W3CDTF">2014-04-15T03:49:00Z</dcterms:created>
  <dcterms:modified xsi:type="dcterms:W3CDTF">2014-04-15T03:49:00Z</dcterms:modified>
</cp:coreProperties>
</file>