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AE8" w:rsidRDefault="00F00AE8" w:rsidP="007A3192">
      <w:pPr>
        <w:autoSpaceDE w:val="0"/>
        <w:autoSpaceDN w:val="0"/>
        <w:adjustRightInd w:val="0"/>
        <w:jc w:val="right"/>
        <w:rPr>
          <w:rFonts w:ascii="Comic Sans MS" w:hAnsi="Comic Sans MS" w:cs="Comic Sans MS"/>
          <w:sz w:val="18"/>
          <w:szCs w:val="18"/>
          <w:lang w:val="en-US"/>
        </w:rPr>
      </w:pPr>
    </w:p>
    <w:p w:rsidR="00F00AE8" w:rsidRDefault="00F00AE8" w:rsidP="007A3192">
      <w:pPr>
        <w:autoSpaceDE w:val="0"/>
        <w:autoSpaceDN w:val="0"/>
        <w:adjustRightInd w:val="0"/>
        <w:jc w:val="right"/>
        <w:rPr>
          <w:rFonts w:ascii="Comic Sans MS" w:hAnsi="Comic Sans MS" w:cs="Comic Sans MS"/>
          <w:sz w:val="18"/>
          <w:szCs w:val="18"/>
          <w:lang w:val="en-US"/>
        </w:rPr>
      </w:pPr>
    </w:p>
    <w:p w:rsidR="00F00AE8" w:rsidRDefault="00F00AE8" w:rsidP="007A3192">
      <w:pPr>
        <w:autoSpaceDE w:val="0"/>
        <w:autoSpaceDN w:val="0"/>
        <w:adjustRightInd w:val="0"/>
        <w:jc w:val="right"/>
        <w:rPr>
          <w:rFonts w:ascii="Comic Sans MS" w:hAnsi="Comic Sans MS" w:cs="Comic Sans MS"/>
          <w:sz w:val="18"/>
          <w:szCs w:val="18"/>
          <w:lang w:val="en-US"/>
        </w:rPr>
      </w:pPr>
    </w:p>
    <w:p w:rsidR="00F00AE8" w:rsidRDefault="00F00AE8" w:rsidP="007A3192">
      <w:pPr>
        <w:autoSpaceDE w:val="0"/>
        <w:autoSpaceDN w:val="0"/>
        <w:adjustRightInd w:val="0"/>
        <w:jc w:val="right"/>
        <w:rPr>
          <w:rFonts w:ascii="Comic Sans MS" w:hAnsi="Comic Sans MS" w:cs="Comic Sans MS"/>
          <w:sz w:val="18"/>
          <w:szCs w:val="18"/>
          <w:lang w:val="en-US"/>
        </w:rPr>
      </w:pPr>
    </w:p>
    <w:p w:rsidR="007A3192" w:rsidRPr="007503FB" w:rsidRDefault="007A3192" w:rsidP="007A3192">
      <w:pPr>
        <w:autoSpaceDE w:val="0"/>
        <w:autoSpaceDN w:val="0"/>
        <w:adjustRightInd w:val="0"/>
        <w:jc w:val="right"/>
        <w:rPr>
          <w:rFonts w:ascii="Comic Sans MS" w:hAnsi="Comic Sans MS" w:cs="Comic Sans MS"/>
          <w:lang w:val="en-US"/>
        </w:rPr>
      </w:pPr>
      <w:r>
        <w:rPr>
          <w:rFonts w:ascii="Comic Sans MS" w:hAnsi="Comic Sans MS" w:cs="Comic Sans MS"/>
          <w:sz w:val="18"/>
          <w:szCs w:val="18"/>
          <w:lang w:val="en-US"/>
        </w:rPr>
        <w:t>1</w:t>
      </w:r>
      <w:r w:rsidR="006A39B5">
        <w:rPr>
          <w:rFonts w:ascii="Comic Sans MS" w:hAnsi="Comic Sans MS" w:cs="Comic Sans MS"/>
          <w:sz w:val="18"/>
          <w:szCs w:val="18"/>
          <w:lang w:val="en-US"/>
        </w:rPr>
        <w:t>4</w:t>
      </w:r>
      <w:r>
        <w:rPr>
          <w:rFonts w:ascii="Comic Sans MS" w:hAnsi="Comic Sans MS" w:cs="Comic Sans MS"/>
          <w:sz w:val="18"/>
          <w:szCs w:val="18"/>
          <w:lang w:val="en-US"/>
        </w:rPr>
        <w:t xml:space="preserve"> April 2014</w:t>
      </w:r>
    </w:p>
    <w:p w:rsidR="007A3192" w:rsidRDefault="007A3192" w:rsidP="007A3192">
      <w:pPr>
        <w:autoSpaceDE w:val="0"/>
        <w:autoSpaceDN w:val="0"/>
        <w:adjustRightInd w:val="0"/>
        <w:rPr>
          <w:rFonts w:ascii="Book Antiqua" w:hAnsi="Book Antiqua" w:cs="MS Sans Serif"/>
          <w:sz w:val="24"/>
          <w:szCs w:val="24"/>
        </w:rPr>
      </w:pPr>
      <w:r>
        <w:rPr>
          <w:rFonts w:ascii="Book Antiqua" w:hAnsi="Book Antiqua" w:cs="MS Sans Serif"/>
          <w:sz w:val="24"/>
          <w:szCs w:val="24"/>
        </w:rPr>
        <w:t>The Chairman</w:t>
      </w:r>
    </w:p>
    <w:p w:rsidR="007A3192" w:rsidRDefault="007A3192" w:rsidP="007A3192">
      <w:pPr>
        <w:autoSpaceDE w:val="0"/>
        <w:autoSpaceDN w:val="0"/>
        <w:adjustRightInd w:val="0"/>
        <w:rPr>
          <w:rFonts w:ascii="Book Antiqua" w:hAnsi="Book Antiqua" w:cs="MS Sans Serif"/>
          <w:sz w:val="24"/>
          <w:szCs w:val="24"/>
        </w:rPr>
      </w:pPr>
      <w:r>
        <w:rPr>
          <w:rFonts w:ascii="Book Antiqua" w:hAnsi="Book Antiqua" w:cs="MS Sans Serif"/>
          <w:sz w:val="24"/>
          <w:szCs w:val="24"/>
        </w:rPr>
        <w:t>Productivity Commission</w:t>
      </w:r>
    </w:p>
    <w:p w:rsidR="007A3192" w:rsidRDefault="007A3192" w:rsidP="007A3192">
      <w:pPr>
        <w:autoSpaceDE w:val="0"/>
        <w:autoSpaceDN w:val="0"/>
        <w:adjustRightInd w:val="0"/>
        <w:rPr>
          <w:rFonts w:ascii="Book Antiqua" w:hAnsi="Book Antiqua" w:cs="MS Sans Serif"/>
          <w:sz w:val="24"/>
          <w:szCs w:val="24"/>
        </w:rPr>
      </w:pPr>
      <w:proofErr w:type="spellStart"/>
      <w:r>
        <w:rPr>
          <w:rFonts w:ascii="Book Antiqua" w:hAnsi="Book Antiqua" w:cs="MS Sans Serif"/>
          <w:sz w:val="24"/>
          <w:szCs w:val="24"/>
        </w:rPr>
        <w:t>LB</w:t>
      </w:r>
      <w:proofErr w:type="spellEnd"/>
      <w:r>
        <w:rPr>
          <w:rFonts w:ascii="Book Antiqua" w:hAnsi="Book Antiqua" w:cs="MS Sans Serif"/>
          <w:sz w:val="24"/>
          <w:szCs w:val="24"/>
        </w:rPr>
        <w:t xml:space="preserve"> 2 Collins Street East</w:t>
      </w:r>
    </w:p>
    <w:p w:rsidR="007A3192" w:rsidRDefault="007A3192" w:rsidP="007A3192">
      <w:pPr>
        <w:autoSpaceDE w:val="0"/>
        <w:autoSpaceDN w:val="0"/>
        <w:adjustRightInd w:val="0"/>
        <w:rPr>
          <w:rFonts w:ascii="Book Antiqua" w:hAnsi="Book Antiqua" w:cs="MS Sans Serif"/>
          <w:sz w:val="24"/>
          <w:szCs w:val="24"/>
        </w:rPr>
      </w:pPr>
      <w:r>
        <w:rPr>
          <w:rFonts w:ascii="Book Antiqua" w:hAnsi="Book Antiqua" w:cs="MS Sans Serif"/>
          <w:sz w:val="24"/>
          <w:szCs w:val="24"/>
        </w:rPr>
        <w:t>Melbourne Victoria 8003</w:t>
      </w:r>
    </w:p>
    <w:p w:rsidR="007A3192" w:rsidRDefault="007A3192" w:rsidP="007A3192">
      <w:pPr>
        <w:autoSpaceDE w:val="0"/>
        <w:autoSpaceDN w:val="0"/>
        <w:adjustRightInd w:val="0"/>
        <w:rPr>
          <w:rFonts w:ascii="Book Antiqua" w:hAnsi="Book Antiqua" w:cs="MS Sans Serif"/>
          <w:sz w:val="24"/>
          <w:szCs w:val="24"/>
        </w:rPr>
      </w:pPr>
    </w:p>
    <w:p w:rsidR="007A3192" w:rsidRPr="00A27565" w:rsidRDefault="007A3192" w:rsidP="007A3192">
      <w:pPr>
        <w:autoSpaceDE w:val="0"/>
        <w:autoSpaceDN w:val="0"/>
        <w:adjustRightInd w:val="0"/>
        <w:jc w:val="center"/>
        <w:rPr>
          <w:rFonts w:ascii="Book Antiqua" w:hAnsi="Book Antiqua" w:cs="MS Sans Serif"/>
          <w:b/>
          <w:sz w:val="24"/>
          <w:szCs w:val="24"/>
        </w:rPr>
      </w:pPr>
      <w:r>
        <w:rPr>
          <w:rFonts w:ascii="Book Antiqua" w:hAnsi="Book Antiqua" w:cs="MS Sans Serif"/>
          <w:b/>
          <w:sz w:val="24"/>
          <w:szCs w:val="24"/>
        </w:rPr>
        <w:t>Public Infrastructure – Supplementary Submission</w:t>
      </w:r>
    </w:p>
    <w:p w:rsidR="007A3192" w:rsidRPr="00BC43D9" w:rsidRDefault="007A3192" w:rsidP="007A3192">
      <w:pPr>
        <w:autoSpaceDE w:val="0"/>
        <w:autoSpaceDN w:val="0"/>
        <w:adjustRightInd w:val="0"/>
        <w:rPr>
          <w:rFonts w:ascii="Book Antiqua" w:hAnsi="Book Antiqua" w:cs="MS Sans Serif"/>
          <w:color w:val="000000"/>
        </w:rPr>
      </w:pPr>
    </w:p>
    <w:p w:rsidR="00CA146E" w:rsidRPr="00524D8E" w:rsidRDefault="007A3192">
      <w:pPr>
        <w:rPr>
          <w:rFonts w:ascii="Book Antiqua" w:hAnsi="Book Antiqua" w:cs="MS Sans Serif"/>
          <w:color w:val="000000"/>
        </w:rPr>
      </w:pPr>
      <w:r w:rsidRPr="00BC43D9">
        <w:rPr>
          <w:rFonts w:ascii="Book Antiqua" w:hAnsi="Book Antiqua" w:cs="MS Sans Serif"/>
          <w:color w:val="000000"/>
        </w:rPr>
        <w:t xml:space="preserve">I write to make a </w:t>
      </w:r>
      <w:r>
        <w:rPr>
          <w:rFonts w:ascii="Book Antiqua" w:hAnsi="Book Antiqua" w:cs="MS Sans Serif"/>
          <w:color w:val="000000"/>
        </w:rPr>
        <w:t xml:space="preserve">supplementary </w:t>
      </w:r>
      <w:r w:rsidRPr="00BC43D9">
        <w:rPr>
          <w:rFonts w:ascii="Book Antiqua" w:hAnsi="Book Antiqua" w:cs="MS Sans Serif"/>
          <w:color w:val="000000"/>
        </w:rPr>
        <w:t xml:space="preserve">submission on the </w:t>
      </w:r>
      <w:r>
        <w:rPr>
          <w:rFonts w:ascii="Book Antiqua" w:hAnsi="Book Antiqua" w:cs="MS Sans Serif"/>
          <w:color w:val="000000"/>
        </w:rPr>
        <w:t>D</w:t>
      </w:r>
      <w:r w:rsidRPr="00BC43D9">
        <w:rPr>
          <w:rFonts w:ascii="Book Antiqua" w:hAnsi="Book Antiqua" w:cs="MS Sans Serif"/>
          <w:color w:val="000000"/>
        </w:rPr>
        <w:t xml:space="preserve">raft </w:t>
      </w:r>
      <w:r>
        <w:rPr>
          <w:rFonts w:ascii="Book Antiqua" w:hAnsi="Book Antiqua" w:cs="MS Sans Serif"/>
          <w:color w:val="000000"/>
        </w:rPr>
        <w:t>R</w:t>
      </w:r>
      <w:r w:rsidRPr="00BC43D9">
        <w:rPr>
          <w:rFonts w:ascii="Book Antiqua" w:hAnsi="Book Antiqua" w:cs="MS Sans Serif"/>
          <w:color w:val="000000"/>
        </w:rPr>
        <w:t>eport</w:t>
      </w:r>
      <w:r>
        <w:rPr>
          <w:rFonts w:ascii="Book Antiqua" w:hAnsi="Book Antiqua" w:cs="MS Sans Serif"/>
          <w:color w:val="000000"/>
        </w:rPr>
        <w:t>,</w:t>
      </w:r>
      <w:r w:rsidR="006316D9">
        <w:rPr>
          <w:rFonts w:ascii="Book Antiqua" w:hAnsi="Book Antiqua" w:cs="MS Sans Serif"/>
          <w:color w:val="000000"/>
        </w:rPr>
        <w:t xml:space="preserve"> to support my appearance </w:t>
      </w:r>
      <w:r w:rsidR="006A542B">
        <w:rPr>
          <w:rFonts w:ascii="Book Antiqua" w:hAnsi="Book Antiqua" w:cs="MS Sans Serif"/>
          <w:color w:val="000000"/>
        </w:rPr>
        <w:t>on</w:t>
      </w:r>
      <w:r w:rsidR="00CE7B29">
        <w:rPr>
          <w:rFonts w:ascii="Book Antiqua" w:hAnsi="Book Antiqua" w:cs="MS Sans Serif"/>
          <w:color w:val="000000"/>
        </w:rPr>
        <w:t xml:space="preserve"> Friday 11 April</w:t>
      </w:r>
      <w:r w:rsidR="006316D9">
        <w:rPr>
          <w:rFonts w:ascii="Book Antiqua" w:hAnsi="Book Antiqua" w:cs="MS Sans Serif"/>
          <w:color w:val="000000"/>
        </w:rPr>
        <w:t xml:space="preserve">. I thank </w:t>
      </w:r>
      <w:r w:rsidR="0065258A">
        <w:rPr>
          <w:rFonts w:ascii="Book Antiqua" w:hAnsi="Book Antiqua" w:cs="MS Sans Serif"/>
          <w:color w:val="000000"/>
        </w:rPr>
        <w:t>the C</w:t>
      </w:r>
      <w:r w:rsidR="006316D9">
        <w:rPr>
          <w:rFonts w:ascii="Book Antiqua" w:hAnsi="Book Antiqua" w:cs="MS Sans Serif"/>
          <w:color w:val="000000"/>
        </w:rPr>
        <w:t xml:space="preserve">ommission for </w:t>
      </w:r>
      <w:r w:rsidR="006A542B">
        <w:rPr>
          <w:rFonts w:ascii="Book Antiqua" w:hAnsi="Book Antiqua" w:cs="MS Sans Serif"/>
          <w:color w:val="000000"/>
        </w:rPr>
        <w:t>the</w:t>
      </w:r>
      <w:r w:rsidR="006316D9">
        <w:rPr>
          <w:rFonts w:ascii="Book Antiqua" w:hAnsi="Book Antiqua" w:cs="MS Sans Serif"/>
          <w:color w:val="000000"/>
        </w:rPr>
        <w:t xml:space="preserve"> opportunity to present in person</w:t>
      </w:r>
      <w:r w:rsidR="00CE7B29">
        <w:rPr>
          <w:rFonts w:ascii="Book Antiqua" w:hAnsi="Book Antiqua" w:cs="MS Sans Serif"/>
          <w:color w:val="000000"/>
        </w:rPr>
        <w:t xml:space="preserve"> and for the invitation</w:t>
      </w:r>
      <w:r w:rsidR="0017153F">
        <w:rPr>
          <w:rFonts w:ascii="Book Antiqua" w:hAnsi="Book Antiqua" w:cs="MS Sans Serif"/>
          <w:color w:val="000000"/>
        </w:rPr>
        <w:t>, extended</w:t>
      </w:r>
      <w:r w:rsidR="00CE7B29">
        <w:rPr>
          <w:rFonts w:ascii="Book Antiqua" w:hAnsi="Book Antiqua" w:cs="MS Sans Serif"/>
          <w:color w:val="000000"/>
        </w:rPr>
        <w:t xml:space="preserve"> at the briefing</w:t>
      </w:r>
      <w:r w:rsidR="0017153F">
        <w:rPr>
          <w:rFonts w:ascii="Book Antiqua" w:hAnsi="Book Antiqua" w:cs="MS Sans Serif"/>
          <w:color w:val="000000"/>
        </w:rPr>
        <w:t>,</w:t>
      </w:r>
      <w:r w:rsidR="00CE7B29">
        <w:rPr>
          <w:rFonts w:ascii="Book Antiqua" w:hAnsi="Book Antiqua" w:cs="MS Sans Serif"/>
          <w:color w:val="000000"/>
        </w:rPr>
        <w:t xml:space="preserve"> to submit additional material on </w:t>
      </w:r>
      <w:r w:rsidR="00CE7B29" w:rsidRPr="00524D8E">
        <w:rPr>
          <w:rFonts w:ascii="Book Antiqua" w:hAnsi="Book Antiqua" w:cs="MS Sans Serif"/>
          <w:color w:val="000000"/>
        </w:rPr>
        <w:t>the matter of governance</w:t>
      </w:r>
      <w:r w:rsidR="006316D9" w:rsidRPr="00524D8E">
        <w:rPr>
          <w:rFonts w:ascii="Book Antiqua" w:hAnsi="Book Antiqua" w:cs="MS Sans Serif"/>
          <w:color w:val="000000"/>
        </w:rPr>
        <w:t>.</w:t>
      </w:r>
    </w:p>
    <w:p w:rsidR="00DF305B" w:rsidRPr="00524D8E" w:rsidRDefault="00DF305B">
      <w:pPr>
        <w:rPr>
          <w:rFonts w:ascii="Book Antiqua" w:hAnsi="Book Antiqua"/>
        </w:rPr>
      </w:pPr>
    </w:p>
    <w:p w:rsidR="00A55AC5" w:rsidRPr="006C5192" w:rsidRDefault="00A55AC5">
      <w:pPr>
        <w:rPr>
          <w:rFonts w:ascii="Book Antiqua" w:hAnsi="Book Antiqua"/>
        </w:rPr>
      </w:pPr>
      <w:r w:rsidRPr="00524D8E">
        <w:rPr>
          <w:rFonts w:ascii="Book Antiqua" w:hAnsi="Book Antiqua"/>
        </w:rPr>
        <w:t>Some of my supplementary evidence runs counter to the economics-focused line of analysis which is the Commission’s specialty.</w:t>
      </w:r>
      <w:r w:rsidR="00524D8E" w:rsidRPr="00524D8E">
        <w:rPr>
          <w:rFonts w:ascii="Book Antiqua" w:hAnsi="Book Antiqua"/>
        </w:rPr>
        <w:t xml:space="preserve"> I submit that the greatest service I can do to the Commission is to give frank advice</w:t>
      </w:r>
      <w:r w:rsidR="00524D8E">
        <w:rPr>
          <w:rFonts w:ascii="Book Antiqua" w:hAnsi="Book Antiqua"/>
        </w:rPr>
        <w:t xml:space="preserve"> from a different disciplinary perspective</w:t>
      </w:r>
      <w:r w:rsidR="00524D8E" w:rsidRPr="00524D8E">
        <w:rPr>
          <w:rFonts w:ascii="Book Antiqua" w:hAnsi="Book Antiqua"/>
        </w:rPr>
        <w:t>.</w:t>
      </w:r>
      <w:r w:rsidR="006C5192">
        <w:rPr>
          <w:rFonts w:ascii="Book Antiqua" w:hAnsi="Book Antiqua"/>
        </w:rPr>
        <w:t xml:space="preserve"> Given that the three “wrecking balls” identified in this supplementary submission are all externalities to</w:t>
      </w:r>
      <w:r w:rsidR="006C5192" w:rsidRPr="006C5192">
        <w:rPr>
          <w:rFonts w:ascii="Book Antiqua" w:hAnsi="Book Antiqua"/>
        </w:rPr>
        <w:t xml:space="preserve"> functioning markets, it follows that they cannot be </w:t>
      </w:r>
      <w:r w:rsidR="005F2F14">
        <w:rPr>
          <w:rFonts w:ascii="Book Antiqua" w:hAnsi="Book Antiqua"/>
        </w:rPr>
        <w:t>mastered by recourse to</w:t>
      </w:r>
      <w:r w:rsidR="006C5192" w:rsidRPr="006C5192">
        <w:rPr>
          <w:rFonts w:ascii="Book Antiqua" w:hAnsi="Book Antiqua" w:cs="MS Sans Serif"/>
          <w:color w:val="000000"/>
        </w:rPr>
        <w:t xml:space="preserve"> market theory</w:t>
      </w:r>
      <w:r w:rsidR="005F2F14">
        <w:rPr>
          <w:rFonts w:ascii="Book Antiqua" w:hAnsi="Book Antiqua" w:cs="MS Sans Serif"/>
          <w:color w:val="000000"/>
        </w:rPr>
        <w:t xml:space="preserve"> alone</w:t>
      </w:r>
      <w:r w:rsidR="006C5192" w:rsidRPr="006C5192">
        <w:rPr>
          <w:rFonts w:ascii="Book Antiqua" w:hAnsi="Book Antiqua" w:cs="MS Sans Serif"/>
          <w:color w:val="000000"/>
        </w:rPr>
        <w:t>.</w:t>
      </w:r>
    </w:p>
    <w:p w:rsidR="00524D8E" w:rsidRPr="00524D8E" w:rsidRDefault="00524D8E">
      <w:pPr>
        <w:rPr>
          <w:rFonts w:ascii="Book Antiqua" w:hAnsi="Book Antiqua"/>
        </w:rPr>
      </w:pPr>
    </w:p>
    <w:p w:rsidR="007A3192" w:rsidRPr="003A773C" w:rsidRDefault="003A773C" w:rsidP="007A3192">
      <w:pPr>
        <w:autoSpaceDE w:val="0"/>
        <w:autoSpaceDN w:val="0"/>
        <w:adjustRightInd w:val="0"/>
        <w:rPr>
          <w:rFonts w:ascii="Book Antiqua" w:hAnsi="Book Antiqua" w:cs="MS Sans Serif"/>
          <w:b/>
          <w:color w:val="000000"/>
        </w:rPr>
      </w:pPr>
      <w:r>
        <w:rPr>
          <w:rFonts w:ascii="Book Antiqua" w:hAnsi="Book Antiqua" w:cs="MS Sans Serif"/>
          <w:b/>
          <w:color w:val="000000"/>
        </w:rPr>
        <w:t>My credentials</w:t>
      </w:r>
      <w:r w:rsidR="00493FBC">
        <w:rPr>
          <w:rFonts w:ascii="Book Antiqua" w:hAnsi="Book Antiqua" w:cs="MS Sans Serif"/>
          <w:b/>
          <w:color w:val="000000"/>
        </w:rPr>
        <w:t xml:space="preserve"> relevant to this enquiry</w:t>
      </w:r>
    </w:p>
    <w:p w:rsidR="003A773C" w:rsidRDefault="003A773C" w:rsidP="007A3192">
      <w:pPr>
        <w:autoSpaceDE w:val="0"/>
        <w:autoSpaceDN w:val="0"/>
        <w:adjustRightInd w:val="0"/>
        <w:rPr>
          <w:rFonts w:ascii="Book Antiqua" w:hAnsi="Book Antiqua" w:cs="MS Sans Serif"/>
          <w:color w:val="000000"/>
        </w:rPr>
      </w:pPr>
    </w:p>
    <w:p w:rsidR="00DE12BE" w:rsidRPr="00FB54AE" w:rsidRDefault="00B92A3D" w:rsidP="00DE12BE">
      <w:pPr>
        <w:tabs>
          <w:tab w:val="left" w:pos="-720"/>
        </w:tabs>
        <w:suppressAutoHyphens/>
        <w:jc w:val="both"/>
        <w:rPr>
          <w:rFonts w:ascii="Cambria" w:hAnsi="Cambria" w:cs="Calibri"/>
          <w:b/>
          <w:i/>
          <w:sz w:val="24"/>
          <w:szCs w:val="24"/>
        </w:rPr>
      </w:pPr>
      <w:r>
        <w:rPr>
          <w:rFonts w:ascii="Book Antiqua" w:hAnsi="Book Antiqua" w:cs="MS Sans Serif"/>
          <w:b/>
          <w:i/>
          <w:color w:val="000000"/>
        </w:rPr>
        <w:t>Qualifications</w:t>
      </w:r>
    </w:p>
    <w:p w:rsidR="00B92A3D" w:rsidRDefault="00B92A3D" w:rsidP="003A773C">
      <w:pPr>
        <w:widowControl w:val="0"/>
        <w:autoSpaceDE w:val="0"/>
        <w:autoSpaceDN w:val="0"/>
        <w:adjustRightInd w:val="0"/>
        <w:rPr>
          <w:rFonts w:ascii="Cambria" w:hAnsi="Cambria" w:cs="Calibri"/>
          <w:sz w:val="24"/>
          <w:szCs w:val="24"/>
          <w:lang w:val="en"/>
        </w:rPr>
      </w:pPr>
      <w:r>
        <w:rPr>
          <w:rFonts w:ascii="Cambria" w:hAnsi="Cambria" w:cs="Calibri"/>
          <w:sz w:val="24"/>
          <w:szCs w:val="24"/>
          <w:lang w:val="en"/>
        </w:rPr>
        <w:t xml:space="preserve">Bachelor of Science </w:t>
      </w:r>
      <w:r w:rsidR="003A773C" w:rsidRPr="00405569">
        <w:rPr>
          <w:rFonts w:ascii="Cambria" w:hAnsi="Cambria" w:cs="Calibri"/>
          <w:sz w:val="24"/>
          <w:szCs w:val="24"/>
          <w:lang w:val="en"/>
        </w:rPr>
        <w:t>in ecological science (</w:t>
      </w:r>
      <w:proofErr w:type="spellStart"/>
      <w:r w:rsidR="003A773C" w:rsidRPr="00405569">
        <w:rPr>
          <w:rFonts w:ascii="Cambria" w:hAnsi="Cambria" w:cs="Calibri"/>
          <w:sz w:val="24"/>
          <w:szCs w:val="24"/>
          <w:lang w:val="en"/>
        </w:rPr>
        <w:t>Monash</w:t>
      </w:r>
      <w:proofErr w:type="spellEnd"/>
      <w:r w:rsidR="00FB54AE">
        <w:rPr>
          <w:rFonts w:ascii="Cambria" w:hAnsi="Cambria" w:cs="Calibri"/>
          <w:sz w:val="24"/>
          <w:szCs w:val="24"/>
          <w:lang w:val="en"/>
        </w:rPr>
        <w:t xml:space="preserve"> 1969</w:t>
      </w:r>
      <w:r w:rsidR="003A773C" w:rsidRPr="00405569">
        <w:rPr>
          <w:rFonts w:ascii="Cambria" w:hAnsi="Cambria" w:cs="Calibri"/>
          <w:sz w:val="24"/>
          <w:szCs w:val="24"/>
          <w:lang w:val="en"/>
        </w:rPr>
        <w:t>).</w:t>
      </w:r>
    </w:p>
    <w:p w:rsidR="00B92A3D" w:rsidRDefault="00B92A3D" w:rsidP="00B92A3D">
      <w:pPr>
        <w:widowControl w:val="0"/>
        <w:autoSpaceDE w:val="0"/>
        <w:autoSpaceDN w:val="0"/>
        <w:adjustRightInd w:val="0"/>
        <w:rPr>
          <w:rFonts w:ascii="Cambria" w:hAnsi="Cambria" w:cs="Calibri"/>
          <w:sz w:val="24"/>
          <w:szCs w:val="24"/>
          <w:lang w:val="en"/>
        </w:rPr>
      </w:pPr>
      <w:r>
        <w:rPr>
          <w:rFonts w:ascii="Cambria" w:hAnsi="Cambria" w:cs="Calibri"/>
          <w:sz w:val="24"/>
          <w:szCs w:val="24"/>
          <w:lang w:val="en"/>
        </w:rPr>
        <w:t>Master of P</w:t>
      </w:r>
      <w:r w:rsidRPr="00405569">
        <w:rPr>
          <w:rFonts w:ascii="Cambria" w:hAnsi="Cambria" w:cs="Calibri"/>
          <w:sz w:val="24"/>
          <w:szCs w:val="24"/>
          <w:lang w:val="en"/>
        </w:rPr>
        <w:t xml:space="preserve">ublic </w:t>
      </w:r>
      <w:r>
        <w:rPr>
          <w:rFonts w:ascii="Cambria" w:hAnsi="Cambria" w:cs="Calibri"/>
          <w:sz w:val="24"/>
          <w:szCs w:val="24"/>
          <w:lang w:val="en"/>
        </w:rPr>
        <w:t>A</w:t>
      </w:r>
      <w:r w:rsidRPr="00405569">
        <w:rPr>
          <w:rFonts w:ascii="Cambria" w:hAnsi="Cambria" w:cs="Calibri"/>
          <w:sz w:val="24"/>
          <w:szCs w:val="24"/>
          <w:lang w:val="en"/>
        </w:rPr>
        <w:t>dministration (University of Queensland</w:t>
      </w:r>
      <w:r w:rsidR="00FB54AE">
        <w:rPr>
          <w:rFonts w:ascii="Cambria" w:hAnsi="Cambria" w:cs="Calibri"/>
          <w:sz w:val="24"/>
          <w:szCs w:val="24"/>
          <w:lang w:val="en"/>
        </w:rPr>
        <w:t xml:space="preserve"> 2004</w:t>
      </w:r>
      <w:r w:rsidRPr="00405569">
        <w:rPr>
          <w:rFonts w:ascii="Cambria" w:hAnsi="Cambria" w:cs="Calibri"/>
          <w:sz w:val="24"/>
          <w:szCs w:val="24"/>
          <w:lang w:val="en"/>
        </w:rPr>
        <w:t>)</w:t>
      </w:r>
      <w:r>
        <w:rPr>
          <w:rFonts w:ascii="Cambria" w:hAnsi="Cambria" w:cs="Calibri"/>
          <w:sz w:val="24"/>
          <w:szCs w:val="24"/>
          <w:lang w:val="en"/>
        </w:rPr>
        <w:t>.</w:t>
      </w:r>
    </w:p>
    <w:p w:rsidR="00B92A3D" w:rsidRPr="00405569" w:rsidRDefault="00B92A3D" w:rsidP="00B92A3D">
      <w:pPr>
        <w:widowControl w:val="0"/>
        <w:autoSpaceDE w:val="0"/>
        <w:autoSpaceDN w:val="0"/>
        <w:adjustRightInd w:val="0"/>
        <w:rPr>
          <w:rFonts w:ascii="Cambria" w:hAnsi="Cambria" w:cs="Calibri"/>
          <w:sz w:val="24"/>
          <w:szCs w:val="24"/>
          <w:lang w:val="en"/>
        </w:rPr>
      </w:pPr>
      <w:r>
        <w:rPr>
          <w:rFonts w:ascii="Cambria" w:hAnsi="Cambria" w:cs="Calibri"/>
          <w:sz w:val="24"/>
          <w:szCs w:val="24"/>
          <w:lang w:val="en"/>
        </w:rPr>
        <w:t>Doctor of Philosophy</w:t>
      </w:r>
      <w:r w:rsidRPr="00405569">
        <w:rPr>
          <w:rFonts w:ascii="Cambria" w:hAnsi="Cambria" w:cs="Calibri"/>
          <w:sz w:val="24"/>
          <w:szCs w:val="24"/>
          <w:lang w:val="en"/>
        </w:rPr>
        <w:t xml:space="preserve"> </w:t>
      </w:r>
      <w:r w:rsidRPr="00526F6C">
        <w:rPr>
          <w:rFonts w:ascii="Cambria" w:hAnsi="Cambria" w:cs="Calibri"/>
          <w:iCs/>
          <w:spacing w:val="-3"/>
          <w:sz w:val="24"/>
          <w:szCs w:val="24"/>
        </w:rPr>
        <w:t>(</w:t>
      </w:r>
      <w:r w:rsidRPr="00526F6C">
        <w:rPr>
          <w:rFonts w:ascii="Cambria" w:hAnsi="Cambria" w:cs="Calibri"/>
          <w:spacing w:val="-3"/>
          <w:sz w:val="24"/>
          <w:szCs w:val="24"/>
        </w:rPr>
        <w:t xml:space="preserve">Griffith University 2008) </w:t>
      </w:r>
      <w:r w:rsidRPr="00405569">
        <w:rPr>
          <w:rFonts w:ascii="Cambria" w:hAnsi="Cambria" w:cs="Calibri"/>
          <w:spacing w:val="-3"/>
          <w:sz w:val="24"/>
          <w:szCs w:val="24"/>
        </w:rPr>
        <w:t xml:space="preserve">for </w:t>
      </w:r>
      <w:r>
        <w:rPr>
          <w:rFonts w:ascii="Cambria" w:hAnsi="Cambria" w:cs="Calibri"/>
          <w:spacing w:val="-3"/>
          <w:sz w:val="24"/>
          <w:szCs w:val="24"/>
        </w:rPr>
        <w:t xml:space="preserve">analysis of </w:t>
      </w:r>
      <w:r w:rsidRPr="00405569">
        <w:rPr>
          <w:rFonts w:ascii="Cambria" w:hAnsi="Cambria" w:cs="Calibri"/>
          <w:sz w:val="24"/>
          <w:szCs w:val="24"/>
          <w:lang w:val="en"/>
        </w:rPr>
        <w:t>where the ‘public interest’ lies.</w:t>
      </w:r>
    </w:p>
    <w:p w:rsidR="00B92A3D" w:rsidRDefault="00FB54AE" w:rsidP="003A773C">
      <w:pPr>
        <w:widowControl w:val="0"/>
        <w:autoSpaceDE w:val="0"/>
        <w:autoSpaceDN w:val="0"/>
        <w:adjustRightInd w:val="0"/>
        <w:rPr>
          <w:rFonts w:ascii="Cambria" w:hAnsi="Cambria" w:cs="Calibri"/>
          <w:sz w:val="24"/>
          <w:szCs w:val="24"/>
          <w:lang w:val="en"/>
        </w:rPr>
      </w:pPr>
      <w:r>
        <w:rPr>
          <w:rFonts w:ascii="Cambria" w:hAnsi="Cambria" w:cs="Calibri"/>
          <w:sz w:val="24"/>
          <w:szCs w:val="24"/>
          <w:lang w:val="en"/>
        </w:rPr>
        <w:t>Company Directors’ Course (Australian Institute of Company Directors 2006 – non-academic).</w:t>
      </w:r>
    </w:p>
    <w:p w:rsidR="00DE12BE" w:rsidRDefault="00DE12BE" w:rsidP="003A773C">
      <w:pPr>
        <w:widowControl w:val="0"/>
        <w:autoSpaceDE w:val="0"/>
        <w:autoSpaceDN w:val="0"/>
        <w:adjustRightInd w:val="0"/>
        <w:rPr>
          <w:rFonts w:ascii="Cambria" w:hAnsi="Cambria" w:cs="Calibri"/>
          <w:sz w:val="24"/>
          <w:szCs w:val="24"/>
          <w:lang w:val="en"/>
        </w:rPr>
      </w:pPr>
    </w:p>
    <w:p w:rsidR="00FB54AE" w:rsidRPr="00FB54AE" w:rsidRDefault="006A39B5" w:rsidP="003A773C">
      <w:pPr>
        <w:widowControl w:val="0"/>
        <w:autoSpaceDE w:val="0"/>
        <w:autoSpaceDN w:val="0"/>
        <w:adjustRightInd w:val="0"/>
        <w:rPr>
          <w:rFonts w:ascii="Cambria" w:hAnsi="Cambria" w:cs="Calibri"/>
          <w:b/>
          <w:i/>
          <w:sz w:val="24"/>
          <w:szCs w:val="24"/>
          <w:lang w:val="en"/>
        </w:rPr>
      </w:pPr>
      <w:r>
        <w:rPr>
          <w:rFonts w:ascii="Cambria" w:hAnsi="Cambria" w:cs="Calibri"/>
          <w:b/>
          <w:i/>
          <w:sz w:val="24"/>
          <w:szCs w:val="24"/>
          <w:lang w:val="en"/>
        </w:rPr>
        <w:t>Experience</w:t>
      </w:r>
    </w:p>
    <w:p w:rsidR="006A39B5" w:rsidRDefault="00FB54AE" w:rsidP="006A39B5">
      <w:pPr>
        <w:widowControl w:val="0"/>
        <w:autoSpaceDE w:val="0"/>
        <w:autoSpaceDN w:val="0"/>
        <w:adjustRightInd w:val="0"/>
        <w:rPr>
          <w:rFonts w:ascii="Cambria" w:hAnsi="Cambria" w:cs="Calibri"/>
          <w:iCs/>
          <w:spacing w:val="-3"/>
          <w:sz w:val="24"/>
          <w:szCs w:val="24"/>
        </w:rPr>
      </w:pPr>
      <w:r>
        <w:rPr>
          <w:rFonts w:ascii="Cambria" w:hAnsi="Cambria" w:cs="Calibri"/>
          <w:sz w:val="24"/>
          <w:szCs w:val="24"/>
          <w:lang w:val="en"/>
        </w:rPr>
        <w:t>I</w:t>
      </w:r>
      <w:r w:rsidRPr="00405569">
        <w:rPr>
          <w:rFonts w:ascii="Cambria" w:hAnsi="Cambria" w:cs="Calibri"/>
          <w:sz w:val="24"/>
          <w:szCs w:val="24"/>
          <w:lang w:val="en"/>
        </w:rPr>
        <w:t xml:space="preserve"> </w:t>
      </w:r>
      <w:r w:rsidRPr="00405569">
        <w:rPr>
          <w:rFonts w:ascii="Cambria" w:hAnsi="Cambria" w:cs="Calibri"/>
          <w:sz w:val="24"/>
          <w:szCs w:val="24"/>
        </w:rPr>
        <w:t>worked in national parks and Crown land administration before managing Melbourne's metropolitan parks system and then the parks and sports grounds of Port Moresby, Papua New Guinea.</w:t>
      </w:r>
      <w:r w:rsidR="006A39B5">
        <w:rPr>
          <w:rFonts w:ascii="Cambria" w:hAnsi="Cambria" w:cs="Calibri"/>
          <w:sz w:val="24"/>
          <w:szCs w:val="24"/>
        </w:rPr>
        <w:t xml:space="preserve"> From 1980-86 I</w:t>
      </w:r>
      <w:r w:rsidR="006A39B5" w:rsidRPr="00405569">
        <w:rPr>
          <w:rFonts w:ascii="Cambria" w:hAnsi="Cambria" w:cs="Calibri"/>
          <w:sz w:val="24"/>
          <w:szCs w:val="24"/>
        </w:rPr>
        <w:t xml:space="preserve"> was a local government Councillor</w:t>
      </w:r>
      <w:r w:rsidR="006A39B5">
        <w:rPr>
          <w:rFonts w:ascii="Cambria" w:hAnsi="Cambria" w:cs="Calibri"/>
          <w:sz w:val="24"/>
          <w:szCs w:val="24"/>
        </w:rPr>
        <w:t xml:space="preserve"> </w:t>
      </w:r>
      <w:r w:rsidR="006A39B5" w:rsidRPr="00405569">
        <w:rPr>
          <w:rFonts w:ascii="Cambria" w:hAnsi="Cambria" w:cs="Calibri"/>
          <w:sz w:val="24"/>
          <w:szCs w:val="24"/>
        </w:rPr>
        <w:t xml:space="preserve">and </w:t>
      </w:r>
      <w:r w:rsidR="006A39B5">
        <w:rPr>
          <w:rFonts w:ascii="Cambria" w:hAnsi="Cambria" w:cs="Calibri"/>
          <w:sz w:val="24"/>
          <w:szCs w:val="24"/>
        </w:rPr>
        <w:t xml:space="preserve">for one term </w:t>
      </w:r>
      <w:r w:rsidR="006A39B5" w:rsidRPr="00405569">
        <w:rPr>
          <w:rFonts w:ascii="Cambria" w:hAnsi="Cambria" w:cs="Calibri"/>
          <w:sz w:val="24"/>
          <w:szCs w:val="24"/>
        </w:rPr>
        <w:t>Shire President</w:t>
      </w:r>
      <w:r w:rsidR="006A39B5" w:rsidRPr="00405569">
        <w:rPr>
          <w:rFonts w:ascii="Cambria" w:hAnsi="Cambria" w:cs="Calibri"/>
          <w:iCs/>
          <w:spacing w:val="-3"/>
          <w:sz w:val="24"/>
          <w:szCs w:val="24"/>
        </w:rPr>
        <w:t xml:space="preserve"> in the </w:t>
      </w:r>
      <w:r w:rsidR="006A39B5">
        <w:rPr>
          <w:rFonts w:ascii="Cambria" w:hAnsi="Cambria" w:cs="Calibri"/>
          <w:iCs/>
          <w:spacing w:val="-3"/>
          <w:sz w:val="24"/>
          <w:szCs w:val="24"/>
        </w:rPr>
        <w:t xml:space="preserve">Shire of Sherbrooke in the </w:t>
      </w:r>
      <w:r w:rsidR="006A39B5" w:rsidRPr="00405569">
        <w:rPr>
          <w:rFonts w:ascii="Cambria" w:hAnsi="Cambria" w:cs="Calibri"/>
          <w:iCs/>
          <w:spacing w:val="-3"/>
          <w:sz w:val="24"/>
          <w:szCs w:val="24"/>
        </w:rPr>
        <w:t>Dandenong Ranges in Victoria.</w:t>
      </w:r>
    </w:p>
    <w:p w:rsidR="006A39B5" w:rsidRDefault="006A39B5" w:rsidP="003A773C">
      <w:pPr>
        <w:widowControl w:val="0"/>
        <w:autoSpaceDE w:val="0"/>
        <w:autoSpaceDN w:val="0"/>
        <w:adjustRightInd w:val="0"/>
        <w:rPr>
          <w:rFonts w:ascii="Cambria" w:hAnsi="Cambria" w:cs="Calibri"/>
          <w:sz w:val="24"/>
          <w:szCs w:val="24"/>
        </w:rPr>
      </w:pPr>
    </w:p>
    <w:p w:rsidR="003A773C" w:rsidRPr="00405569" w:rsidRDefault="003A773C" w:rsidP="006A39B5">
      <w:pPr>
        <w:widowControl w:val="0"/>
        <w:autoSpaceDE w:val="0"/>
        <w:autoSpaceDN w:val="0"/>
        <w:adjustRightInd w:val="0"/>
        <w:rPr>
          <w:rFonts w:ascii="Cambria" w:hAnsi="Cambria" w:cs="Calibri"/>
          <w:sz w:val="24"/>
          <w:szCs w:val="24"/>
        </w:rPr>
      </w:pPr>
      <w:r w:rsidRPr="00405569">
        <w:rPr>
          <w:rFonts w:ascii="Cambria" w:hAnsi="Cambria" w:cs="Calibri"/>
          <w:sz w:val="24"/>
          <w:szCs w:val="24"/>
        </w:rPr>
        <w:t xml:space="preserve">From 1991-2006 </w:t>
      </w:r>
      <w:r w:rsidR="00892E31">
        <w:rPr>
          <w:rFonts w:ascii="Cambria" w:hAnsi="Cambria" w:cs="Calibri"/>
          <w:sz w:val="24"/>
          <w:szCs w:val="24"/>
        </w:rPr>
        <w:t>I</w:t>
      </w:r>
      <w:r w:rsidRPr="00405569">
        <w:rPr>
          <w:rFonts w:ascii="Cambria" w:hAnsi="Cambria" w:cs="Calibri"/>
          <w:sz w:val="24"/>
          <w:szCs w:val="24"/>
        </w:rPr>
        <w:t xml:space="preserve"> served in Queensland's Department of Lands/Natural Resources as Manager, Land and Regional Planning.</w:t>
      </w:r>
      <w:r w:rsidR="006A39B5">
        <w:rPr>
          <w:rFonts w:ascii="Cambria" w:hAnsi="Cambria" w:cs="Calibri"/>
          <w:sz w:val="24"/>
          <w:szCs w:val="24"/>
        </w:rPr>
        <w:t xml:space="preserve"> </w:t>
      </w:r>
      <w:r w:rsidR="008A3CCD">
        <w:rPr>
          <w:rFonts w:ascii="Cambria" w:hAnsi="Cambria" w:cs="Calibri"/>
          <w:sz w:val="24"/>
          <w:szCs w:val="24"/>
        </w:rPr>
        <w:t xml:space="preserve">For 18 months in </w:t>
      </w:r>
      <w:r w:rsidRPr="00405569">
        <w:rPr>
          <w:rFonts w:ascii="Cambria" w:hAnsi="Cambria" w:cs="Calibri"/>
          <w:sz w:val="24"/>
          <w:szCs w:val="24"/>
        </w:rPr>
        <w:t>2007</w:t>
      </w:r>
      <w:r w:rsidR="008A3CCD">
        <w:rPr>
          <w:rFonts w:ascii="Cambria" w:hAnsi="Cambria" w:cs="Calibri"/>
          <w:sz w:val="24"/>
          <w:szCs w:val="24"/>
        </w:rPr>
        <w:t>-08</w:t>
      </w:r>
      <w:r w:rsidRPr="00405569">
        <w:rPr>
          <w:rFonts w:ascii="Cambria" w:hAnsi="Cambria" w:cs="Calibri"/>
          <w:sz w:val="24"/>
          <w:szCs w:val="24"/>
        </w:rPr>
        <w:t xml:space="preserve"> </w:t>
      </w:r>
      <w:r w:rsidR="00892E31">
        <w:rPr>
          <w:rFonts w:ascii="Cambria" w:hAnsi="Cambria" w:cs="Calibri"/>
          <w:sz w:val="24"/>
          <w:szCs w:val="24"/>
        </w:rPr>
        <w:t>I</w:t>
      </w:r>
      <w:r w:rsidRPr="00405569">
        <w:rPr>
          <w:rFonts w:ascii="Cambria" w:hAnsi="Cambria" w:cs="Calibri"/>
          <w:sz w:val="24"/>
          <w:szCs w:val="24"/>
        </w:rPr>
        <w:t xml:space="preserve"> acted as Chief Executive Officer, South West </w:t>
      </w:r>
      <w:proofErr w:type="spellStart"/>
      <w:r w:rsidRPr="00405569">
        <w:rPr>
          <w:rFonts w:ascii="Cambria" w:hAnsi="Cambria" w:cs="Calibri"/>
          <w:sz w:val="24"/>
          <w:szCs w:val="24"/>
        </w:rPr>
        <w:t>NRM</w:t>
      </w:r>
      <w:proofErr w:type="spellEnd"/>
      <w:r w:rsidRPr="00405569">
        <w:rPr>
          <w:rFonts w:ascii="Cambria" w:hAnsi="Cambria" w:cs="Calibri"/>
          <w:sz w:val="24"/>
          <w:szCs w:val="24"/>
        </w:rPr>
        <w:t xml:space="preserve"> Ltd, one of Australia's 56 regional </w:t>
      </w:r>
      <w:r w:rsidR="00A55AC5">
        <w:rPr>
          <w:rFonts w:ascii="Cambria" w:hAnsi="Cambria" w:cs="Calibri"/>
          <w:sz w:val="24"/>
          <w:szCs w:val="24"/>
        </w:rPr>
        <w:t xml:space="preserve">catchment </w:t>
      </w:r>
      <w:r w:rsidRPr="00405569">
        <w:rPr>
          <w:rFonts w:ascii="Cambria" w:hAnsi="Cambria" w:cs="Calibri"/>
          <w:sz w:val="24"/>
          <w:szCs w:val="24"/>
        </w:rPr>
        <w:t xml:space="preserve">bodies, based in Charleville. </w:t>
      </w:r>
      <w:r w:rsidR="00892E31">
        <w:rPr>
          <w:rFonts w:ascii="Cambria" w:hAnsi="Cambria" w:cs="Calibri"/>
          <w:sz w:val="24"/>
          <w:szCs w:val="24"/>
        </w:rPr>
        <w:t>I</w:t>
      </w:r>
      <w:r w:rsidRPr="00405569">
        <w:rPr>
          <w:rFonts w:ascii="Cambria" w:hAnsi="Cambria" w:cs="Calibri"/>
          <w:sz w:val="24"/>
          <w:szCs w:val="24"/>
        </w:rPr>
        <w:t xml:space="preserve"> returned to the Department of Mines and Energy to work on energy policy, and retired from the public service in July 2011.</w:t>
      </w:r>
    </w:p>
    <w:p w:rsidR="003A773C" w:rsidRDefault="003A773C" w:rsidP="003A773C">
      <w:pPr>
        <w:tabs>
          <w:tab w:val="left" w:pos="-720"/>
        </w:tabs>
        <w:suppressAutoHyphens/>
        <w:jc w:val="both"/>
        <w:rPr>
          <w:rFonts w:ascii="Cambria" w:hAnsi="Cambria" w:cs="Calibri"/>
          <w:sz w:val="24"/>
          <w:szCs w:val="24"/>
        </w:rPr>
      </w:pPr>
    </w:p>
    <w:p w:rsidR="00125BFF" w:rsidRDefault="00125BFF" w:rsidP="00125BFF">
      <w:pPr>
        <w:widowControl w:val="0"/>
        <w:autoSpaceDE w:val="0"/>
        <w:autoSpaceDN w:val="0"/>
        <w:adjustRightInd w:val="0"/>
        <w:rPr>
          <w:rFonts w:ascii="Cambria" w:hAnsi="Cambria" w:cs="Calibri"/>
          <w:sz w:val="24"/>
          <w:szCs w:val="24"/>
          <w:lang w:val="en"/>
        </w:rPr>
      </w:pPr>
      <w:r>
        <w:rPr>
          <w:rFonts w:ascii="Book Antiqua" w:hAnsi="Book Antiqua" w:cs="MS Sans Serif"/>
          <w:b/>
          <w:i/>
          <w:color w:val="000000"/>
        </w:rPr>
        <w:t>Role a</w:t>
      </w:r>
      <w:r>
        <w:rPr>
          <w:rFonts w:ascii="Cambria" w:hAnsi="Cambria" w:cs="Calibri"/>
          <w:b/>
          <w:i/>
          <w:sz w:val="24"/>
          <w:szCs w:val="24"/>
        </w:rPr>
        <w:t>s an independent scholar</w:t>
      </w:r>
    </w:p>
    <w:p w:rsidR="00125BFF" w:rsidRPr="00405569" w:rsidRDefault="00125BFF" w:rsidP="00125BFF">
      <w:pPr>
        <w:widowControl w:val="0"/>
        <w:autoSpaceDE w:val="0"/>
        <w:autoSpaceDN w:val="0"/>
        <w:adjustRightInd w:val="0"/>
        <w:rPr>
          <w:rFonts w:ascii="Cambria" w:hAnsi="Cambria" w:cs="Calibri"/>
          <w:sz w:val="24"/>
          <w:szCs w:val="24"/>
          <w:lang w:val="en"/>
        </w:rPr>
      </w:pPr>
      <w:r>
        <w:rPr>
          <w:rFonts w:ascii="Cambria" w:hAnsi="Cambria" w:cs="Calibri"/>
          <w:sz w:val="24"/>
          <w:szCs w:val="24"/>
          <w:lang w:val="en"/>
        </w:rPr>
        <w:t>I</w:t>
      </w:r>
      <w:r w:rsidRPr="00405569">
        <w:rPr>
          <w:rFonts w:ascii="Cambria" w:hAnsi="Cambria" w:cs="Calibri"/>
          <w:sz w:val="24"/>
          <w:szCs w:val="24"/>
          <w:lang w:val="en"/>
        </w:rPr>
        <w:t xml:space="preserve"> ha</w:t>
      </w:r>
      <w:r>
        <w:rPr>
          <w:rFonts w:ascii="Cambria" w:hAnsi="Cambria" w:cs="Calibri"/>
          <w:sz w:val="24"/>
          <w:szCs w:val="24"/>
          <w:lang w:val="en"/>
        </w:rPr>
        <w:t>ve</w:t>
      </w:r>
      <w:r w:rsidRPr="00405569">
        <w:rPr>
          <w:rFonts w:ascii="Cambria" w:hAnsi="Cambria" w:cs="Calibri"/>
          <w:sz w:val="24"/>
          <w:szCs w:val="24"/>
          <w:lang w:val="en"/>
        </w:rPr>
        <w:t xml:space="preserve"> published in animal biology, economics, foreign affairs </w:t>
      </w:r>
      <w:r>
        <w:rPr>
          <w:rFonts w:ascii="Cambria" w:hAnsi="Cambria" w:cs="Calibri"/>
          <w:sz w:val="24"/>
          <w:szCs w:val="24"/>
          <w:lang w:val="en"/>
        </w:rPr>
        <w:t>and</w:t>
      </w:r>
      <w:r w:rsidRPr="00405569">
        <w:rPr>
          <w:rFonts w:ascii="Cambria" w:hAnsi="Cambria" w:cs="Calibri"/>
          <w:sz w:val="24"/>
          <w:szCs w:val="24"/>
          <w:lang w:val="en"/>
        </w:rPr>
        <w:t xml:space="preserve"> public policy.</w:t>
      </w:r>
      <w:r>
        <w:rPr>
          <w:rFonts w:ascii="Cambria" w:hAnsi="Cambria" w:cs="Calibri"/>
          <w:sz w:val="24"/>
          <w:szCs w:val="24"/>
          <w:lang w:val="en"/>
        </w:rPr>
        <w:t xml:space="preserve"> My</w:t>
      </w:r>
      <w:r w:rsidRPr="00405569">
        <w:rPr>
          <w:rFonts w:ascii="Cambria" w:hAnsi="Cambria" w:cs="Calibri"/>
          <w:sz w:val="24"/>
          <w:szCs w:val="24"/>
          <w:lang w:val="en"/>
        </w:rPr>
        <w:t xml:space="preserve"> cu</w:t>
      </w:r>
      <w:r>
        <w:rPr>
          <w:rFonts w:ascii="Cambria" w:hAnsi="Cambria" w:cs="Calibri"/>
          <w:sz w:val="24"/>
          <w:szCs w:val="24"/>
          <w:lang w:val="en"/>
        </w:rPr>
        <w:t>r</w:t>
      </w:r>
      <w:r w:rsidRPr="00405569">
        <w:rPr>
          <w:rFonts w:ascii="Cambria" w:hAnsi="Cambria" w:cs="Calibri"/>
          <w:sz w:val="24"/>
          <w:szCs w:val="24"/>
          <w:lang w:val="en"/>
        </w:rPr>
        <w:t xml:space="preserve">rent research interests </w:t>
      </w:r>
      <w:r>
        <w:rPr>
          <w:rFonts w:ascii="Cambria" w:hAnsi="Cambria" w:cs="Calibri"/>
          <w:sz w:val="24"/>
          <w:szCs w:val="24"/>
          <w:lang w:val="en"/>
        </w:rPr>
        <w:t>include analysis of</w:t>
      </w:r>
      <w:r w:rsidRPr="00405569">
        <w:rPr>
          <w:rFonts w:ascii="Cambria" w:hAnsi="Cambria" w:cs="Calibri"/>
          <w:sz w:val="24"/>
          <w:szCs w:val="24"/>
          <w:lang w:val="en"/>
        </w:rPr>
        <w:t xml:space="preserve"> the preconditions of economic prosperity </w:t>
      </w:r>
      <w:r>
        <w:rPr>
          <w:rFonts w:ascii="Cambria" w:hAnsi="Cambria" w:cs="Calibri"/>
          <w:sz w:val="24"/>
          <w:szCs w:val="24"/>
          <w:lang w:val="en"/>
        </w:rPr>
        <w:t xml:space="preserve">– </w:t>
      </w:r>
      <w:r w:rsidRPr="00405569">
        <w:rPr>
          <w:rFonts w:ascii="Cambria" w:hAnsi="Cambria" w:cs="Calibri"/>
          <w:sz w:val="24"/>
          <w:szCs w:val="24"/>
          <w:lang w:val="en"/>
        </w:rPr>
        <w:t>grand</w:t>
      </w:r>
      <w:r>
        <w:rPr>
          <w:rFonts w:ascii="Cambria" w:hAnsi="Cambria" w:cs="Calibri"/>
          <w:sz w:val="24"/>
          <w:szCs w:val="24"/>
          <w:lang w:val="en"/>
        </w:rPr>
        <w:t xml:space="preserve"> </w:t>
      </w:r>
      <w:r w:rsidRPr="00405569">
        <w:rPr>
          <w:rFonts w:ascii="Cambria" w:hAnsi="Cambria" w:cs="Calibri"/>
          <w:sz w:val="24"/>
          <w:szCs w:val="24"/>
          <w:lang w:val="en"/>
        </w:rPr>
        <w:t xml:space="preserve">projects </w:t>
      </w:r>
      <w:r>
        <w:rPr>
          <w:rFonts w:ascii="Cambria" w:hAnsi="Cambria" w:cs="Calibri"/>
          <w:sz w:val="24"/>
          <w:szCs w:val="24"/>
          <w:lang w:val="en"/>
        </w:rPr>
        <w:t>or</w:t>
      </w:r>
      <w:r w:rsidRPr="00405569">
        <w:rPr>
          <w:rFonts w:ascii="Cambria" w:hAnsi="Cambria" w:cs="Calibri"/>
          <w:sz w:val="24"/>
          <w:szCs w:val="24"/>
          <w:lang w:val="en"/>
        </w:rPr>
        <w:t xml:space="preserve"> public institutions</w:t>
      </w:r>
      <w:r>
        <w:rPr>
          <w:rFonts w:ascii="Cambria" w:hAnsi="Cambria" w:cs="Calibri"/>
          <w:sz w:val="24"/>
          <w:szCs w:val="24"/>
          <w:lang w:val="en"/>
        </w:rPr>
        <w:t>,</w:t>
      </w:r>
      <w:r w:rsidRPr="00405569">
        <w:rPr>
          <w:rFonts w:ascii="Cambria" w:hAnsi="Cambria" w:cs="Calibri"/>
          <w:sz w:val="24"/>
          <w:szCs w:val="24"/>
          <w:lang w:val="en"/>
        </w:rPr>
        <w:t xml:space="preserve"> </w:t>
      </w:r>
      <w:r>
        <w:rPr>
          <w:rFonts w:ascii="Cambria" w:hAnsi="Cambria" w:cs="Calibri"/>
          <w:sz w:val="24"/>
          <w:szCs w:val="24"/>
          <w:lang w:val="en"/>
        </w:rPr>
        <w:t xml:space="preserve">the </w:t>
      </w:r>
      <w:r w:rsidRPr="00405569">
        <w:rPr>
          <w:rFonts w:ascii="Cambria" w:hAnsi="Cambria" w:cs="Calibri"/>
          <w:sz w:val="24"/>
          <w:szCs w:val="24"/>
          <w:lang w:val="en"/>
        </w:rPr>
        <w:t>growing complexity in society</w:t>
      </w:r>
      <w:r>
        <w:rPr>
          <w:rFonts w:ascii="Cambria" w:hAnsi="Cambria" w:cs="Calibri"/>
          <w:sz w:val="24"/>
          <w:szCs w:val="24"/>
          <w:lang w:val="en"/>
        </w:rPr>
        <w:t>, the civic responsibilities of corporations and</w:t>
      </w:r>
      <w:r w:rsidRPr="00405569">
        <w:rPr>
          <w:rFonts w:ascii="Cambria" w:hAnsi="Cambria" w:cs="Calibri"/>
          <w:sz w:val="24"/>
          <w:szCs w:val="24"/>
          <w:lang w:val="en"/>
        </w:rPr>
        <w:t xml:space="preserve"> </w:t>
      </w:r>
      <w:r>
        <w:rPr>
          <w:rFonts w:ascii="Cambria" w:hAnsi="Cambria" w:cs="Calibri"/>
          <w:sz w:val="24"/>
          <w:szCs w:val="24"/>
          <w:lang w:val="en"/>
        </w:rPr>
        <w:t>the environmental limits to economic growth. At the date of writing, I am President of the Royal Society of Queensland.</w:t>
      </w:r>
    </w:p>
    <w:p w:rsidR="00125BFF" w:rsidRDefault="00125BFF" w:rsidP="003A773C">
      <w:pPr>
        <w:tabs>
          <w:tab w:val="left" w:pos="-720"/>
        </w:tabs>
        <w:suppressAutoHyphens/>
        <w:jc w:val="both"/>
        <w:rPr>
          <w:rFonts w:ascii="Cambria" w:hAnsi="Cambria" w:cs="Calibri"/>
          <w:sz w:val="24"/>
          <w:szCs w:val="24"/>
        </w:rPr>
      </w:pPr>
    </w:p>
    <w:p w:rsidR="007A3192" w:rsidRPr="00BC43D9" w:rsidRDefault="007A3192" w:rsidP="007A3192">
      <w:pPr>
        <w:autoSpaceDE w:val="0"/>
        <w:autoSpaceDN w:val="0"/>
        <w:adjustRightInd w:val="0"/>
        <w:rPr>
          <w:rFonts w:ascii="Book Antiqua" w:hAnsi="Book Antiqua" w:cs="MS Sans Serif"/>
          <w:color w:val="000000"/>
        </w:rPr>
      </w:pPr>
      <w:r w:rsidRPr="00BC43D9">
        <w:rPr>
          <w:rFonts w:ascii="Book Antiqua" w:hAnsi="Book Antiqua" w:cs="MS Sans Serif"/>
          <w:color w:val="000000"/>
        </w:rPr>
        <w:t xml:space="preserve">Geoff Edwards B.Sc.(Hons.); </w:t>
      </w:r>
      <w:proofErr w:type="spellStart"/>
      <w:r w:rsidRPr="00BC43D9">
        <w:rPr>
          <w:rFonts w:ascii="Book Antiqua" w:hAnsi="Book Antiqua" w:cs="MS Sans Serif"/>
          <w:color w:val="000000"/>
        </w:rPr>
        <w:t>M.Pub.Ad</w:t>
      </w:r>
      <w:proofErr w:type="spellEnd"/>
      <w:r w:rsidRPr="00BC43D9">
        <w:rPr>
          <w:rFonts w:ascii="Book Antiqua" w:hAnsi="Book Antiqua" w:cs="MS Sans Serif"/>
          <w:color w:val="000000"/>
        </w:rPr>
        <w:t>.; PhD</w:t>
      </w:r>
    </w:p>
    <w:p w:rsidR="007A3192" w:rsidRPr="00BC43D9" w:rsidRDefault="007A3192" w:rsidP="007A3192">
      <w:pPr>
        <w:rPr>
          <w:rFonts w:ascii="Book Antiqua" w:eastAsia="Times New Roman" w:hAnsi="Book Antiqua"/>
          <w:noProof/>
          <w:color w:val="000000"/>
          <w:lang w:eastAsia="en-AU"/>
        </w:rPr>
      </w:pPr>
      <w:r w:rsidRPr="00BC43D9">
        <w:rPr>
          <w:rFonts w:ascii="Book Antiqua" w:eastAsia="Times New Roman" w:hAnsi="Book Antiqua"/>
          <w:noProof/>
          <w:color w:val="000000"/>
          <w:lang w:eastAsia="en-AU"/>
        </w:rPr>
        <w:t>Adjunct Research Fellow</w:t>
      </w:r>
    </w:p>
    <w:p w:rsidR="007A3192" w:rsidRPr="00BC43D9" w:rsidRDefault="007A3192" w:rsidP="007A3192">
      <w:pPr>
        <w:rPr>
          <w:rFonts w:ascii="Book Antiqua" w:eastAsia="Times New Roman" w:hAnsi="Book Antiqua"/>
          <w:noProof/>
          <w:color w:val="000000"/>
          <w:lang w:eastAsia="en-AU"/>
        </w:rPr>
      </w:pPr>
      <w:r w:rsidRPr="00BC43D9">
        <w:rPr>
          <w:rFonts w:ascii="Book Antiqua" w:eastAsia="Times New Roman" w:hAnsi="Book Antiqua"/>
          <w:noProof/>
          <w:color w:val="000000"/>
          <w:lang w:eastAsia="en-AU"/>
        </w:rPr>
        <w:t>Centre for Governance and Public Policy</w:t>
      </w:r>
    </w:p>
    <w:p w:rsidR="00125BFF" w:rsidRDefault="00493FBC" w:rsidP="00125BFF">
      <w:pPr>
        <w:rPr>
          <w:rFonts w:ascii="Book Antiqua" w:eastAsia="Times New Roman" w:hAnsi="Book Antiqua"/>
          <w:noProof/>
          <w:color w:val="000000"/>
          <w:lang w:eastAsia="en-AU"/>
        </w:rPr>
      </w:pPr>
      <w:r>
        <w:rPr>
          <w:rFonts w:ascii="Book Antiqua" w:eastAsia="Times New Roman" w:hAnsi="Book Antiqua"/>
          <w:noProof/>
          <w:color w:val="000000"/>
          <w:lang w:eastAsia="en-AU"/>
        </w:rPr>
        <w:t xml:space="preserve">Griffith University, </w:t>
      </w:r>
      <w:r w:rsidR="0017153F">
        <w:rPr>
          <w:rFonts w:ascii="Book Antiqua" w:eastAsia="Times New Roman" w:hAnsi="Book Antiqua"/>
          <w:noProof/>
          <w:color w:val="000000"/>
          <w:lang w:eastAsia="en-AU"/>
        </w:rPr>
        <w:t>Brisbane</w:t>
      </w:r>
    </w:p>
    <w:p w:rsidR="009B24CC" w:rsidRPr="009C1DE0" w:rsidRDefault="00125BFF" w:rsidP="00125BFF">
      <w:pPr>
        <w:jc w:val="center"/>
        <w:rPr>
          <w:rFonts w:ascii="Book Antiqua" w:hAnsi="Book Antiqua"/>
          <w:b/>
        </w:rPr>
      </w:pPr>
      <w:r>
        <w:rPr>
          <w:rFonts w:ascii="Book Antiqua" w:eastAsia="Times New Roman" w:hAnsi="Book Antiqua"/>
          <w:noProof/>
          <w:color w:val="000000"/>
          <w:lang w:eastAsia="en-AU"/>
        </w:rPr>
        <w:br w:type="page"/>
      </w:r>
      <w:r w:rsidR="009B24CC" w:rsidRPr="009C1DE0">
        <w:rPr>
          <w:rFonts w:ascii="Book Antiqua" w:eastAsia="Times New Roman" w:hAnsi="Book Antiqua"/>
          <w:b/>
          <w:noProof/>
          <w:color w:val="000000"/>
          <w:lang w:eastAsia="en-AU"/>
        </w:rPr>
        <w:lastRenderedPageBreak/>
        <w:t>THREE WRECKING BALLS</w:t>
      </w:r>
    </w:p>
    <w:p w:rsidR="009B24CC" w:rsidRDefault="009B24CC" w:rsidP="009B24CC">
      <w:pPr>
        <w:rPr>
          <w:rFonts w:ascii="Book Antiqua" w:hAnsi="Book Antiqua"/>
        </w:rPr>
      </w:pPr>
    </w:p>
    <w:p w:rsidR="00252223" w:rsidRPr="00252223" w:rsidRDefault="00252223" w:rsidP="009B24CC">
      <w:pPr>
        <w:rPr>
          <w:rFonts w:ascii="Book Antiqua" w:hAnsi="Book Antiqua"/>
          <w:b/>
        </w:rPr>
      </w:pPr>
      <w:r>
        <w:rPr>
          <w:rFonts w:ascii="Book Antiqua" w:hAnsi="Book Antiqua"/>
          <w:b/>
        </w:rPr>
        <w:t>Introduction</w:t>
      </w:r>
    </w:p>
    <w:p w:rsidR="00252223" w:rsidRPr="009C1DE0" w:rsidRDefault="00252223" w:rsidP="009B24CC">
      <w:pPr>
        <w:rPr>
          <w:rFonts w:ascii="Book Antiqua" w:hAnsi="Book Antiqua"/>
        </w:rPr>
      </w:pPr>
    </w:p>
    <w:p w:rsidR="00BE677F" w:rsidRDefault="009B24CC" w:rsidP="00BE677F">
      <w:pPr>
        <w:rPr>
          <w:rFonts w:ascii="Book Antiqua" w:hAnsi="Book Antiqua"/>
        </w:rPr>
      </w:pPr>
      <w:r w:rsidRPr="009C1DE0">
        <w:rPr>
          <w:rFonts w:ascii="Book Antiqua" w:hAnsi="Book Antiqua"/>
        </w:rPr>
        <w:t xml:space="preserve">Three wrecking balls are headed towards </w:t>
      </w:r>
      <w:r w:rsidR="0017153F">
        <w:rPr>
          <w:rFonts w:ascii="Book Antiqua" w:hAnsi="Book Antiqua"/>
        </w:rPr>
        <w:t xml:space="preserve">infrastructure projects (and especially </w:t>
      </w:r>
      <w:r w:rsidRPr="009C1DE0">
        <w:rPr>
          <w:rFonts w:ascii="Book Antiqua" w:hAnsi="Book Antiqua"/>
        </w:rPr>
        <w:t>public-private partnerships</w:t>
      </w:r>
      <w:r w:rsidR="0017153F">
        <w:rPr>
          <w:rFonts w:ascii="Book Antiqua" w:hAnsi="Book Antiqua"/>
        </w:rPr>
        <w:t>)</w:t>
      </w:r>
      <w:r w:rsidRPr="009C1DE0">
        <w:rPr>
          <w:rFonts w:ascii="Book Antiqua" w:hAnsi="Book Antiqua"/>
        </w:rPr>
        <w:t xml:space="preserve"> </w:t>
      </w:r>
      <w:r w:rsidR="00BE677F">
        <w:rPr>
          <w:rFonts w:ascii="Book Antiqua" w:hAnsi="Book Antiqua"/>
        </w:rPr>
        <w:t xml:space="preserve">progressed under </w:t>
      </w:r>
      <w:r w:rsidRPr="009C1DE0">
        <w:rPr>
          <w:rFonts w:ascii="Book Antiqua" w:hAnsi="Book Antiqua"/>
        </w:rPr>
        <w:t>the model of governance outlined in the Draft Report.</w:t>
      </w:r>
      <w:r w:rsidR="00BE677F" w:rsidRPr="00BE677F">
        <w:rPr>
          <w:rFonts w:ascii="Book Antiqua" w:hAnsi="Book Antiqua"/>
        </w:rPr>
        <w:t xml:space="preserve"> </w:t>
      </w:r>
      <w:r w:rsidR="00BE677F">
        <w:rPr>
          <w:rFonts w:ascii="Book Antiqua" w:hAnsi="Book Antiqua"/>
        </w:rPr>
        <w:t>These will invalidate the model</w:t>
      </w:r>
      <w:r w:rsidR="00444AA1">
        <w:rPr>
          <w:rFonts w:ascii="Book Antiqua" w:hAnsi="Book Antiqua"/>
        </w:rPr>
        <w:t>, wh</w:t>
      </w:r>
      <w:bookmarkStart w:id="0" w:name="_GoBack"/>
      <w:bookmarkEnd w:id="0"/>
      <w:r w:rsidR="00444AA1">
        <w:rPr>
          <w:rFonts w:ascii="Book Antiqua" w:hAnsi="Book Antiqua"/>
        </w:rPr>
        <w:t>ich lacks the brakes necessary to keep these three regressive forces in check</w:t>
      </w:r>
      <w:r w:rsidR="00382832">
        <w:rPr>
          <w:rFonts w:ascii="Book Antiqua" w:hAnsi="Book Antiqua"/>
        </w:rPr>
        <w:t>.</w:t>
      </w:r>
    </w:p>
    <w:p w:rsidR="00BE677F" w:rsidRDefault="00BE677F" w:rsidP="00BE677F">
      <w:pPr>
        <w:rPr>
          <w:rFonts w:ascii="Book Antiqua" w:hAnsi="Book Antiqua"/>
        </w:rPr>
      </w:pPr>
    </w:p>
    <w:p w:rsidR="009B24CC" w:rsidRPr="009C1DE0" w:rsidRDefault="00BE677F" w:rsidP="00BE677F">
      <w:pPr>
        <w:rPr>
          <w:rFonts w:ascii="Book Antiqua" w:hAnsi="Book Antiqua"/>
        </w:rPr>
      </w:pPr>
      <w:r>
        <w:rPr>
          <w:rFonts w:ascii="Book Antiqua" w:hAnsi="Book Antiqua"/>
        </w:rPr>
        <w:t xml:space="preserve">I submit that the Productivity Commission has an opportunity in this paper to stand out as a thought leader in </w:t>
      </w:r>
      <w:r w:rsidR="00382832">
        <w:rPr>
          <w:rFonts w:ascii="Book Antiqua" w:hAnsi="Book Antiqua"/>
        </w:rPr>
        <w:t>infrastructure planning.</w:t>
      </w:r>
    </w:p>
    <w:p w:rsidR="009B24CC" w:rsidRPr="009C1DE0" w:rsidRDefault="009B24CC" w:rsidP="009B24CC">
      <w:pPr>
        <w:rPr>
          <w:rFonts w:ascii="Book Antiqua" w:hAnsi="Book Antiqua"/>
        </w:rPr>
      </w:pPr>
    </w:p>
    <w:p w:rsidR="00312927" w:rsidRPr="009C1DE0" w:rsidRDefault="00312927" w:rsidP="009B24CC">
      <w:pPr>
        <w:rPr>
          <w:rFonts w:ascii="Book Antiqua" w:hAnsi="Book Antiqua"/>
        </w:rPr>
      </w:pPr>
      <w:r w:rsidRPr="009C1DE0">
        <w:rPr>
          <w:rFonts w:ascii="Book Antiqua" w:hAnsi="Book Antiqua"/>
        </w:rPr>
        <w:t>The key sentence</w:t>
      </w:r>
      <w:r w:rsidR="00A1581C" w:rsidRPr="009C1DE0">
        <w:rPr>
          <w:rFonts w:ascii="Book Antiqua" w:hAnsi="Book Antiqua"/>
        </w:rPr>
        <w:t>s</w:t>
      </w:r>
      <w:r w:rsidRPr="009C1DE0">
        <w:rPr>
          <w:rFonts w:ascii="Book Antiqua" w:hAnsi="Book Antiqua"/>
        </w:rPr>
        <w:t xml:space="preserve"> </w:t>
      </w:r>
      <w:r w:rsidR="00382832">
        <w:rPr>
          <w:rFonts w:ascii="Book Antiqua" w:hAnsi="Book Antiqua"/>
        </w:rPr>
        <w:t xml:space="preserve">in the Draft Report on which I wish </w:t>
      </w:r>
      <w:r w:rsidRPr="009C1DE0">
        <w:rPr>
          <w:rFonts w:ascii="Book Antiqua" w:hAnsi="Book Antiqua"/>
        </w:rPr>
        <w:t xml:space="preserve">to focus this presentation </w:t>
      </w:r>
      <w:r w:rsidR="00A1581C" w:rsidRPr="009C1DE0">
        <w:rPr>
          <w:rFonts w:ascii="Book Antiqua" w:hAnsi="Book Antiqua"/>
        </w:rPr>
        <w:t>are</w:t>
      </w:r>
      <w:r w:rsidRPr="009C1DE0">
        <w:rPr>
          <w:rFonts w:ascii="Book Antiqua" w:hAnsi="Book Antiqua"/>
        </w:rPr>
        <w:t>:</w:t>
      </w:r>
    </w:p>
    <w:p w:rsidR="00312927" w:rsidRPr="00312927" w:rsidRDefault="00312927" w:rsidP="00312927">
      <w:pPr>
        <w:autoSpaceDE w:val="0"/>
        <w:autoSpaceDN w:val="0"/>
        <w:adjustRightInd w:val="0"/>
        <w:rPr>
          <w:rFonts w:ascii="Book Antiqua" w:hAnsi="Book Antiqua" w:cs="Arial"/>
          <w:lang w:eastAsia="en-AU"/>
        </w:rPr>
      </w:pPr>
    </w:p>
    <w:p w:rsidR="00312927" w:rsidRPr="00312927" w:rsidRDefault="00312927" w:rsidP="00A1581C">
      <w:pPr>
        <w:autoSpaceDE w:val="0"/>
        <w:autoSpaceDN w:val="0"/>
        <w:adjustRightInd w:val="0"/>
        <w:ind w:left="567"/>
        <w:rPr>
          <w:rFonts w:ascii="Book Antiqua" w:hAnsi="Book Antiqua" w:cs="Arial"/>
          <w:color w:val="000000"/>
          <w:lang w:eastAsia="en-AU"/>
        </w:rPr>
      </w:pPr>
      <w:r w:rsidRPr="009C1DE0">
        <w:rPr>
          <w:rFonts w:ascii="Book Antiqua" w:hAnsi="Book Antiqua" w:cs="Arial"/>
          <w:color w:val="000000"/>
          <w:lang w:eastAsia="en-AU"/>
        </w:rPr>
        <w:t>“</w:t>
      </w:r>
      <w:r w:rsidRPr="00312927">
        <w:rPr>
          <w:rFonts w:ascii="Book Antiqua" w:hAnsi="Book Antiqua" w:cs="Arial"/>
          <w:color w:val="000000"/>
          <w:lang w:eastAsia="en-AU"/>
        </w:rPr>
        <w:t>In many sectors of economic infrastructure, project selection is strengthened through privatisation or corporatisation subject</w:t>
      </w:r>
      <w:r w:rsidRPr="009C1DE0">
        <w:rPr>
          <w:rFonts w:ascii="Book Antiqua" w:hAnsi="Book Antiqua" w:cs="Arial"/>
          <w:color w:val="000000"/>
          <w:lang w:eastAsia="en-AU"/>
        </w:rPr>
        <w:t xml:space="preserve"> to good governance frameworks.”</w:t>
      </w:r>
      <w:r w:rsidR="00A1581C" w:rsidRPr="009C1DE0">
        <w:rPr>
          <w:rFonts w:ascii="Book Antiqua" w:hAnsi="Book Antiqua" w:cs="Arial"/>
          <w:color w:val="000000"/>
          <w:lang w:eastAsia="en-AU"/>
        </w:rPr>
        <w:t xml:space="preserve"> (</w:t>
      </w:r>
      <w:r w:rsidR="00A1581C" w:rsidRPr="009C1DE0">
        <w:rPr>
          <w:rFonts w:ascii="Book Antiqua" w:hAnsi="Book Antiqua"/>
        </w:rPr>
        <w:t>page 217)</w:t>
      </w:r>
      <w:r w:rsidR="0017153F">
        <w:rPr>
          <w:rFonts w:ascii="Book Antiqua" w:hAnsi="Book Antiqua"/>
        </w:rPr>
        <w:t>.</w:t>
      </w:r>
    </w:p>
    <w:p w:rsidR="00312927" w:rsidRPr="009C1DE0" w:rsidRDefault="00312927" w:rsidP="009B24CC">
      <w:pPr>
        <w:rPr>
          <w:rFonts w:ascii="Book Antiqua" w:hAnsi="Book Antiqua"/>
        </w:rPr>
      </w:pPr>
    </w:p>
    <w:p w:rsidR="00312927" w:rsidRPr="00312927" w:rsidRDefault="00A1581C" w:rsidP="00A1581C">
      <w:pPr>
        <w:autoSpaceDE w:val="0"/>
        <w:autoSpaceDN w:val="0"/>
        <w:adjustRightInd w:val="0"/>
        <w:ind w:left="567"/>
        <w:rPr>
          <w:rFonts w:ascii="Book Antiqua" w:hAnsi="Book Antiqua"/>
          <w:color w:val="000000"/>
          <w:lang w:eastAsia="en-AU"/>
        </w:rPr>
      </w:pPr>
      <w:r w:rsidRPr="009C1DE0">
        <w:rPr>
          <w:rFonts w:ascii="Book Antiqua" w:hAnsi="Book Antiqua"/>
          <w:bCs/>
          <w:iCs/>
          <w:color w:val="000000"/>
          <w:lang w:eastAsia="en-AU"/>
        </w:rPr>
        <w:t>“</w:t>
      </w:r>
      <w:r w:rsidR="00312927" w:rsidRPr="00312927">
        <w:rPr>
          <w:rFonts w:ascii="Book Antiqua" w:hAnsi="Book Antiqua"/>
          <w:bCs/>
          <w:iCs/>
          <w:color w:val="000000"/>
          <w:lang w:eastAsia="en-AU"/>
        </w:rPr>
        <w:t xml:space="preserve">Institutional arrangements for the provision and delivery of public infrastructure should incorporate good governance arrangements, including: </w:t>
      </w:r>
    </w:p>
    <w:p w:rsidR="00312927" w:rsidRPr="00312927" w:rsidRDefault="00312927" w:rsidP="00A1581C">
      <w:pPr>
        <w:numPr>
          <w:ilvl w:val="0"/>
          <w:numId w:val="2"/>
        </w:numPr>
        <w:autoSpaceDE w:val="0"/>
        <w:autoSpaceDN w:val="0"/>
        <w:adjustRightInd w:val="0"/>
        <w:spacing w:after="21"/>
        <w:rPr>
          <w:rFonts w:ascii="Book Antiqua" w:hAnsi="Book Antiqua"/>
          <w:color w:val="000000"/>
          <w:lang w:eastAsia="en-AU"/>
        </w:rPr>
      </w:pPr>
      <w:r w:rsidRPr="00312927">
        <w:rPr>
          <w:rFonts w:ascii="Book Antiqua" w:hAnsi="Book Antiqua"/>
          <w:bCs/>
          <w:iCs/>
          <w:color w:val="000000"/>
          <w:lang w:eastAsia="en-AU"/>
        </w:rPr>
        <w:t xml:space="preserve">the principal objective of ensuring that decisions are undertaken in the public interest </w:t>
      </w:r>
    </w:p>
    <w:p w:rsidR="00312927" w:rsidRPr="00312927" w:rsidRDefault="00A1581C" w:rsidP="00A1581C">
      <w:pPr>
        <w:numPr>
          <w:ilvl w:val="0"/>
          <w:numId w:val="2"/>
        </w:numPr>
        <w:autoSpaceDE w:val="0"/>
        <w:autoSpaceDN w:val="0"/>
        <w:adjustRightInd w:val="0"/>
        <w:spacing w:after="21"/>
        <w:rPr>
          <w:rFonts w:ascii="Book Antiqua" w:hAnsi="Book Antiqua"/>
          <w:color w:val="000000"/>
          <w:lang w:eastAsia="en-AU"/>
        </w:rPr>
      </w:pPr>
      <w:r w:rsidRPr="009C1DE0">
        <w:rPr>
          <w:rFonts w:ascii="Book Antiqua" w:hAnsi="Book Antiqua"/>
          <w:color w:val="000000"/>
          <w:lang w:eastAsia="en-AU"/>
        </w:rPr>
        <w:t>…</w:t>
      </w:r>
    </w:p>
    <w:p w:rsidR="00312927" w:rsidRPr="00312927" w:rsidRDefault="00312927" w:rsidP="00A1581C">
      <w:pPr>
        <w:numPr>
          <w:ilvl w:val="0"/>
          <w:numId w:val="2"/>
        </w:numPr>
        <w:autoSpaceDE w:val="0"/>
        <w:autoSpaceDN w:val="0"/>
        <w:adjustRightInd w:val="0"/>
        <w:rPr>
          <w:rFonts w:ascii="Book Antiqua" w:hAnsi="Book Antiqua"/>
          <w:color w:val="000000"/>
          <w:lang w:eastAsia="en-AU"/>
        </w:rPr>
      </w:pPr>
      <w:r w:rsidRPr="00312927">
        <w:rPr>
          <w:rFonts w:ascii="Book Antiqua" w:hAnsi="Book Antiqua"/>
          <w:bCs/>
          <w:iCs/>
          <w:color w:val="000000"/>
          <w:lang w:eastAsia="en-AU"/>
        </w:rPr>
        <w:t>effective processes, procedures and policy guidelines for planning and selecting public infrastructure projects, including rigorous use of cost–benefit analysis and transparency in cost–benefit assessments, public consultation, and public reporting of the decision (including a transparent review of the decision by an independent body, for example, an auditor-general or Infrastructure Australia)</w:t>
      </w:r>
      <w:r w:rsidR="0017153F">
        <w:rPr>
          <w:rFonts w:ascii="Book Antiqua" w:hAnsi="Book Antiqua"/>
          <w:bCs/>
          <w:iCs/>
          <w:color w:val="000000"/>
          <w:lang w:eastAsia="en-AU"/>
        </w:rPr>
        <w:t>.”</w:t>
      </w:r>
      <w:r w:rsidRPr="00312927">
        <w:rPr>
          <w:rFonts w:ascii="Book Antiqua" w:hAnsi="Book Antiqua"/>
          <w:bCs/>
          <w:iCs/>
          <w:color w:val="000000"/>
          <w:lang w:eastAsia="en-AU"/>
        </w:rPr>
        <w:t xml:space="preserve"> </w:t>
      </w:r>
      <w:r w:rsidR="0017153F">
        <w:rPr>
          <w:rFonts w:ascii="Book Antiqua" w:hAnsi="Book Antiqua"/>
          <w:bCs/>
          <w:iCs/>
          <w:color w:val="000000"/>
          <w:lang w:eastAsia="en-AU"/>
        </w:rPr>
        <w:t>(page 223).</w:t>
      </w:r>
    </w:p>
    <w:p w:rsidR="0065258A" w:rsidRDefault="0065258A" w:rsidP="009B24CC">
      <w:pPr>
        <w:rPr>
          <w:rFonts w:ascii="Book Antiqua" w:hAnsi="Book Antiqua"/>
        </w:rPr>
      </w:pPr>
    </w:p>
    <w:p w:rsidR="0017153F" w:rsidRDefault="0065258A" w:rsidP="009B24CC">
      <w:pPr>
        <w:rPr>
          <w:rFonts w:ascii="Book Antiqua" w:hAnsi="Book Antiqua"/>
        </w:rPr>
      </w:pPr>
      <w:r>
        <w:rPr>
          <w:rFonts w:ascii="Book Antiqua" w:hAnsi="Book Antiqua"/>
        </w:rPr>
        <w:t xml:space="preserve">Strategic, </w:t>
      </w:r>
      <w:r w:rsidR="00382832">
        <w:rPr>
          <w:rFonts w:ascii="Book Antiqua" w:hAnsi="Book Antiqua"/>
        </w:rPr>
        <w:t xml:space="preserve">multi-disciplinary </w:t>
      </w:r>
      <w:r>
        <w:rPr>
          <w:rFonts w:ascii="Book Antiqua" w:hAnsi="Book Antiqua"/>
        </w:rPr>
        <w:t xml:space="preserve">planning </w:t>
      </w:r>
      <w:r w:rsidR="00643130">
        <w:rPr>
          <w:rFonts w:ascii="Book Antiqua" w:hAnsi="Book Antiqua"/>
        </w:rPr>
        <w:t>– which by definition lies</w:t>
      </w:r>
      <w:r w:rsidR="00643130" w:rsidRPr="009C1DE0">
        <w:rPr>
          <w:rFonts w:ascii="Book Antiqua" w:hAnsi="Book Antiqua"/>
        </w:rPr>
        <w:t xml:space="preserve"> outside the market</w:t>
      </w:r>
      <w:r w:rsidR="00643130">
        <w:rPr>
          <w:rFonts w:ascii="Book Antiqua" w:hAnsi="Book Antiqua"/>
        </w:rPr>
        <w:t xml:space="preserve"> – </w:t>
      </w:r>
      <w:r>
        <w:rPr>
          <w:rFonts w:ascii="Book Antiqua" w:hAnsi="Book Antiqua"/>
        </w:rPr>
        <w:t>is invisible in this model.</w:t>
      </w:r>
      <w:r w:rsidR="00643130">
        <w:rPr>
          <w:rFonts w:ascii="Book Antiqua" w:hAnsi="Book Antiqua"/>
        </w:rPr>
        <w:t xml:space="preserve"> </w:t>
      </w:r>
      <w:r w:rsidR="00EF481E">
        <w:rPr>
          <w:rFonts w:ascii="Book Antiqua" w:hAnsi="Book Antiqua"/>
        </w:rPr>
        <w:t xml:space="preserve">Strategic, </w:t>
      </w:r>
      <w:r w:rsidR="00444AA1">
        <w:rPr>
          <w:rFonts w:ascii="Book Antiqua" w:hAnsi="Book Antiqua"/>
        </w:rPr>
        <w:t xml:space="preserve">multi-disciplinary </w:t>
      </w:r>
      <w:r w:rsidR="00EF481E">
        <w:rPr>
          <w:rFonts w:ascii="Book Antiqua" w:hAnsi="Book Antiqua"/>
        </w:rPr>
        <w:t xml:space="preserve">planning is necessary to avoid misallocation of resources on unnecessary </w:t>
      </w:r>
      <w:r w:rsidR="00382832">
        <w:rPr>
          <w:rFonts w:ascii="Book Antiqua" w:hAnsi="Book Antiqua"/>
        </w:rPr>
        <w:t xml:space="preserve">or sub-optimal </w:t>
      </w:r>
      <w:r w:rsidR="00EF481E">
        <w:rPr>
          <w:rFonts w:ascii="Book Antiqua" w:hAnsi="Book Antiqua"/>
        </w:rPr>
        <w:t>projects</w:t>
      </w:r>
      <w:r w:rsidR="00382832">
        <w:rPr>
          <w:rFonts w:ascii="Book Antiqua" w:hAnsi="Book Antiqua"/>
        </w:rPr>
        <w:t>.</w:t>
      </w:r>
      <w:r w:rsidR="00444AA1">
        <w:rPr>
          <w:rFonts w:ascii="Book Antiqua" w:hAnsi="Book Antiqua"/>
        </w:rPr>
        <w:t xml:space="preserve"> The Draft Report </w:t>
      </w:r>
      <w:r w:rsidR="003A773C">
        <w:rPr>
          <w:rFonts w:ascii="Book Antiqua" w:hAnsi="Book Antiqua"/>
        </w:rPr>
        <w:t xml:space="preserve">focuses on </w:t>
      </w:r>
      <w:r w:rsidR="00444AA1">
        <w:rPr>
          <w:rFonts w:ascii="Book Antiqua" w:hAnsi="Book Antiqua"/>
        </w:rPr>
        <w:t>how to</w:t>
      </w:r>
      <w:r w:rsidR="003A773C">
        <w:rPr>
          <w:rFonts w:ascii="Book Antiqua" w:hAnsi="Book Antiqua"/>
        </w:rPr>
        <w:t xml:space="preserve"> manage good projects once they gain momentum, but is light on detail </w:t>
      </w:r>
      <w:r w:rsidR="008A3CCD">
        <w:rPr>
          <w:rFonts w:ascii="Book Antiqua" w:hAnsi="Book Antiqua"/>
        </w:rPr>
        <w:t>about</w:t>
      </w:r>
      <w:r w:rsidR="003A773C">
        <w:rPr>
          <w:rFonts w:ascii="Book Antiqua" w:hAnsi="Book Antiqua"/>
        </w:rPr>
        <w:t xml:space="preserve"> how to identify and endorse good projects.</w:t>
      </w:r>
    </w:p>
    <w:p w:rsidR="005A699C" w:rsidRPr="009C1DE0" w:rsidRDefault="005A699C" w:rsidP="009B24CC">
      <w:pPr>
        <w:rPr>
          <w:rFonts w:ascii="Book Antiqua" w:hAnsi="Book Antiqua"/>
        </w:rPr>
      </w:pPr>
    </w:p>
    <w:p w:rsidR="009B24CC" w:rsidRPr="00252223" w:rsidRDefault="008A3CCD" w:rsidP="009B24CC">
      <w:pPr>
        <w:rPr>
          <w:rFonts w:ascii="Book Antiqua" w:hAnsi="Book Antiqua"/>
          <w:b/>
        </w:rPr>
      </w:pPr>
      <w:r>
        <w:rPr>
          <w:rFonts w:ascii="Book Antiqua" w:hAnsi="Book Antiqua"/>
          <w:b/>
        </w:rPr>
        <w:t xml:space="preserve">Wrecking Ball 1: </w:t>
      </w:r>
      <w:r w:rsidR="009B24CC" w:rsidRPr="00252223">
        <w:rPr>
          <w:rFonts w:ascii="Book Antiqua" w:hAnsi="Book Antiqua"/>
          <w:b/>
        </w:rPr>
        <w:t>Climate change</w:t>
      </w:r>
    </w:p>
    <w:p w:rsidR="00252223" w:rsidRDefault="00252223" w:rsidP="009B24CC">
      <w:pPr>
        <w:rPr>
          <w:rFonts w:ascii="Book Antiqua" w:hAnsi="Book Antiqua"/>
        </w:rPr>
      </w:pPr>
    </w:p>
    <w:p w:rsidR="009B24CC" w:rsidRPr="009C1DE0" w:rsidRDefault="0005094E" w:rsidP="009B24CC">
      <w:pPr>
        <w:rPr>
          <w:rFonts w:ascii="Book Antiqua" w:hAnsi="Book Antiqua"/>
        </w:rPr>
      </w:pPr>
      <w:r w:rsidRPr="009C1DE0">
        <w:rPr>
          <w:rFonts w:ascii="Book Antiqua" w:hAnsi="Book Antiqua"/>
        </w:rPr>
        <w:t>T</w:t>
      </w:r>
      <w:r w:rsidR="00F31D88" w:rsidRPr="009C1DE0">
        <w:rPr>
          <w:rFonts w:ascii="Book Antiqua" w:hAnsi="Book Antiqua"/>
        </w:rPr>
        <w:t xml:space="preserve">he private sector will generally not adequately factor the risk of climate change </w:t>
      </w:r>
      <w:r w:rsidR="0065258A">
        <w:rPr>
          <w:rFonts w:ascii="Book Antiqua" w:hAnsi="Book Antiqua"/>
        </w:rPr>
        <w:t>(</w:t>
      </w:r>
      <w:r w:rsidR="00F31D88" w:rsidRPr="009C1DE0">
        <w:rPr>
          <w:rFonts w:ascii="Book Antiqua" w:hAnsi="Book Antiqua"/>
        </w:rPr>
        <w:t>and policy responses to climate change</w:t>
      </w:r>
      <w:r w:rsidR="0065258A">
        <w:rPr>
          <w:rFonts w:ascii="Book Antiqua" w:hAnsi="Book Antiqua"/>
        </w:rPr>
        <w:t>)</w:t>
      </w:r>
      <w:r w:rsidR="00F31D88" w:rsidRPr="009C1DE0">
        <w:rPr>
          <w:rFonts w:ascii="Book Antiqua" w:hAnsi="Book Antiqua"/>
        </w:rPr>
        <w:t xml:space="preserve"> into project planning. This is partly because of the long time </w:t>
      </w:r>
      <w:r w:rsidR="005A699C">
        <w:rPr>
          <w:rFonts w:ascii="Book Antiqua" w:hAnsi="Book Antiqua"/>
        </w:rPr>
        <w:t>horizon</w:t>
      </w:r>
      <w:r w:rsidR="00F31D88" w:rsidRPr="009C1DE0">
        <w:rPr>
          <w:rFonts w:ascii="Book Antiqua" w:hAnsi="Book Antiqua"/>
        </w:rPr>
        <w:t xml:space="preserve"> necessary</w:t>
      </w:r>
      <w:r w:rsidR="00222356">
        <w:rPr>
          <w:rFonts w:ascii="Book Antiqua" w:hAnsi="Book Antiqua"/>
        </w:rPr>
        <w:t xml:space="preserve">, partly because of </w:t>
      </w:r>
      <w:r w:rsidR="00125BFF">
        <w:rPr>
          <w:rFonts w:ascii="Book Antiqua" w:hAnsi="Book Antiqua"/>
        </w:rPr>
        <w:t xml:space="preserve">the </w:t>
      </w:r>
      <w:r w:rsidR="00222356">
        <w:rPr>
          <w:rFonts w:ascii="Book Antiqua" w:hAnsi="Book Antiqua"/>
        </w:rPr>
        <w:t>sunk costs</w:t>
      </w:r>
      <w:r w:rsidR="00F31D88" w:rsidRPr="009C1DE0">
        <w:rPr>
          <w:rFonts w:ascii="Book Antiqua" w:hAnsi="Book Antiqua"/>
        </w:rPr>
        <w:t xml:space="preserve"> </w:t>
      </w:r>
      <w:r w:rsidR="00B30C00">
        <w:rPr>
          <w:rFonts w:ascii="Book Antiqua" w:hAnsi="Book Antiqua"/>
        </w:rPr>
        <w:t xml:space="preserve">and momentum </w:t>
      </w:r>
      <w:r w:rsidR="00125BFF">
        <w:rPr>
          <w:rFonts w:ascii="Book Antiqua" w:hAnsi="Book Antiqua"/>
        </w:rPr>
        <w:t xml:space="preserve">of business-as-usual </w:t>
      </w:r>
      <w:r w:rsidR="00F31D88" w:rsidRPr="009C1DE0">
        <w:rPr>
          <w:rFonts w:ascii="Book Antiqua" w:hAnsi="Book Antiqua"/>
        </w:rPr>
        <w:t xml:space="preserve">and partly because of the orchestrated and well-documented campaign </w:t>
      </w:r>
      <w:r w:rsidRPr="009C1DE0">
        <w:rPr>
          <w:rFonts w:ascii="Book Antiqua" w:hAnsi="Book Antiqua"/>
        </w:rPr>
        <w:t xml:space="preserve">by certain opinion leaders in business and the media </w:t>
      </w:r>
      <w:r w:rsidR="00F31D88" w:rsidRPr="009C1DE0">
        <w:rPr>
          <w:rFonts w:ascii="Book Antiqua" w:hAnsi="Book Antiqua"/>
        </w:rPr>
        <w:t>against action</w:t>
      </w:r>
      <w:r w:rsidR="005A699C">
        <w:rPr>
          <w:rFonts w:ascii="Book Antiqua" w:hAnsi="Book Antiqua"/>
        </w:rPr>
        <w:t xml:space="preserve"> (refer to </w:t>
      </w:r>
      <w:r w:rsidR="00576700">
        <w:rPr>
          <w:rFonts w:ascii="Book Antiqua" w:hAnsi="Book Antiqua"/>
        </w:rPr>
        <w:t>exposés</w:t>
      </w:r>
      <w:r w:rsidR="005A699C">
        <w:rPr>
          <w:rFonts w:ascii="Book Antiqua" w:hAnsi="Book Antiqua"/>
        </w:rPr>
        <w:t xml:space="preserve"> by Naomi </w:t>
      </w:r>
      <w:proofErr w:type="spellStart"/>
      <w:r w:rsidR="005A699C">
        <w:rPr>
          <w:rFonts w:ascii="Book Antiqua" w:hAnsi="Book Antiqua"/>
        </w:rPr>
        <w:t>Oreskes</w:t>
      </w:r>
      <w:proofErr w:type="spellEnd"/>
      <w:r w:rsidR="005A699C">
        <w:rPr>
          <w:rFonts w:ascii="Book Antiqua" w:hAnsi="Book Antiqua"/>
        </w:rPr>
        <w:t xml:space="preserve"> and Australians Clive Hamilton, Guy </w:t>
      </w:r>
      <w:proofErr w:type="spellStart"/>
      <w:r w:rsidR="005A699C">
        <w:rPr>
          <w:rFonts w:ascii="Book Antiqua" w:hAnsi="Book Antiqua"/>
        </w:rPr>
        <w:t>Pearse</w:t>
      </w:r>
      <w:proofErr w:type="spellEnd"/>
      <w:r w:rsidR="005A699C">
        <w:rPr>
          <w:rFonts w:ascii="Book Antiqua" w:hAnsi="Book Antiqua"/>
        </w:rPr>
        <w:t xml:space="preserve"> and David McKnight).</w:t>
      </w:r>
    </w:p>
    <w:p w:rsidR="00F31D88" w:rsidRPr="009C1DE0" w:rsidRDefault="00F31D88" w:rsidP="009B24CC">
      <w:pPr>
        <w:rPr>
          <w:rFonts w:ascii="Book Antiqua" w:hAnsi="Book Antiqua"/>
        </w:rPr>
      </w:pPr>
    </w:p>
    <w:p w:rsidR="00F31D88" w:rsidRPr="009C1DE0" w:rsidRDefault="00F31D88" w:rsidP="009B24CC">
      <w:pPr>
        <w:rPr>
          <w:rFonts w:ascii="Book Antiqua" w:hAnsi="Book Antiqua"/>
        </w:rPr>
      </w:pPr>
      <w:r w:rsidRPr="009C1DE0">
        <w:rPr>
          <w:rFonts w:ascii="Book Antiqua" w:hAnsi="Book Antiqua"/>
        </w:rPr>
        <w:t xml:space="preserve">A simple piece of evidence of this on the public record is the article by </w:t>
      </w:r>
      <w:r w:rsidR="00125BFF">
        <w:rPr>
          <w:rFonts w:ascii="Book Antiqua" w:hAnsi="Book Antiqua"/>
        </w:rPr>
        <w:t xml:space="preserve">business leader </w:t>
      </w:r>
      <w:r w:rsidRPr="009C1DE0">
        <w:rPr>
          <w:rFonts w:ascii="Book Antiqua" w:hAnsi="Book Antiqua"/>
        </w:rPr>
        <w:t xml:space="preserve">Dick </w:t>
      </w:r>
      <w:r w:rsidR="0005094E" w:rsidRPr="009C1DE0">
        <w:rPr>
          <w:rFonts w:ascii="Book Antiqua" w:hAnsi="Book Antiqua"/>
        </w:rPr>
        <w:t>Warburton</w:t>
      </w:r>
      <w:r w:rsidRPr="009C1DE0">
        <w:rPr>
          <w:rFonts w:ascii="Book Antiqua" w:hAnsi="Book Antiqua"/>
        </w:rPr>
        <w:t xml:space="preserve"> </w:t>
      </w:r>
      <w:r w:rsidR="0005094E" w:rsidRPr="009C1DE0">
        <w:rPr>
          <w:rFonts w:ascii="Book Antiqua" w:hAnsi="Book Antiqua"/>
        </w:rPr>
        <w:t>in</w:t>
      </w:r>
      <w:r w:rsidRPr="009C1DE0">
        <w:rPr>
          <w:rFonts w:ascii="Book Antiqua" w:hAnsi="Book Antiqua"/>
        </w:rPr>
        <w:t xml:space="preserve"> 2009</w:t>
      </w:r>
      <w:r w:rsidR="0005094E" w:rsidRPr="009C1DE0">
        <w:rPr>
          <w:rFonts w:ascii="Book Antiqua" w:hAnsi="Book Antiqua"/>
        </w:rPr>
        <w:t>: “An inconvenient truth leads to lurking doubt”. Warburton is now leading the Australian Government’s review of the renewable energy targets scheme.</w:t>
      </w:r>
    </w:p>
    <w:p w:rsidR="00F31D88" w:rsidRDefault="00F31D88" w:rsidP="009B24CC">
      <w:pPr>
        <w:rPr>
          <w:rFonts w:ascii="Book Antiqua" w:hAnsi="Book Antiqua"/>
        </w:rPr>
      </w:pPr>
    </w:p>
    <w:p w:rsidR="005A699C" w:rsidRDefault="005A699C" w:rsidP="009B24CC">
      <w:pPr>
        <w:rPr>
          <w:rFonts w:ascii="Book Antiqua" w:hAnsi="Book Antiqua"/>
        </w:rPr>
      </w:pPr>
      <w:r>
        <w:rPr>
          <w:rFonts w:ascii="Book Antiqua" w:hAnsi="Book Antiqua"/>
        </w:rPr>
        <w:t xml:space="preserve">The </w:t>
      </w:r>
      <w:r w:rsidR="005232C0">
        <w:rPr>
          <w:rFonts w:ascii="Book Antiqua" w:hAnsi="Book Antiqua"/>
        </w:rPr>
        <w:t xml:space="preserve">nation’s political leadership has failed to adjust policy settings appropriately to accommodate the unambiguous scientific evidence about global warming. I suggest that this is </w:t>
      </w:r>
      <w:r w:rsidR="003E7E84">
        <w:rPr>
          <w:rFonts w:ascii="Book Antiqua" w:hAnsi="Book Antiqua"/>
        </w:rPr>
        <w:t xml:space="preserve">partly </w:t>
      </w:r>
      <w:r w:rsidR="005232C0">
        <w:rPr>
          <w:rFonts w:ascii="Book Antiqua" w:hAnsi="Book Antiqua"/>
        </w:rPr>
        <w:t>because of the low level of scientific literacy in the nation’s two Houses of Parliament</w:t>
      </w:r>
      <w:r w:rsidR="00D52B97">
        <w:rPr>
          <w:rFonts w:ascii="Book Antiqua" w:hAnsi="Book Antiqua"/>
        </w:rPr>
        <w:t xml:space="preserve"> (Edwards </w:t>
      </w:r>
      <w:proofErr w:type="spellStart"/>
      <w:r w:rsidR="00D52B97">
        <w:rPr>
          <w:rFonts w:ascii="Book Antiqua" w:hAnsi="Book Antiqua"/>
        </w:rPr>
        <w:t>2011</w:t>
      </w:r>
      <w:r w:rsidR="00196EC2">
        <w:rPr>
          <w:rFonts w:ascii="Book Antiqua" w:hAnsi="Book Antiqua"/>
        </w:rPr>
        <w:t>b</w:t>
      </w:r>
      <w:proofErr w:type="spellEnd"/>
      <w:r w:rsidR="00D52B97">
        <w:rPr>
          <w:rFonts w:ascii="Book Antiqua" w:hAnsi="Book Antiqua"/>
        </w:rPr>
        <w:t>)</w:t>
      </w:r>
      <w:r w:rsidR="005232C0">
        <w:rPr>
          <w:rFonts w:ascii="Book Antiqua" w:hAnsi="Book Antiqua"/>
        </w:rPr>
        <w:t xml:space="preserve">: while Members and Senators are not expected to be experts, a higher level of scientific literacy would </w:t>
      </w:r>
      <w:r w:rsidR="00D52B97">
        <w:rPr>
          <w:rFonts w:ascii="Book Antiqua" w:hAnsi="Book Antiqua"/>
        </w:rPr>
        <w:t xml:space="preserve">help to </w:t>
      </w:r>
      <w:r w:rsidR="005232C0">
        <w:rPr>
          <w:rFonts w:ascii="Book Antiqua" w:hAnsi="Book Antiqua"/>
        </w:rPr>
        <w:t>inoculate the</w:t>
      </w:r>
      <w:r w:rsidR="003E7E84">
        <w:rPr>
          <w:rFonts w:ascii="Book Antiqua" w:hAnsi="Book Antiqua"/>
        </w:rPr>
        <w:t xml:space="preserve"> Parliament</w:t>
      </w:r>
      <w:r w:rsidR="005232C0">
        <w:rPr>
          <w:rFonts w:ascii="Book Antiqua" w:hAnsi="Book Antiqua"/>
        </w:rPr>
        <w:t xml:space="preserve"> against false advocacy.</w:t>
      </w:r>
    </w:p>
    <w:p w:rsidR="00D52B97" w:rsidRPr="008C2348" w:rsidRDefault="00D52B97" w:rsidP="009B24CC">
      <w:pPr>
        <w:rPr>
          <w:rFonts w:ascii="Book Antiqua" w:hAnsi="Book Antiqua"/>
        </w:rPr>
      </w:pPr>
    </w:p>
    <w:p w:rsidR="00D52B97" w:rsidRPr="008C2348" w:rsidRDefault="00D52B97" w:rsidP="009B24CC">
      <w:pPr>
        <w:rPr>
          <w:rFonts w:ascii="Book Antiqua" w:hAnsi="Book Antiqua"/>
        </w:rPr>
      </w:pPr>
      <w:r w:rsidRPr="008C2348">
        <w:rPr>
          <w:rFonts w:ascii="Book Antiqua" w:hAnsi="Book Antiqua"/>
        </w:rPr>
        <w:t xml:space="preserve">Given a contemporary lack </w:t>
      </w:r>
      <w:r w:rsidR="003E7E84">
        <w:rPr>
          <w:rFonts w:ascii="Book Antiqua" w:hAnsi="Book Antiqua"/>
        </w:rPr>
        <w:t xml:space="preserve">of </w:t>
      </w:r>
      <w:r w:rsidR="008C2348" w:rsidRPr="008C2348">
        <w:rPr>
          <w:rFonts w:ascii="Book Antiqua" w:hAnsi="Book Antiqua"/>
        </w:rPr>
        <w:t xml:space="preserve">preventative policy settings, I submit that there is a heavier burden of </w:t>
      </w:r>
      <w:r w:rsidR="008C2348">
        <w:rPr>
          <w:rFonts w:ascii="Book Antiqua" w:hAnsi="Book Antiqua"/>
        </w:rPr>
        <w:t>respon</w:t>
      </w:r>
      <w:r w:rsidR="008C2348" w:rsidRPr="008C2348">
        <w:rPr>
          <w:rFonts w:ascii="Book Antiqua" w:hAnsi="Book Antiqua"/>
        </w:rPr>
        <w:t>sibility upon the Commission to flag this question in their Report</w:t>
      </w:r>
      <w:r w:rsidR="008C2348">
        <w:rPr>
          <w:rFonts w:ascii="Book Antiqua" w:hAnsi="Book Antiqua"/>
        </w:rPr>
        <w:t>,</w:t>
      </w:r>
      <w:r w:rsidR="008C2348" w:rsidRPr="008C2348">
        <w:rPr>
          <w:rFonts w:ascii="Book Antiqua" w:hAnsi="Book Antiqua"/>
        </w:rPr>
        <w:t xml:space="preserve"> </w:t>
      </w:r>
      <w:r w:rsidR="008C2348">
        <w:rPr>
          <w:rFonts w:ascii="Book Antiqua" w:hAnsi="Book Antiqua"/>
        </w:rPr>
        <w:t>as a service to governments</w:t>
      </w:r>
      <w:r w:rsidR="00D7348D">
        <w:rPr>
          <w:rFonts w:ascii="Book Antiqua" w:hAnsi="Book Antiqua"/>
        </w:rPr>
        <w:t xml:space="preserve"> and</w:t>
      </w:r>
      <w:r w:rsidR="00D7348D" w:rsidRPr="00D7348D">
        <w:rPr>
          <w:rFonts w:ascii="Book Antiqua" w:hAnsi="Book Antiqua"/>
        </w:rPr>
        <w:t xml:space="preserve"> </w:t>
      </w:r>
      <w:r w:rsidR="00D7348D">
        <w:rPr>
          <w:rFonts w:ascii="Book Antiqua" w:hAnsi="Book Antiqua"/>
        </w:rPr>
        <w:t>the construction industry</w:t>
      </w:r>
      <w:r w:rsidR="008C2348" w:rsidRPr="008C2348">
        <w:rPr>
          <w:rFonts w:ascii="Book Antiqua" w:hAnsi="Book Antiqua"/>
        </w:rPr>
        <w:t>.</w:t>
      </w:r>
    </w:p>
    <w:p w:rsidR="005A699C" w:rsidRPr="009C1DE0" w:rsidRDefault="005A699C" w:rsidP="009B24CC">
      <w:pPr>
        <w:rPr>
          <w:rFonts w:ascii="Book Antiqua" w:hAnsi="Book Antiqua"/>
        </w:rPr>
      </w:pPr>
    </w:p>
    <w:p w:rsidR="009B24CC" w:rsidRPr="00252223" w:rsidRDefault="00A1469E" w:rsidP="009B24CC">
      <w:pPr>
        <w:rPr>
          <w:rFonts w:ascii="Book Antiqua" w:hAnsi="Book Antiqua"/>
          <w:b/>
        </w:rPr>
      </w:pPr>
      <w:r>
        <w:rPr>
          <w:rFonts w:ascii="Book Antiqua" w:hAnsi="Book Antiqua"/>
          <w:b/>
        </w:rPr>
        <w:lastRenderedPageBreak/>
        <w:t xml:space="preserve">Wrecking Ball 2: </w:t>
      </w:r>
      <w:r w:rsidR="009B24CC" w:rsidRPr="00252223">
        <w:rPr>
          <w:rFonts w:ascii="Book Antiqua" w:hAnsi="Book Antiqua"/>
          <w:b/>
        </w:rPr>
        <w:t>Peak or plateau oil</w:t>
      </w:r>
    </w:p>
    <w:p w:rsidR="00252223" w:rsidRDefault="00252223" w:rsidP="0005094E">
      <w:pPr>
        <w:rPr>
          <w:rFonts w:ascii="Book Antiqua" w:hAnsi="Book Antiqua"/>
        </w:rPr>
      </w:pPr>
    </w:p>
    <w:p w:rsidR="00CF3F94" w:rsidRDefault="00CF3F94" w:rsidP="0005094E">
      <w:pPr>
        <w:rPr>
          <w:rFonts w:ascii="Book Antiqua" w:hAnsi="Book Antiqua"/>
        </w:rPr>
      </w:pPr>
      <w:r>
        <w:rPr>
          <w:rFonts w:ascii="Book Antiqua" w:hAnsi="Book Antiqua"/>
        </w:rPr>
        <w:t>Peak oil</w:t>
      </w:r>
      <w:r w:rsidR="00157BBC">
        <w:rPr>
          <w:rFonts w:ascii="Book Antiqua" w:hAnsi="Book Antiqua"/>
        </w:rPr>
        <w:t xml:space="preserve"> (the date at which supply cannot be increased further to meet growing demand)</w:t>
      </w:r>
      <w:r>
        <w:rPr>
          <w:rFonts w:ascii="Book Antiqua" w:hAnsi="Book Antiqua"/>
        </w:rPr>
        <w:t xml:space="preserve"> is an intertwined problem of economics and geology. Yes, economics can slow or hasten the rate of extraction of a non-renewable resource, up to a point; but it cannot hasten the rate beyond that which geology will permit.</w:t>
      </w:r>
    </w:p>
    <w:p w:rsidR="00C030C5" w:rsidRDefault="00C030C5" w:rsidP="0005094E">
      <w:pPr>
        <w:rPr>
          <w:rFonts w:ascii="Book Antiqua" w:hAnsi="Book Antiqua"/>
        </w:rPr>
      </w:pPr>
    </w:p>
    <w:p w:rsidR="00987861" w:rsidRDefault="00987861" w:rsidP="0005094E">
      <w:pPr>
        <w:rPr>
          <w:rFonts w:ascii="Book Antiqua" w:hAnsi="Book Antiqua"/>
        </w:rPr>
      </w:pPr>
      <w:r>
        <w:rPr>
          <w:rFonts w:ascii="Book Antiqua" w:hAnsi="Book Antiqua"/>
        </w:rPr>
        <w:t>Will price signals constrain demand to match supply? Yes, they will and arguably are already doing so (</w:t>
      </w:r>
      <w:r w:rsidR="00216CB4">
        <w:rPr>
          <w:rFonts w:ascii="Book Antiqua" w:hAnsi="Book Antiqua"/>
        </w:rPr>
        <w:t xml:space="preserve">the price of petrol has arguably been a factor in the financial collapse of the Brisbane and Sydney road tunnels). The problem that the Commission faces in this Report is the forward lag </w:t>
      </w:r>
      <w:r w:rsidR="00EB2AE4">
        <w:rPr>
          <w:rFonts w:ascii="Book Antiqua" w:hAnsi="Book Antiqua"/>
        </w:rPr>
        <w:t>time</w:t>
      </w:r>
      <w:r w:rsidR="00216CB4">
        <w:rPr>
          <w:rFonts w:ascii="Book Antiqua" w:hAnsi="Book Antiqua"/>
        </w:rPr>
        <w:t xml:space="preserve">. </w:t>
      </w:r>
      <w:r w:rsidR="00157BBC">
        <w:rPr>
          <w:rFonts w:ascii="Book Antiqua" w:hAnsi="Book Antiqua"/>
        </w:rPr>
        <w:t xml:space="preserve">Price signals will kick in only at or after peak, because until then, by definition, supply can be increased to meet demand. </w:t>
      </w:r>
      <w:r w:rsidR="00EB2AE4">
        <w:rPr>
          <w:rFonts w:ascii="Book Antiqua" w:hAnsi="Book Antiqua"/>
        </w:rPr>
        <w:t xml:space="preserve">Peak </w:t>
      </w:r>
      <w:r w:rsidR="00157BBC">
        <w:rPr>
          <w:rFonts w:ascii="Book Antiqua" w:hAnsi="Book Antiqua"/>
        </w:rPr>
        <w:t xml:space="preserve">is too late to unwind physical infrastructure built on the assumption that there </w:t>
      </w:r>
      <w:r w:rsidR="00D7348D">
        <w:rPr>
          <w:rFonts w:ascii="Book Antiqua" w:hAnsi="Book Antiqua"/>
        </w:rPr>
        <w:t xml:space="preserve">will be </w:t>
      </w:r>
      <w:r w:rsidR="00157BBC">
        <w:rPr>
          <w:rFonts w:ascii="Book Antiqua" w:hAnsi="Book Antiqua"/>
        </w:rPr>
        <w:t xml:space="preserve">no shortage of supply. </w:t>
      </w:r>
      <w:r w:rsidR="00216CB4">
        <w:rPr>
          <w:rFonts w:ascii="Book Antiqua" w:hAnsi="Book Antiqua"/>
        </w:rPr>
        <w:t xml:space="preserve">Engineering for a world in which petrol and diesel are expensive </w:t>
      </w:r>
      <w:r w:rsidR="00216CB4" w:rsidRPr="00576700">
        <w:rPr>
          <w:rFonts w:ascii="Book Antiqua" w:hAnsi="Book Antiqua"/>
          <w:i/>
        </w:rPr>
        <w:t xml:space="preserve">should </w:t>
      </w:r>
      <w:r w:rsidR="00576700">
        <w:rPr>
          <w:rFonts w:ascii="Book Antiqua" w:hAnsi="Book Antiqua"/>
          <w:i/>
        </w:rPr>
        <w:t xml:space="preserve">have </w:t>
      </w:r>
      <w:r w:rsidR="00216CB4" w:rsidRPr="00576700">
        <w:rPr>
          <w:rFonts w:ascii="Book Antiqua" w:hAnsi="Book Antiqua"/>
          <w:i/>
        </w:rPr>
        <w:t>commence</w:t>
      </w:r>
      <w:r w:rsidR="00576700">
        <w:rPr>
          <w:rFonts w:ascii="Book Antiqua" w:hAnsi="Book Antiqua"/>
          <w:i/>
        </w:rPr>
        <w:t>d</w:t>
      </w:r>
      <w:r w:rsidR="00216CB4" w:rsidRPr="00576700">
        <w:rPr>
          <w:rFonts w:ascii="Book Antiqua" w:hAnsi="Book Antiqua"/>
          <w:i/>
        </w:rPr>
        <w:t xml:space="preserve"> </w:t>
      </w:r>
      <w:r w:rsidR="00157BBC" w:rsidRPr="00576700">
        <w:rPr>
          <w:rFonts w:ascii="Book Antiqua" w:hAnsi="Book Antiqua"/>
          <w:i/>
        </w:rPr>
        <w:t xml:space="preserve">three decades </w:t>
      </w:r>
      <w:r w:rsidR="00216CB4" w:rsidRPr="00576700">
        <w:rPr>
          <w:rFonts w:ascii="Book Antiqua" w:hAnsi="Book Antiqua"/>
          <w:i/>
        </w:rPr>
        <w:t>before peak</w:t>
      </w:r>
      <w:r w:rsidR="00216CB4">
        <w:rPr>
          <w:rFonts w:ascii="Book Antiqua" w:hAnsi="Book Antiqua"/>
        </w:rPr>
        <w:t xml:space="preserve">, because of the lifetime of physical assets constructed to </w:t>
      </w:r>
      <w:r w:rsidR="00EB2AE4">
        <w:rPr>
          <w:rFonts w:ascii="Book Antiqua" w:hAnsi="Book Antiqua"/>
        </w:rPr>
        <w:t xml:space="preserve">facilitate </w:t>
      </w:r>
      <w:r w:rsidR="00576700">
        <w:rPr>
          <w:rFonts w:ascii="Book Antiqua" w:hAnsi="Book Antiqua"/>
        </w:rPr>
        <w:t xml:space="preserve">anticipated </w:t>
      </w:r>
      <w:r w:rsidR="00EB2AE4">
        <w:rPr>
          <w:rFonts w:ascii="Book Antiqua" w:hAnsi="Book Antiqua"/>
        </w:rPr>
        <w:t xml:space="preserve">volumes of </w:t>
      </w:r>
      <w:r w:rsidR="00216CB4">
        <w:rPr>
          <w:rFonts w:ascii="Book Antiqua" w:hAnsi="Book Antiqua"/>
        </w:rPr>
        <w:t xml:space="preserve">traffic. </w:t>
      </w:r>
    </w:p>
    <w:p w:rsidR="00216CB4" w:rsidRDefault="00216CB4" w:rsidP="0005094E">
      <w:pPr>
        <w:rPr>
          <w:rFonts w:ascii="Book Antiqua" w:hAnsi="Book Antiqua"/>
        </w:rPr>
      </w:pPr>
    </w:p>
    <w:p w:rsidR="008C2348" w:rsidRDefault="00157BBC" w:rsidP="0005094E">
      <w:pPr>
        <w:rPr>
          <w:rFonts w:ascii="Book Antiqua" w:hAnsi="Book Antiqua"/>
        </w:rPr>
      </w:pPr>
      <w:r>
        <w:rPr>
          <w:rFonts w:ascii="Book Antiqua" w:hAnsi="Book Antiqua"/>
        </w:rPr>
        <w:t xml:space="preserve">This did not happen. Warning signals have been ignored. </w:t>
      </w:r>
      <w:r w:rsidR="00536DF3">
        <w:rPr>
          <w:rFonts w:ascii="Book Antiqua" w:hAnsi="Book Antiqua"/>
        </w:rPr>
        <w:t xml:space="preserve">Peak oil is </w:t>
      </w:r>
      <w:r>
        <w:rPr>
          <w:rFonts w:ascii="Book Antiqua" w:hAnsi="Book Antiqua"/>
        </w:rPr>
        <w:t xml:space="preserve">now </w:t>
      </w:r>
      <w:r w:rsidR="00536DF3">
        <w:rPr>
          <w:rFonts w:ascii="Book Antiqua" w:hAnsi="Book Antiqua"/>
        </w:rPr>
        <w:t xml:space="preserve">upon us. The precise date is difficult to pin down as data from the Middle Eastern OPEC countries </w:t>
      </w:r>
      <w:r w:rsidR="00576700">
        <w:rPr>
          <w:rFonts w:ascii="Book Antiqua" w:hAnsi="Book Antiqua"/>
        </w:rPr>
        <w:t>are</w:t>
      </w:r>
      <w:r w:rsidR="00536DF3">
        <w:rPr>
          <w:rFonts w:ascii="Book Antiqua" w:hAnsi="Book Antiqua"/>
        </w:rPr>
        <w:t xml:space="preserve"> </w:t>
      </w:r>
      <w:r w:rsidR="00EE3BF4">
        <w:rPr>
          <w:rFonts w:ascii="Book Antiqua" w:hAnsi="Book Antiqua"/>
        </w:rPr>
        <w:t>unreliable</w:t>
      </w:r>
      <w:r w:rsidR="00536DF3">
        <w:rPr>
          <w:rFonts w:ascii="Book Antiqua" w:hAnsi="Book Antiqua"/>
        </w:rPr>
        <w:t xml:space="preserve">, and definitions vary between observers. There is strong evidence that </w:t>
      </w:r>
      <w:r w:rsidR="00EE3BF4">
        <w:rPr>
          <w:rFonts w:ascii="Book Antiqua" w:hAnsi="Book Antiqua"/>
        </w:rPr>
        <w:t>global production of conventional oil peaked in 200</w:t>
      </w:r>
      <w:r w:rsidR="001170AC">
        <w:rPr>
          <w:rFonts w:ascii="Book Antiqua" w:hAnsi="Book Antiqua"/>
        </w:rPr>
        <w:t>6</w:t>
      </w:r>
      <w:r w:rsidR="00EE3BF4">
        <w:rPr>
          <w:rFonts w:ascii="Book Antiqua" w:hAnsi="Book Antiqua"/>
        </w:rPr>
        <w:t xml:space="preserve"> and global production of conventional oil plus variants such as condensates from gas plants peaked in 2008. The shale oil program in the United States has probably flattened the peak and may have pushed these dates forward by a few years.</w:t>
      </w:r>
    </w:p>
    <w:p w:rsidR="00EE3BF4" w:rsidRPr="00EE3BF4" w:rsidRDefault="00EE3BF4" w:rsidP="0005094E">
      <w:pPr>
        <w:rPr>
          <w:rFonts w:ascii="Book Antiqua" w:hAnsi="Book Antiqua"/>
        </w:rPr>
      </w:pPr>
    </w:p>
    <w:p w:rsidR="00EE3BF4" w:rsidRPr="00EE3BF4" w:rsidRDefault="00EE3BF4" w:rsidP="0005094E">
      <w:pPr>
        <w:rPr>
          <w:rFonts w:ascii="Book Antiqua" w:hAnsi="Book Antiqua"/>
        </w:rPr>
      </w:pPr>
      <w:r w:rsidRPr="00EE3BF4">
        <w:rPr>
          <w:rFonts w:ascii="Book Antiqua" w:hAnsi="Book Antiqua"/>
        </w:rPr>
        <w:t xml:space="preserve">Scepticism about peak oil </w:t>
      </w:r>
      <w:r w:rsidR="00EE2351">
        <w:rPr>
          <w:rFonts w:ascii="Book Antiqua" w:hAnsi="Book Antiqua"/>
        </w:rPr>
        <w:t xml:space="preserve">centres on expectations that large resources of </w:t>
      </w:r>
      <w:r w:rsidR="001170AC">
        <w:rPr>
          <w:rFonts w:ascii="Book Antiqua" w:hAnsi="Book Antiqua"/>
        </w:rPr>
        <w:t xml:space="preserve">unconventional oil such as </w:t>
      </w:r>
      <w:r w:rsidR="00EE2351">
        <w:rPr>
          <w:rFonts w:ascii="Book Antiqua" w:hAnsi="Book Antiqua"/>
        </w:rPr>
        <w:t xml:space="preserve">tar sands in Canada and oil shale </w:t>
      </w:r>
      <w:r w:rsidR="002F211C">
        <w:rPr>
          <w:rFonts w:ascii="Book Antiqua" w:hAnsi="Book Antiqua"/>
        </w:rPr>
        <w:t xml:space="preserve">near </w:t>
      </w:r>
      <w:r w:rsidR="00EE2351">
        <w:rPr>
          <w:rFonts w:ascii="Book Antiqua" w:hAnsi="Book Antiqua"/>
        </w:rPr>
        <w:t>Gladstone</w:t>
      </w:r>
      <w:r w:rsidR="002F211C">
        <w:rPr>
          <w:rFonts w:ascii="Book Antiqua" w:hAnsi="Book Antiqua"/>
        </w:rPr>
        <w:t xml:space="preserve"> </w:t>
      </w:r>
      <w:r w:rsidR="00EE2351">
        <w:rPr>
          <w:rFonts w:ascii="Book Antiqua" w:hAnsi="Book Antiqua"/>
        </w:rPr>
        <w:t xml:space="preserve">and elsewhere can be brought online to supply petroleum fuels. These large resources however will not be monetised at a rate sufficient to affect the timing of peak, partly because they will fall foul of global carbon initiatives </w:t>
      </w:r>
      <w:r w:rsidR="001170AC">
        <w:rPr>
          <w:rFonts w:ascii="Book Antiqua" w:hAnsi="Book Antiqua"/>
        </w:rPr>
        <w:t xml:space="preserve">(excessive </w:t>
      </w:r>
      <w:r w:rsidR="00EE2351">
        <w:rPr>
          <w:rFonts w:ascii="Book Antiqua" w:hAnsi="Book Antiqua"/>
        </w:rPr>
        <w:t>carbon emissions to extract the oil</w:t>
      </w:r>
      <w:r w:rsidR="001170AC">
        <w:rPr>
          <w:rFonts w:ascii="Book Antiqua" w:hAnsi="Book Antiqua"/>
        </w:rPr>
        <w:t>)</w:t>
      </w:r>
      <w:r w:rsidR="00EE2351">
        <w:rPr>
          <w:rFonts w:ascii="Book Antiqua" w:hAnsi="Book Antiqua"/>
        </w:rPr>
        <w:t>; and partly because the energy profit ratio is too small.</w:t>
      </w:r>
      <w:r w:rsidR="00CF3F94">
        <w:rPr>
          <w:rFonts w:ascii="Book Antiqua" w:hAnsi="Book Antiqua"/>
        </w:rPr>
        <w:t xml:space="preserve"> The opportunity cost of burning natural gas and diesel fuel to extract oil with an energy profit of only two or three to </w:t>
      </w:r>
      <w:r w:rsidR="001170AC">
        <w:rPr>
          <w:rFonts w:ascii="Book Antiqua" w:hAnsi="Book Antiqua"/>
        </w:rPr>
        <w:t xml:space="preserve">one is too great and </w:t>
      </w:r>
      <w:r w:rsidR="00CF3F94">
        <w:rPr>
          <w:rFonts w:ascii="Book Antiqua" w:hAnsi="Book Antiqua"/>
        </w:rPr>
        <w:t xml:space="preserve">planners </w:t>
      </w:r>
      <w:r w:rsidR="001170AC">
        <w:rPr>
          <w:rFonts w:ascii="Book Antiqua" w:hAnsi="Book Antiqua"/>
        </w:rPr>
        <w:t xml:space="preserve">will seek better solutions </w:t>
      </w:r>
      <w:r w:rsidR="00CF3F94">
        <w:rPr>
          <w:rFonts w:ascii="Book Antiqua" w:hAnsi="Book Antiqua"/>
        </w:rPr>
        <w:t>for transport.</w:t>
      </w:r>
    </w:p>
    <w:p w:rsidR="00DA0D25" w:rsidRDefault="00DA0D25" w:rsidP="00DA0D25">
      <w:pPr>
        <w:rPr>
          <w:rFonts w:ascii="Book Antiqua" w:hAnsi="Book Antiqua"/>
        </w:rPr>
      </w:pPr>
    </w:p>
    <w:p w:rsidR="00DA0D25" w:rsidRDefault="00DA0D25" w:rsidP="00DA0D25">
      <w:pPr>
        <w:rPr>
          <w:rFonts w:ascii="Book Antiqua" w:hAnsi="Book Antiqua"/>
        </w:rPr>
      </w:pPr>
      <w:r>
        <w:rPr>
          <w:rFonts w:ascii="Book Antiqua" w:hAnsi="Book Antiqua"/>
        </w:rPr>
        <w:t xml:space="preserve">Even the most optimistic economists </w:t>
      </w:r>
      <w:r w:rsidR="00C27864">
        <w:rPr>
          <w:rFonts w:ascii="Book Antiqua" w:hAnsi="Book Antiqua"/>
        </w:rPr>
        <w:t>have</w:t>
      </w:r>
      <w:r>
        <w:rPr>
          <w:rFonts w:ascii="Book Antiqua" w:hAnsi="Book Antiqua"/>
        </w:rPr>
        <w:t xml:space="preserve"> concede</w:t>
      </w:r>
      <w:r w:rsidR="00C27864">
        <w:rPr>
          <w:rFonts w:ascii="Book Antiqua" w:hAnsi="Book Antiqua"/>
        </w:rPr>
        <w:t>d</w:t>
      </w:r>
      <w:r>
        <w:rPr>
          <w:rFonts w:ascii="Book Antiqua" w:hAnsi="Book Antiqua"/>
        </w:rPr>
        <w:t xml:space="preserve"> that the rate of peak production will occur </w:t>
      </w:r>
      <w:r w:rsidR="002F211C">
        <w:rPr>
          <w:rFonts w:ascii="Book Antiqua" w:hAnsi="Book Antiqua"/>
        </w:rPr>
        <w:t>by</w:t>
      </w:r>
      <w:r>
        <w:rPr>
          <w:rFonts w:ascii="Book Antiqua" w:hAnsi="Book Antiqua"/>
        </w:rPr>
        <w:t xml:space="preserve"> 20</w:t>
      </w:r>
      <w:r w:rsidR="002F211C">
        <w:rPr>
          <w:rFonts w:ascii="Book Antiqua" w:hAnsi="Book Antiqua"/>
        </w:rPr>
        <w:t>35</w:t>
      </w:r>
      <w:r w:rsidR="00D7348D">
        <w:rPr>
          <w:rFonts w:ascii="Book Antiqua" w:hAnsi="Book Antiqua"/>
        </w:rPr>
        <w:t xml:space="preserve"> – the </w:t>
      </w:r>
      <w:r w:rsidR="00E16601">
        <w:rPr>
          <w:rFonts w:ascii="Book Antiqua" w:hAnsi="Book Antiqua"/>
        </w:rPr>
        <w:t>resource is not renewable and is clearly depleting</w:t>
      </w:r>
      <w:r>
        <w:rPr>
          <w:rFonts w:ascii="Book Antiqua" w:hAnsi="Book Antiqua"/>
        </w:rPr>
        <w:t xml:space="preserve">. </w:t>
      </w:r>
      <w:r w:rsidRPr="00DA0D25">
        <w:rPr>
          <w:rFonts w:ascii="Book Antiqua" w:hAnsi="Book Antiqua"/>
          <w:i/>
        </w:rPr>
        <w:t xml:space="preserve">The time to commence shaping </w:t>
      </w:r>
      <w:r>
        <w:rPr>
          <w:rFonts w:ascii="Book Antiqua" w:hAnsi="Book Antiqua"/>
          <w:i/>
        </w:rPr>
        <w:t xml:space="preserve">long-life </w:t>
      </w:r>
      <w:r w:rsidRPr="00DA0D25">
        <w:rPr>
          <w:rFonts w:ascii="Book Antiqua" w:hAnsi="Book Antiqua"/>
          <w:i/>
        </w:rPr>
        <w:t>infrastructure around a peak of 20</w:t>
      </w:r>
      <w:r w:rsidR="002F211C">
        <w:rPr>
          <w:rFonts w:ascii="Book Antiqua" w:hAnsi="Book Antiqua"/>
          <w:i/>
        </w:rPr>
        <w:t>35</w:t>
      </w:r>
      <w:r w:rsidRPr="00DA0D25">
        <w:rPr>
          <w:rFonts w:ascii="Book Antiqua" w:hAnsi="Book Antiqua"/>
          <w:i/>
        </w:rPr>
        <w:t xml:space="preserve"> is 10 years ago</w:t>
      </w:r>
      <w:r>
        <w:rPr>
          <w:rFonts w:ascii="Book Antiqua" w:hAnsi="Book Antiqua"/>
        </w:rPr>
        <w:t xml:space="preserve">. The problem is accentuated if peak arrives earlier </w:t>
      </w:r>
      <w:r w:rsidR="00253D64">
        <w:rPr>
          <w:rFonts w:ascii="Book Antiqua" w:hAnsi="Book Antiqua"/>
        </w:rPr>
        <w:t xml:space="preserve">or has already arrived </w:t>
      </w:r>
      <w:r>
        <w:rPr>
          <w:rFonts w:ascii="Book Antiqua" w:hAnsi="Book Antiqua"/>
        </w:rPr>
        <w:t>– and we will not know the precise date</w:t>
      </w:r>
      <w:r w:rsidR="00253D64">
        <w:rPr>
          <w:rFonts w:ascii="Book Antiqua" w:hAnsi="Book Antiqua"/>
        </w:rPr>
        <w:t xml:space="preserve"> except in retrospect</w:t>
      </w:r>
      <w:r>
        <w:rPr>
          <w:rFonts w:ascii="Book Antiqua" w:hAnsi="Book Antiqua"/>
        </w:rPr>
        <w:t>.</w:t>
      </w:r>
    </w:p>
    <w:p w:rsidR="00DA0D25" w:rsidRDefault="00DA0D25" w:rsidP="00DA0D25">
      <w:pPr>
        <w:rPr>
          <w:rFonts w:ascii="Book Antiqua" w:hAnsi="Book Antiqua"/>
        </w:rPr>
      </w:pPr>
    </w:p>
    <w:p w:rsidR="00100183" w:rsidRPr="00B43D67" w:rsidRDefault="004B4303" w:rsidP="00DA0D25">
      <w:pPr>
        <w:rPr>
          <w:rFonts w:ascii="Book Antiqua" w:hAnsi="Book Antiqua"/>
          <w:b/>
          <w:i/>
        </w:rPr>
      </w:pPr>
      <w:r>
        <w:rPr>
          <w:rFonts w:ascii="Book Antiqua" w:hAnsi="Book Antiqua"/>
          <w:b/>
          <w:i/>
        </w:rPr>
        <w:t xml:space="preserve">Theoretical explanation: </w:t>
      </w:r>
      <w:r w:rsidR="00B43D67">
        <w:rPr>
          <w:rFonts w:ascii="Book Antiqua" w:hAnsi="Book Antiqua"/>
          <w:b/>
          <w:i/>
        </w:rPr>
        <w:t>Why is the geological and production evidence so widely ignored?</w:t>
      </w:r>
    </w:p>
    <w:p w:rsidR="00B43D67" w:rsidRPr="009C1DE0" w:rsidRDefault="00B43D67" w:rsidP="00B43D67">
      <w:pPr>
        <w:rPr>
          <w:rFonts w:ascii="Book Antiqua" w:hAnsi="Book Antiqua"/>
        </w:rPr>
      </w:pPr>
      <w:r w:rsidRPr="009C1DE0">
        <w:rPr>
          <w:rFonts w:ascii="Book Antiqua" w:hAnsi="Book Antiqua"/>
        </w:rPr>
        <w:t xml:space="preserve">The private sector will generally not adequately factor the risk of peak oil and rising oil prices into project planning. </w:t>
      </w:r>
      <w:r>
        <w:rPr>
          <w:rFonts w:ascii="Book Antiqua" w:hAnsi="Book Antiqua"/>
        </w:rPr>
        <w:t xml:space="preserve">There are several reasons for this. The cultural explanation is </w:t>
      </w:r>
      <w:r w:rsidRPr="009C1DE0">
        <w:rPr>
          <w:rFonts w:ascii="Book Antiqua" w:hAnsi="Book Antiqua"/>
        </w:rPr>
        <w:t xml:space="preserve">technological optimism: faith that science or business or engineering will find a solution </w:t>
      </w:r>
      <w:r>
        <w:rPr>
          <w:rFonts w:ascii="Book Antiqua" w:hAnsi="Book Antiqua"/>
        </w:rPr>
        <w:t xml:space="preserve">so that </w:t>
      </w:r>
      <w:r w:rsidRPr="009C1DE0">
        <w:rPr>
          <w:rFonts w:ascii="Book Antiqua" w:hAnsi="Book Antiqua"/>
        </w:rPr>
        <w:t>economic growth can continue as it always has.</w:t>
      </w:r>
    </w:p>
    <w:p w:rsidR="00100183" w:rsidRDefault="00100183" w:rsidP="00DA0D25">
      <w:pPr>
        <w:rPr>
          <w:rFonts w:ascii="Book Antiqua" w:hAnsi="Book Antiqua"/>
        </w:rPr>
      </w:pPr>
    </w:p>
    <w:p w:rsidR="00100183" w:rsidRPr="009C1DE0" w:rsidRDefault="00B43D67" w:rsidP="00100183">
      <w:pPr>
        <w:rPr>
          <w:rFonts w:ascii="Book Antiqua" w:hAnsi="Book Antiqua"/>
        </w:rPr>
      </w:pPr>
      <w:r>
        <w:rPr>
          <w:rFonts w:ascii="Book Antiqua" w:hAnsi="Book Antiqua"/>
        </w:rPr>
        <w:t xml:space="preserve">More fundamentally, there is a </w:t>
      </w:r>
      <w:r w:rsidR="00252223">
        <w:rPr>
          <w:rFonts w:ascii="Book Antiqua" w:hAnsi="Book Antiqua"/>
        </w:rPr>
        <w:t xml:space="preserve">theoretical </w:t>
      </w:r>
      <w:r>
        <w:rPr>
          <w:rFonts w:ascii="Book Antiqua" w:hAnsi="Book Antiqua"/>
        </w:rPr>
        <w:t xml:space="preserve">weakness in orthodox </w:t>
      </w:r>
      <w:r w:rsidR="00252223">
        <w:rPr>
          <w:rFonts w:ascii="Book Antiqua" w:hAnsi="Book Antiqua"/>
        </w:rPr>
        <w:t>(</w:t>
      </w:r>
      <w:r>
        <w:rPr>
          <w:rFonts w:ascii="Book Antiqua" w:hAnsi="Book Antiqua"/>
        </w:rPr>
        <w:t>neoclassical</w:t>
      </w:r>
      <w:r w:rsidR="00252223">
        <w:rPr>
          <w:rFonts w:ascii="Book Antiqua" w:hAnsi="Book Antiqua"/>
        </w:rPr>
        <w:t>)</w:t>
      </w:r>
      <w:r>
        <w:rPr>
          <w:rFonts w:ascii="Book Antiqua" w:hAnsi="Book Antiqua"/>
        </w:rPr>
        <w:t xml:space="preserve"> economic</w:t>
      </w:r>
      <w:r w:rsidR="00252223">
        <w:rPr>
          <w:rFonts w:ascii="Book Antiqua" w:hAnsi="Book Antiqua"/>
        </w:rPr>
        <w:t>s</w:t>
      </w:r>
      <w:r>
        <w:rPr>
          <w:rFonts w:ascii="Book Antiqua" w:hAnsi="Book Antiqua"/>
        </w:rPr>
        <w:t xml:space="preserve">: the </w:t>
      </w:r>
      <w:r w:rsidR="00100183" w:rsidRPr="009C1DE0">
        <w:rPr>
          <w:rFonts w:ascii="Book Antiqua" w:hAnsi="Book Antiqua"/>
        </w:rPr>
        <w:t xml:space="preserve">market does not recognise absolute scarcity – scarcity outside the arena being modelled. </w:t>
      </w:r>
      <w:r w:rsidR="00D65BE9" w:rsidRPr="009C1DE0">
        <w:rPr>
          <w:rFonts w:ascii="Book Antiqua" w:hAnsi="Book Antiqua"/>
        </w:rPr>
        <w:t xml:space="preserve">There is </w:t>
      </w:r>
      <w:r w:rsidR="00D65BE9">
        <w:rPr>
          <w:rFonts w:ascii="Book Antiqua" w:hAnsi="Book Antiqua"/>
        </w:rPr>
        <w:t xml:space="preserve">indeed </w:t>
      </w:r>
      <w:r w:rsidR="00D65BE9" w:rsidRPr="009C1DE0">
        <w:rPr>
          <w:rFonts w:ascii="Book Antiqua" w:hAnsi="Book Antiqua"/>
        </w:rPr>
        <w:t>an absolute scarcity in atmospheric sink capacity and an absolute scarcity in world stocks of liquid hydrocarbon fuels.</w:t>
      </w:r>
      <w:r w:rsidR="00D65BE9">
        <w:rPr>
          <w:rFonts w:ascii="Book Antiqua" w:hAnsi="Book Antiqua"/>
        </w:rPr>
        <w:t xml:space="preserve"> </w:t>
      </w:r>
      <w:r w:rsidR="00100183" w:rsidRPr="009C1DE0">
        <w:rPr>
          <w:rFonts w:ascii="Book Antiqua" w:hAnsi="Book Antiqua"/>
        </w:rPr>
        <w:t xml:space="preserve">Orthodox economics tends to claim that the market will find a solution to supply of </w:t>
      </w:r>
      <w:r>
        <w:rPr>
          <w:rFonts w:ascii="Book Antiqua" w:hAnsi="Book Antiqua"/>
        </w:rPr>
        <w:t xml:space="preserve">a </w:t>
      </w:r>
      <w:r w:rsidR="00100183" w:rsidRPr="009C1DE0">
        <w:rPr>
          <w:rFonts w:ascii="Book Antiqua" w:hAnsi="Book Antiqua"/>
        </w:rPr>
        <w:t>natural resource if the price is adequate. However, if the supply is difficult to bring forward, for geological or engineering reasons, the price necessary to dampen demand in line with supply may be so high that it sends a wrecking ball through the economy.</w:t>
      </w:r>
      <w:r w:rsidR="00252223" w:rsidRPr="00252223">
        <w:rPr>
          <w:rFonts w:ascii="Book Antiqua" w:hAnsi="Book Antiqua"/>
        </w:rPr>
        <w:t xml:space="preserve"> </w:t>
      </w:r>
    </w:p>
    <w:p w:rsidR="00100183" w:rsidRPr="009C1DE0" w:rsidRDefault="00100183" w:rsidP="00100183">
      <w:pPr>
        <w:rPr>
          <w:rFonts w:ascii="Book Antiqua" w:hAnsi="Book Antiqua"/>
        </w:rPr>
      </w:pPr>
    </w:p>
    <w:p w:rsidR="00100183" w:rsidRDefault="00100183" w:rsidP="00100183">
      <w:pPr>
        <w:rPr>
          <w:rFonts w:ascii="Book Antiqua" w:hAnsi="Book Antiqua"/>
        </w:rPr>
      </w:pPr>
      <w:r w:rsidRPr="009C1DE0">
        <w:rPr>
          <w:rFonts w:ascii="Book Antiqua" w:hAnsi="Book Antiqua"/>
        </w:rPr>
        <w:t>Market economics is a social construct and cannot prevail over the First and Second Laws of Thermodynamics which are absolute.</w:t>
      </w:r>
    </w:p>
    <w:p w:rsidR="00D7348D" w:rsidRPr="009C1DE0" w:rsidRDefault="00D7348D" w:rsidP="00100183">
      <w:pPr>
        <w:rPr>
          <w:rFonts w:ascii="Book Antiqua" w:hAnsi="Book Antiqua"/>
        </w:rPr>
      </w:pPr>
    </w:p>
    <w:p w:rsidR="009B184F" w:rsidRPr="009C1DE0" w:rsidRDefault="00AF5978" w:rsidP="00AF5978">
      <w:pPr>
        <w:rPr>
          <w:rFonts w:ascii="Book Antiqua" w:hAnsi="Book Antiqua"/>
        </w:rPr>
      </w:pPr>
      <w:r>
        <w:rPr>
          <w:rFonts w:ascii="Book Antiqua" w:hAnsi="Book Antiqua"/>
        </w:rPr>
        <w:t xml:space="preserve">Another reason why the private sector cannot be expected to adequately </w:t>
      </w:r>
      <w:r w:rsidR="009B184F" w:rsidRPr="009C1DE0">
        <w:rPr>
          <w:rFonts w:ascii="Book Antiqua" w:hAnsi="Book Antiqua"/>
        </w:rPr>
        <w:t>forewarn of peak oil</w:t>
      </w:r>
      <w:r>
        <w:rPr>
          <w:rFonts w:ascii="Book Antiqua" w:hAnsi="Book Antiqua"/>
        </w:rPr>
        <w:t xml:space="preserve"> is </w:t>
      </w:r>
      <w:r w:rsidR="009B184F" w:rsidRPr="009C1DE0">
        <w:rPr>
          <w:rFonts w:ascii="Book Antiqua" w:hAnsi="Book Antiqua"/>
        </w:rPr>
        <w:t xml:space="preserve">groupthink </w:t>
      </w:r>
      <w:r w:rsidRPr="00AF5978">
        <w:rPr>
          <w:rFonts w:ascii="Book Antiqua" w:hAnsi="Book Antiqua"/>
        </w:rPr>
        <w:t>(herd instinct)</w:t>
      </w:r>
      <w:r>
        <w:rPr>
          <w:rFonts w:ascii="Book Antiqua" w:hAnsi="Book Antiqua"/>
          <w:b/>
          <w:i/>
        </w:rPr>
        <w:t xml:space="preserve"> </w:t>
      </w:r>
      <w:r w:rsidR="009B184F" w:rsidRPr="009C1DE0">
        <w:rPr>
          <w:rFonts w:ascii="Book Antiqua" w:hAnsi="Book Antiqua"/>
        </w:rPr>
        <w:t>in the business community</w:t>
      </w:r>
      <w:r>
        <w:rPr>
          <w:rFonts w:ascii="Book Antiqua" w:hAnsi="Book Antiqua"/>
        </w:rPr>
        <w:t>. Orthodoxy is that</w:t>
      </w:r>
      <w:r w:rsidR="009B184F" w:rsidRPr="009C1DE0">
        <w:rPr>
          <w:rFonts w:ascii="Book Antiqua" w:hAnsi="Book Antiqua"/>
        </w:rPr>
        <w:t xml:space="preserve"> </w:t>
      </w:r>
      <w:r w:rsidR="001B5287">
        <w:rPr>
          <w:rFonts w:ascii="Book Antiqua" w:hAnsi="Book Antiqua"/>
        </w:rPr>
        <w:t xml:space="preserve">“limits to growth” doomsayers </w:t>
      </w:r>
      <w:r w:rsidR="009B184F" w:rsidRPr="009C1DE0">
        <w:rPr>
          <w:rFonts w:ascii="Book Antiqua" w:hAnsi="Book Antiqua"/>
        </w:rPr>
        <w:t>are fringe dwellers</w:t>
      </w:r>
      <w:r>
        <w:rPr>
          <w:rFonts w:ascii="Book Antiqua" w:hAnsi="Book Antiqua"/>
        </w:rPr>
        <w:t xml:space="preserve">. </w:t>
      </w:r>
      <w:r w:rsidR="00D7348D">
        <w:rPr>
          <w:rFonts w:ascii="Book Antiqua" w:hAnsi="Book Antiqua"/>
        </w:rPr>
        <w:t>There is also</w:t>
      </w:r>
      <w:r>
        <w:rPr>
          <w:rFonts w:ascii="Book Antiqua" w:hAnsi="Book Antiqua"/>
        </w:rPr>
        <w:t xml:space="preserve"> the </w:t>
      </w:r>
      <w:r w:rsidR="009B184F" w:rsidRPr="009C1DE0">
        <w:rPr>
          <w:rFonts w:ascii="Book Antiqua" w:hAnsi="Book Antiqua"/>
        </w:rPr>
        <w:t xml:space="preserve">sunk cost </w:t>
      </w:r>
      <w:r w:rsidR="00A1469E">
        <w:rPr>
          <w:rFonts w:ascii="Book Antiqua" w:hAnsi="Book Antiqua"/>
        </w:rPr>
        <w:t xml:space="preserve">and momentum </w:t>
      </w:r>
      <w:r w:rsidR="009B184F" w:rsidRPr="009C1DE0">
        <w:rPr>
          <w:rFonts w:ascii="Book Antiqua" w:hAnsi="Book Antiqua"/>
        </w:rPr>
        <w:t xml:space="preserve">of conducting business </w:t>
      </w:r>
      <w:r w:rsidR="009B184F" w:rsidRPr="009C1DE0">
        <w:rPr>
          <w:rFonts w:ascii="Book Antiqua" w:hAnsi="Book Antiqua"/>
        </w:rPr>
        <w:lastRenderedPageBreak/>
        <w:t xml:space="preserve">as usual. </w:t>
      </w:r>
      <w:r w:rsidR="00A1469E">
        <w:rPr>
          <w:rFonts w:ascii="Book Antiqua" w:hAnsi="Book Antiqua"/>
        </w:rPr>
        <w:t>G</w:t>
      </w:r>
      <w:r w:rsidR="009B184F" w:rsidRPr="009C1DE0">
        <w:rPr>
          <w:rFonts w:ascii="Book Antiqua" w:hAnsi="Book Antiqua"/>
        </w:rPr>
        <w:t xml:space="preserve">overnments </w:t>
      </w:r>
      <w:r w:rsidR="00A1469E">
        <w:rPr>
          <w:rFonts w:ascii="Book Antiqua" w:hAnsi="Book Antiqua"/>
        </w:rPr>
        <w:t xml:space="preserve">are best placed </w:t>
      </w:r>
      <w:r w:rsidR="00097AAC">
        <w:rPr>
          <w:rFonts w:ascii="Book Antiqua" w:hAnsi="Book Antiqua"/>
        </w:rPr>
        <w:t>to steer investment decisions in a brand new contrary direction</w:t>
      </w:r>
      <w:r w:rsidR="00A1469E" w:rsidRPr="00A1469E">
        <w:rPr>
          <w:rFonts w:ascii="Book Antiqua" w:hAnsi="Book Antiqua"/>
        </w:rPr>
        <w:t xml:space="preserve"> </w:t>
      </w:r>
      <w:r w:rsidR="00A1469E">
        <w:rPr>
          <w:rFonts w:ascii="Book Antiqua" w:hAnsi="Book Antiqua"/>
        </w:rPr>
        <w:t xml:space="preserve">because of their </w:t>
      </w:r>
      <w:r w:rsidR="00A1469E" w:rsidRPr="009C1DE0">
        <w:rPr>
          <w:rFonts w:ascii="Book Antiqua" w:hAnsi="Book Antiqua"/>
        </w:rPr>
        <w:t>long time horizon</w:t>
      </w:r>
      <w:r w:rsidR="009B184F" w:rsidRPr="009C1DE0">
        <w:rPr>
          <w:rFonts w:ascii="Book Antiqua" w:hAnsi="Book Antiqua"/>
        </w:rPr>
        <w:t>.</w:t>
      </w:r>
    </w:p>
    <w:p w:rsidR="00252223" w:rsidRPr="00097AAC" w:rsidRDefault="00252223" w:rsidP="00DA0D25">
      <w:pPr>
        <w:rPr>
          <w:rFonts w:ascii="Book Antiqua" w:hAnsi="Book Antiqua"/>
        </w:rPr>
      </w:pPr>
    </w:p>
    <w:p w:rsidR="00097AAC" w:rsidRPr="009C1DE0" w:rsidRDefault="00097AAC" w:rsidP="00097AAC">
      <w:pPr>
        <w:rPr>
          <w:rFonts w:ascii="Book Antiqua" w:hAnsi="Book Antiqua"/>
        </w:rPr>
      </w:pPr>
      <w:r w:rsidRPr="00097AAC">
        <w:rPr>
          <w:rFonts w:ascii="Book Antiqua" w:hAnsi="Book Antiqua"/>
        </w:rPr>
        <w:t xml:space="preserve">A further reason is the disaggregation of “the private sector”. Modern corporate structures separate risk from reward. Economics textbooks claim that private firms can </w:t>
      </w:r>
      <w:r w:rsidRPr="009C1DE0">
        <w:rPr>
          <w:rFonts w:ascii="Book Antiqua" w:hAnsi="Book Antiqua"/>
        </w:rPr>
        <w:t>foresee unviable projects because their own money is at stake. The ideal of the family firm on which this view is based may have been applicable in the days of the foundations of economics.</w:t>
      </w:r>
      <w:r w:rsidR="00B30C00">
        <w:rPr>
          <w:rFonts w:ascii="Book Antiqua" w:hAnsi="Book Antiqua"/>
        </w:rPr>
        <w:t xml:space="preserve"> </w:t>
      </w:r>
      <w:r w:rsidRPr="009C1DE0">
        <w:rPr>
          <w:rFonts w:ascii="Book Antiqua" w:hAnsi="Book Antiqua"/>
        </w:rPr>
        <w:t xml:space="preserve">But a modern private sector partnership is not a single company </w:t>
      </w:r>
      <w:r>
        <w:rPr>
          <w:rFonts w:ascii="Book Antiqua" w:hAnsi="Book Antiqua"/>
        </w:rPr>
        <w:t xml:space="preserve">using its own funds and </w:t>
      </w:r>
      <w:r w:rsidRPr="009C1DE0">
        <w:rPr>
          <w:rFonts w:ascii="Book Antiqua" w:hAnsi="Book Antiqua"/>
        </w:rPr>
        <w:t>operating in a competitive market place</w:t>
      </w:r>
      <w:r>
        <w:rPr>
          <w:rFonts w:ascii="Book Antiqua" w:hAnsi="Book Antiqua"/>
        </w:rPr>
        <w:t>,</w:t>
      </w:r>
      <w:r w:rsidRPr="009C1DE0">
        <w:rPr>
          <w:rFonts w:ascii="Book Antiqua" w:hAnsi="Book Antiqua"/>
        </w:rPr>
        <w:t xml:space="preserve"> as envisaged by the founders of economics. The infrastructure industry is disaggregated into assemblers</w:t>
      </w:r>
      <w:r w:rsidR="001B5287">
        <w:rPr>
          <w:rFonts w:ascii="Book Antiqua" w:hAnsi="Book Antiqua"/>
        </w:rPr>
        <w:t xml:space="preserve">, </w:t>
      </w:r>
      <w:r w:rsidRPr="009C1DE0">
        <w:rPr>
          <w:rFonts w:ascii="Book Antiqua" w:hAnsi="Book Antiqua"/>
        </w:rPr>
        <w:t xml:space="preserve">facilitators, </w:t>
      </w:r>
      <w:r w:rsidR="00D7348D">
        <w:rPr>
          <w:rFonts w:ascii="Book Antiqua" w:hAnsi="Book Antiqua"/>
        </w:rPr>
        <w:t>financiers</w:t>
      </w:r>
      <w:r w:rsidRPr="009C1DE0">
        <w:rPr>
          <w:rFonts w:ascii="Book Antiqua" w:hAnsi="Book Antiqua"/>
        </w:rPr>
        <w:t xml:space="preserve">, consultants, super funds and other players, all with distinctive roles which allow them to </w:t>
      </w:r>
      <w:r w:rsidR="001B5287">
        <w:rPr>
          <w:rFonts w:ascii="Book Antiqua" w:hAnsi="Book Antiqua"/>
        </w:rPr>
        <w:t xml:space="preserve">insulate </w:t>
      </w:r>
      <w:r w:rsidRPr="009C1DE0">
        <w:rPr>
          <w:rFonts w:ascii="Book Antiqua" w:hAnsi="Book Antiqua"/>
        </w:rPr>
        <w:t xml:space="preserve">their </w:t>
      </w:r>
      <w:r w:rsidR="001B5287">
        <w:rPr>
          <w:rFonts w:ascii="Book Antiqua" w:hAnsi="Book Antiqua"/>
        </w:rPr>
        <w:t xml:space="preserve">source of </w:t>
      </w:r>
      <w:r w:rsidRPr="009C1DE0">
        <w:rPr>
          <w:rFonts w:ascii="Book Antiqua" w:hAnsi="Book Antiqua"/>
        </w:rPr>
        <w:t>profit from risk.</w:t>
      </w:r>
    </w:p>
    <w:p w:rsidR="00097AAC" w:rsidRPr="009C1DE0" w:rsidRDefault="00097AAC" w:rsidP="00097AAC">
      <w:pPr>
        <w:rPr>
          <w:rFonts w:ascii="Book Antiqua" w:hAnsi="Book Antiqua"/>
        </w:rPr>
      </w:pPr>
    </w:p>
    <w:p w:rsidR="00097AAC" w:rsidRPr="009C1DE0" w:rsidRDefault="00097AAC" w:rsidP="00097AAC">
      <w:pPr>
        <w:rPr>
          <w:rFonts w:ascii="Book Antiqua" w:hAnsi="Book Antiqua"/>
        </w:rPr>
      </w:pPr>
      <w:r w:rsidRPr="009C1DE0">
        <w:rPr>
          <w:rFonts w:ascii="Book Antiqua" w:hAnsi="Book Antiqua"/>
        </w:rPr>
        <w:t xml:space="preserve">Also, modern companies enjoy limited liability and can walk away from financial disasters. Collapses can be transferred to, commonly, the </w:t>
      </w:r>
      <w:r w:rsidR="008C13E9">
        <w:rPr>
          <w:rFonts w:ascii="Book Antiqua" w:hAnsi="Book Antiqua"/>
        </w:rPr>
        <w:t xml:space="preserve">taxpayers or the </w:t>
      </w:r>
      <w:r w:rsidRPr="009C1DE0">
        <w:rPr>
          <w:rFonts w:ascii="Book Antiqua" w:hAnsi="Book Antiqua"/>
        </w:rPr>
        <w:t>depositors and shareholders of financial institutions who have little say or control over the managers.</w:t>
      </w:r>
      <w:r w:rsidR="00B30C00">
        <w:rPr>
          <w:rFonts w:ascii="Book Antiqua" w:hAnsi="Book Antiqua"/>
        </w:rPr>
        <w:t xml:space="preserve"> This cannot happen with government, which bears ultimate accountability even for corporate failures.</w:t>
      </w:r>
    </w:p>
    <w:p w:rsidR="00097AAC" w:rsidRDefault="00097AAC" w:rsidP="00DA0D25">
      <w:pPr>
        <w:rPr>
          <w:rFonts w:ascii="Book Antiqua" w:hAnsi="Book Antiqua"/>
        </w:rPr>
      </w:pPr>
    </w:p>
    <w:p w:rsidR="00B43D67" w:rsidRPr="00B43D67" w:rsidRDefault="00B43D67" w:rsidP="00DA0D25">
      <w:pPr>
        <w:rPr>
          <w:rFonts w:ascii="Book Antiqua" w:hAnsi="Book Antiqua"/>
          <w:b/>
          <w:i/>
        </w:rPr>
      </w:pPr>
      <w:r>
        <w:rPr>
          <w:rFonts w:ascii="Book Antiqua" w:hAnsi="Book Antiqua"/>
          <w:b/>
          <w:i/>
        </w:rPr>
        <w:t>Australian Government neglect</w:t>
      </w:r>
    </w:p>
    <w:p w:rsidR="00575AFB" w:rsidRDefault="004569EE" w:rsidP="00DA0D25">
      <w:pPr>
        <w:rPr>
          <w:rFonts w:ascii="Book Antiqua" w:hAnsi="Book Antiqua"/>
        </w:rPr>
      </w:pPr>
      <w:r>
        <w:rPr>
          <w:rFonts w:ascii="Book Antiqua" w:hAnsi="Book Antiqua"/>
        </w:rPr>
        <w:t>Responsibility for the lack of official awareness of peak oil can partly be laid at the feet of the International Energy Agency</w:t>
      </w:r>
      <w:r w:rsidR="004E6560">
        <w:rPr>
          <w:rFonts w:ascii="Book Antiqua" w:hAnsi="Book Antiqua"/>
        </w:rPr>
        <w:t xml:space="preserve"> (</w:t>
      </w:r>
      <w:proofErr w:type="spellStart"/>
      <w:r w:rsidR="004E6560">
        <w:rPr>
          <w:rFonts w:ascii="Book Antiqua" w:hAnsi="Book Antiqua"/>
        </w:rPr>
        <w:t>IEA</w:t>
      </w:r>
      <w:proofErr w:type="spellEnd"/>
      <w:r w:rsidR="004E6560">
        <w:rPr>
          <w:rFonts w:ascii="Book Antiqua" w:hAnsi="Book Antiqua"/>
        </w:rPr>
        <w:t>)</w:t>
      </w:r>
      <w:r>
        <w:rPr>
          <w:rFonts w:ascii="Book Antiqua" w:hAnsi="Book Antiqua"/>
        </w:rPr>
        <w:t>, which until about 20</w:t>
      </w:r>
      <w:r w:rsidR="007A4B0C">
        <w:rPr>
          <w:rFonts w:ascii="Book Antiqua" w:hAnsi="Book Antiqua"/>
        </w:rPr>
        <w:t>10</w:t>
      </w:r>
      <w:r>
        <w:rPr>
          <w:rFonts w:ascii="Book Antiqua" w:hAnsi="Book Antiqua"/>
        </w:rPr>
        <w:t>, modelled</w:t>
      </w:r>
      <w:r w:rsidR="00575AFB">
        <w:rPr>
          <w:rFonts w:ascii="Book Antiqua" w:hAnsi="Book Antiqua"/>
        </w:rPr>
        <w:t xml:space="preserve"> consumption to grow steadily and assumed that supply would be found somewhere to meet demand. Under heavy criticism from petroleum geologists for ignoring evidence </w:t>
      </w:r>
      <w:r w:rsidR="007A4B0C">
        <w:rPr>
          <w:rFonts w:ascii="Book Antiqua" w:hAnsi="Book Antiqua"/>
        </w:rPr>
        <w:t xml:space="preserve">including that </w:t>
      </w:r>
      <w:r w:rsidR="00575AFB">
        <w:rPr>
          <w:rFonts w:ascii="Book Antiqua" w:hAnsi="Book Antiqua"/>
        </w:rPr>
        <w:t xml:space="preserve">of declining production figures from past-peak </w:t>
      </w:r>
      <w:r w:rsidR="007A4B0C">
        <w:rPr>
          <w:rFonts w:ascii="Book Antiqua" w:hAnsi="Book Antiqua"/>
        </w:rPr>
        <w:t>fields</w:t>
      </w:r>
      <w:r w:rsidR="00575AFB">
        <w:rPr>
          <w:rFonts w:ascii="Book Antiqua" w:hAnsi="Book Antiqua"/>
        </w:rPr>
        <w:t xml:space="preserve">, </w:t>
      </w:r>
      <w:proofErr w:type="spellStart"/>
      <w:r w:rsidR="00575AFB">
        <w:rPr>
          <w:rFonts w:ascii="Book Antiqua" w:hAnsi="Book Antiqua"/>
        </w:rPr>
        <w:t>IEA’s</w:t>
      </w:r>
      <w:proofErr w:type="spellEnd"/>
      <w:r w:rsidR="00575AFB">
        <w:rPr>
          <w:rFonts w:ascii="Book Antiqua" w:hAnsi="Book Antiqua"/>
        </w:rPr>
        <w:t xml:space="preserve"> Chief Economist </w:t>
      </w:r>
      <w:proofErr w:type="spellStart"/>
      <w:r w:rsidR="00575AFB">
        <w:rPr>
          <w:rFonts w:ascii="Book Antiqua" w:hAnsi="Book Antiqua"/>
        </w:rPr>
        <w:t>Fatih</w:t>
      </w:r>
      <w:proofErr w:type="spellEnd"/>
      <w:r w:rsidR="00575AFB">
        <w:rPr>
          <w:rFonts w:ascii="Book Antiqua" w:hAnsi="Book Antiqua"/>
        </w:rPr>
        <w:t xml:space="preserve"> </w:t>
      </w:r>
      <w:proofErr w:type="spellStart"/>
      <w:r w:rsidR="00575AFB">
        <w:rPr>
          <w:rFonts w:ascii="Book Antiqua" w:hAnsi="Book Antiqua"/>
        </w:rPr>
        <w:t>Birol</w:t>
      </w:r>
      <w:proofErr w:type="spellEnd"/>
      <w:r w:rsidR="00575AFB">
        <w:rPr>
          <w:rFonts w:ascii="Book Antiqua" w:hAnsi="Book Antiqua"/>
        </w:rPr>
        <w:t xml:space="preserve"> </w:t>
      </w:r>
      <w:r w:rsidR="007A4B0C">
        <w:rPr>
          <w:rFonts w:ascii="Book Antiqua" w:hAnsi="Book Antiqua"/>
        </w:rPr>
        <w:t xml:space="preserve">in an interview on ABC </w:t>
      </w:r>
      <w:r w:rsidR="00575AFB">
        <w:rPr>
          <w:rFonts w:ascii="Book Antiqua" w:hAnsi="Book Antiqua"/>
        </w:rPr>
        <w:t xml:space="preserve">in 2011 conceded that </w:t>
      </w:r>
      <w:r w:rsidR="00695923">
        <w:rPr>
          <w:rFonts w:ascii="Book Antiqua" w:hAnsi="Book Antiqua"/>
        </w:rPr>
        <w:t>crude oil probably peaked in 2006 (Herbert 2011).</w:t>
      </w:r>
    </w:p>
    <w:p w:rsidR="00575AFB" w:rsidRDefault="00575AFB" w:rsidP="00DA0D25">
      <w:pPr>
        <w:rPr>
          <w:rFonts w:ascii="Book Antiqua" w:hAnsi="Book Antiqua"/>
        </w:rPr>
      </w:pPr>
    </w:p>
    <w:p w:rsidR="002F211C" w:rsidRDefault="00C27864" w:rsidP="0005094E">
      <w:pPr>
        <w:rPr>
          <w:rFonts w:ascii="Book Antiqua" w:hAnsi="Book Antiqua"/>
        </w:rPr>
      </w:pPr>
      <w:r>
        <w:rPr>
          <w:rFonts w:ascii="Book Antiqua" w:hAnsi="Book Antiqua"/>
        </w:rPr>
        <w:t xml:space="preserve">But the </w:t>
      </w:r>
      <w:proofErr w:type="spellStart"/>
      <w:r>
        <w:rPr>
          <w:rFonts w:ascii="Book Antiqua" w:hAnsi="Book Antiqua"/>
        </w:rPr>
        <w:t>IEA</w:t>
      </w:r>
      <w:proofErr w:type="spellEnd"/>
      <w:r>
        <w:rPr>
          <w:rFonts w:ascii="Book Antiqua" w:hAnsi="Book Antiqua"/>
        </w:rPr>
        <w:t xml:space="preserve"> cannot be blamed for the misrepresentation of its position in t</w:t>
      </w:r>
      <w:r w:rsidR="007A4B0C">
        <w:rPr>
          <w:rFonts w:ascii="Book Antiqua" w:hAnsi="Book Antiqua"/>
        </w:rPr>
        <w:t xml:space="preserve">he </w:t>
      </w:r>
      <w:r w:rsidR="00DA0D25">
        <w:rPr>
          <w:rFonts w:ascii="Book Antiqua" w:hAnsi="Book Antiqua"/>
        </w:rPr>
        <w:t>nationa</w:t>
      </w:r>
      <w:r w:rsidR="00DA0D25" w:rsidRPr="002F211C">
        <w:rPr>
          <w:rFonts w:ascii="Book Antiqua" w:hAnsi="Book Antiqua"/>
        </w:rPr>
        <w:t>l Government</w:t>
      </w:r>
      <w:r w:rsidR="007A4B0C" w:rsidRPr="002F211C">
        <w:rPr>
          <w:rFonts w:ascii="Book Antiqua" w:hAnsi="Book Antiqua"/>
        </w:rPr>
        <w:t>’s 2012</w:t>
      </w:r>
      <w:r w:rsidR="00DA0D25" w:rsidRPr="002F211C">
        <w:rPr>
          <w:rFonts w:ascii="Book Antiqua" w:hAnsi="Book Antiqua"/>
        </w:rPr>
        <w:t xml:space="preserve"> </w:t>
      </w:r>
      <w:r w:rsidR="00DA0D25" w:rsidRPr="002F211C">
        <w:rPr>
          <w:rFonts w:ascii="Book Antiqua" w:hAnsi="Book Antiqua"/>
          <w:i/>
        </w:rPr>
        <w:t>Energy White Paper</w:t>
      </w:r>
      <w:r w:rsidRPr="00C27864">
        <w:rPr>
          <w:rFonts w:ascii="Book Antiqua" w:hAnsi="Book Antiqua"/>
        </w:rPr>
        <w:t>, which</w:t>
      </w:r>
      <w:r>
        <w:rPr>
          <w:rFonts w:ascii="Book Antiqua" w:hAnsi="Book Antiqua"/>
          <w:i/>
        </w:rPr>
        <w:t xml:space="preserve"> </w:t>
      </w:r>
      <w:r w:rsidR="002F211C" w:rsidRPr="002F211C">
        <w:rPr>
          <w:rFonts w:ascii="Book Antiqua" w:hAnsi="Book Antiqua"/>
        </w:rPr>
        <w:t>in the only reference in the body of its report</w:t>
      </w:r>
      <w:r>
        <w:rPr>
          <w:rFonts w:ascii="Book Antiqua" w:hAnsi="Book Antiqua"/>
        </w:rPr>
        <w:t xml:space="preserve"> </w:t>
      </w:r>
      <w:r w:rsidRPr="002F211C">
        <w:rPr>
          <w:rFonts w:ascii="Book Antiqua" w:hAnsi="Book Antiqua"/>
        </w:rPr>
        <w:t>refers dismissively to the phenomenon</w:t>
      </w:r>
      <w:r w:rsidR="002F211C" w:rsidRPr="002F211C">
        <w:rPr>
          <w:rFonts w:ascii="Book Antiqua" w:hAnsi="Book Antiqua"/>
        </w:rPr>
        <w:t>:</w:t>
      </w:r>
      <w:r w:rsidR="00792153">
        <w:rPr>
          <w:rFonts w:ascii="Book Antiqua" w:hAnsi="Book Antiqua"/>
        </w:rPr>
        <w:t xml:space="preserve"> </w:t>
      </w:r>
    </w:p>
    <w:p w:rsidR="00044DC1" w:rsidRDefault="00044DC1" w:rsidP="002F211C">
      <w:pPr>
        <w:ind w:firstLine="720"/>
        <w:rPr>
          <w:rFonts w:ascii="Book Antiqua" w:hAnsi="Book Antiqua"/>
        </w:rPr>
      </w:pPr>
    </w:p>
    <w:p w:rsidR="004569EE" w:rsidRPr="002F211C" w:rsidRDefault="002F211C" w:rsidP="002F211C">
      <w:pPr>
        <w:ind w:firstLine="720"/>
        <w:rPr>
          <w:rFonts w:ascii="Book Antiqua" w:hAnsi="Book Antiqua" w:cs="Avenir LT"/>
          <w:color w:val="000000"/>
        </w:rPr>
      </w:pPr>
      <w:r w:rsidRPr="002F211C">
        <w:rPr>
          <w:rFonts w:ascii="Book Antiqua" w:hAnsi="Book Antiqua"/>
        </w:rPr>
        <w:t>“</w:t>
      </w:r>
      <w:r w:rsidR="004569EE" w:rsidRPr="002F211C">
        <w:rPr>
          <w:rFonts w:ascii="Book Antiqua" w:hAnsi="Book Antiqua" w:cs="Avenir LT"/>
          <w:color w:val="000000"/>
        </w:rPr>
        <w:t>Physical production limits (so-called ‘peak oil’) are unlikely to be reached before 2035.</w:t>
      </w:r>
      <w:r w:rsidRPr="002F211C">
        <w:rPr>
          <w:rFonts w:ascii="Book Antiqua" w:hAnsi="Book Antiqua" w:cs="Avenir LT"/>
          <w:color w:val="000000"/>
        </w:rPr>
        <w:t xml:space="preserve">” </w:t>
      </w:r>
    </w:p>
    <w:p w:rsidR="004569EE" w:rsidRDefault="004569EE" w:rsidP="0005094E">
      <w:pPr>
        <w:rPr>
          <w:rFonts w:ascii="Book Antiqua" w:hAnsi="Book Antiqua" w:cs="Avenir LT"/>
          <w:color w:val="000000"/>
        </w:rPr>
      </w:pPr>
    </w:p>
    <w:p w:rsidR="00380F91" w:rsidRDefault="00380F91" w:rsidP="0005094E">
      <w:pPr>
        <w:rPr>
          <w:rFonts w:ascii="Book Antiqua" w:hAnsi="Book Antiqua" w:cs="Avenir LT"/>
          <w:color w:val="000000"/>
        </w:rPr>
      </w:pPr>
      <w:r>
        <w:rPr>
          <w:rFonts w:ascii="Book Antiqua" w:hAnsi="Book Antiqua" w:cs="Avenir LT"/>
          <w:color w:val="000000"/>
        </w:rPr>
        <w:t>Given this official neglect of a phenomenon that will have profound consequences for transport infrastructure, I submit that it is incumbent upon the Productivity Commission to draw attention to the phenomenon and to accommodate it in its model of governance.</w:t>
      </w:r>
    </w:p>
    <w:p w:rsidR="004569EE" w:rsidRPr="002F211C" w:rsidRDefault="004569EE" w:rsidP="0005094E">
      <w:pPr>
        <w:rPr>
          <w:rFonts w:ascii="Book Antiqua" w:hAnsi="Book Antiqua"/>
        </w:rPr>
      </w:pPr>
    </w:p>
    <w:p w:rsidR="009B24CC" w:rsidRPr="00252223" w:rsidRDefault="00D7348D" w:rsidP="009B24CC">
      <w:pPr>
        <w:rPr>
          <w:rFonts w:ascii="Book Antiqua" w:hAnsi="Book Antiqua"/>
          <w:b/>
        </w:rPr>
      </w:pPr>
      <w:r>
        <w:rPr>
          <w:rFonts w:ascii="Book Antiqua" w:hAnsi="Book Antiqua"/>
          <w:b/>
        </w:rPr>
        <w:t xml:space="preserve">Wrecking Ball 3: </w:t>
      </w:r>
      <w:r w:rsidR="00252223" w:rsidRPr="00252223">
        <w:rPr>
          <w:rFonts w:ascii="Book Antiqua" w:hAnsi="Book Antiqua"/>
          <w:b/>
        </w:rPr>
        <w:t>B</w:t>
      </w:r>
      <w:r w:rsidR="009B24CC" w:rsidRPr="00252223">
        <w:rPr>
          <w:rFonts w:ascii="Book Antiqua" w:hAnsi="Book Antiqua"/>
          <w:b/>
        </w:rPr>
        <w:t xml:space="preserve">ypass or </w:t>
      </w:r>
      <w:r w:rsidR="000B00CF" w:rsidRPr="00252223">
        <w:rPr>
          <w:rFonts w:ascii="Book Antiqua" w:hAnsi="Book Antiqua"/>
          <w:b/>
        </w:rPr>
        <w:t>atrophy</w:t>
      </w:r>
      <w:r w:rsidR="009B24CC" w:rsidRPr="00252223">
        <w:rPr>
          <w:rFonts w:ascii="Book Antiqua" w:hAnsi="Book Antiqua"/>
          <w:b/>
        </w:rPr>
        <w:t xml:space="preserve"> of </w:t>
      </w:r>
      <w:r w:rsidR="000B00CF" w:rsidRPr="00252223">
        <w:rPr>
          <w:rFonts w:ascii="Book Antiqua" w:hAnsi="Book Antiqua"/>
          <w:b/>
        </w:rPr>
        <w:t xml:space="preserve">comprehensive </w:t>
      </w:r>
      <w:r w:rsidR="009B24CC" w:rsidRPr="00252223">
        <w:rPr>
          <w:rFonts w:ascii="Book Antiqua" w:hAnsi="Book Antiqua"/>
          <w:b/>
        </w:rPr>
        <w:t>strategic planning by governments</w:t>
      </w:r>
    </w:p>
    <w:p w:rsidR="00252223" w:rsidRPr="009C1DE0" w:rsidRDefault="00252223" w:rsidP="009B24CC">
      <w:pPr>
        <w:rPr>
          <w:rFonts w:ascii="Book Antiqua" w:hAnsi="Book Antiqua"/>
        </w:rPr>
      </w:pPr>
    </w:p>
    <w:p w:rsidR="000B00CF" w:rsidRPr="009C1DE0" w:rsidRDefault="00222356" w:rsidP="009B24CC">
      <w:pPr>
        <w:rPr>
          <w:rFonts w:ascii="Book Antiqua" w:hAnsi="Book Antiqua"/>
        </w:rPr>
      </w:pPr>
      <w:r>
        <w:rPr>
          <w:rFonts w:ascii="Book Antiqua" w:hAnsi="Book Antiqua"/>
        </w:rPr>
        <w:t>T</w:t>
      </w:r>
      <w:r w:rsidR="00A1581C" w:rsidRPr="009C1DE0">
        <w:rPr>
          <w:rFonts w:ascii="Book Antiqua" w:hAnsi="Book Antiqua"/>
        </w:rPr>
        <w:t xml:space="preserve">he model for selecting projects </w:t>
      </w:r>
      <w:r>
        <w:rPr>
          <w:rFonts w:ascii="Book Antiqua" w:hAnsi="Book Antiqua"/>
        </w:rPr>
        <w:t xml:space="preserve">outlined in </w:t>
      </w:r>
      <w:r w:rsidR="00A1581C" w:rsidRPr="009C1DE0">
        <w:rPr>
          <w:rFonts w:ascii="Book Antiqua" w:hAnsi="Book Antiqua"/>
        </w:rPr>
        <w:t>the Draft Report is a project-by</w:t>
      </w:r>
      <w:r>
        <w:rPr>
          <w:rFonts w:ascii="Book Antiqua" w:hAnsi="Book Antiqua"/>
        </w:rPr>
        <w:t>-p</w:t>
      </w:r>
      <w:r w:rsidR="00A1581C" w:rsidRPr="009C1DE0">
        <w:rPr>
          <w:rFonts w:ascii="Book Antiqua" w:hAnsi="Book Antiqua"/>
        </w:rPr>
        <w:t>roject one</w:t>
      </w:r>
      <w:r w:rsidR="00924490" w:rsidRPr="009C1DE0">
        <w:rPr>
          <w:rFonts w:ascii="Book Antiqua" w:hAnsi="Book Antiqua"/>
        </w:rPr>
        <w:t>. Cost-benefit assessment, for example</w:t>
      </w:r>
      <w:r w:rsidR="004E6560">
        <w:rPr>
          <w:rFonts w:ascii="Book Antiqua" w:hAnsi="Book Antiqua"/>
        </w:rPr>
        <w:t>,</w:t>
      </w:r>
      <w:r w:rsidR="00924490" w:rsidRPr="009C1DE0">
        <w:rPr>
          <w:rFonts w:ascii="Book Antiqua" w:hAnsi="Book Antiqua"/>
        </w:rPr>
        <w:t xml:space="preserve"> is a project assessment tool not a strategic planning tool. Strategic, multi-disciplinary, consultative forward planning by governments is missing from this model.</w:t>
      </w:r>
      <w:r w:rsidR="00792153">
        <w:rPr>
          <w:rFonts w:ascii="Book Antiqua" w:hAnsi="Book Antiqua"/>
        </w:rPr>
        <w:t xml:space="preserve"> Cost benefit analysis is a subset of or ancillary to strategic infrastructure planning, necessary but not sufficient by itself. Cost benefit addresses primarily the economic value of a project which is only one of the parameters that need to be satisfied.</w:t>
      </w:r>
    </w:p>
    <w:p w:rsidR="00924490" w:rsidRDefault="00924490" w:rsidP="009B24CC">
      <w:pPr>
        <w:rPr>
          <w:rFonts w:ascii="Book Antiqua" w:hAnsi="Book Antiqua"/>
        </w:rPr>
      </w:pPr>
    </w:p>
    <w:p w:rsidR="00252223" w:rsidRDefault="00252223" w:rsidP="009B24CC">
      <w:pPr>
        <w:rPr>
          <w:rFonts w:ascii="Book Antiqua" w:hAnsi="Book Antiqua"/>
        </w:rPr>
      </w:pPr>
      <w:r>
        <w:rPr>
          <w:rFonts w:ascii="Book Antiqua" w:hAnsi="Book Antiqua"/>
        </w:rPr>
        <w:t>Traditional</w:t>
      </w:r>
      <w:r w:rsidR="00830E26">
        <w:rPr>
          <w:rFonts w:ascii="Book Antiqua" w:hAnsi="Book Antiqua"/>
        </w:rPr>
        <w:t xml:space="preserve"> procedures for evaluating potential projects </w:t>
      </w:r>
      <w:r w:rsidR="00DC1E22">
        <w:rPr>
          <w:rFonts w:ascii="Book Antiqua" w:hAnsi="Book Antiqua"/>
        </w:rPr>
        <w:t xml:space="preserve">that </w:t>
      </w:r>
      <w:r w:rsidR="004E6560">
        <w:rPr>
          <w:rFonts w:ascii="Book Antiqua" w:hAnsi="Book Antiqua"/>
        </w:rPr>
        <w:t xml:space="preserve">were </w:t>
      </w:r>
      <w:r w:rsidR="00830E26">
        <w:rPr>
          <w:rFonts w:ascii="Book Antiqua" w:hAnsi="Book Antiqua"/>
        </w:rPr>
        <w:t xml:space="preserve">grounded in analysis by an expert public service have been weakened by the modern enthusiasm for bringing private sector partners in earlier and even for entertaining proposals from the private sector for projects that are </w:t>
      </w:r>
      <w:r w:rsidR="00A34A60">
        <w:rPr>
          <w:rFonts w:ascii="Book Antiqua" w:hAnsi="Book Antiqua"/>
        </w:rPr>
        <w:t>not</w:t>
      </w:r>
      <w:r w:rsidR="00830E26">
        <w:rPr>
          <w:rFonts w:ascii="Book Antiqua" w:hAnsi="Book Antiqua"/>
        </w:rPr>
        <w:t xml:space="preserve"> </w:t>
      </w:r>
      <w:r w:rsidR="00A34A60">
        <w:rPr>
          <w:rFonts w:ascii="Book Antiqua" w:hAnsi="Book Antiqua"/>
        </w:rPr>
        <w:t xml:space="preserve">yet </w:t>
      </w:r>
      <w:r w:rsidR="00830E26">
        <w:rPr>
          <w:rFonts w:ascii="Book Antiqua" w:hAnsi="Book Antiqua"/>
        </w:rPr>
        <w:t xml:space="preserve">on the public </w:t>
      </w:r>
      <w:r w:rsidR="00A34A60">
        <w:rPr>
          <w:rFonts w:ascii="Book Antiqua" w:hAnsi="Book Antiqua"/>
        </w:rPr>
        <w:t xml:space="preserve">policy </w:t>
      </w:r>
      <w:r w:rsidR="00830E26">
        <w:rPr>
          <w:rFonts w:ascii="Book Antiqua" w:hAnsi="Book Antiqua"/>
        </w:rPr>
        <w:t>agenda.</w:t>
      </w:r>
      <w:r w:rsidR="00DC1E22">
        <w:rPr>
          <w:rFonts w:ascii="Book Antiqua" w:hAnsi="Book Antiqua"/>
        </w:rPr>
        <w:t xml:space="preserve"> </w:t>
      </w:r>
      <w:r w:rsidR="00830E26">
        <w:rPr>
          <w:rFonts w:ascii="Book Antiqua" w:hAnsi="Book Antiqua"/>
        </w:rPr>
        <w:t>This pernicious practice is a wrecking ball that will</w:t>
      </w:r>
      <w:r w:rsidR="009B01FF">
        <w:rPr>
          <w:rFonts w:ascii="Book Antiqua" w:hAnsi="Book Antiqua"/>
        </w:rPr>
        <w:t xml:space="preserve"> result in misallocation of resources on a colossal scale and opens the door for corrupt practices</w:t>
      </w:r>
      <w:r w:rsidR="00A34A60">
        <w:rPr>
          <w:rFonts w:ascii="Book Antiqua" w:hAnsi="Book Antiqua"/>
        </w:rPr>
        <w:t>.</w:t>
      </w:r>
    </w:p>
    <w:p w:rsidR="00F90393" w:rsidRDefault="00F90393" w:rsidP="00F90393">
      <w:pPr>
        <w:rPr>
          <w:rFonts w:ascii="Book Antiqua" w:hAnsi="Book Antiqua"/>
        </w:rPr>
      </w:pPr>
    </w:p>
    <w:p w:rsidR="00F90393" w:rsidRPr="009C1DE0" w:rsidRDefault="009B01FF" w:rsidP="00F90393">
      <w:pPr>
        <w:rPr>
          <w:rFonts w:ascii="Book Antiqua" w:hAnsi="Book Antiqua"/>
        </w:rPr>
      </w:pPr>
      <w:r>
        <w:rPr>
          <w:rFonts w:ascii="Book Antiqua" w:hAnsi="Book Antiqua"/>
        </w:rPr>
        <w:t xml:space="preserve">Traditionally, </w:t>
      </w:r>
      <w:r w:rsidR="00F90393" w:rsidRPr="009C1DE0">
        <w:rPr>
          <w:rFonts w:ascii="Book Antiqua" w:hAnsi="Book Antiqua"/>
        </w:rPr>
        <w:t xml:space="preserve">private sector partners </w:t>
      </w:r>
      <w:r>
        <w:rPr>
          <w:rFonts w:ascii="Book Antiqua" w:hAnsi="Book Antiqua"/>
        </w:rPr>
        <w:t xml:space="preserve">were confined </w:t>
      </w:r>
      <w:r w:rsidR="00F90393" w:rsidRPr="009C1DE0">
        <w:rPr>
          <w:rFonts w:ascii="Book Antiqua" w:hAnsi="Book Antiqua"/>
        </w:rPr>
        <w:t xml:space="preserve">to earning their profits on the basis of their own investment of capital, labour and materials – “return on investment” pricing. </w:t>
      </w:r>
      <w:r>
        <w:rPr>
          <w:rFonts w:ascii="Book Antiqua" w:hAnsi="Book Antiqua"/>
        </w:rPr>
        <w:t>Nowadays, p</w:t>
      </w:r>
      <w:r w:rsidR="00F90393" w:rsidRPr="009C1DE0">
        <w:rPr>
          <w:rFonts w:ascii="Book Antiqua" w:hAnsi="Book Antiqua"/>
        </w:rPr>
        <w:t xml:space="preserve">ublic-private partnerships </w:t>
      </w:r>
      <w:r w:rsidR="00F90393">
        <w:rPr>
          <w:rFonts w:ascii="Book Antiqua" w:hAnsi="Book Antiqua"/>
        </w:rPr>
        <w:t xml:space="preserve">or certain design-and-construct tenders </w:t>
      </w:r>
      <w:r w:rsidR="00F90393" w:rsidRPr="009C1DE0">
        <w:rPr>
          <w:rFonts w:ascii="Book Antiqua" w:hAnsi="Book Antiqua"/>
        </w:rPr>
        <w:t>open up the prospect of windfall profits beyond return on investment. These profits come at the expense of others: taxpayers, bank depositors, shareholders of victim companies and so on.</w:t>
      </w:r>
    </w:p>
    <w:p w:rsidR="00A34A60" w:rsidRDefault="00A34A60" w:rsidP="009B24CC">
      <w:pPr>
        <w:rPr>
          <w:rFonts w:ascii="Book Antiqua" w:hAnsi="Book Antiqua"/>
        </w:rPr>
      </w:pPr>
    </w:p>
    <w:p w:rsidR="00A34A60" w:rsidRPr="00A34A60" w:rsidRDefault="00A34A60" w:rsidP="009B24CC">
      <w:pPr>
        <w:rPr>
          <w:rFonts w:ascii="Book Antiqua" w:hAnsi="Book Antiqua"/>
          <w:b/>
          <w:i/>
        </w:rPr>
      </w:pPr>
      <w:r>
        <w:rPr>
          <w:rFonts w:ascii="Book Antiqua" w:hAnsi="Book Antiqua"/>
          <w:b/>
          <w:i/>
        </w:rPr>
        <w:lastRenderedPageBreak/>
        <w:t>The traditional way</w:t>
      </w:r>
    </w:p>
    <w:p w:rsidR="00B37B7E" w:rsidRPr="009C1DE0" w:rsidRDefault="00924490" w:rsidP="00924490">
      <w:pPr>
        <w:rPr>
          <w:rFonts w:ascii="Book Antiqua" w:hAnsi="Book Antiqua"/>
        </w:rPr>
      </w:pPr>
      <w:r w:rsidRPr="009C1DE0">
        <w:rPr>
          <w:rFonts w:ascii="Book Antiqua" w:hAnsi="Book Antiqua"/>
        </w:rPr>
        <w:t xml:space="preserve">Traditionally, when a perceived need for infrastructure arose (from industry, from another arm of government, from the public service, from a citizen), it would be subject to a fairly thorough and often lengthy process of </w:t>
      </w:r>
      <w:r w:rsidR="00DC1E22">
        <w:rPr>
          <w:rFonts w:ascii="Book Antiqua" w:hAnsi="Book Antiqua"/>
        </w:rPr>
        <w:t>investigation</w:t>
      </w:r>
      <w:r w:rsidRPr="009C1DE0">
        <w:rPr>
          <w:rFonts w:ascii="Book Antiqua" w:hAnsi="Book Antiqua"/>
        </w:rPr>
        <w:t>, overseen by the public service, and ending in a submission to Cabinet.</w:t>
      </w:r>
      <w:r w:rsidR="00B37B7E" w:rsidRPr="009C1DE0">
        <w:rPr>
          <w:rFonts w:ascii="Book Antiqua" w:hAnsi="Book Antiqua"/>
        </w:rPr>
        <w:t xml:space="preserve"> This process would be nested within or derive from or await some form of strategic planning such as the regional land-use plan for the locality.</w:t>
      </w:r>
      <w:r w:rsidRPr="009C1DE0">
        <w:rPr>
          <w:rFonts w:ascii="Book Antiqua" w:hAnsi="Book Antiqua"/>
        </w:rPr>
        <w:t xml:space="preserve"> </w:t>
      </w:r>
      <w:r w:rsidR="00A34A60">
        <w:rPr>
          <w:rFonts w:ascii="Book Antiqua" w:hAnsi="Book Antiqua"/>
        </w:rPr>
        <w:t xml:space="preserve">Inter-jurisdictional dialogue would be a feature of this process. </w:t>
      </w:r>
      <w:r w:rsidRPr="009C1DE0">
        <w:rPr>
          <w:rFonts w:ascii="Book Antiqua" w:hAnsi="Book Antiqua"/>
        </w:rPr>
        <w:t>Usually, the Cabinet submission would examine the proposal on its merits and make a merits decision of its desirability</w:t>
      </w:r>
      <w:r w:rsidR="0067383B">
        <w:rPr>
          <w:rFonts w:ascii="Book Antiqua" w:hAnsi="Book Antiqua"/>
        </w:rPr>
        <w:t>. C</w:t>
      </w:r>
      <w:r w:rsidR="00B37B7E" w:rsidRPr="009C1DE0">
        <w:rPr>
          <w:rFonts w:ascii="Book Antiqua" w:hAnsi="Book Antiqua"/>
        </w:rPr>
        <w:t xml:space="preserve">ommonly, the Cabinet decision would </w:t>
      </w:r>
      <w:r w:rsidR="00F90393">
        <w:rPr>
          <w:rFonts w:ascii="Book Antiqua" w:hAnsi="Book Antiqua"/>
        </w:rPr>
        <w:t xml:space="preserve">initially </w:t>
      </w:r>
      <w:r w:rsidR="00B37B7E" w:rsidRPr="009C1DE0">
        <w:rPr>
          <w:rFonts w:ascii="Book Antiqua" w:hAnsi="Book Antiqua"/>
        </w:rPr>
        <w:t xml:space="preserve">not be on the individual project – that would </w:t>
      </w:r>
      <w:r w:rsidR="0067383B">
        <w:rPr>
          <w:rFonts w:ascii="Book Antiqua" w:hAnsi="Book Antiqua"/>
        </w:rPr>
        <w:t xml:space="preserve">be a </w:t>
      </w:r>
      <w:r w:rsidR="00B37B7E" w:rsidRPr="009C1DE0">
        <w:rPr>
          <w:rFonts w:ascii="Book Antiqua" w:hAnsi="Book Antiqua"/>
        </w:rPr>
        <w:t>later</w:t>
      </w:r>
      <w:r w:rsidR="0067383B">
        <w:rPr>
          <w:rFonts w:ascii="Book Antiqua" w:hAnsi="Book Antiqua"/>
        </w:rPr>
        <w:t xml:space="preserve">, separate evaluation </w:t>
      </w:r>
      <w:r w:rsidR="00B37B7E" w:rsidRPr="009C1DE0">
        <w:rPr>
          <w:rFonts w:ascii="Book Antiqua" w:hAnsi="Book Antiqua"/>
        </w:rPr>
        <w:t>– but on a regional plan or an infrastructure plan or a local government planning scheme or similar instrument.</w:t>
      </w:r>
    </w:p>
    <w:p w:rsidR="00B37B7E" w:rsidRPr="009C1DE0" w:rsidRDefault="00B37B7E" w:rsidP="00924490">
      <w:pPr>
        <w:rPr>
          <w:rFonts w:ascii="Book Antiqua" w:hAnsi="Book Antiqua"/>
        </w:rPr>
      </w:pPr>
    </w:p>
    <w:p w:rsidR="00924490" w:rsidRPr="009C1DE0" w:rsidRDefault="00B37B7E" w:rsidP="00924490">
      <w:pPr>
        <w:rPr>
          <w:rFonts w:ascii="Book Antiqua" w:hAnsi="Book Antiqua"/>
        </w:rPr>
      </w:pPr>
      <w:r w:rsidRPr="009C1DE0">
        <w:rPr>
          <w:rFonts w:ascii="Book Antiqua" w:hAnsi="Book Antiqua"/>
        </w:rPr>
        <w:t xml:space="preserve">Traditionally, the Cabinet decision on the merits of the plan or the project would be </w:t>
      </w:r>
      <w:r w:rsidR="00924490" w:rsidRPr="009C1DE0">
        <w:rPr>
          <w:rFonts w:ascii="Book Antiqua" w:hAnsi="Book Antiqua"/>
        </w:rPr>
        <w:t>separate</w:t>
      </w:r>
      <w:r w:rsidRPr="009C1DE0">
        <w:rPr>
          <w:rFonts w:ascii="Book Antiqua" w:hAnsi="Book Antiqua"/>
        </w:rPr>
        <w:t>d</w:t>
      </w:r>
      <w:r w:rsidR="00924490" w:rsidRPr="009C1DE0">
        <w:rPr>
          <w:rFonts w:ascii="Book Antiqua" w:hAnsi="Book Antiqua"/>
        </w:rPr>
        <w:t xml:space="preserve"> from the funding decision. The proposal would then be remitted to the budget process so that all proposals for government expenditure were assessed at the one time of the year during the budget deliberations.</w:t>
      </w:r>
    </w:p>
    <w:p w:rsidR="00924490" w:rsidRPr="009C1DE0" w:rsidRDefault="00924490" w:rsidP="00924490">
      <w:pPr>
        <w:rPr>
          <w:rFonts w:ascii="Book Antiqua" w:hAnsi="Book Antiqua"/>
        </w:rPr>
      </w:pPr>
    </w:p>
    <w:p w:rsidR="00924490" w:rsidRPr="009C1DE0" w:rsidRDefault="00924490" w:rsidP="00924490">
      <w:pPr>
        <w:rPr>
          <w:rFonts w:ascii="Book Antiqua" w:hAnsi="Book Antiqua"/>
        </w:rPr>
      </w:pPr>
      <w:r w:rsidRPr="009C1DE0">
        <w:rPr>
          <w:rFonts w:ascii="Book Antiqua" w:hAnsi="Book Antiqua"/>
        </w:rPr>
        <w:t xml:space="preserve">Features of this process are that proposals were </w:t>
      </w:r>
      <w:r w:rsidR="00B37B7E" w:rsidRPr="009C1DE0">
        <w:rPr>
          <w:rFonts w:ascii="Book Antiqua" w:hAnsi="Book Antiqua"/>
        </w:rPr>
        <w:t xml:space="preserve">first </w:t>
      </w:r>
      <w:r w:rsidRPr="009C1DE0">
        <w:rPr>
          <w:rFonts w:ascii="Book Antiqua" w:hAnsi="Book Antiqua"/>
        </w:rPr>
        <w:t xml:space="preserve">considered on </w:t>
      </w:r>
      <w:r w:rsidR="00B37B7E" w:rsidRPr="009C1DE0">
        <w:rPr>
          <w:rFonts w:ascii="Book Antiqua" w:hAnsi="Book Antiqua"/>
        </w:rPr>
        <w:t xml:space="preserve">strategic </w:t>
      </w:r>
      <w:r w:rsidR="009B01FF">
        <w:rPr>
          <w:rFonts w:ascii="Book Antiqua" w:hAnsi="Book Antiqua"/>
        </w:rPr>
        <w:t xml:space="preserve">need </w:t>
      </w:r>
      <w:r w:rsidRPr="009C1DE0">
        <w:rPr>
          <w:rFonts w:ascii="Book Antiqua" w:hAnsi="Book Antiqua"/>
        </w:rPr>
        <w:t xml:space="preserve">without </w:t>
      </w:r>
      <w:r w:rsidR="00F90393">
        <w:rPr>
          <w:rFonts w:ascii="Book Antiqua" w:hAnsi="Book Antiqua"/>
        </w:rPr>
        <w:t xml:space="preserve">rejecting or approving on the grounds of </w:t>
      </w:r>
      <w:r w:rsidRPr="009C1DE0">
        <w:rPr>
          <w:rFonts w:ascii="Book Antiqua" w:hAnsi="Book Antiqua"/>
        </w:rPr>
        <w:t xml:space="preserve">cost; and </w:t>
      </w:r>
      <w:r w:rsidR="00494231" w:rsidRPr="009C1DE0">
        <w:rPr>
          <w:rFonts w:ascii="Book Antiqua" w:hAnsi="Book Antiqua"/>
        </w:rPr>
        <w:t xml:space="preserve">then their affordability was considered in a systematic process of </w:t>
      </w:r>
      <w:r w:rsidRPr="009C1DE0">
        <w:rPr>
          <w:rFonts w:ascii="Book Antiqua" w:hAnsi="Book Antiqua"/>
        </w:rPr>
        <w:t xml:space="preserve">comparison with other calls upon </w:t>
      </w:r>
      <w:r w:rsidR="00494231" w:rsidRPr="009C1DE0">
        <w:rPr>
          <w:rFonts w:ascii="Book Antiqua" w:hAnsi="Book Antiqua"/>
        </w:rPr>
        <w:t xml:space="preserve">the </w:t>
      </w:r>
      <w:r w:rsidRPr="009C1DE0">
        <w:rPr>
          <w:rFonts w:ascii="Book Antiqua" w:hAnsi="Book Antiqua"/>
        </w:rPr>
        <w:t>public purse.</w:t>
      </w:r>
    </w:p>
    <w:p w:rsidR="00924490" w:rsidRDefault="00924490" w:rsidP="00924490">
      <w:pPr>
        <w:rPr>
          <w:rFonts w:ascii="Book Antiqua" w:hAnsi="Book Antiqua"/>
        </w:rPr>
      </w:pPr>
    </w:p>
    <w:p w:rsidR="009B184F" w:rsidRPr="009B184F" w:rsidRDefault="004B4303" w:rsidP="00924490">
      <w:pPr>
        <w:rPr>
          <w:rFonts w:ascii="Book Antiqua" w:hAnsi="Book Antiqua"/>
          <w:b/>
          <w:i/>
        </w:rPr>
      </w:pPr>
      <w:r>
        <w:rPr>
          <w:rFonts w:ascii="Book Antiqua" w:hAnsi="Book Antiqua"/>
          <w:b/>
          <w:i/>
        </w:rPr>
        <w:t xml:space="preserve">Theoretical explanation: </w:t>
      </w:r>
      <w:r w:rsidR="009B184F">
        <w:rPr>
          <w:rFonts w:ascii="Book Antiqua" w:hAnsi="Book Antiqua"/>
          <w:b/>
          <w:i/>
        </w:rPr>
        <w:t>Weaknesses of a private sector-led model</w:t>
      </w:r>
    </w:p>
    <w:p w:rsidR="00924490" w:rsidRPr="009C1DE0" w:rsidRDefault="00924490" w:rsidP="00924490">
      <w:pPr>
        <w:rPr>
          <w:rFonts w:ascii="Book Antiqua" w:hAnsi="Book Antiqua"/>
        </w:rPr>
      </w:pPr>
      <w:r w:rsidRPr="009C1DE0">
        <w:rPr>
          <w:rFonts w:ascii="Book Antiqua" w:hAnsi="Book Antiqua"/>
        </w:rPr>
        <w:t xml:space="preserve">The private sector-led model of infrastructure provision eliminates </w:t>
      </w:r>
      <w:r w:rsidR="0067383B">
        <w:rPr>
          <w:rFonts w:ascii="Book Antiqua" w:hAnsi="Book Antiqua"/>
        </w:rPr>
        <w:t xml:space="preserve">these </w:t>
      </w:r>
      <w:r w:rsidRPr="009C1DE0">
        <w:rPr>
          <w:rFonts w:ascii="Book Antiqua" w:hAnsi="Book Antiqua"/>
        </w:rPr>
        <w:t xml:space="preserve">two safeguards. First, by allowing and even encouraging the private sector to put forward its own ideas for projects, a proposal can gain significant momentum without </w:t>
      </w:r>
      <w:r w:rsidR="00494231" w:rsidRPr="009C1DE0">
        <w:rPr>
          <w:rFonts w:ascii="Book Antiqua" w:hAnsi="Book Antiqua"/>
        </w:rPr>
        <w:t xml:space="preserve">first passing </w:t>
      </w:r>
      <w:r w:rsidRPr="009C1DE0">
        <w:rPr>
          <w:rFonts w:ascii="Book Antiqua" w:hAnsi="Book Antiqua"/>
        </w:rPr>
        <w:t>the multi</w:t>
      </w:r>
      <w:r w:rsidR="00494231" w:rsidRPr="009C1DE0">
        <w:rPr>
          <w:rFonts w:ascii="Book Antiqua" w:hAnsi="Book Antiqua"/>
        </w:rPr>
        <w:t xml:space="preserve">lateral </w:t>
      </w:r>
      <w:r w:rsidRPr="009C1DE0">
        <w:rPr>
          <w:rFonts w:ascii="Book Antiqua" w:hAnsi="Book Antiqua"/>
        </w:rPr>
        <w:t xml:space="preserve">investigation needed to </w:t>
      </w:r>
      <w:r w:rsidR="00494231" w:rsidRPr="009C1DE0">
        <w:rPr>
          <w:rFonts w:ascii="Book Antiqua" w:hAnsi="Book Antiqua"/>
        </w:rPr>
        <w:t xml:space="preserve">satisfy the public interest test that the Draft Report has laudably included as its first principle of good governance (page 223). </w:t>
      </w:r>
    </w:p>
    <w:p w:rsidR="00494231" w:rsidRPr="009C1DE0" w:rsidRDefault="00494231" w:rsidP="00924490">
      <w:pPr>
        <w:rPr>
          <w:rFonts w:ascii="Book Antiqua" w:hAnsi="Book Antiqua"/>
        </w:rPr>
      </w:pPr>
    </w:p>
    <w:p w:rsidR="00494231" w:rsidRPr="009C1DE0" w:rsidRDefault="002F654E" w:rsidP="00924490">
      <w:pPr>
        <w:rPr>
          <w:rFonts w:ascii="Book Antiqua" w:hAnsi="Book Antiqua"/>
        </w:rPr>
      </w:pPr>
      <w:r w:rsidRPr="009C1DE0">
        <w:rPr>
          <w:rFonts w:ascii="Book Antiqua" w:hAnsi="Book Antiqua"/>
        </w:rPr>
        <w:t xml:space="preserve">The private sector-led model obliges the government that is recipient of the proposal to consider a cost-benefit analysis in absolute not comparative terms. In other words, if a proponent can table an assessment that </w:t>
      </w:r>
      <w:r w:rsidR="00B031A3" w:rsidRPr="009C1DE0">
        <w:rPr>
          <w:rFonts w:ascii="Book Antiqua" w:hAnsi="Book Antiqua"/>
        </w:rPr>
        <w:t>shows a surplus of benefits over costs, even if the margin is small, it is likely to be viewed favourably. The opportunity to compare expenditure on the project with expenditure on libraries, scientific research, public hospitals, preventative policing and so on during budget deliberations is neglected.</w:t>
      </w:r>
      <w:r w:rsidR="0067383B">
        <w:rPr>
          <w:rFonts w:ascii="Book Antiqua" w:hAnsi="Book Antiqua"/>
        </w:rPr>
        <w:t xml:space="preserve"> Opportunity cost is not factored in.</w:t>
      </w:r>
    </w:p>
    <w:p w:rsidR="002F654E" w:rsidRPr="009C1DE0" w:rsidRDefault="002F654E" w:rsidP="00924490">
      <w:pPr>
        <w:rPr>
          <w:rFonts w:ascii="Book Antiqua" w:hAnsi="Book Antiqua"/>
        </w:rPr>
      </w:pPr>
    </w:p>
    <w:p w:rsidR="00B031A3" w:rsidRPr="009C1DE0" w:rsidRDefault="008148F4" w:rsidP="00924490">
      <w:pPr>
        <w:rPr>
          <w:rFonts w:ascii="Book Antiqua" w:hAnsi="Book Antiqua"/>
        </w:rPr>
      </w:pPr>
      <w:r w:rsidRPr="009C1DE0">
        <w:rPr>
          <w:rFonts w:ascii="Book Antiqua" w:hAnsi="Book Antiqua"/>
        </w:rPr>
        <w:t xml:space="preserve">This will apply, even if the proposal is a full private-public partnership with no direct outlays by the public budget. The opportunity cost of investing our society’s design capacity, engineering capacity, financing capacity, land, cement and petroleum into sub-optimal projects is </w:t>
      </w:r>
      <w:r w:rsidR="009B01FF">
        <w:rPr>
          <w:rFonts w:ascii="Book Antiqua" w:hAnsi="Book Antiqua"/>
        </w:rPr>
        <w:t xml:space="preserve">substantially more significant than </w:t>
      </w:r>
      <w:r w:rsidRPr="009C1DE0">
        <w:rPr>
          <w:rFonts w:ascii="Book Antiqua" w:hAnsi="Book Antiqua"/>
        </w:rPr>
        <w:t>the direct fiscal cost.</w:t>
      </w:r>
    </w:p>
    <w:p w:rsidR="008148F4" w:rsidRPr="009C1DE0" w:rsidRDefault="008148F4" w:rsidP="00924490">
      <w:pPr>
        <w:rPr>
          <w:rFonts w:ascii="Book Antiqua" w:hAnsi="Book Antiqua"/>
        </w:rPr>
      </w:pPr>
    </w:p>
    <w:p w:rsidR="00924490" w:rsidRPr="009C1DE0" w:rsidRDefault="00924490" w:rsidP="00924490">
      <w:pPr>
        <w:rPr>
          <w:rFonts w:ascii="Book Antiqua" w:hAnsi="Book Antiqua"/>
        </w:rPr>
      </w:pPr>
      <w:r w:rsidRPr="009C1DE0">
        <w:rPr>
          <w:rFonts w:ascii="Book Antiqua" w:hAnsi="Book Antiqua"/>
        </w:rPr>
        <w:t xml:space="preserve">So projects that suit the interest only of the facilitators, consultants </w:t>
      </w:r>
      <w:r w:rsidR="00957A14">
        <w:rPr>
          <w:rFonts w:ascii="Book Antiqua" w:hAnsi="Book Antiqua"/>
        </w:rPr>
        <w:t>or</w:t>
      </w:r>
      <w:r w:rsidRPr="009C1DE0">
        <w:rPr>
          <w:rFonts w:ascii="Book Antiqua" w:hAnsi="Book Antiqua"/>
        </w:rPr>
        <w:t xml:space="preserve"> construction companies and not the public interest can bypass th</w:t>
      </w:r>
      <w:r w:rsidR="00B031A3" w:rsidRPr="009C1DE0">
        <w:rPr>
          <w:rFonts w:ascii="Book Antiqua" w:hAnsi="Book Antiqua"/>
        </w:rPr>
        <w:t>e first principle of good governance</w:t>
      </w:r>
      <w:r w:rsidRPr="009C1DE0">
        <w:rPr>
          <w:rFonts w:ascii="Book Antiqua" w:hAnsi="Book Antiqua"/>
        </w:rPr>
        <w:t xml:space="preserve">. The wrecking ball will </w:t>
      </w:r>
      <w:r w:rsidR="009B184F">
        <w:rPr>
          <w:rFonts w:ascii="Book Antiqua" w:hAnsi="Book Antiqua"/>
        </w:rPr>
        <w:t xml:space="preserve">take the form of </w:t>
      </w:r>
      <w:r w:rsidRPr="009C1DE0">
        <w:rPr>
          <w:rFonts w:ascii="Book Antiqua" w:hAnsi="Book Antiqua"/>
        </w:rPr>
        <w:t xml:space="preserve">a pipeline of projects that suit </w:t>
      </w:r>
      <w:r w:rsidR="008148F4" w:rsidRPr="009C1DE0">
        <w:rPr>
          <w:rFonts w:ascii="Book Antiqua" w:hAnsi="Book Antiqua"/>
        </w:rPr>
        <w:t xml:space="preserve">private sector opportunists </w:t>
      </w:r>
      <w:r w:rsidRPr="009C1DE0">
        <w:rPr>
          <w:rFonts w:ascii="Book Antiqua" w:hAnsi="Book Antiqua"/>
        </w:rPr>
        <w:t>but may bear little relationship to the deep-seated needs of the economy or the wishes of the community.</w:t>
      </w:r>
    </w:p>
    <w:p w:rsidR="00924490" w:rsidRPr="009C1DE0" w:rsidRDefault="00924490" w:rsidP="00924490">
      <w:pPr>
        <w:rPr>
          <w:rFonts w:ascii="Book Antiqua" w:hAnsi="Book Antiqua"/>
        </w:rPr>
      </w:pPr>
    </w:p>
    <w:p w:rsidR="000A5A53" w:rsidRPr="009C1DE0" w:rsidRDefault="006070C0" w:rsidP="000A5A53">
      <w:pPr>
        <w:rPr>
          <w:rFonts w:ascii="Book Antiqua" w:hAnsi="Book Antiqua" w:cs="FuturaBT-Light"/>
          <w:lang w:eastAsia="en-AU"/>
        </w:rPr>
      </w:pPr>
      <w:r w:rsidRPr="009C1DE0">
        <w:rPr>
          <w:rFonts w:ascii="Book Antiqua" w:hAnsi="Book Antiqua"/>
        </w:rPr>
        <w:t>Evidence that this is already happening</w:t>
      </w:r>
      <w:r w:rsidR="000A5A53" w:rsidRPr="009C1DE0">
        <w:rPr>
          <w:rFonts w:ascii="Book Antiqua" w:hAnsi="Book Antiqua"/>
        </w:rPr>
        <w:t xml:space="preserve"> is embodied in Infrastructure Australia’s June 2013 </w:t>
      </w:r>
      <w:r w:rsidR="000A5A53" w:rsidRPr="009C1DE0">
        <w:rPr>
          <w:rFonts w:ascii="Book Antiqua" w:hAnsi="Book Antiqua"/>
          <w:i/>
        </w:rPr>
        <w:t>National Infrastructure Plan</w:t>
      </w:r>
      <w:r w:rsidR="000A5A53" w:rsidRPr="009C1DE0">
        <w:rPr>
          <w:rFonts w:ascii="Book Antiqua" w:hAnsi="Book Antiqua"/>
        </w:rPr>
        <w:t>. In the highest priority category “Ready to proceed”, the weighted average benefit-cost ratio of more than $16 billion worth of projects is less than 1.5,</w:t>
      </w:r>
      <w:r w:rsidR="000A5A53" w:rsidRPr="009C1DE0">
        <w:rPr>
          <w:rFonts w:ascii="Book Antiqua" w:hAnsi="Book Antiqua" w:cs="FuturaBT-Light"/>
          <w:lang w:eastAsia="en-AU"/>
        </w:rPr>
        <w:t xml:space="preserve"> </w:t>
      </w:r>
      <w:r w:rsidR="000A5A53" w:rsidRPr="009C1DE0">
        <w:rPr>
          <w:rFonts w:ascii="Book Antiqua" w:hAnsi="Book Antiqua"/>
        </w:rPr>
        <w:t>so low that one cannot be confident that it is even positive</w:t>
      </w:r>
      <w:r w:rsidR="000A5A53" w:rsidRPr="009C1DE0">
        <w:rPr>
          <w:rFonts w:ascii="Book Antiqua" w:hAnsi="Book Antiqua" w:cs="FuturaBT-Light"/>
          <w:lang w:eastAsia="en-AU"/>
        </w:rPr>
        <w:t>.</w:t>
      </w:r>
    </w:p>
    <w:p w:rsidR="000A5A53" w:rsidRPr="009C1DE0" w:rsidRDefault="000A5A53" w:rsidP="000A5A53">
      <w:pPr>
        <w:rPr>
          <w:rFonts w:ascii="Book Antiqua" w:hAnsi="Book Antiqua"/>
        </w:rPr>
      </w:pPr>
    </w:p>
    <w:p w:rsidR="000A5A53" w:rsidRPr="009C1DE0" w:rsidRDefault="000A5A53" w:rsidP="000A5A53">
      <w:pPr>
        <w:rPr>
          <w:rFonts w:ascii="Book Antiqua" w:hAnsi="Book Antiqua" w:cs="FuturaBT-Light"/>
          <w:lang w:eastAsia="en-AU"/>
        </w:rPr>
      </w:pPr>
      <w:r w:rsidRPr="009C1DE0">
        <w:rPr>
          <w:rFonts w:ascii="Book Antiqua" w:hAnsi="Book Antiqua"/>
        </w:rPr>
        <w:t xml:space="preserve">The next highest category of “Threshold” projects fares </w:t>
      </w:r>
      <w:r w:rsidR="00957A14">
        <w:rPr>
          <w:rFonts w:ascii="Book Antiqua" w:hAnsi="Book Antiqua"/>
        </w:rPr>
        <w:t>little</w:t>
      </w:r>
      <w:r w:rsidRPr="009C1DE0">
        <w:rPr>
          <w:rFonts w:ascii="Book Antiqua" w:hAnsi="Book Antiqua"/>
        </w:rPr>
        <w:t xml:space="preserve"> better: $15.5 billion worth have a benefit-cost of less than two. The $5.4 billion to be spent on</w:t>
      </w:r>
      <w:r w:rsidRPr="009C1DE0">
        <w:rPr>
          <w:rFonts w:ascii="Book Antiqua" w:hAnsi="Book Antiqua" w:cs="FuturaBT-Light"/>
          <w:lang w:eastAsia="en-AU"/>
        </w:rPr>
        <w:t xml:space="preserve"> Western Australia’s Oakajee port expansion, mainly to facilitate exports of iron ore, has a ratio calculated at only 1.2, barely scraping over the threshold at which estimated benefits exceed costs.</w:t>
      </w:r>
    </w:p>
    <w:p w:rsidR="006070C0" w:rsidRDefault="006070C0" w:rsidP="00924490">
      <w:pPr>
        <w:rPr>
          <w:rFonts w:ascii="Book Antiqua" w:hAnsi="Book Antiqua"/>
        </w:rPr>
      </w:pPr>
    </w:p>
    <w:p w:rsidR="009B184F" w:rsidRPr="009B184F" w:rsidRDefault="009B184F" w:rsidP="00924490">
      <w:pPr>
        <w:rPr>
          <w:rFonts w:ascii="Book Antiqua" w:hAnsi="Book Antiqua"/>
          <w:b/>
          <w:i/>
        </w:rPr>
      </w:pPr>
      <w:r>
        <w:rPr>
          <w:rFonts w:ascii="Book Antiqua" w:hAnsi="Book Antiqua"/>
          <w:b/>
          <w:i/>
        </w:rPr>
        <w:t>Opportunity cost</w:t>
      </w:r>
    </w:p>
    <w:p w:rsidR="00835FFB" w:rsidRPr="009C1DE0" w:rsidRDefault="00835FFB" w:rsidP="00924490">
      <w:pPr>
        <w:rPr>
          <w:rFonts w:ascii="Book Antiqua" w:hAnsi="Book Antiqua"/>
        </w:rPr>
      </w:pPr>
      <w:r w:rsidRPr="009C1DE0">
        <w:rPr>
          <w:rFonts w:ascii="Book Antiqua" w:hAnsi="Book Antiqua"/>
        </w:rPr>
        <w:lastRenderedPageBreak/>
        <w:t xml:space="preserve">The Commission’s own 2007 report on the benefit-cost of scientific research and development </w:t>
      </w:r>
      <w:r w:rsidR="005125CC">
        <w:rPr>
          <w:rFonts w:ascii="Book Antiqua" w:hAnsi="Book Antiqua"/>
        </w:rPr>
        <w:t xml:space="preserve">and </w:t>
      </w:r>
      <w:r w:rsidRPr="009C1DE0">
        <w:rPr>
          <w:rFonts w:ascii="Book Antiqua" w:hAnsi="Book Antiqua"/>
        </w:rPr>
        <w:t xml:space="preserve">tabulated a typical benefit-cost of 40 to one. This figure is entirely respectable and consistent with international studies. My own staff within the Department of Natural Resources in Queensland </w:t>
      </w:r>
      <w:r w:rsidR="00FD40F7">
        <w:rPr>
          <w:rFonts w:ascii="Book Antiqua" w:hAnsi="Book Antiqua"/>
        </w:rPr>
        <w:t xml:space="preserve">in 2005 </w:t>
      </w:r>
      <w:r w:rsidRPr="009C1DE0">
        <w:rPr>
          <w:rFonts w:ascii="Book Antiqua" w:hAnsi="Book Antiqua"/>
        </w:rPr>
        <w:t>calculated a benefit-cost of 50-150 to one for a land resource assessment study in North Queensland.</w:t>
      </w:r>
    </w:p>
    <w:p w:rsidR="00835FFB" w:rsidRDefault="00835FFB" w:rsidP="00924490">
      <w:pPr>
        <w:rPr>
          <w:rFonts w:ascii="Book Antiqua" w:hAnsi="Book Antiqua"/>
        </w:rPr>
      </w:pPr>
    </w:p>
    <w:p w:rsidR="000A5A53" w:rsidRDefault="00DF7770" w:rsidP="00924490">
      <w:pPr>
        <w:rPr>
          <w:rFonts w:ascii="Book Antiqua" w:hAnsi="Book Antiqua"/>
        </w:rPr>
      </w:pPr>
      <w:r>
        <w:rPr>
          <w:rFonts w:ascii="Book Antiqua" w:hAnsi="Book Antiqua"/>
        </w:rPr>
        <w:t xml:space="preserve">Herein lies a response to the question, how </w:t>
      </w:r>
      <w:r w:rsidR="00F07A7B">
        <w:rPr>
          <w:rFonts w:ascii="Book Antiqua" w:hAnsi="Book Antiqua"/>
        </w:rPr>
        <w:t xml:space="preserve">can </w:t>
      </w:r>
      <w:r>
        <w:rPr>
          <w:rFonts w:ascii="Book Antiqua" w:hAnsi="Book Antiqua"/>
        </w:rPr>
        <w:t xml:space="preserve">the Commission’s model </w:t>
      </w:r>
      <w:r w:rsidR="00F07A7B">
        <w:rPr>
          <w:rFonts w:ascii="Book Antiqua" w:hAnsi="Book Antiqua"/>
        </w:rPr>
        <w:t xml:space="preserve">accommodate rigorous cost-benefit analysis retrospective to </w:t>
      </w:r>
      <w:r>
        <w:rPr>
          <w:rFonts w:ascii="Book Antiqua" w:hAnsi="Book Antiqua"/>
        </w:rPr>
        <w:t xml:space="preserve">election </w:t>
      </w:r>
      <w:r w:rsidR="00F07A7B">
        <w:rPr>
          <w:rFonts w:ascii="Book Antiqua" w:hAnsi="Book Antiqua"/>
        </w:rPr>
        <w:t xml:space="preserve">announcements? </w:t>
      </w:r>
      <w:r>
        <w:rPr>
          <w:rFonts w:ascii="Book Antiqua" w:hAnsi="Book Antiqua"/>
        </w:rPr>
        <w:t>The answer is, reinstate a strategic forward planning process</w:t>
      </w:r>
      <w:r w:rsidR="00F07A7B">
        <w:rPr>
          <w:rFonts w:ascii="Book Antiqua" w:hAnsi="Book Antiqua"/>
        </w:rPr>
        <w:t xml:space="preserve"> and establish a convention that election commitments are not made until </w:t>
      </w:r>
      <w:r w:rsidR="00957A14">
        <w:rPr>
          <w:rFonts w:ascii="Book Antiqua" w:hAnsi="Book Antiqua"/>
        </w:rPr>
        <w:t xml:space="preserve">a </w:t>
      </w:r>
      <w:r w:rsidR="00F07A7B">
        <w:rPr>
          <w:rFonts w:ascii="Book Antiqua" w:hAnsi="Book Antiqua"/>
        </w:rPr>
        <w:t>project</w:t>
      </w:r>
      <w:r w:rsidR="00957A14">
        <w:rPr>
          <w:rFonts w:ascii="Book Antiqua" w:hAnsi="Book Antiqua"/>
        </w:rPr>
        <w:t xml:space="preserve"> has passed first the planning process and then a cost benefit analysis</w:t>
      </w:r>
      <w:r w:rsidR="00F07A7B">
        <w:rPr>
          <w:rFonts w:ascii="Book Antiqua" w:hAnsi="Book Antiqua"/>
        </w:rPr>
        <w:t>. I don’t underestimate the influence of the Commission in establishing</w:t>
      </w:r>
      <w:r w:rsidR="00807D4A">
        <w:rPr>
          <w:rFonts w:ascii="Book Antiqua" w:hAnsi="Book Antiqua"/>
        </w:rPr>
        <w:t xml:space="preserve"> a new orthodoxy </w:t>
      </w:r>
      <w:r w:rsidR="00F07A7B">
        <w:rPr>
          <w:rFonts w:ascii="Book Antiqua" w:hAnsi="Book Antiqua"/>
        </w:rPr>
        <w:t>along those lines</w:t>
      </w:r>
      <w:r w:rsidR="00BD67EF">
        <w:rPr>
          <w:rFonts w:ascii="Book Antiqua" w:hAnsi="Book Antiqua"/>
        </w:rPr>
        <w:t xml:space="preserve"> and in the next section will suggest how this might be done</w:t>
      </w:r>
      <w:r w:rsidR="00F07A7B">
        <w:rPr>
          <w:rFonts w:ascii="Book Antiqua" w:hAnsi="Book Antiqua"/>
        </w:rPr>
        <w:t>.</w:t>
      </w:r>
    </w:p>
    <w:p w:rsidR="009B24CC" w:rsidRDefault="009B24CC" w:rsidP="009B24CC">
      <w:pPr>
        <w:rPr>
          <w:rFonts w:ascii="Book Antiqua" w:hAnsi="Book Antiqua"/>
        </w:rPr>
      </w:pPr>
    </w:p>
    <w:p w:rsidR="005125CC" w:rsidRDefault="005125CC" w:rsidP="009B24CC">
      <w:pPr>
        <w:rPr>
          <w:rFonts w:ascii="Book Antiqua" w:hAnsi="Book Antiqua"/>
        </w:rPr>
      </w:pPr>
    </w:p>
    <w:p w:rsidR="004B4303" w:rsidRDefault="004B4303" w:rsidP="00BD67EF">
      <w:pPr>
        <w:jc w:val="center"/>
        <w:rPr>
          <w:rFonts w:ascii="Book Antiqua" w:hAnsi="Book Antiqua"/>
          <w:b/>
        </w:rPr>
      </w:pPr>
      <w:r>
        <w:rPr>
          <w:rFonts w:ascii="Book Antiqua" w:hAnsi="Book Antiqua"/>
          <w:b/>
        </w:rPr>
        <w:t>A NEW MODEL OF GOVERNANCE</w:t>
      </w:r>
    </w:p>
    <w:p w:rsidR="004B4303" w:rsidRDefault="004B4303" w:rsidP="00F56FE0">
      <w:pPr>
        <w:rPr>
          <w:rFonts w:ascii="Book Antiqua" w:hAnsi="Book Antiqua"/>
          <w:i/>
        </w:rPr>
      </w:pPr>
    </w:p>
    <w:p w:rsidR="00BD67EF" w:rsidRPr="00BD67EF" w:rsidRDefault="00BD67EF" w:rsidP="00F56FE0">
      <w:pPr>
        <w:rPr>
          <w:rFonts w:ascii="Book Antiqua" w:hAnsi="Book Antiqua"/>
          <w:b/>
        </w:rPr>
      </w:pPr>
      <w:r>
        <w:rPr>
          <w:rFonts w:ascii="Book Antiqua" w:hAnsi="Book Antiqua"/>
          <w:b/>
        </w:rPr>
        <w:t>Introduction</w:t>
      </w:r>
    </w:p>
    <w:p w:rsidR="00BD67EF" w:rsidRDefault="00BD67EF" w:rsidP="00F56FE0">
      <w:pPr>
        <w:rPr>
          <w:rFonts w:ascii="Book Antiqua" w:hAnsi="Book Antiqua"/>
        </w:rPr>
      </w:pPr>
    </w:p>
    <w:p w:rsidR="00BD67EF" w:rsidRDefault="00BD67EF" w:rsidP="00F56FE0">
      <w:pPr>
        <w:rPr>
          <w:rFonts w:ascii="Book Antiqua" w:hAnsi="Book Antiqua"/>
        </w:rPr>
      </w:pPr>
      <w:r>
        <w:rPr>
          <w:rFonts w:ascii="Book Antiqua" w:hAnsi="Book Antiqua"/>
        </w:rPr>
        <w:t>At its hearing on 11 April 2014, the Chairman invited submissions on how governance arrangements might be improved to avoid the pitfalls identified in the Draft Report and in submissions.</w:t>
      </w:r>
    </w:p>
    <w:p w:rsidR="00BD67EF" w:rsidRDefault="00BD67EF" w:rsidP="00F56FE0">
      <w:pPr>
        <w:rPr>
          <w:rFonts w:ascii="Book Antiqua" w:hAnsi="Book Antiqua"/>
        </w:rPr>
      </w:pPr>
    </w:p>
    <w:p w:rsidR="00BD67EF" w:rsidRDefault="00BD67EF" w:rsidP="00F56FE0">
      <w:pPr>
        <w:rPr>
          <w:rFonts w:ascii="Book Antiqua" w:hAnsi="Book Antiqua"/>
        </w:rPr>
      </w:pPr>
      <w:r>
        <w:rPr>
          <w:rFonts w:ascii="Book Antiqua" w:hAnsi="Book Antiqua"/>
        </w:rPr>
        <w:t>The</w:t>
      </w:r>
      <w:r w:rsidR="00196EC2">
        <w:rPr>
          <w:rFonts w:ascii="Book Antiqua" w:hAnsi="Book Antiqua"/>
        </w:rPr>
        <w:t xml:space="preserve"> apparent </w:t>
      </w:r>
      <w:r>
        <w:rPr>
          <w:rFonts w:ascii="Book Antiqua" w:hAnsi="Book Antiqua"/>
        </w:rPr>
        <w:t>incapacity of our national Government to craft workable solutions to complex</w:t>
      </w:r>
      <w:r w:rsidR="00792153">
        <w:rPr>
          <w:rFonts w:ascii="Book Antiqua" w:hAnsi="Book Antiqua"/>
        </w:rPr>
        <w:t xml:space="preserve"> </w:t>
      </w:r>
      <w:r>
        <w:rPr>
          <w:rFonts w:ascii="Book Antiqua" w:hAnsi="Book Antiqua"/>
        </w:rPr>
        <w:t xml:space="preserve">policy problems (as evidenced in the analytical weakness of the </w:t>
      </w:r>
      <w:r w:rsidRPr="00BD67EF">
        <w:rPr>
          <w:rFonts w:ascii="Book Antiqua" w:hAnsi="Book Antiqua"/>
          <w:i/>
        </w:rPr>
        <w:t>Energy White Paper</w:t>
      </w:r>
      <w:r w:rsidR="00A61264">
        <w:rPr>
          <w:rFonts w:ascii="Book Antiqua" w:hAnsi="Book Antiqua"/>
          <w:i/>
        </w:rPr>
        <w:t xml:space="preserve"> </w:t>
      </w:r>
      <w:r w:rsidR="00A61264">
        <w:rPr>
          <w:rFonts w:ascii="Book Antiqua" w:hAnsi="Book Antiqua"/>
        </w:rPr>
        <w:t>and the dysfunctional political debate over climate change</w:t>
      </w:r>
      <w:r>
        <w:rPr>
          <w:rFonts w:ascii="Book Antiqua" w:hAnsi="Book Antiqua"/>
        </w:rPr>
        <w:t xml:space="preserve">) </w:t>
      </w:r>
      <w:r w:rsidR="00A61264">
        <w:rPr>
          <w:rFonts w:ascii="Book Antiqua" w:hAnsi="Book Antiqua"/>
        </w:rPr>
        <w:t>has had a long gestation</w:t>
      </w:r>
      <w:r w:rsidR="006E2590">
        <w:rPr>
          <w:rFonts w:ascii="Book Antiqua" w:hAnsi="Book Antiqua"/>
        </w:rPr>
        <w:t>. Nothing in this paper yearns for some mythical earlier golden age and nothing here denies large improvements in efficiency as a result of the reform agenda. In very many ways, the modern Australian Public Service is a vast improvement on the earlier. However,</w:t>
      </w:r>
      <w:r w:rsidR="00A61264">
        <w:rPr>
          <w:rFonts w:ascii="Book Antiqua" w:hAnsi="Book Antiqua"/>
        </w:rPr>
        <w:t xml:space="preserve"> the new </w:t>
      </w:r>
      <w:proofErr w:type="spellStart"/>
      <w:r w:rsidR="00A61264">
        <w:rPr>
          <w:rFonts w:ascii="Book Antiqua" w:hAnsi="Book Antiqua"/>
        </w:rPr>
        <w:t>managerialist</w:t>
      </w:r>
      <w:proofErr w:type="spellEnd"/>
      <w:r w:rsidR="00A61264">
        <w:rPr>
          <w:rFonts w:ascii="Book Antiqua" w:hAnsi="Book Antiqua"/>
        </w:rPr>
        <w:t xml:space="preserve"> reforms marked by the introduction of a </w:t>
      </w:r>
      <w:r w:rsidR="006E2590">
        <w:rPr>
          <w:rFonts w:ascii="Book Antiqua" w:hAnsi="Book Antiqua"/>
        </w:rPr>
        <w:t xml:space="preserve">generalist </w:t>
      </w:r>
      <w:r w:rsidR="00A61264">
        <w:rPr>
          <w:rFonts w:ascii="Book Antiqua" w:hAnsi="Book Antiqua"/>
        </w:rPr>
        <w:t>senior executive service in 1983 and the Bastille Day machinery of government reforms in 19</w:t>
      </w:r>
      <w:r w:rsidR="00DE0066">
        <w:rPr>
          <w:rFonts w:ascii="Book Antiqua" w:hAnsi="Book Antiqua"/>
        </w:rPr>
        <w:t>8</w:t>
      </w:r>
      <w:r w:rsidR="00A61264">
        <w:rPr>
          <w:rFonts w:ascii="Book Antiqua" w:hAnsi="Book Antiqua"/>
        </w:rPr>
        <w:t>7</w:t>
      </w:r>
      <w:r w:rsidR="006E2590">
        <w:rPr>
          <w:rFonts w:ascii="Book Antiqua" w:hAnsi="Book Antiqua"/>
        </w:rPr>
        <w:t xml:space="preserve"> have </w:t>
      </w:r>
      <w:r w:rsidR="00690891">
        <w:rPr>
          <w:rFonts w:ascii="Book Antiqua" w:hAnsi="Book Antiqua"/>
        </w:rPr>
        <w:t xml:space="preserve">weakened </w:t>
      </w:r>
      <w:r w:rsidR="006E2590">
        <w:rPr>
          <w:rFonts w:ascii="Book Antiqua" w:hAnsi="Book Antiqua"/>
        </w:rPr>
        <w:t>technical competence</w:t>
      </w:r>
      <w:r w:rsidR="00DE0066">
        <w:rPr>
          <w:rFonts w:ascii="Book Antiqua" w:hAnsi="Book Antiqua"/>
        </w:rPr>
        <w:t xml:space="preserve"> within the public service and </w:t>
      </w:r>
      <w:r w:rsidR="00690891">
        <w:rPr>
          <w:rFonts w:ascii="Book Antiqua" w:hAnsi="Book Antiqua"/>
        </w:rPr>
        <w:t xml:space="preserve">have transferred initiative and capacity to </w:t>
      </w:r>
      <w:r w:rsidR="00DE0066">
        <w:rPr>
          <w:rFonts w:ascii="Book Antiqua" w:hAnsi="Book Antiqua"/>
        </w:rPr>
        <w:t>the private sector</w:t>
      </w:r>
      <w:r w:rsidR="00A61264">
        <w:rPr>
          <w:rFonts w:ascii="Book Antiqua" w:hAnsi="Book Antiqua"/>
        </w:rPr>
        <w:t>.</w:t>
      </w:r>
      <w:r w:rsidR="006E2590">
        <w:rPr>
          <w:rFonts w:ascii="Book Antiqua" w:hAnsi="Book Antiqua"/>
        </w:rPr>
        <w:t xml:space="preserve"> </w:t>
      </w:r>
    </w:p>
    <w:p w:rsidR="00BD67EF" w:rsidRDefault="00BD67EF" w:rsidP="00F56FE0">
      <w:pPr>
        <w:rPr>
          <w:rFonts w:ascii="Book Antiqua" w:hAnsi="Book Antiqua"/>
        </w:rPr>
      </w:pPr>
    </w:p>
    <w:p w:rsidR="00A61264" w:rsidRDefault="00DE0066" w:rsidP="00F56FE0">
      <w:pPr>
        <w:rPr>
          <w:rFonts w:ascii="Book Antiqua" w:hAnsi="Book Antiqua"/>
        </w:rPr>
      </w:pPr>
      <w:r>
        <w:rPr>
          <w:rFonts w:ascii="Book Antiqua" w:hAnsi="Book Antiqua"/>
        </w:rPr>
        <w:t xml:space="preserve">Within this context, a </w:t>
      </w:r>
      <w:r w:rsidR="00941882">
        <w:rPr>
          <w:rFonts w:ascii="Book Antiqua" w:hAnsi="Book Antiqua"/>
        </w:rPr>
        <w:t xml:space="preserve">virus has infected the system and I will call it “a responsive public service”, in other words, a public service that is there simply to serve ministers’ wishes and has a minimal role in </w:t>
      </w:r>
      <w:r w:rsidR="00E12671">
        <w:rPr>
          <w:rFonts w:ascii="Book Antiqua" w:hAnsi="Book Antiqua"/>
        </w:rPr>
        <w:t xml:space="preserve">advocating </w:t>
      </w:r>
      <w:r w:rsidR="00792153">
        <w:rPr>
          <w:rFonts w:ascii="Book Antiqua" w:hAnsi="Book Antiqua"/>
        </w:rPr>
        <w:t xml:space="preserve">independently </w:t>
      </w:r>
      <w:r w:rsidR="00E12671">
        <w:rPr>
          <w:rFonts w:ascii="Book Antiqua" w:hAnsi="Book Antiqua"/>
        </w:rPr>
        <w:t xml:space="preserve">for </w:t>
      </w:r>
      <w:r w:rsidR="00941882">
        <w:rPr>
          <w:rFonts w:ascii="Book Antiqua" w:hAnsi="Book Antiqua"/>
        </w:rPr>
        <w:t xml:space="preserve">the public interest. I have previously published on this subject </w:t>
      </w:r>
      <w:r w:rsidR="00196EC2">
        <w:rPr>
          <w:rFonts w:ascii="Book Antiqua" w:hAnsi="Book Antiqua"/>
        </w:rPr>
        <w:t xml:space="preserve">(Edwards </w:t>
      </w:r>
      <w:proofErr w:type="spellStart"/>
      <w:r w:rsidR="00196EC2">
        <w:rPr>
          <w:rFonts w:ascii="Book Antiqua" w:hAnsi="Book Antiqua"/>
        </w:rPr>
        <w:t>2011a</w:t>
      </w:r>
      <w:proofErr w:type="spellEnd"/>
      <w:r w:rsidR="00196EC2">
        <w:rPr>
          <w:rFonts w:ascii="Book Antiqua" w:hAnsi="Book Antiqua"/>
        </w:rPr>
        <w:t>) and will not repeat that analysis.</w:t>
      </w:r>
      <w:r w:rsidR="00A2389C">
        <w:rPr>
          <w:rFonts w:ascii="Book Antiqua" w:hAnsi="Book Antiqua"/>
        </w:rPr>
        <w:t xml:space="preserve"> Instead, I will suggest some first principles </w:t>
      </w:r>
      <w:r w:rsidR="005D7F87">
        <w:rPr>
          <w:rFonts w:ascii="Book Antiqua" w:hAnsi="Book Antiqua"/>
        </w:rPr>
        <w:t xml:space="preserve">relevant to public infrastructure </w:t>
      </w:r>
      <w:r w:rsidR="00A2389C">
        <w:rPr>
          <w:rFonts w:ascii="Book Antiqua" w:hAnsi="Book Antiqua"/>
        </w:rPr>
        <w:t xml:space="preserve">and lead from there to recommend a new model of governance for </w:t>
      </w:r>
      <w:r w:rsidR="005D7F87">
        <w:rPr>
          <w:rFonts w:ascii="Book Antiqua" w:hAnsi="Book Antiqua"/>
        </w:rPr>
        <w:t xml:space="preserve">evaluating </w:t>
      </w:r>
      <w:r w:rsidR="00A2389C">
        <w:rPr>
          <w:rFonts w:ascii="Book Antiqua" w:hAnsi="Book Antiqua"/>
        </w:rPr>
        <w:t>projects.</w:t>
      </w:r>
    </w:p>
    <w:p w:rsidR="00A61264" w:rsidRDefault="00A61264" w:rsidP="00F56FE0">
      <w:pPr>
        <w:rPr>
          <w:rFonts w:ascii="Book Antiqua" w:hAnsi="Book Antiqua"/>
        </w:rPr>
      </w:pPr>
    </w:p>
    <w:p w:rsidR="00941882" w:rsidRPr="00A2389C" w:rsidRDefault="00A2389C" w:rsidP="00F56FE0">
      <w:pPr>
        <w:rPr>
          <w:rFonts w:ascii="Book Antiqua" w:hAnsi="Book Antiqua"/>
          <w:b/>
        </w:rPr>
      </w:pPr>
      <w:r>
        <w:rPr>
          <w:rFonts w:ascii="Book Antiqua" w:hAnsi="Book Antiqua"/>
          <w:b/>
        </w:rPr>
        <w:t>Some foundational principles</w:t>
      </w:r>
    </w:p>
    <w:p w:rsidR="00A2389C" w:rsidRDefault="00A2389C" w:rsidP="00F56FE0">
      <w:pPr>
        <w:rPr>
          <w:rFonts w:ascii="Book Antiqua" w:hAnsi="Book Antiqua"/>
        </w:rPr>
      </w:pPr>
    </w:p>
    <w:p w:rsidR="00A2389C" w:rsidRDefault="00A2389C" w:rsidP="00BB5C39">
      <w:pPr>
        <w:numPr>
          <w:ilvl w:val="0"/>
          <w:numId w:val="6"/>
        </w:numPr>
        <w:ind w:hanging="720"/>
        <w:rPr>
          <w:rFonts w:ascii="Book Antiqua" w:hAnsi="Book Antiqua"/>
          <w:i/>
        </w:rPr>
      </w:pPr>
      <w:r w:rsidRPr="00A2389C">
        <w:rPr>
          <w:rFonts w:ascii="Book Antiqua" w:hAnsi="Book Antiqua"/>
          <w:i/>
        </w:rPr>
        <w:t>Governments exist to serve the public interest</w:t>
      </w:r>
      <w:r>
        <w:rPr>
          <w:rFonts w:ascii="Book Antiqua" w:hAnsi="Book Antiqua"/>
          <w:i/>
        </w:rPr>
        <w:t>.</w:t>
      </w:r>
    </w:p>
    <w:p w:rsidR="00A2389C" w:rsidRPr="00312927" w:rsidRDefault="00A2389C" w:rsidP="00A2389C">
      <w:pPr>
        <w:autoSpaceDE w:val="0"/>
        <w:autoSpaceDN w:val="0"/>
        <w:adjustRightInd w:val="0"/>
        <w:spacing w:after="21"/>
        <w:rPr>
          <w:rFonts w:ascii="Book Antiqua" w:hAnsi="Book Antiqua"/>
          <w:color w:val="000000"/>
          <w:lang w:eastAsia="en-AU"/>
        </w:rPr>
      </w:pPr>
      <w:r>
        <w:rPr>
          <w:rFonts w:ascii="Book Antiqua" w:hAnsi="Book Antiqua"/>
          <w:bCs/>
          <w:iCs/>
          <w:color w:val="000000"/>
          <w:lang w:eastAsia="en-AU"/>
        </w:rPr>
        <w:t>I applaud the Commission for including in its first principle of governance: “</w:t>
      </w:r>
      <w:r w:rsidRPr="00312927">
        <w:rPr>
          <w:rFonts w:ascii="Book Antiqua" w:hAnsi="Book Antiqua"/>
          <w:bCs/>
          <w:iCs/>
          <w:color w:val="000000"/>
          <w:lang w:eastAsia="en-AU"/>
        </w:rPr>
        <w:t>the principal objective of ensuring that decisions are un</w:t>
      </w:r>
      <w:r>
        <w:rPr>
          <w:rFonts w:ascii="Book Antiqua" w:hAnsi="Book Antiqua"/>
          <w:bCs/>
          <w:iCs/>
          <w:color w:val="000000"/>
          <w:lang w:eastAsia="en-AU"/>
        </w:rPr>
        <w:t xml:space="preserve">dertaken in the public interest.” This is pivotal to everything that </w:t>
      </w:r>
      <w:r w:rsidR="00E12671">
        <w:rPr>
          <w:rFonts w:ascii="Book Antiqua" w:hAnsi="Book Antiqua"/>
          <w:bCs/>
          <w:iCs/>
          <w:color w:val="000000"/>
          <w:lang w:eastAsia="en-AU"/>
        </w:rPr>
        <w:t xml:space="preserve">needs to </w:t>
      </w:r>
      <w:r>
        <w:rPr>
          <w:rFonts w:ascii="Book Antiqua" w:hAnsi="Book Antiqua"/>
          <w:bCs/>
          <w:iCs/>
          <w:color w:val="000000"/>
          <w:lang w:eastAsia="en-AU"/>
        </w:rPr>
        <w:t>follow and I strongly urge the Commission to retain that principle</w:t>
      </w:r>
      <w:r w:rsidR="00BB5C39">
        <w:rPr>
          <w:rFonts w:ascii="Book Antiqua" w:hAnsi="Book Antiqua"/>
          <w:bCs/>
          <w:iCs/>
          <w:color w:val="000000"/>
          <w:lang w:eastAsia="en-AU"/>
        </w:rPr>
        <w:t xml:space="preserve"> in just that form.</w:t>
      </w:r>
    </w:p>
    <w:p w:rsidR="00C54C08" w:rsidRDefault="00C54C08" w:rsidP="00F56FE0">
      <w:pPr>
        <w:rPr>
          <w:rFonts w:ascii="Book Antiqua" w:hAnsi="Book Antiqua"/>
        </w:rPr>
      </w:pPr>
    </w:p>
    <w:p w:rsidR="005D7F87" w:rsidRDefault="005D7F87" w:rsidP="00F56FE0">
      <w:pPr>
        <w:rPr>
          <w:rFonts w:ascii="Book Antiqua" w:hAnsi="Book Antiqua"/>
        </w:rPr>
      </w:pPr>
      <w:r>
        <w:rPr>
          <w:rFonts w:ascii="Book Antiqua" w:hAnsi="Book Antiqua"/>
          <w:i/>
        </w:rPr>
        <w:t>Implication of this principle</w:t>
      </w:r>
      <w:r>
        <w:rPr>
          <w:rFonts w:ascii="Book Antiqua" w:hAnsi="Book Antiqua"/>
        </w:rPr>
        <w:t xml:space="preserve">: the final Report should </w:t>
      </w:r>
      <w:r w:rsidR="00A638D8">
        <w:rPr>
          <w:rFonts w:ascii="Book Antiqua" w:hAnsi="Book Antiqua"/>
        </w:rPr>
        <w:t xml:space="preserve">illuminate </w:t>
      </w:r>
      <w:r>
        <w:rPr>
          <w:rFonts w:ascii="Book Antiqua" w:hAnsi="Book Antiqua"/>
        </w:rPr>
        <w:t>a feasible path between this foundational principle and the governance arrangements</w:t>
      </w:r>
      <w:r w:rsidR="00A638D8">
        <w:rPr>
          <w:rFonts w:ascii="Book Antiqua" w:hAnsi="Book Antiqua"/>
        </w:rPr>
        <w:t xml:space="preserve"> that follow.</w:t>
      </w:r>
    </w:p>
    <w:p w:rsidR="005D7F87" w:rsidRPr="005D7F87" w:rsidRDefault="005D7F87" w:rsidP="00F56FE0">
      <w:pPr>
        <w:rPr>
          <w:rFonts w:ascii="Book Antiqua" w:hAnsi="Book Antiqua"/>
        </w:rPr>
      </w:pPr>
    </w:p>
    <w:p w:rsidR="007A2ED2" w:rsidRPr="00BB5C39" w:rsidRDefault="007A2ED2" w:rsidP="00BB5C39">
      <w:pPr>
        <w:numPr>
          <w:ilvl w:val="0"/>
          <w:numId w:val="6"/>
        </w:numPr>
        <w:ind w:hanging="720"/>
        <w:rPr>
          <w:rFonts w:ascii="Book Antiqua" w:hAnsi="Book Antiqua"/>
          <w:i/>
        </w:rPr>
      </w:pPr>
      <w:r w:rsidRPr="00BB5C39">
        <w:rPr>
          <w:rFonts w:ascii="Book Antiqua" w:hAnsi="Book Antiqua"/>
          <w:i/>
        </w:rPr>
        <w:t xml:space="preserve">Modern corporations do not </w:t>
      </w:r>
      <w:r w:rsidR="00BB5C39" w:rsidRPr="00BB5C39">
        <w:rPr>
          <w:rFonts w:ascii="Book Antiqua" w:hAnsi="Book Antiqua"/>
          <w:i/>
        </w:rPr>
        <w:t xml:space="preserve">necessarily or inherently </w:t>
      </w:r>
      <w:r w:rsidRPr="00BB5C39">
        <w:rPr>
          <w:rFonts w:ascii="Book Antiqua" w:hAnsi="Book Antiqua"/>
          <w:i/>
        </w:rPr>
        <w:t>work for the public interest</w:t>
      </w:r>
      <w:r w:rsidR="00BB5C39">
        <w:rPr>
          <w:rFonts w:ascii="Book Antiqua" w:hAnsi="Book Antiqua"/>
          <w:i/>
        </w:rPr>
        <w:t>.</w:t>
      </w:r>
    </w:p>
    <w:p w:rsidR="007A2ED2" w:rsidRPr="009C1DE0" w:rsidRDefault="00BB5C39" w:rsidP="007A2ED2">
      <w:pPr>
        <w:rPr>
          <w:rFonts w:ascii="Book Antiqua" w:hAnsi="Book Antiqua"/>
        </w:rPr>
      </w:pPr>
      <w:r>
        <w:rPr>
          <w:rFonts w:ascii="Book Antiqua" w:hAnsi="Book Antiqua"/>
        </w:rPr>
        <w:t>Traditionally (during the first two thirds of the 20</w:t>
      </w:r>
      <w:r w:rsidRPr="00BB5C39">
        <w:rPr>
          <w:rFonts w:ascii="Book Antiqua" w:hAnsi="Book Antiqua"/>
          <w:vertAlign w:val="superscript"/>
        </w:rPr>
        <w:t>th</w:t>
      </w:r>
      <w:r>
        <w:rPr>
          <w:rFonts w:ascii="Book Antiqua" w:hAnsi="Book Antiqua"/>
        </w:rPr>
        <w:t xml:space="preserve"> century) the private firm or company was viewed as sitting at the hub of a </w:t>
      </w:r>
      <w:r w:rsidR="00171A34" w:rsidRPr="009C1DE0">
        <w:rPr>
          <w:rFonts w:ascii="Book Antiqua" w:hAnsi="Book Antiqua"/>
        </w:rPr>
        <w:t xml:space="preserve">network of stakeholders </w:t>
      </w:r>
      <w:r>
        <w:rPr>
          <w:rFonts w:ascii="Book Antiqua" w:hAnsi="Book Antiqua"/>
        </w:rPr>
        <w:t>including suppliers,</w:t>
      </w:r>
      <w:r w:rsidRPr="00BB5C39">
        <w:rPr>
          <w:rFonts w:ascii="Book Antiqua" w:hAnsi="Book Antiqua"/>
        </w:rPr>
        <w:t xml:space="preserve"> </w:t>
      </w:r>
      <w:r>
        <w:rPr>
          <w:rFonts w:ascii="Book Antiqua" w:hAnsi="Book Antiqua"/>
        </w:rPr>
        <w:t xml:space="preserve">customers, their communities </w:t>
      </w:r>
      <w:r w:rsidR="0074717E">
        <w:rPr>
          <w:rFonts w:ascii="Book Antiqua" w:hAnsi="Book Antiqua"/>
        </w:rPr>
        <w:t xml:space="preserve">and </w:t>
      </w:r>
      <w:r w:rsidR="00171A34" w:rsidRPr="009C1DE0">
        <w:rPr>
          <w:rFonts w:ascii="Book Antiqua" w:hAnsi="Book Antiqua"/>
        </w:rPr>
        <w:t>the governments</w:t>
      </w:r>
      <w:r w:rsidR="0074717E">
        <w:rPr>
          <w:rFonts w:ascii="Book Antiqua" w:hAnsi="Book Antiqua"/>
        </w:rPr>
        <w:t xml:space="preserve"> of the localities in which they operate</w:t>
      </w:r>
      <w:r w:rsidR="00171A34" w:rsidRPr="009C1DE0">
        <w:rPr>
          <w:rFonts w:ascii="Book Antiqua" w:hAnsi="Book Antiqua"/>
        </w:rPr>
        <w:t>.</w:t>
      </w:r>
      <w:r w:rsidR="0074717E">
        <w:rPr>
          <w:rFonts w:ascii="Book Antiqua" w:hAnsi="Book Antiqua"/>
        </w:rPr>
        <w:t xml:space="preserve"> </w:t>
      </w:r>
      <w:r w:rsidR="00690891">
        <w:rPr>
          <w:rFonts w:ascii="Book Antiqua" w:hAnsi="Book Antiqua"/>
        </w:rPr>
        <w:t xml:space="preserve">It was possible to plausibly argue that business served the public interest by supplying goods and services within this network. </w:t>
      </w:r>
      <w:r w:rsidR="0074717E">
        <w:rPr>
          <w:rFonts w:ascii="Book Antiqua" w:hAnsi="Book Antiqua"/>
        </w:rPr>
        <w:t>More recently, t</w:t>
      </w:r>
      <w:r w:rsidR="00171A34" w:rsidRPr="009C1DE0">
        <w:rPr>
          <w:rFonts w:ascii="Book Antiqua" w:hAnsi="Book Antiqua"/>
        </w:rPr>
        <w:t xml:space="preserve">he concept of </w:t>
      </w:r>
      <w:r w:rsidR="00985BFA" w:rsidRPr="009C1DE0">
        <w:rPr>
          <w:rFonts w:ascii="Book Antiqua" w:hAnsi="Book Antiqua"/>
        </w:rPr>
        <w:t>“</w:t>
      </w:r>
      <w:r w:rsidR="00171A34" w:rsidRPr="009C1DE0">
        <w:rPr>
          <w:rFonts w:ascii="Book Antiqua" w:hAnsi="Book Antiqua"/>
        </w:rPr>
        <w:t>shareholder value</w:t>
      </w:r>
      <w:r w:rsidR="00985BFA" w:rsidRPr="009C1DE0">
        <w:rPr>
          <w:rFonts w:ascii="Book Antiqua" w:hAnsi="Book Antiqua"/>
        </w:rPr>
        <w:t xml:space="preserve">” </w:t>
      </w:r>
      <w:r w:rsidR="0074717E">
        <w:rPr>
          <w:rFonts w:ascii="Book Antiqua" w:hAnsi="Book Antiqua"/>
        </w:rPr>
        <w:t xml:space="preserve">has taken hold within the business community. </w:t>
      </w:r>
      <w:r w:rsidR="0074717E" w:rsidRPr="009C1DE0">
        <w:rPr>
          <w:rFonts w:ascii="Book Antiqua" w:hAnsi="Book Antiqua"/>
        </w:rPr>
        <w:t xml:space="preserve">The notion that corporations exist to generate wealth and transfer it to the </w:t>
      </w:r>
      <w:r w:rsidR="0074717E" w:rsidRPr="009C1DE0">
        <w:rPr>
          <w:rFonts w:ascii="Book Antiqua" w:hAnsi="Book Antiqua"/>
        </w:rPr>
        <w:lastRenderedPageBreak/>
        <w:t xml:space="preserve">shareholders is a modern enthusiasm </w:t>
      </w:r>
      <w:r w:rsidR="0074717E">
        <w:rPr>
          <w:rFonts w:ascii="Book Antiqua" w:hAnsi="Book Antiqua"/>
        </w:rPr>
        <w:t>that p</w:t>
      </w:r>
      <w:r w:rsidR="00985BFA" w:rsidRPr="009C1DE0">
        <w:rPr>
          <w:rFonts w:ascii="Book Antiqua" w:hAnsi="Book Antiqua"/>
        </w:rPr>
        <w:t>its the modern corporation in direct opposition to the concept of “serving the public interest”. There is therefore a</w:t>
      </w:r>
      <w:r w:rsidR="0074717E">
        <w:rPr>
          <w:rFonts w:ascii="Book Antiqua" w:hAnsi="Book Antiqua"/>
        </w:rPr>
        <w:t xml:space="preserve"> </w:t>
      </w:r>
      <w:r w:rsidR="00985BFA" w:rsidRPr="009C1DE0">
        <w:rPr>
          <w:rFonts w:ascii="Book Antiqua" w:hAnsi="Book Antiqua"/>
        </w:rPr>
        <w:t>tension in the Draft Report’s advocacy of a public interest test and its advocacy of private sector-led infrastructure planning.</w:t>
      </w:r>
    </w:p>
    <w:p w:rsidR="007A2ED2" w:rsidRDefault="007A2ED2" w:rsidP="007A2ED2">
      <w:pPr>
        <w:rPr>
          <w:rFonts w:ascii="Book Antiqua" w:hAnsi="Book Antiqua"/>
        </w:rPr>
      </w:pPr>
    </w:p>
    <w:p w:rsidR="00BB5C39" w:rsidRDefault="0074717E" w:rsidP="007A2ED2">
      <w:pPr>
        <w:rPr>
          <w:rFonts w:ascii="Book Antiqua" w:hAnsi="Book Antiqua"/>
        </w:rPr>
      </w:pPr>
      <w:r>
        <w:rPr>
          <w:rFonts w:ascii="Book Antiqua" w:hAnsi="Book Antiqua"/>
        </w:rPr>
        <w:t xml:space="preserve">It is certainly in the public interest to have a vigorous, profitable business sector in which individual enterprise and ambition can flourish and that is not unduly hamstrung by regulation. </w:t>
      </w:r>
      <w:r w:rsidR="00BB0041">
        <w:rPr>
          <w:rFonts w:ascii="Book Antiqua" w:hAnsi="Book Antiqua"/>
        </w:rPr>
        <w:t xml:space="preserve">This is not the same as equating the interest of private firms with the public interest and, in particular, is </w:t>
      </w:r>
      <w:r w:rsidR="005D7F87">
        <w:rPr>
          <w:rFonts w:ascii="Book Antiqua" w:hAnsi="Book Antiqua"/>
        </w:rPr>
        <w:t xml:space="preserve">definitely </w:t>
      </w:r>
      <w:r w:rsidR="00BB0041">
        <w:rPr>
          <w:rFonts w:ascii="Book Antiqua" w:hAnsi="Book Antiqua"/>
        </w:rPr>
        <w:t>not the same as assuming that a particular firm always operates in the public interest.</w:t>
      </w:r>
    </w:p>
    <w:p w:rsidR="00E12671" w:rsidRDefault="00E12671" w:rsidP="00E12671">
      <w:pPr>
        <w:rPr>
          <w:rFonts w:ascii="Book Antiqua" w:hAnsi="Book Antiqua"/>
        </w:rPr>
      </w:pPr>
    </w:p>
    <w:p w:rsidR="00E12671" w:rsidRDefault="00E12671" w:rsidP="00E12671">
      <w:pPr>
        <w:rPr>
          <w:rFonts w:ascii="Book Antiqua" w:hAnsi="Book Antiqua"/>
        </w:rPr>
      </w:pPr>
      <w:r w:rsidRPr="005D7F87">
        <w:rPr>
          <w:rFonts w:ascii="Book Antiqua" w:hAnsi="Book Antiqua"/>
          <w:i/>
        </w:rPr>
        <w:t>Implication of this principle</w:t>
      </w:r>
      <w:r>
        <w:rPr>
          <w:rFonts w:ascii="Book Antiqua" w:hAnsi="Book Antiqua"/>
        </w:rPr>
        <w:t>: the model should edit out any language that suggests that the private sector is better able to achieve the public interest than the private sector.</w:t>
      </w:r>
    </w:p>
    <w:p w:rsidR="0074717E" w:rsidRDefault="0074717E" w:rsidP="007A2ED2">
      <w:pPr>
        <w:rPr>
          <w:rFonts w:ascii="Book Antiqua" w:hAnsi="Book Antiqua"/>
        </w:rPr>
      </w:pPr>
    </w:p>
    <w:p w:rsidR="00BB0041" w:rsidRDefault="00BB0041" w:rsidP="00BB0041">
      <w:pPr>
        <w:numPr>
          <w:ilvl w:val="0"/>
          <w:numId w:val="6"/>
        </w:numPr>
        <w:ind w:hanging="720"/>
        <w:rPr>
          <w:rFonts w:ascii="Book Antiqua" w:hAnsi="Book Antiqua"/>
        </w:rPr>
      </w:pPr>
      <w:r>
        <w:rPr>
          <w:rFonts w:ascii="Book Antiqua" w:hAnsi="Book Antiqua"/>
          <w:i/>
        </w:rPr>
        <w:t>Most decisions on infrastructure lie with the Australian States.</w:t>
      </w:r>
    </w:p>
    <w:p w:rsidR="0074717E" w:rsidRDefault="00BB0041" w:rsidP="007A2ED2">
      <w:pPr>
        <w:rPr>
          <w:rFonts w:ascii="Book Antiqua" w:hAnsi="Book Antiqua"/>
        </w:rPr>
      </w:pPr>
      <w:r>
        <w:rPr>
          <w:rFonts w:ascii="Book Antiqua" w:hAnsi="Book Antiqua"/>
        </w:rPr>
        <w:t xml:space="preserve">By Australia’s Constitution, the functions of the Commonwealth are derivative. Given that most </w:t>
      </w:r>
      <w:r w:rsidR="001E7772">
        <w:rPr>
          <w:rFonts w:ascii="Book Antiqua" w:hAnsi="Book Antiqua"/>
        </w:rPr>
        <w:t xml:space="preserve">transport, </w:t>
      </w:r>
      <w:r>
        <w:rPr>
          <w:rFonts w:ascii="Book Antiqua" w:hAnsi="Book Antiqua"/>
        </w:rPr>
        <w:t>environmental, natural resource management, land-use planning</w:t>
      </w:r>
      <w:r w:rsidR="001E7772">
        <w:rPr>
          <w:rFonts w:ascii="Book Antiqua" w:hAnsi="Book Antiqua"/>
        </w:rPr>
        <w:t xml:space="preserve"> and</w:t>
      </w:r>
      <w:r>
        <w:rPr>
          <w:rFonts w:ascii="Book Antiqua" w:hAnsi="Book Antiqua"/>
        </w:rPr>
        <w:t xml:space="preserve"> development control</w:t>
      </w:r>
      <w:r w:rsidR="001E7772">
        <w:rPr>
          <w:rFonts w:ascii="Book Antiqua" w:hAnsi="Book Antiqua"/>
        </w:rPr>
        <w:t xml:space="preserve"> </w:t>
      </w:r>
      <w:r>
        <w:rPr>
          <w:rFonts w:ascii="Book Antiqua" w:hAnsi="Book Antiqua"/>
        </w:rPr>
        <w:t>functions lie with the States, any model for efficient governance of public infrastructure must place the States in a central position.</w:t>
      </w:r>
    </w:p>
    <w:p w:rsidR="00BB0041" w:rsidRDefault="00BB0041" w:rsidP="007A2ED2">
      <w:pPr>
        <w:rPr>
          <w:rFonts w:ascii="Book Antiqua" w:hAnsi="Book Antiqua"/>
        </w:rPr>
      </w:pPr>
    </w:p>
    <w:p w:rsidR="00BB0041" w:rsidRDefault="00303A71" w:rsidP="007A2ED2">
      <w:pPr>
        <w:rPr>
          <w:rFonts w:ascii="Book Antiqua" w:hAnsi="Book Antiqua"/>
        </w:rPr>
      </w:pPr>
      <w:r>
        <w:rPr>
          <w:rFonts w:ascii="Book Antiqua" w:hAnsi="Book Antiqua"/>
        </w:rPr>
        <w:t xml:space="preserve">The modern enthusiasm for “national consistency”, coupled with the vertical fiscal imbalance, has </w:t>
      </w:r>
      <w:r w:rsidR="001E7772">
        <w:rPr>
          <w:rFonts w:ascii="Book Antiqua" w:hAnsi="Book Antiqua"/>
        </w:rPr>
        <w:t>animated</w:t>
      </w:r>
      <w:r>
        <w:rPr>
          <w:rFonts w:ascii="Book Antiqua" w:hAnsi="Book Antiqua"/>
        </w:rPr>
        <w:t xml:space="preserve"> the Commonwealth to take over many coordination functions – and modern telecommunications have facilitated that process.</w:t>
      </w:r>
    </w:p>
    <w:p w:rsidR="00303A71" w:rsidRDefault="00303A71" w:rsidP="007A2ED2">
      <w:pPr>
        <w:rPr>
          <w:rFonts w:ascii="Book Antiqua" w:hAnsi="Book Antiqua"/>
        </w:rPr>
      </w:pPr>
    </w:p>
    <w:p w:rsidR="00303A71" w:rsidRDefault="00186F36" w:rsidP="007A2ED2">
      <w:pPr>
        <w:rPr>
          <w:rFonts w:ascii="Book Antiqua" w:hAnsi="Book Antiqua"/>
        </w:rPr>
      </w:pPr>
      <w:r>
        <w:rPr>
          <w:rFonts w:ascii="Book Antiqua" w:hAnsi="Book Antiqua"/>
        </w:rPr>
        <w:t xml:space="preserve">There is a strong temptation to regard a shift of authority to the national arena as improving efficiency. In fact the opposite can be the case, as any such shift inherently weakens the capacity of the States to fulfil those functions. </w:t>
      </w:r>
      <w:r w:rsidR="00A638D8">
        <w:rPr>
          <w:rFonts w:ascii="Book Antiqua" w:hAnsi="Book Antiqua"/>
        </w:rPr>
        <w:t xml:space="preserve">Yes, there are </w:t>
      </w:r>
      <w:r w:rsidR="001E7772">
        <w:rPr>
          <w:rFonts w:ascii="Book Antiqua" w:hAnsi="Book Antiqua"/>
        </w:rPr>
        <w:t xml:space="preserve">some </w:t>
      </w:r>
      <w:r w:rsidR="00A638D8">
        <w:rPr>
          <w:rFonts w:ascii="Book Antiqua" w:hAnsi="Book Antiqua"/>
        </w:rPr>
        <w:t xml:space="preserve">economies of scale in devolving functions to Canberra; but there </w:t>
      </w:r>
      <w:r>
        <w:rPr>
          <w:rFonts w:ascii="Book Antiqua" w:hAnsi="Book Antiqua"/>
        </w:rPr>
        <w:t xml:space="preserve">is also such a phenomenon as diseconomy of scale which shows up as insensitivity to the unique statutory, cultural, organisational and environmental context in which infrastructure is planned </w:t>
      </w:r>
      <w:r w:rsidR="00A638D8">
        <w:rPr>
          <w:rFonts w:ascii="Book Antiqua" w:hAnsi="Book Antiqua"/>
        </w:rPr>
        <w:t xml:space="preserve">and constructed </w:t>
      </w:r>
      <w:r>
        <w:rPr>
          <w:rFonts w:ascii="Book Antiqua" w:hAnsi="Book Antiqua"/>
        </w:rPr>
        <w:t>in each State.</w:t>
      </w:r>
    </w:p>
    <w:p w:rsidR="00303A71" w:rsidRDefault="00303A71" w:rsidP="007A2ED2">
      <w:pPr>
        <w:rPr>
          <w:rFonts w:ascii="Book Antiqua" w:hAnsi="Book Antiqua"/>
        </w:rPr>
      </w:pPr>
    </w:p>
    <w:p w:rsidR="00186F36" w:rsidRPr="00A638D8" w:rsidRDefault="00A638D8" w:rsidP="007A2ED2">
      <w:pPr>
        <w:rPr>
          <w:rFonts w:ascii="Book Antiqua" w:hAnsi="Book Antiqua"/>
        </w:rPr>
      </w:pPr>
      <w:r>
        <w:rPr>
          <w:rFonts w:ascii="Book Antiqua" w:hAnsi="Book Antiqua"/>
          <w:i/>
        </w:rPr>
        <w:t>Implication of this principle</w:t>
      </w:r>
      <w:r>
        <w:rPr>
          <w:rFonts w:ascii="Book Antiqua" w:hAnsi="Book Antiqua"/>
        </w:rPr>
        <w:t xml:space="preserve">: any proposal to </w:t>
      </w:r>
      <w:r w:rsidR="001E7772">
        <w:rPr>
          <w:rFonts w:ascii="Book Antiqua" w:hAnsi="Book Antiqua"/>
        </w:rPr>
        <w:t xml:space="preserve">gravitate expertise and control to Canberra </w:t>
      </w:r>
      <w:r>
        <w:rPr>
          <w:rFonts w:ascii="Book Antiqua" w:hAnsi="Book Antiqua"/>
        </w:rPr>
        <w:t>on the basis of “national consistency” should be</w:t>
      </w:r>
      <w:r w:rsidR="001660B8">
        <w:rPr>
          <w:rFonts w:ascii="Book Antiqua" w:hAnsi="Book Antiqua"/>
        </w:rPr>
        <w:t xml:space="preserve"> critically reviewed to </w:t>
      </w:r>
      <w:r w:rsidR="002C776E">
        <w:rPr>
          <w:rFonts w:ascii="Book Antiqua" w:hAnsi="Book Antiqua"/>
        </w:rPr>
        <w:t xml:space="preserve">also </w:t>
      </w:r>
      <w:r w:rsidR="001660B8">
        <w:rPr>
          <w:rFonts w:ascii="Book Antiqua" w:hAnsi="Book Antiqua"/>
        </w:rPr>
        <w:t>tabulate the dis-benefits.</w:t>
      </w:r>
    </w:p>
    <w:p w:rsidR="00186F36" w:rsidRDefault="00186F36" w:rsidP="007A2ED2">
      <w:pPr>
        <w:rPr>
          <w:rFonts w:ascii="Book Antiqua" w:hAnsi="Book Antiqua"/>
        </w:rPr>
      </w:pPr>
    </w:p>
    <w:p w:rsidR="00186F36" w:rsidRDefault="002C776E" w:rsidP="002C776E">
      <w:pPr>
        <w:numPr>
          <w:ilvl w:val="0"/>
          <w:numId w:val="6"/>
        </w:numPr>
        <w:ind w:hanging="720"/>
        <w:rPr>
          <w:rFonts w:ascii="Book Antiqua" w:hAnsi="Book Antiqua"/>
        </w:rPr>
      </w:pPr>
      <w:r>
        <w:rPr>
          <w:rFonts w:ascii="Book Antiqua" w:hAnsi="Book Antiqua"/>
          <w:i/>
        </w:rPr>
        <w:t xml:space="preserve">When a function is removed from an organisation, </w:t>
      </w:r>
      <w:r w:rsidR="001E7772">
        <w:rPr>
          <w:rFonts w:ascii="Book Antiqua" w:hAnsi="Book Antiqua"/>
          <w:i/>
        </w:rPr>
        <w:t>its</w:t>
      </w:r>
      <w:r>
        <w:rPr>
          <w:rFonts w:ascii="Book Antiqua" w:hAnsi="Book Antiqua"/>
          <w:i/>
        </w:rPr>
        <w:t xml:space="preserve"> residual capacity to fulfil that function is diminished.</w:t>
      </w:r>
    </w:p>
    <w:p w:rsidR="002C776E" w:rsidRDefault="00B30C00" w:rsidP="007A2ED2">
      <w:pPr>
        <w:rPr>
          <w:rFonts w:ascii="Book Antiqua" w:hAnsi="Book Antiqua"/>
        </w:rPr>
      </w:pPr>
      <w:r>
        <w:rPr>
          <w:rFonts w:ascii="Book Antiqua" w:hAnsi="Book Antiqua"/>
        </w:rPr>
        <w:t>O</w:t>
      </w:r>
      <w:r w:rsidR="00BA3FD9">
        <w:rPr>
          <w:rFonts w:ascii="Book Antiqua" w:hAnsi="Book Antiqua"/>
        </w:rPr>
        <w:t>rganisations shrink when functions are transferred out. The most capable experts in the field leave</w:t>
      </w:r>
      <w:r w:rsidR="00491304">
        <w:rPr>
          <w:rFonts w:ascii="Book Antiqua" w:hAnsi="Book Antiqua"/>
        </w:rPr>
        <w:t>, files are archived or wheelie binned, corporate memory is lost, and practical responsibility is surrendered.</w:t>
      </w:r>
    </w:p>
    <w:p w:rsidR="002C776E" w:rsidRDefault="002C776E" w:rsidP="007A2ED2">
      <w:pPr>
        <w:rPr>
          <w:rFonts w:ascii="Book Antiqua" w:hAnsi="Book Antiqua"/>
        </w:rPr>
      </w:pPr>
    </w:p>
    <w:p w:rsidR="002C776E" w:rsidRDefault="00491304" w:rsidP="007A2ED2">
      <w:pPr>
        <w:rPr>
          <w:rFonts w:ascii="Book Antiqua" w:hAnsi="Book Antiqua"/>
        </w:rPr>
      </w:pPr>
      <w:r>
        <w:rPr>
          <w:rFonts w:ascii="Book Antiqua" w:hAnsi="Book Antiqua"/>
        </w:rPr>
        <w:t>This is particularly problematic if a State function is transferred to the Commonwealth without a concurrent change to or referral under the Constitution. Legally, the State remains accountable</w:t>
      </w:r>
      <w:r w:rsidR="00860502">
        <w:rPr>
          <w:rFonts w:ascii="Book Antiqua" w:hAnsi="Book Antiqua"/>
        </w:rPr>
        <w:t xml:space="preserve"> as the Commonwealth’s jurisdiction is commonly </w:t>
      </w:r>
      <w:r w:rsidR="00860502" w:rsidRPr="00860502">
        <w:rPr>
          <w:rFonts w:ascii="Book Antiqua" w:hAnsi="Book Antiqua"/>
          <w:i/>
        </w:rPr>
        <w:t>additive to</w:t>
      </w:r>
      <w:r w:rsidR="00860502">
        <w:rPr>
          <w:rFonts w:ascii="Book Antiqua" w:hAnsi="Book Antiqua"/>
          <w:i/>
        </w:rPr>
        <w:t xml:space="preserve"> </w:t>
      </w:r>
      <w:r w:rsidR="00860502">
        <w:rPr>
          <w:rFonts w:ascii="Book Antiqua" w:hAnsi="Book Antiqua"/>
        </w:rPr>
        <w:t>and does not replace the State’s residual responsibility. But the State Treasury may de</w:t>
      </w:r>
      <w:r w:rsidR="00891A47">
        <w:rPr>
          <w:rFonts w:ascii="Book Antiqua" w:hAnsi="Book Antiqua"/>
        </w:rPr>
        <w:t>-</w:t>
      </w:r>
      <w:r w:rsidR="00860502">
        <w:rPr>
          <w:rFonts w:ascii="Book Antiqua" w:hAnsi="Book Antiqua"/>
        </w:rPr>
        <w:t>fund the function so responsibility is fragmented and expertise is eroded.</w:t>
      </w:r>
    </w:p>
    <w:p w:rsidR="00860502" w:rsidRDefault="00860502" w:rsidP="007A2ED2">
      <w:pPr>
        <w:rPr>
          <w:rFonts w:ascii="Book Antiqua" w:hAnsi="Book Antiqua"/>
        </w:rPr>
      </w:pPr>
    </w:p>
    <w:p w:rsidR="00860502" w:rsidRPr="00860502" w:rsidRDefault="006A02EF" w:rsidP="007A2ED2">
      <w:pPr>
        <w:rPr>
          <w:rFonts w:ascii="Book Antiqua" w:hAnsi="Book Antiqua"/>
        </w:rPr>
      </w:pPr>
      <w:r>
        <w:rPr>
          <w:rFonts w:ascii="Book Antiqua" w:hAnsi="Book Antiqua"/>
          <w:i/>
        </w:rPr>
        <w:t>Implication of this principle</w:t>
      </w:r>
      <w:r>
        <w:rPr>
          <w:rFonts w:ascii="Book Antiqua" w:hAnsi="Book Antiqua"/>
        </w:rPr>
        <w:t xml:space="preserve">: </w:t>
      </w:r>
      <w:r w:rsidR="00063393">
        <w:rPr>
          <w:rFonts w:ascii="Book Antiqua" w:hAnsi="Book Antiqua"/>
        </w:rPr>
        <w:t>complexity increases and inter-jurisdictional transaction costs escalate when the Commonwealth takes a role in a matter that is constitutionally that of the States.</w:t>
      </w:r>
    </w:p>
    <w:p w:rsidR="002C776E" w:rsidRDefault="002C776E" w:rsidP="007A2ED2">
      <w:pPr>
        <w:rPr>
          <w:rFonts w:ascii="Book Antiqua" w:hAnsi="Book Antiqua"/>
        </w:rPr>
      </w:pPr>
    </w:p>
    <w:p w:rsidR="00063393" w:rsidRDefault="00063393" w:rsidP="00063393">
      <w:pPr>
        <w:numPr>
          <w:ilvl w:val="0"/>
          <w:numId w:val="6"/>
        </w:numPr>
        <w:ind w:hanging="720"/>
        <w:rPr>
          <w:rFonts w:ascii="Book Antiqua" w:hAnsi="Book Antiqua"/>
        </w:rPr>
      </w:pPr>
      <w:r>
        <w:rPr>
          <w:rFonts w:ascii="Book Antiqua" w:hAnsi="Book Antiqua"/>
          <w:i/>
        </w:rPr>
        <w:t>Coordination is a core function of government.</w:t>
      </w:r>
    </w:p>
    <w:p w:rsidR="00063393" w:rsidRDefault="00063393" w:rsidP="007A2ED2">
      <w:pPr>
        <w:rPr>
          <w:rFonts w:ascii="Book Antiqua" w:hAnsi="Book Antiqua"/>
        </w:rPr>
      </w:pPr>
      <w:r>
        <w:rPr>
          <w:rFonts w:ascii="Book Antiqua" w:hAnsi="Book Antiqua"/>
        </w:rPr>
        <w:t xml:space="preserve">Coordination – between jurisdictions, disciplinary experts, academe, the business sector, NGOs, different arms of the same government – and </w:t>
      </w:r>
      <w:r w:rsidR="00E17F17">
        <w:rPr>
          <w:rFonts w:ascii="Book Antiqua" w:hAnsi="Book Antiqua"/>
        </w:rPr>
        <w:t xml:space="preserve">the citizens is a central and never-ending function of government. No private firm can replace this capacity. </w:t>
      </w:r>
    </w:p>
    <w:p w:rsidR="009C6479" w:rsidRDefault="009C6479" w:rsidP="007A2ED2">
      <w:pPr>
        <w:rPr>
          <w:rFonts w:ascii="Book Antiqua" w:hAnsi="Book Antiqua"/>
        </w:rPr>
      </w:pPr>
    </w:p>
    <w:p w:rsidR="00C93241" w:rsidRDefault="00C93241" w:rsidP="007A2ED2">
      <w:pPr>
        <w:rPr>
          <w:rFonts w:ascii="Book Antiqua" w:hAnsi="Book Antiqua"/>
        </w:rPr>
      </w:pPr>
      <w:r>
        <w:rPr>
          <w:rFonts w:ascii="Book Antiqua" w:hAnsi="Book Antiqua"/>
          <w:i/>
        </w:rPr>
        <w:lastRenderedPageBreak/>
        <w:t>Implication of this principle</w:t>
      </w:r>
      <w:r>
        <w:rPr>
          <w:rFonts w:ascii="Book Antiqua" w:hAnsi="Book Antiqua"/>
        </w:rPr>
        <w:t xml:space="preserve">: If a department lacks the skills to </w:t>
      </w:r>
      <w:r w:rsidR="00212BBA">
        <w:rPr>
          <w:rFonts w:ascii="Book Antiqua" w:hAnsi="Book Antiqua"/>
        </w:rPr>
        <w:t xml:space="preserve">coordinate </w:t>
      </w:r>
      <w:r>
        <w:rPr>
          <w:rFonts w:ascii="Book Antiqua" w:hAnsi="Book Antiqua"/>
        </w:rPr>
        <w:t>effectively, it must be re-resourced or re-trained to do so as our society cannot function without a public service that is skilled at inter-governmental and inter-sectoral coordination.</w:t>
      </w:r>
    </w:p>
    <w:p w:rsidR="00C93241" w:rsidRDefault="00C93241" w:rsidP="007A2ED2">
      <w:pPr>
        <w:rPr>
          <w:rFonts w:ascii="Book Antiqua" w:hAnsi="Book Antiqua"/>
        </w:rPr>
      </w:pPr>
    </w:p>
    <w:p w:rsidR="00427991" w:rsidRDefault="00427991" w:rsidP="00427991">
      <w:pPr>
        <w:numPr>
          <w:ilvl w:val="0"/>
          <w:numId w:val="6"/>
        </w:numPr>
        <w:ind w:hanging="720"/>
        <w:rPr>
          <w:rFonts w:ascii="Book Antiqua" w:hAnsi="Book Antiqua"/>
        </w:rPr>
      </w:pPr>
      <w:r w:rsidRPr="00427991">
        <w:rPr>
          <w:rFonts w:ascii="Book Antiqua" w:hAnsi="Book Antiqua"/>
          <w:i/>
        </w:rPr>
        <w:t>To minimise gold-plating of projects, the commissioning authority must itself conduct design to a sufficiently advanced stage to support rigorous cost benefit analysis</w:t>
      </w:r>
      <w:r>
        <w:rPr>
          <w:rFonts w:ascii="Book Antiqua" w:hAnsi="Book Antiqua"/>
        </w:rPr>
        <w:t>.</w:t>
      </w:r>
    </w:p>
    <w:p w:rsidR="00427991" w:rsidRDefault="00D71174" w:rsidP="00427991">
      <w:pPr>
        <w:rPr>
          <w:rFonts w:ascii="Book Antiqua" w:hAnsi="Book Antiqua"/>
        </w:rPr>
      </w:pPr>
      <w:r>
        <w:rPr>
          <w:rFonts w:ascii="Book Antiqua" w:hAnsi="Book Antiqua"/>
        </w:rPr>
        <w:t xml:space="preserve">An understaffed public authority will often be tempted to outsource design to proponents as superficially this seems to require less effort by the authority. </w:t>
      </w:r>
      <w:r w:rsidR="002930B8">
        <w:rPr>
          <w:rFonts w:ascii="Book Antiqua" w:hAnsi="Book Antiqua"/>
        </w:rPr>
        <w:t>So b</w:t>
      </w:r>
      <w:r>
        <w:rPr>
          <w:rFonts w:ascii="Book Antiqua" w:hAnsi="Book Antiqua"/>
        </w:rPr>
        <w:t>y the time that a project crystallises sufficiently to allow a rigorous cost benefit analysis, it will have gained political momentum.</w:t>
      </w:r>
    </w:p>
    <w:p w:rsidR="00D71174" w:rsidRDefault="00D71174" w:rsidP="00427991">
      <w:pPr>
        <w:rPr>
          <w:rFonts w:ascii="Book Antiqua" w:hAnsi="Book Antiqua"/>
        </w:rPr>
      </w:pPr>
    </w:p>
    <w:p w:rsidR="00212BBA" w:rsidRDefault="00212BBA" w:rsidP="00427991">
      <w:pPr>
        <w:rPr>
          <w:rFonts w:ascii="Book Antiqua" w:hAnsi="Book Antiqua"/>
        </w:rPr>
      </w:pPr>
      <w:r>
        <w:rPr>
          <w:rFonts w:ascii="Book Antiqua" w:hAnsi="Book Antiqua"/>
          <w:i/>
        </w:rPr>
        <w:t>Implication of this principle</w:t>
      </w:r>
      <w:r>
        <w:rPr>
          <w:rFonts w:ascii="Book Antiqua" w:hAnsi="Book Antiqua"/>
        </w:rPr>
        <w:t>: projects must be selected and scoped by the public sector before contractors are engaged to build.</w:t>
      </w:r>
    </w:p>
    <w:p w:rsidR="00212BBA" w:rsidRDefault="00212BBA" w:rsidP="00427991">
      <w:pPr>
        <w:rPr>
          <w:rFonts w:ascii="Book Antiqua" w:hAnsi="Book Antiqua"/>
        </w:rPr>
      </w:pPr>
    </w:p>
    <w:p w:rsidR="0076618A" w:rsidRPr="0076618A" w:rsidRDefault="0076618A" w:rsidP="0076618A">
      <w:pPr>
        <w:numPr>
          <w:ilvl w:val="0"/>
          <w:numId w:val="6"/>
        </w:numPr>
        <w:ind w:hanging="720"/>
        <w:rPr>
          <w:rFonts w:ascii="Book Antiqua" w:hAnsi="Book Antiqua"/>
        </w:rPr>
      </w:pPr>
      <w:r>
        <w:rPr>
          <w:rFonts w:ascii="Book Antiqua" w:hAnsi="Book Antiqua"/>
          <w:i/>
        </w:rPr>
        <w:t>It is not true that only the business sector creates economic activity and jobs.</w:t>
      </w:r>
    </w:p>
    <w:p w:rsidR="0076618A" w:rsidRDefault="0076618A" w:rsidP="0076618A">
      <w:pPr>
        <w:rPr>
          <w:rFonts w:ascii="Book Antiqua" w:hAnsi="Book Antiqua"/>
        </w:rPr>
      </w:pPr>
      <w:r>
        <w:rPr>
          <w:rFonts w:ascii="Book Antiqua" w:hAnsi="Book Antiqua"/>
        </w:rPr>
        <w:t>The Pri</w:t>
      </w:r>
      <w:r w:rsidR="002930B8">
        <w:rPr>
          <w:rFonts w:ascii="Book Antiqua" w:hAnsi="Book Antiqua"/>
        </w:rPr>
        <w:t>me</w:t>
      </w:r>
      <w:r>
        <w:rPr>
          <w:rFonts w:ascii="Book Antiqua" w:hAnsi="Book Antiqua"/>
        </w:rPr>
        <w:t xml:space="preserve"> Minister himself has recently opined that only the business sector creates jobs, not government. This is manifestly invalid, as </w:t>
      </w:r>
      <w:r w:rsidR="00FE3238">
        <w:rPr>
          <w:rFonts w:ascii="Book Antiqua" w:hAnsi="Book Antiqua"/>
        </w:rPr>
        <w:t>public authorities on their own account generate large fields of economic activity. In any case, b</w:t>
      </w:r>
      <w:r>
        <w:rPr>
          <w:rFonts w:ascii="Book Antiqua" w:hAnsi="Book Antiqua"/>
        </w:rPr>
        <w:t>usiness cannot operate except within a framework of public institutions – prudential regulation, contract law, property titles, public infrastructure and currency to mention only a few</w:t>
      </w:r>
      <w:r w:rsidR="00FE3238">
        <w:rPr>
          <w:rFonts w:ascii="Book Antiqua" w:hAnsi="Book Antiqua"/>
        </w:rPr>
        <w:t xml:space="preserve"> pre-conditions.</w:t>
      </w:r>
    </w:p>
    <w:p w:rsidR="00FE3238" w:rsidRDefault="00FE3238" w:rsidP="0076618A">
      <w:pPr>
        <w:rPr>
          <w:rFonts w:ascii="Book Antiqua" w:hAnsi="Book Antiqua"/>
        </w:rPr>
      </w:pPr>
    </w:p>
    <w:p w:rsidR="00FE3238" w:rsidRDefault="00FE3238" w:rsidP="0076618A">
      <w:pPr>
        <w:rPr>
          <w:rFonts w:ascii="Book Antiqua" w:hAnsi="Book Antiqua"/>
        </w:rPr>
      </w:pPr>
      <w:r>
        <w:rPr>
          <w:rFonts w:ascii="Book Antiqua" w:hAnsi="Book Antiqua"/>
          <w:i/>
        </w:rPr>
        <w:t>Implication of this principle</w:t>
      </w:r>
      <w:r>
        <w:rPr>
          <w:rFonts w:ascii="Book Antiqua" w:hAnsi="Book Antiqua"/>
        </w:rPr>
        <w:t>: confidence in the capacity of the public sector to drive economic activity by</w:t>
      </w:r>
      <w:r w:rsidR="00FA00A7">
        <w:rPr>
          <w:rFonts w:ascii="Book Antiqua" w:hAnsi="Book Antiqua"/>
        </w:rPr>
        <w:t xml:space="preserve"> selecting and funding the most beneficial public infrastructure projects is being eroded by invalid assumptions about the efficiency of business. Loss of capacity follows loss of confidence.</w:t>
      </w:r>
    </w:p>
    <w:p w:rsidR="00FE3238" w:rsidRDefault="00FE3238" w:rsidP="0076618A">
      <w:pPr>
        <w:rPr>
          <w:rFonts w:ascii="Book Antiqua" w:hAnsi="Book Antiqua"/>
        </w:rPr>
      </w:pPr>
    </w:p>
    <w:p w:rsidR="009C6479" w:rsidRPr="009C6479" w:rsidRDefault="00032819" w:rsidP="007A2ED2">
      <w:pPr>
        <w:rPr>
          <w:rFonts w:ascii="Book Antiqua" w:hAnsi="Book Antiqua"/>
          <w:b/>
        </w:rPr>
      </w:pPr>
      <w:r>
        <w:rPr>
          <w:rFonts w:ascii="Book Antiqua" w:hAnsi="Book Antiqua"/>
          <w:b/>
        </w:rPr>
        <w:t>Building a model of governance</w:t>
      </w:r>
      <w:r w:rsidR="005E369B">
        <w:rPr>
          <w:rFonts w:ascii="Book Antiqua" w:hAnsi="Book Antiqua"/>
          <w:b/>
        </w:rPr>
        <w:t xml:space="preserve"> from these principles</w:t>
      </w:r>
    </w:p>
    <w:p w:rsidR="009C6479" w:rsidRDefault="009C6479" w:rsidP="007A2ED2">
      <w:pPr>
        <w:rPr>
          <w:rFonts w:ascii="Book Antiqua" w:hAnsi="Book Antiqua"/>
        </w:rPr>
      </w:pPr>
    </w:p>
    <w:p w:rsidR="00063393" w:rsidRDefault="005E369B" w:rsidP="007A2ED2">
      <w:pPr>
        <w:rPr>
          <w:rFonts w:ascii="Book Antiqua" w:hAnsi="Book Antiqua"/>
        </w:rPr>
      </w:pPr>
      <w:r>
        <w:rPr>
          <w:rFonts w:ascii="Book Antiqua" w:hAnsi="Book Antiqua"/>
        </w:rPr>
        <w:t xml:space="preserve">If the above list of principles </w:t>
      </w:r>
      <w:r w:rsidR="00891A47">
        <w:rPr>
          <w:rFonts w:ascii="Book Antiqua" w:hAnsi="Book Antiqua"/>
        </w:rPr>
        <w:t>be</w:t>
      </w:r>
      <w:r>
        <w:rPr>
          <w:rFonts w:ascii="Book Antiqua" w:hAnsi="Book Antiqua"/>
        </w:rPr>
        <w:t xml:space="preserve"> accepted, then an effective governance arrangement steps out of the page. </w:t>
      </w:r>
      <w:r w:rsidR="00C8519D">
        <w:rPr>
          <w:rFonts w:ascii="Book Antiqua" w:hAnsi="Book Antiqua"/>
        </w:rPr>
        <w:t xml:space="preserve">The model </w:t>
      </w:r>
      <w:r>
        <w:rPr>
          <w:rFonts w:ascii="Book Antiqua" w:hAnsi="Book Antiqua"/>
        </w:rPr>
        <w:t>will have the following elements</w:t>
      </w:r>
      <w:r w:rsidR="00C8519D">
        <w:rPr>
          <w:rFonts w:ascii="Book Antiqua" w:hAnsi="Book Antiqua"/>
        </w:rPr>
        <w:t>. The theme underpinning this model is that faith in the capacity of the public service to progress the public interest must be restored. There is no other institution in sight that is capable of doing this.</w:t>
      </w:r>
    </w:p>
    <w:p w:rsidR="005E369B" w:rsidRDefault="005E369B" w:rsidP="007A2ED2">
      <w:pPr>
        <w:rPr>
          <w:rFonts w:ascii="Book Antiqua" w:hAnsi="Book Antiqua"/>
        </w:rPr>
      </w:pPr>
    </w:p>
    <w:p w:rsidR="00ED18D8" w:rsidRPr="00181AE0" w:rsidRDefault="005E369B" w:rsidP="00891A47">
      <w:pPr>
        <w:numPr>
          <w:ilvl w:val="0"/>
          <w:numId w:val="7"/>
        </w:numPr>
        <w:ind w:hanging="720"/>
        <w:rPr>
          <w:rFonts w:ascii="Book Antiqua" w:hAnsi="Book Antiqua"/>
        </w:rPr>
      </w:pPr>
      <w:r w:rsidRPr="00181AE0">
        <w:rPr>
          <w:rFonts w:ascii="Book Antiqua" w:hAnsi="Book Antiqua"/>
        </w:rPr>
        <w:t xml:space="preserve">A coordinating bureau within the federal ministerial department responsible for infrastructure, </w:t>
      </w:r>
      <w:r w:rsidR="003F3B36" w:rsidRPr="00181AE0">
        <w:rPr>
          <w:rFonts w:ascii="Book Antiqua" w:hAnsi="Book Antiqua"/>
        </w:rPr>
        <w:t xml:space="preserve">charged with </w:t>
      </w:r>
      <w:r w:rsidRPr="00181AE0">
        <w:rPr>
          <w:rFonts w:ascii="Book Antiqua" w:hAnsi="Book Antiqua"/>
        </w:rPr>
        <w:t>nourishing the capacity of the States</w:t>
      </w:r>
      <w:r w:rsidR="003F3B36" w:rsidRPr="00181AE0">
        <w:rPr>
          <w:rFonts w:ascii="Book Antiqua" w:hAnsi="Book Antiqua"/>
        </w:rPr>
        <w:t xml:space="preserve"> to conduct strategic, multi-disciplinary infrastructure planning; and with advising Commonwealth ministers.</w:t>
      </w:r>
      <w:r w:rsidR="00181AE0" w:rsidRPr="00181AE0">
        <w:rPr>
          <w:rFonts w:ascii="Book Antiqua" w:hAnsi="Book Antiqua"/>
        </w:rPr>
        <w:t xml:space="preserve"> It will have a </w:t>
      </w:r>
      <w:r w:rsidR="00ED18D8" w:rsidRPr="00181AE0">
        <w:rPr>
          <w:rFonts w:ascii="Book Antiqua" w:hAnsi="Book Antiqua"/>
        </w:rPr>
        <w:t>multi-disciplinary staff recruited for their networking skills.</w:t>
      </w:r>
    </w:p>
    <w:p w:rsidR="003F3B36" w:rsidRDefault="003F3B36" w:rsidP="00891A47">
      <w:pPr>
        <w:numPr>
          <w:ilvl w:val="0"/>
          <w:numId w:val="7"/>
        </w:numPr>
        <w:ind w:hanging="720"/>
        <w:rPr>
          <w:rFonts w:ascii="Book Antiqua" w:hAnsi="Book Antiqua"/>
        </w:rPr>
      </w:pPr>
      <w:r>
        <w:rPr>
          <w:rFonts w:ascii="Book Antiqua" w:hAnsi="Book Antiqua"/>
        </w:rPr>
        <w:t xml:space="preserve">A </w:t>
      </w:r>
      <w:r w:rsidR="00D374DC">
        <w:rPr>
          <w:rFonts w:ascii="Book Antiqua" w:hAnsi="Book Antiqua"/>
        </w:rPr>
        <w:t xml:space="preserve">standard </w:t>
      </w:r>
      <w:r w:rsidR="00181AE0">
        <w:rPr>
          <w:rFonts w:ascii="Book Antiqua" w:hAnsi="Book Antiqua"/>
        </w:rPr>
        <w:t xml:space="preserve">agreed with all States </w:t>
      </w:r>
      <w:r>
        <w:rPr>
          <w:rFonts w:ascii="Book Antiqua" w:hAnsi="Book Antiqua"/>
        </w:rPr>
        <w:t xml:space="preserve">for a minimum-standard </w:t>
      </w:r>
      <w:r w:rsidR="009A69AE">
        <w:rPr>
          <w:rFonts w:ascii="Book Antiqua" w:hAnsi="Book Antiqua"/>
        </w:rPr>
        <w:t xml:space="preserve">process for </w:t>
      </w:r>
      <w:r>
        <w:rPr>
          <w:rFonts w:ascii="Book Antiqua" w:hAnsi="Book Antiqua"/>
        </w:rPr>
        <w:t xml:space="preserve">infrastructure planning </w:t>
      </w:r>
      <w:r w:rsidR="00ED18D8">
        <w:rPr>
          <w:rFonts w:ascii="Book Antiqua" w:hAnsi="Book Antiqua"/>
        </w:rPr>
        <w:t xml:space="preserve">then rigorous cost benefit analysis </w:t>
      </w:r>
      <w:r w:rsidR="00891A47">
        <w:rPr>
          <w:rFonts w:ascii="Book Antiqua" w:hAnsi="Book Antiqua"/>
        </w:rPr>
        <w:t>that must be followed for any contribution of federal funds</w:t>
      </w:r>
      <w:r w:rsidR="00ED18D8">
        <w:rPr>
          <w:rFonts w:ascii="Book Antiqua" w:hAnsi="Book Antiqua"/>
        </w:rPr>
        <w:t>.</w:t>
      </w:r>
    </w:p>
    <w:p w:rsidR="00181AE0" w:rsidRDefault="00A128C9" w:rsidP="00891A47">
      <w:pPr>
        <w:numPr>
          <w:ilvl w:val="0"/>
          <w:numId w:val="7"/>
        </w:numPr>
        <w:ind w:hanging="720"/>
        <w:rPr>
          <w:rFonts w:ascii="Book Antiqua" w:hAnsi="Book Antiqua"/>
        </w:rPr>
      </w:pPr>
      <w:r w:rsidRPr="00181AE0">
        <w:rPr>
          <w:rFonts w:ascii="Book Antiqua" w:hAnsi="Book Antiqua"/>
        </w:rPr>
        <w:t>A protocol approved by COAG</w:t>
      </w:r>
      <w:r w:rsidR="00E33611" w:rsidRPr="00181AE0">
        <w:rPr>
          <w:rFonts w:ascii="Book Antiqua" w:hAnsi="Book Antiqua"/>
        </w:rPr>
        <w:t xml:space="preserve"> that requires all jurisdictions to skill their departments sufficiently </w:t>
      </w:r>
      <w:r w:rsidR="002930B8">
        <w:rPr>
          <w:rFonts w:ascii="Book Antiqua" w:hAnsi="Book Antiqua"/>
        </w:rPr>
        <w:t xml:space="preserve">to </w:t>
      </w:r>
      <w:r w:rsidR="007413DC" w:rsidRPr="00181AE0">
        <w:rPr>
          <w:rFonts w:ascii="Book Antiqua" w:hAnsi="Book Antiqua"/>
        </w:rPr>
        <w:t>conduct strategic, multi</w:t>
      </w:r>
      <w:r w:rsidR="00181AE0" w:rsidRPr="00181AE0">
        <w:rPr>
          <w:rFonts w:ascii="Book Antiqua" w:hAnsi="Book Antiqua"/>
        </w:rPr>
        <w:t>-</w:t>
      </w:r>
      <w:r w:rsidR="007413DC" w:rsidRPr="00181AE0">
        <w:rPr>
          <w:rFonts w:ascii="Book Antiqua" w:hAnsi="Book Antiqua"/>
        </w:rPr>
        <w:t xml:space="preserve">disciplinary infrastructure planning to provide the context for selecting suitable projects that serve the public interest </w:t>
      </w:r>
      <w:r w:rsidR="00E33611" w:rsidRPr="00181AE0">
        <w:rPr>
          <w:rFonts w:ascii="Book Antiqua" w:hAnsi="Book Antiqua"/>
        </w:rPr>
        <w:t xml:space="preserve">and not rely on private sector </w:t>
      </w:r>
      <w:r w:rsidR="007413DC" w:rsidRPr="00181AE0">
        <w:rPr>
          <w:rFonts w:ascii="Book Antiqua" w:hAnsi="Book Antiqua"/>
        </w:rPr>
        <w:t xml:space="preserve">advocates </w:t>
      </w:r>
      <w:r w:rsidR="00E33611" w:rsidRPr="00181AE0">
        <w:rPr>
          <w:rFonts w:ascii="Book Antiqua" w:hAnsi="Book Antiqua"/>
        </w:rPr>
        <w:t>with a vested interest.</w:t>
      </w:r>
    </w:p>
    <w:p w:rsidR="00181AE0" w:rsidRPr="007413DC" w:rsidRDefault="00181AE0" w:rsidP="00181AE0">
      <w:pPr>
        <w:numPr>
          <w:ilvl w:val="0"/>
          <w:numId w:val="7"/>
        </w:numPr>
        <w:ind w:hanging="720"/>
        <w:rPr>
          <w:rFonts w:ascii="Book Antiqua" w:hAnsi="Book Antiqua"/>
        </w:rPr>
      </w:pPr>
      <w:r w:rsidRPr="007413DC">
        <w:rPr>
          <w:rFonts w:ascii="Book Antiqua" w:hAnsi="Book Antiqua"/>
        </w:rPr>
        <w:t>A protocol approved by COAG that inhibits political leaders from making political announcements ahead of full evaluation.</w:t>
      </w:r>
    </w:p>
    <w:p w:rsidR="00D374DC" w:rsidRPr="001B1076" w:rsidRDefault="005A367E" w:rsidP="00D374DC">
      <w:pPr>
        <w:numPr>
          <w:ilvl w:val="0"/>
          <w:numId w:val="7"/>
        </w:numPr>
        <w:ind w:hanging="720"/>
        <w:rPr>
          <w:rFonts w:ascii="Book Antiqua" w:hAnsi="Book Antiqua"/>
        </w:rPr>
      </w:pPr>
      <w:r w:rsidRPr="001B1076">
        <w:rPr>
          <w:rFonts w:ascii="Book Antiqua" w:hAnsi="Book Antiqua"/>
        </w:rPr>
        <w:t xml:space="preserve">Advisory committees, each </w:t>
      </w:r>
      <w:proofErr w:type="spellStart"/>
      <w:r w:rsidRPr="001B1076">
        <w:rPr>
          <w:rFonts w:ascii="Book Antiqua" w:hAnsi="Book Antiqua"/>
        </w:rPr>
        <w:t>multi-lateral</w:t>
      </w:r>
      <w:proofErr w:type="spellEnd"/>
      <w:r w:rsidRPr="001B1076">
        <w:rPr>
          <w:rFonts w:ascii="Book Antiqua" w:hAnsi="Book Antiqua"/>
        </w:rPr>
        <w:t xml:space="preserve"> and each chaired by a public servant. On request, an advisory committee could meet with the minister once per year for an overview briefing. Otherwise, the committees are there to augment the capacity of the public service and not to advocate</w:t>
      </w:r>
      <w:r w:rsidR="005125CC" w:rsidRPr="001B1076">
        <w:rPr>
          <w:rFonts w:ascii="Book Antiqua" w:hAnsi="Book Antiqua"/>
        </w:rPr>
        <w:t xml:space="preserve"> politically</w:t>
      </w:r>
      <w:r w:rsidRPr="001B1076">
        <w:rPr>
          <w:rFonts w:ascii="Book Antiqua" w:hAnsi="Book Antiqua"/>
        </w:rPr>
        <w:t xml:space="preserve"> for their members’ projects. All committees constituted of business representatives only would be abolished</w:t>
      </w:r>
      <w:r w:rsidR="00C8519D">
        <w:rPr>
          <w:rFonts w:ascii="Book Antiqua" w:hAnsi="Book Antiqua"/>
        </w:rPr>
        <w:t xml:space="preserve"> as these don’t broaden their members’ horizons</w:t>
      </w:r>
      <w:r w:rsidR="002930B8">
        <w:rPr>
          <w:rFonts w:ascii="Book Antiqua" w:hAnsi="Book Antiqua"/>
        </w:rPr>
        <w:t xml:space="preserve"> and merely entrench business orthodoxy</w:t>
      </w:r>
      <w:r w:rsidRPr="001B1076">
        <w:rPr>
          <w:rFonts w:ascii="Book Antiqua" w:hAnsi="Book Antiqua"/>
        </w:rPr>
        <w:t>.</w:t>
      </w:r>
    </w:p>
    <w:p w:rsidR="00D374DC" w:rsidRDefault="00FA00A7" w:rsidP="00D374DC">
      <w:pPr>
        <w:rPr>
          <w:rFonts w:ascii="Book Antiqua" w:hAnsi="Book Antiqua"/>
        </w:rPr>
      </w:pPr>
      <w:r>
        <w:rPr>
          <w:rFonts w:ascii="Book Antiqua" w:hAnsi="Book Antiqua"/>
        </w:rPr>
        <w:br w:type="page"/>
      </w:r>
    </w:p>
    <w:p w:rsidR="005125CC" w:rsidRPr="00167A33" w:rsidRDefault="00167A33" w:rsidP="00D374DC">
      <w:pPr>
        <w:jc w:val="center"/>
        <w:rPr>
          <w:rFonts w:ascii="Book Antiqua" w:hAnsi="Book Antiqua"/>
          <w:b/>
        </w:rPr>
      </w:pPr>
      <w:r>
        <w:rPr>
          <w:rFonts w:ascii="Book Antiqua" w:hAnsi="Book Antiqua"/>
          <w:b/>
        </w:rPr>
        <w:lastRenderedPageBreak/>
        <w:t>RECOMMENDATIONS</w:t>
      </w:r>
    </w:p>
    <w:p w:rsidR="009B24CC" w:rsidRDefault="009B24CC" w:rsidP="009B24CC">
      <w:pPr>
        <w:rPr>
          <w:rFonts w:ascii="Book Antiqua" w:hAnsi="Book Antiqua"/>
        </w:rPr>
      </w:pPr>
    </w:p>
    <w:p w:rsidR="00167A33" w:rsidRDefault="00167A33" w:rsidP="00167A33">
      <w:pPr>
        <w:numPr>
          <w:ilvl w:val="0"/>
          <w:numId w:val="8"/>
        </w:numPr>
        <w:ind w:hanging="720"/>
        <w:rPr>
          <w:rFonts w:ascii="Book Antiqua" w:hAnsi="Book Antiqua"/>
        </w:rPr>
      </w:pPr>
      <w:r>
        <w:rPr>
          <w:rFonts w:ascii="Book Antiqua" w:hAnsi="Book Antiqua"/>
        </w:rPr>
        <w:t>That the Commission augment the Draft Report with three new sections: on the implications of climate change for infrastructure planning, on the implications of peak oil for transport planning and on a model of strategic, multi-disciplinary infrastructure planning that will enable jurisdictions to adequately identify and scope projects that are in the public interest</w:t>
      </w:r>
      <w:r w:rsidR="00306E39">
        <w:rPr>
          <w:rFonts w:ascii="Book Antiqua" w:hAnsi="Book Antiqua"/>
        </w:rPr>
        <w:t>, prior to application of a rigorous cost benefit method</w:t>
      </w:r>
      <w:r>
        <w:rPr>
          <w:rFonts w:ascii="Book Antiqua" w:hAnsi="Book Antiqua"/>
        </w:rPr>
        <w:t>.</w:t>
      </w:r>
    </w:p>
    <w:p w:rsidR="00167A33" w:rsidRDefault="00167A33" w:rsidP="00167A33">
      <w:pPr>
        <w:numPr>
          <w:ilvl w:val="0"/>
          <w:numId w:val="8"/>
        </w:numPr>
        <w:ind w:hanging="720"/>
        <w:rPr>
          <w:rFonts w:ascii="Book Antiqua" w:hAnsi="Book Antiqua"/>
        </w:rPr>
      </w:pPr>
      <w:r>
        <w:rPr>
          <w:rFonts w:ascii="Book Antiqua" w:hAnsi="Book Antiqua"/>
        </w:rPr>
        <w:t>That the Commission if necessary recruit experts</w:t>
      </w:r>
      <w:r w:rsidR="00306E39">
        <w:rPr>
          <w:rFonts w:ascii="Book Antiqua" w:hAnsi="Book Antiqua"/>
        </w:rPr>
        <w:t xml:space="preserve"> in these three fields to complete these sections.</w:t>
      </w:r>
    </w:p>
    <w:p w:rsidR="004E6560" w:rsidRDefault="004E6560" w:rsidP="00167A33">
      <w:pPr>
        <w:numPr>
          <w:ilvl w:val="0"/>
          <w:numId w:val="8"/>
        </w:numPr>
        <w:ind w:hanging="720"/>
        <w:rPr>
          <w:rFonts w:ascii="Book Antiqua" w:hAnsi="Book Antiqua"/>
        </w:rPr>
      </w:pPr>
      <w:r>
        <w:rPr>
          <w:rFonts w:ascii="Book Antiqua" w:hAnsi="Book Antiqua"/>
        </w:rPr>
        <w:t>That the Commission seek an interview with the Chief Economist of the International Energy Agency to confirm their current position on global rates of production of petroleum.</w:t>
      </w:r>
    </w:p>
    <w:p w:rsidR="00FA00A7" w:rsidRDefault="00864819" w:rsidP="00167A33">
      <w:pPr>
        <w:numPr>
          <w:ilvl w:val="0"/>
          <w:numId w:val="8"/>
        </w:numPr>
        <w:ind w:hanging="720"/>
        <w:rPr>
          <w:rFonts w:ascii="Book Antiqua" w:hAnsi="Book Antiqua"/>
        </w:rPr>
      </w:pPr>
      <w:r>
        <w:rPr>
          <w:rFonts w:ascii="Book Antiqua" w:hAnsi="Book Antiqua"/>
        </w:rPr>
        <w:t>That the Commission seek a mandate to conduct two new enquiries: one on the significance of peak oil for the Australian economy; and another on the real preconditions for sustainable economic activity.</w:t>
      </w:r>
    </w:p>
    <w:p w:rsidR="00306E39" w:rsidRDefault="00306E39" w:rsidP="00306E39">
      <w:pPr>
        <w:rPr>
          <w:rFonts w:ascii="Book Antiqua" w:hAnsi="Book Antiqua"/>
        </w:rPr>
      </w:pPr>
    </w:p>
    <w:p w:rsidR="00167A33" w:rsidRPr="00D52B97" w:rsidRDefault="00167A33" w:rsidP="009B24CC">
      <w:pPr>
        <w:rPr>
          <w:rFonts w:ascii="Book Antiqua" w:hAnsi="Book Antiqua"/>
        </w:rPr>
      </w:pPr>
    </w:p>
    <w:p w:rsidR="00580556" w:rsidRPr="00D52B97" w:rsidRDefault="00D52B97" w:rsidP="00755FF5">
      <w:pPr>
        <w:rPr>
          <w:rFonts w:ascii="Book Antiqua" w:hAnsi="Book Antiqua"/>
        </w:rPr>
      </w:pPr>
      <w:r w:rsidRPr="00D52B97">
        <w:rPr>
          <w:rFonts w:ascii="Book Antiqua" w:hAnsi="Book Antiqua"/>
        </w:rPr>
        <w:t>E</w:t>
      </w:r>
      <w:r w:rsidR="00580556" w:rsidRPr="00D52B97">
        <w:rPr>
          <w:rFonts w:ascii="Book Antiqua" w:hAnsi="Book Antiqua"/>
        </w:rPr>
        <w:t>nds</w:t>
      </w:r>
    </w:p>
    <w:p w:rsidR="00D52B97" w:rsidRPr="00196EC2" w:rsidRDefault="00D52B97" w:rsidP="00755FF5">
      <w:pPr>
        <w:rPr>
          <w:rFonts w:ascii="Book Antiqua" w:hAnsi="Book Antiqua"/>
        </w:rPr>
      </w:pPr>
    </w:p>
    <w:p w:rsidR="004E32F9" w:rsidRPr="00196EC2" w:rsidRDefault="004E32F9" w:rsidP="004E32F9">
      <w:pPr>
        <w:autoSpaceDE w:val="0"/>
        <w:autoSpaceDN w:val="0"/>
        <w:adjustRightInd w:val="0"/>
        <w:rPr>
          <w:rFonts w:ascii="Book Antiqua" w:hAnsi="Book Antiqua"/>
          <w:bCs/>
          <w:i/>
        </w:rPr>
      </w:pPr>
      <w:r w:rsidRPr="00196EC2">
        <w:rPr>
          <w:rFonts w:ascii="Book Antiqua" w:hAnsi="Book Antiqua"/>
          <w:color w:val="000000"/>
          <w:lang w:eastAsia="en-AU"/>
        </w:rPr>
        <w:t xml:space="preserve">Edwards, Geoff. Apr.-Jun. </w:t>
      </w:r>
      <w:proofErr w:type="spellStart"/>
      <w:r w:rsidRPr="00196EC2">
        <w:rPr>
          <w:rFonts w:ascii="Book Antiqua" w:hAnsi="Book Antiqua"/>
          <w:color w:val="000000"/>
          <w:lang w:eastAsia="en-AU"/>
        </w:rPr>
        <w:t>2011</w:t>
      </w:r>
      <w:r w:rsidR="00196EC2">
        <w:rPr>
          <w:rFonts w:ascii="Book Antiqua" w:hAnsi="Book Antiqua"/>
          <w:color w:val="000000"/>
          <w:lang w:eastAsia="en-AU"/>
        </w:rPr>
        <w:t>a</w:t>
      </w:r>
      <w:proofErr w:type="spellEnd"/>
      <w:r w:rsidRPr="00196EC2">
        <w:rPr>
          <w:rFonts w:ascii="Book Antiqua" w:hAnsi="Book Antiqua"/>
          <w:color w:val="000000"/>
          <w:lang w:eastAsia="en-AU"/>
        </w:rPr>
        <w:t>. “</w:t>
      </w:r>
      <w:r w:rsidR="00196EC2" w:rsidRPr="00196EC2">
        <w:rPr>
          <w:rFonts w:ascii="Book Antiqua" w:hAnsi="Book Antiqua"/>
          <w:color w:val="000000"/>
        </w:rPr>
        <w:t xml:space="preserve">Where Does the ‘Public Interest’ Lie?” </w:t>
      </w:r>
      <w:r w:rsidR="00196EC2" w:rsidRPr="00196EC2">
        <w:rPr>
          <w:rFonts w:ascii="Book Antiqua" w:hAnsi="Book Antiqua"/>
          <w:i/>
          <w:color w:val="000000"/>
        </w:rPr>
        <w:t>Public Administration Today.</w:t>
      </w:r>
    </w:p>
    <w:p w:rsidR="004E32F9" w:rsidRPr="00D52B97" w:rsidRDefault="004E32F9" w:rsidP="00755FF5">
      <w:pPr>
        <w:autoSpaceDE w:val="0"/>
        <w:autoSpaceDN w:val="0"/>
        <w:adjustRightInd w:val="0"/>
        <w:rPr>
          <w:rFonts w:ascii="Book Antiqua" w:hAnsi="Book Antiqua"/>
          <w:color w:val="000000"/>
          <w:lang w:eastAsia="en-AU"/>
        </w:rPr>
      </w:pPr>
    </w:p>
    <w:p w:rsidR="00D52B97" w:rsidRPr="00695923" w:rsidRDefault="00D52B97" w:rsidP="00755FF5">
      <w:pPr>
        <w:autoSpaceDE w:val="0"/>
        <w:autoSpaceDN w:val="0"/>
        <w:adjustRightInd w:val="0"/>
        <w:rPr>
          <w:rFonts w:ascii="Book Antiqua" w:hAnsi="Book Antiqua"/>
        </w:rPr>
      </w:pPr>
      <w:r w:rsidRPr="00196EC2">
        <w:rPr>
          <w:rFonts w:ascii="Book Antiqua" w:hAnsi="Book Antiqua"/>
          <w:color w:val="000000"/>
          <w:lang w:eastAsia="en-AU"/>
        </w:rPr>
        <w:t xml:space="preserve">Edwards, G. 27-29 July </w:t>
      </w:r>
      <w:proofErr w:type="spellStart"/>
      <w:r w:rsidRPr="00196EC2">
        <w:rPr>
          <w:rFonts w:ascii="Book Antiqua" w:hAnsi="Book Antiqua"/>
          <w:color w:val="000000"/>
          <w:lang w:eastAsia="en-AU"/>
        </w:rPr>
        <w:t>2011</w:t>
      </w:r>
      <w:r w:rsidR="00196EC2">
        <w:rPr>
          <w:rFonts w:ascii="Book Antiqua" w:hAnsi="Book Antiqua"/>
          <w:color w:val="000000"/>
          <w:lang w:eastAsia="en-AU"/>
        </w:rPr>
        <w:t>b</w:t>
      </w:r>
      <w:proofErr w:type="spellEnd"/>
      <w:r w:rsidRPr="00196EC2">
        <w:rPr>
          <w:rFonts w:ascii="Book Antiqua" w:hAnsi="Book Antiqua"/>
          <w:color w:val="000000"/>
          <w:lang w:eastAsia="en-AU"/>
        </w:rPr>
        <w:t>. “</w:t>
      </w:r>
      <w:r w:rsidR="00B92A3D" w:rsidRPr="00196EC2">
        <w:rPr>
          <w:rFonts w:ascii="Book Antiqua" w:hAnsi="Book Antiqua"/>
          <w:bCs/>
          <w:color w:val="000000"/>
          <w:lang w:eastAsia="en-AU"/>
        </w:rPr>
        <w:t>Sustainable gro</w:t>
      </w:r>
      <w:r w:rsidR="00B92A3D" w:rsidRPr="00D52B97">
        <w:rPr>
          <w:rFonts w:ascii="Book Antiqua" w:hAnsi="Book Antiqua"/>
          <w:bCs/>
          <w:color w:val="000000"/>
          <w:lang w:eastAsia="en-AU"/>
        </w:rPr>
        <w:t>wth</w:t>
      </w:r>
      <w:r w:rsidRPr="00D52B97">
        <w:rPr>
          <w:rFonts w:ascii="Book Antiqua" w:hAnsi="Book Antiqua"/>
          <w:bCs/>
          <w:color w:val="000000"/>
          <w:lang w:eastAsia="en-AU"/>
        </w:rPr>
        <w:t xml:space="preserve">: </w:t>
      </w:r>
      <w:r w:rsidRPr="00695923">
        <w:rPr>
          <w:rFonts w:ascii="Book Antiqua" w:hAnsi="Book Antiqua" w:cs="Plantagenet Cherokee"/>
          <w:color w:val="000000"/>
          <w:lang w:eastAsia="en-AU"/>
        </w:rPr>
        <w:t xml:space="preserve">The pathway to prosperity … or an oxymoron???”. </w:t>
      </w:r>
      <w:r w:rsidRPr="00D52B97">
        <w:rPr>
          <w:rFonts w:ascii="Book Antiqua" w:hAnsi="Book Antiqua"/>
          <w:color w:val="000000"/>
          <w:lang w:eastAsia="en-AU"/>
        </w:rPr>
        <w:t xml:space="preserve">Paper Presented at the </w:t>
      </w:r>
      <w:r w:rsidRPr="00695923">
        <w:rPr>
          <w:rFonts w:ascii="Book Antiqua" w:hAnsi="Book Antiqua"/>
          <w:color w:val="000000"/>
          <w:lang w:eastAsia="en-AU"/>
        </w:rPr>
        <w:t xml:space="preserve">4th Making Cities </w:t>
      </w:r>
      <w:proofErr w:type="spellStart"/>
      <w:r w:rsidRPr="00695923">
        <w:rPr>
          <w:rFonts w:ascii="Book Antiqua" w:hAnsi="Book Antiqua"/>
          <w:color w:val="000000"/>
          <w:lang w:eastAsia="en-AU"/>
        </w:rPr>
        <w:t>Liveable</w:t>
      </w:r>
      <w:proofErr w:type="spellEnd"/>
      <w:r w:rsidRPr="00695923">
        <w:rPr>
          <w:rFonts w:ascii="Book Antiqua" w:hAnsi="Book Antiqua"/>
          <w:color w:val="000000"/>
          <w:lang w:eastAsia="en-AU"/>
        </w:rPr>
        <w:t xml:space="preserve"> Conference, Noosa (QLD). </w:t>
      </w:r>
      <w:hyperlink r:id="rId8" w:history="1">
        <w:r w:rsidRPr="00695923">
          <w:rPr>
            <w:rStyle w:val="Hyperlink"/>
            <w:rFonts w:ascii="Book Antiqua" w:hAnsi="Book Antiqua"/>
          </w:rPr>
          <w:t>http://</w:t>
        </w:r>
        <w:proofErr w:type="spellStart"/>
        <w:r w:rsidRPr="00695923">
          <w:rPr>
            <w:rStyle w:val="Hyperlink"/>
            <w:rFonts w:ascii="Book Antiqua" w:hAnsi="Book Antiqua"/>
          </w:rPr>
          <w:t>www.healthycities.com.au</w:t>
        </w:r>
        <w:proofErr w:type="spellEnd"/>
        <w:r w:rsidRPr="00695923">
          <w:rPr>
            <w:rStyle w:val="Hyperlink"/>
            <w:rFonts w:ascii="Book Antiqua" w:hAnsi="Book Antiqua"/>
          </w:rPr>
          <w:t>/</w:t>
        </w:r>
      </w:hyperlink>
    </w:p>
    <w:p w:rsidR="00D52B97" w:rsidRPr="00695923" w:rsidRDefault="00D52B97" w:rsidP="00755FF5">
      <w:pPr>
        <w:rPr>
          <w:rFonts w:ascii="Book Antiqua" w:hAnsi="Book Antiqua"/>
        </w:rPr>
      </w:pPr>
    </w:p>
    <w:p w:rsidR="00695923" w:rsidRDefault="00695923" w:rsidP="00755FF5">
      <w:pPr>
        <w:pStyle w:val="Heading1"/>
        <w:spacing w:before="0" w:beforeAutospacing="0" w:after="0" w:afterAutospacing="0"/>
        <w:rPr>
          <w:rFonts w:ascii="Book Antiqua" w:hAnsi="Book Antiqua"/>
          <w:b w:val="0"/>
          <w:sz w:val="22"/>
          <w:szCs w:val="22"/>
        </w:rPr>
      </w:pPr>
      <w:r w:rsidRPr="00695923">
        <w:rPr>
          <w:rFonts w:ascii="Book Antiqua" w:hAnsi="Book Antiqua"/>
          <w:b w:val="0"/>
          <w:sz w:val="22"/>
          <w:szCs w:val="22"/>
        </w:rPr>
        <w:t xml:space="preserve">Herbert, Bronwyn. 28 April 2011. “Age of cheap fuel is over: </w:t>
      </w:r>
      <w:proofErr w:type="spellStart"/>
      <w:r w:rsidRPr="00695923">
        <w:rPr>
          <w:rFonts w:ascii="Book Antiqua" w:hAnsi="Book Antiqua"/>
          <w:b w:val="0"/>
          <w:sz w:val="22"/>
          <w:szCs w:val="22"/>
        </w:rPr>
        <w:t>IEA</w:t>
      </w:r>
      <w:proofErr w:type="spellEnd"/>
      <w:r w:rsidRPr="00695923">
        <w:rPr>
          <w:rFonts w:ascii="Book Antiqua" w:hAnsi="Book Antiqua"/>
          <w:b w:val="0"/>
          <w:sz w:val="22"/>
          <w:szCs w:val="22"/>
        </w:rPr>
        <w:t xml:space="preserve">”. </w:t>
      </w:r>
      <w:hyperlink r:id="rId9" w:history="1">
        <w:r w:rsidRPr="00695923">
          <w:rPr>
            <w:rStyle w:val="Hyperlink"/>
            <w:rFonts w:ascii="Book Antiqua" w:hAnsi="Book Antiqua"/>
            <w:b w:val="0"/>
            <w:sz w:val="22"/>
            <w:szCs w:val="22"/>
          </w:rPr>
          <w:t>http://www.abc.net.au/news/2011-04-28/age-of-cheap-fuel-is-over-iea/2695928</w:t>
        </w:r>
      </w:hyperlink>
      <w:r w:rsidR="00755FF5">
        <w:rPr>
          <w:rFonts w:ascii="Book Antiqua" w:hAnsi="Book Antiqua"/>
          <w:b w:val="0"/>
          <w:sz w:val="22"/>
          <w:szCs w:val="22"/>
        </w:rPr>
        <w:t xml:space="preserve"> . Also see Catalyst story – Newby, </w:t>
      </w:r>
      <w:proofErr w:type="spellStart"/>
      <w:r w:rsidR="00755FF5">
        <w:rPr>
          <w:rFonts w:ascii="Book Antiqua" w:hAnsi="Book Antiqua"/>
          <w:b w:val="0"/>
          <w:sz w:val="22"/>
          <w:szCs w:val="22"/>
        </w:rPr>
        <w:t>Jonica</w:t>
      </w:r>
      <w:proofErr w:type="spellEnd"/>
      <w:r w:rsidR="00755FF5">
        <w:rPr>
          <w:rFonts w:ascii="Book Antiqua" w:hAnsi="Book Antiqua"/>
          <w:b w:val="0"/>
          <w:sz w:val="22"/>
          <w:szCs w:val="22"/>
        </w:rPr>
        <w:t xml:space="preserve">. 28 April 2011. “Oil Crunch”. </w:t>
      </w:r>
      <w:hyperlink r:id="rId10" w:history="1">
        <w:r w:rsidR="00755FF5" w:rsidRPr="00EF58BB">
          <w:rPr>
            <w:rStyle w:val="Hyperlink"/>
            <w:rFonts w:ascii="Book Antiqua" w:hAnsi="Book Antiqua"/>
            <w:b w:val="0"/>
            <w:sz w:val="22"/>
            <w:szCs w:val="22"/>
          </w:rPr>
          <w:t>http://</w:t>
        </w:r>
        <w:proofErr w:type="spellStart"/>
        <w:r w:rsidR="00755FF5" w:rsidRPr="00EF58BB">
          <w:rPr>
            <w:rStyle w:val="Hyperlink"/>
            <w:rFonts w:ascii="Book Antiqua" w:hAnsi="Book Antiqua"/>
            <w:b w:val="0"/>
            <w:sz w:val="22"/>
            <w:szCs w:val="22"/>
          </w:rPr>
          <w:t>www.abc.net.au</w:t>
        </w:r>
        <w:proofErr w:type="spellEnd"/>
        <w:r w:rsidR="00755FF5" w:rsidRPr="00EF58BB">
          <w:rPr>
            <w:rStyle w:val="Hyperlink"/>
            <w:rFonts w:ascii="Book Antiqua" w:hAnsi="Book Antiqua"/>
            <w:b w:val="0"/>
            <w:sz w:val="22"/>
            <w:szCs w:val="22"/>
          </w:rPr>
          <w:t>/catalyst/stories/</w:t>
        </w:r>
        <w:proofErr w:type="spellStart"/>
        <w:r w:rsidR="00755FF5" w:rsidRPr="00EF58BB">
          <w:rPr>
            <w:rStyle w:val="Hyperlink"/>
            <w:rFonts w:ascii="Book Antiqua" w:hAnsi="Book Antiqua"/>
            <w:b w:val="0"/>
            <w:sz w:val="22"/>
            <w:szCs w:val="22"/>
          </w:rPr>
          <w:t>3201781.htm</w:t>
        </w:r>
        <w:proofErr w:type="spellEnd"/>
      </w:hyperlink>
      <w:r w:rsidR="00755FF5">
        <w:rPr>
          <w:rFonts w:ascii="Book Antiqua" w:hAnsi="Book Antiqua"/>
          <w:b w:val="0"/>
          <w:sz w:val="22"/>
          <w:szCs w:val="22"/>
        </w:rPr>
        <w:t>.</w:t>
      </w:r>
    </w:p>
    <w:p w:rsidR="00D24BC0" w:rsidRPr="00D24BC0" w:rsidRDefault="00D24BC0" w:rsidP="00755FF5">
      <w:pPr>
        <w:pStyle w:val="Heading1"/>
        <w:spacing w:before="0" w:beforeAutospacing="0" w:after="0" w:afterAutospacing="0"/>
        <w:rPr>
          <w:rFonts w:ascii="Book Antiqua" w:hAnsi="Book Antiqua"/>
          <w:b w:val="0"/>
          <w:sz w:val="22"/>
          <w:szCs w:val="22"/>
        </w:rPr>
      </w:pPr>
    </w:p>
    <w:p w:rsidR="00D24BC0" w:rsidRPr="00D24BC0" w:rsidRDefault="00D24BC0" w:rsidP="00755FF5">
      <w:pPr>
        <w:pStyle w:val="Heading1"/>
        <w:spacing w:before="0" w:beforeAutospacing="0" w:after="0" w:afterAutospacing="0"/>
        <w:rPr>
          <w:rFonts w:ascii="Book Antiqua" w:hAnsi="Book Antiqua"/>
          <w:b w:val="0"/>
          <w:sz w:val="22"/>
          <w:szCs w:val="22"/>
        </w:rPr>
      </w:pPr>
      <w:r w:rsidRPr="00D24BC0">
        <w:rPr>
          <w:rFonts w:ascii="Book Antiqua" w:hAnsi="Book Antiqua"/>
          <w:b w:val="0"/>
          <w:sz w:val="22"/>
          <w:szCs w:val="22"/>
        </w:rPr>
        <w:t>Warburton, Dick. 21 Oct. 2009. “An inconvenient truth leads to lurking doubt</w:t>
      </w:r>
      <w:r w:rsidRPr="00D24BC0">
        <w:rPr>
          <w:rFonts w:ascii="Book Antiqua" w:hAnsi="Book Antiqua"/>
          <w:b w:val="0"/>
          <w:i/>
          <w:sz w:val="22"/>
          <w:szCs w:val="22"/>
        </w:rPr>
        <w:t>”. The Australian Financial Review</w:t>
      </w:r>
      <w:r w:rsidRPr="00D24BC0">
        <w:rPr>
          <w:rFonts w:ascii="Book Antiqua" w:hAnsi="Book Antiqua"/>
          <w:b w:val="0"/>
          <w:sz w:val="22"/>
          <w:szCs w:val="22"/>
        </w:rPr>
        <w:t xml:space="preserve"> </w:t>
      </w:r>
      <w:r>
        <w:rPr>
          <w:rFonts w:ascii="Book Antiqua" w:hAnsi="Book Antiqua"/>
          <w:b w:val="0"/>
          <w:sz w:val="22"/>
          <w:szCs w:val="22"/>
        </w:rPr>
        <w:t>page 60.</w:t>
      </w:r>
    </w:p>
    <w:sectPr w:rsidR="00D24BC0" w:rsidRPr="00D24BC0" w:rsidSect="009F1046">
      <w:footerReference w:type="default" r:id="rId11"/>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1F8" w:rsidRDefault="001841F8" w:rsidP="009C1DE0">
      <w:r>
        <w:separator/>
      </w:r>
    </w:p>
  </w:endnote>
  <w:endnote w:type="continuationSeparator" w:id="0">
    <w:p w:rsidR="001841F8" w:rsidRDefault="001841F8" w:rsidP="009C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Sans Serif">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venir LT">
    <w:altName w:val="Avenir LT"/>
    <w:panose1 w:val="00000000000000000000"/>
    <w:charset w:val="00"/>
    <w:family w:val="swiss"/>
    <w:notTrueType/>
    <w:pitch w:val="default"/>
    <w:sig w:usb0="00000003" w:usb1="00000000" w:usb2="00000000" w:usb3="00000000" w:csb0="00000001" w:csb1="00000000"/>
  </w:font>
  <w:font w:name="FuturaBT-Light">
    <w:panose1 w:val="00000000000000000000"/>
    <w:charset w:val="00"/>
    <w:family w:val="swiss"/>
    <w:notTrueType/>
    <w:pitch w:val="default"/>
    <w:sig w:usb0="00000003" w:usb1="00000000" w:usb2="00000000" w:usb3="00000000" w:csb0="00000001" w:csb1="00000000"/>
  </w:font>
  <w:font w:name="Plantagenet Cherokee">
    <w:panose1 w:val="02020602070100000000"/>
    <w:charset w:val="00"/>
    <w:family w:val="roman"/>
    <w:pitch w:val="variable"/>
    <w:sig w:usb0="00000003" w:usb1="00000000" w:usb2="00001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F36" w:rsidRDefault="00186F36" w:rsidP="009C1DE0">
    <w:pPr>
      <w:pStyle w:val="Footer"/>
      <w:jc w:val="right"/>
    </w:pPr>
    <w:r>
      <w:fldChar w:fldCharType="begin"/>
    </w:r>
    <w:r>
      <w:instrText xml:space="preserve"> PAGE   \* MERGEFORMAT </w:instrText>
    </w:r>
    <w:r>
      <w:fldChar w:fldCharType="separate"/>
    </w:r>
    <w:r w:rsidR="00F00AE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1F8" w:rsidRDefault="001841F8" w:rsidP="009C1DE0">
      <w:r>
        <w:separator/>
      </w:r>
    </w:p>
  </w:footnote>
  <w:footnote w:type="continuationSeparator" w:id="0">
    <w:p w:rsidR="001841F8" w:rsidRDefault="001841F8" w:rsidP="009C1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D4C29"/>
    <w:multiLevelType w:val="hybridMultilevel"/>
    <w:tmpl w:val="9D30AB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1652977"/>
    <w:multiLevelType w:val="hybridMultilevel"/>
    <w:tmpl w:val="CEB2FB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7A44055"/>
    <w:multiLevelType w:val="hybridMultilevel"/>
    <w:tmpl w:val="DCF2B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000147E"/>
    <w:multiLevelType w:val="hybridMultilevel"/>
    <w:tmpl w:val="00CCEB24"/>
    <w:lvl w:ilvl="0" w:tplc="867A56C6">
      <w:numFmt w:val="bullet"/>
      <w:lvlText w:val="•"/>
      <w:lvlJc w:val="left"/>
      <w:pPr>
        <w:ind w:left="1080" w:hanging="360"/>
      </w:pPr>
      <w:rPr>
        <w:rFonts w:ascii="Times New Roman" w:eastAsia="Calibri" w:hAnsi="Times New Roman" w:cs="Times New Roman" w:hint="default"/>
        <w:sz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49E927AB"/>
    <w:multiLevelType w:val="hybridMultilevel"/>
    <w:tmpl w:val="3000D904"/>
    <w:lvl w:ilvl="0" w:tplc="867A56C6">
      <w:numFmt w:val="bullet"/>
      <w:lvlText w:val="•"/>
      <w:lvlJc w:val="left"/>
      <w:pPr>
        <w:ind w:left="1080" w:hanging="360"/>
      </w:pPr>
      <w:rPr>
        <w:rFonts w:ascii="Times New Roman" w:eastAsia="Calibri" w:hAnsi="Times New Roman" w:cs="Times New Roman"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D7431F8"/>
    <w:multiLevelType w:val="hybridMultilevel"/>
    <w:tmpl w:val="54D877A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nsid w:val="56E37E0D"/>
    <w:multiLevelType w:val="hybridMultilevel"/>
    <w:tmpl w:val="FAFACC36"/>
    <w:lvl w:ilvl="0" w:tplc="0C09000F">
      <w:start w:val="1"/>
      <w:numFmt w:val="decimal"/>
      <w:lvlText w:val="%1."/>
      <w:lvlJc w:val="left"/>
      <w:pPr>
        <w:ind w:left="1386" w:hanging="360"/>
      </w:pPr>
      <w:rPr>
        <w:rFonts w:hint="default"/>
        <w:sz w:val="18"/>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7">
    <w:nsid w:val="58E75BF8"/>
    <w:multiLevelType w:val="hybridMultilevel"/>
    <w:tmpl w:val="EB780B10"/>
    <w:lvl w:ilvl="0" w:tplc="867A56C6">
      <w:numFmt w:val="bullet"/>
      <w:lvlText w:val="•"/>
      <w:lvlJc w:val="left"/>
      <w:pPr>
        <w:ind w:left="1080" w:hanging="360"/>
      </w:pPr>
      <w:rPr>
        <w:rFonts w:ascii="Times New Roman" w:eastAsia="Calibri" w:hAnsi="Times New Roman" w:cs="Times New Roman"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D372525-A1F2-48EE-9D37-DB6CE4BC6B4F}"/>
    <w:docVar w:name="dgnword-eventsink" w:val="111035008"/>
  </w:docVars>
  <w:rsids>
    <w:rsidRoot w:val="00CA146E"/>
    <w:rsid w:val="000174BA"/>
    <w:rsid w:val="00032819"/>
    <w:rsid w:val="00044DC1"/>
    <w:rsid w:val="0005094E"/>
    <w:rsid w:val="00063393"/>
    <w:rsid w:val="00097AAC"/>
    <w:rsid w:val="000A5A53"/>
    <w:rsid w:val="000B00CF"/>
    <w:rsid w:val="000C5648"/>
    <w:rsid w:val="00100183"/>
    <w:rsid w:val="0010268C"/>
    <w:rsid w:val="001170AC"/>
    <w:rsid w:val="00125BFF"/>
    <w:rsid w:val="00157BBC"/>
    <w:rsid w:val="001660B8"/>
    <w:rsid w:val="00167A33"/>
    <w:rsid w:val="0017153F"/>
    <w:rsid w:val="00171A34"/>
    <w:rsid w:val="00181AE0"/>
    <w:rsid w:val="001841F8"/>
    <w:rsid w:val="00186F36"/>
    <w:rsid w:val="00196EC2"/>
    <w:rsid w:val="001A529E"/>
    <w:rsid w:val="001B1076"/>
    <w:rsid w:val="001B5287"/>
    <w:rsid w:val="001E7772"/>
    <w:rsid w:val="00212BBA"/>
    <w:rsid w:val="00216CB4"/>
    <w:rsid w:val="00222356"/>
    <w:rsid w:val="00252223"/>
    <w:rsid w:val="00253D64"/>
    <w:rsid w:val="002930B8"/>
    <w:rsid w:val="002C776E"/>
    <w:rsid w:val="002E5663"/>
    <w:rsid w:val="002F211C"/>
    <w:rsid w:val="002F654E"/>
    <w:rsid w:val="00303A71"/>
    <w:rsid w:val="00305D0E"/>
    <w:rsid w:val="00306E39"/>
    <w:rsid w:val="00312927"/>
    <w:rsid w:val="00380F91"/>
    <w:rsid w:val="00382832"/>
    <w:rsid w:val="003A773C"/>
    <w:rsid w:val="003E7E84"/>
    <w:rsid w:val="003F3B36"/>
    <w:rsid w:val="00427991"/>
    <w:rsid w:val="00444AA1"/>
    <w:rsid w:val="00450CA5"/>
    <w:rsid w:val="004569EE"/>
    <w:rsid w:val="00456CB9"/>
    <w:rsid w:val="00477994"/>
    <w:rsid w:val="00491304"/>
    <w:rsid w:val="00493FBC"/>
    <w:rsid w:val="00494231"/>
    <w:rsid w:val="004B4303"/>
    <w:rsid w:val="004E32F9"/>
    <w:rsid w:val="004E6560"/>
    <w:rsid w:val="004E7C92"/>
    <w:rsid w:val="005125CC"/>
    <w:rsid w:val="005232C0"/>
    <w:rsid w:val="00524D8E"/>
    <w:rsid w:val="00536DF3"/>
    <w:rsid w:val="00575AFB"/>
    <w:rsid w:val="00576700"/>
    <w:rsid w:val="00580556"/>
    <w:rsid w:val="0059049A"/>
    <w:rsid w:val="005A367E"/>
    <w:rsid w:val="005A699C"/>
    <w:rsid w:val="005D60E7"/>
    <w:rsid w:val="005D7F87"/>
    <w:rsid w:val="005E369B"/>
    <w:rsid w:val="005F2F14"/>
    <w:rsid w:val="005F47BF"/>
    <w:rsid w:val="006070C0"/>
    <w:rsid w:val="0061042D"/>
    <w:rsid w:val="006316D9"/>
    <w:rsid w:val="00643130"/>
    <w:rsid w:val="0065258A"/>
    <w:rsid w:val="0067383B"/>
    <w:rsid w:val="00683B54"/>
    <w:rsid w:val="00690891"/>
    <w:rsid w:val="00695923"/>
    <w:rsid w:val="006A02EF"/>
    <w:rsid w:val="006A39B5"/>
    <w:rsid w:val="006A4E7A"/>
    <w:rsid w:val="006A542B"/>
    <w:rsid w:val="006C5192"/>
    <w:rsid w:val="006E2590"/>
    <w:rsid w:val="007413DC"/>
    <w:rsid w:val="0074717E"/>
    <w:rsid w:val="00755FF5"/>
    <w:rsid w:val="0076618A"/>
    <w:rsid w:val="00792153"/>
    <w:rsid w:val="007A2ED2"/>
    <w:rsid w:val="007A3192"/>
    <w:rsid w:val="007A4B0C"/>
    <w:rsid w:val="007E1185"/>
    <w:rsid w:val="00807D4A"/>
    <w:rsid w:val="008148F4"/>
    <w:rsid w:val="00830E26"/>
    <w:rsid w:val="00835FFB"/>
    <w:rsid w:val="00860502"/>
    <w:rsid w:val="00864819"/>
    <w:rsid w:val="0088236F"/>
    <w:rsid w:val="00891A47"/>
    <w:rsid w:val="00892E31"/>
    <w:rsid w:val="008A3CCD"/>
    <w:rsid w:val="008C13E9"/>
    <w:rsid w:val="008C2348"/>
    <w:rsid w:val="00924490"/>
    <w:rsid w:val="00941882"/>
    <w:rsid w:val="00953178"/>
    <w:rsid w:val="00957A14"/>
    <w:rsid w:val="00981285"/>
    <w:rsid w:val="0098498D"/>
    <w:rsid w:val="00985BFA"/>
    <w:rsid w:val="00987861"/>
    <w:rsid w:val="009A69AE"/>
    <w:rsid w:val="009B01FF"/>
    <w:rsid w:val="009B1597"/>
    <w:rsid w:val="009B184F"/>
    <w:rsid w:val="009B24CC"/>
    <w:rsid w:val="009C1DE0"/>
    <w:rsid w:val="009C6479"/>
    <w:rsid w:val="009F1046"/>
    <w:rsid w:val="00A128C9"/>
    <w:rsid w:val="00A1469E"/>
    <w:rsid w:val="00A1581C"/>
    <w:rsid w:val="00A2389C"/>
    <w:rsid w:val="00A31471"/>
    <w:rsid w:val="00A34A60"/>
    <w:rsid w:val="00A55AC5"/>
    <w:rsid w:val="00A61264"/>
    <w:rsid w:val="00A638D8"/>
    <w:rsid w:val="00A94608"/>
    <w:rsid w:val="00AC0519"/>
    <w:rsid w:val="00AF5978"/>
    <w:rsid w:val="00B031A3"/>
    <w:rsid w:val="00B30C00"/>
    <w:rsid w:val="00B37B7E"/>
    <w:rsid w:val="00B43D67"/>
    <w:rsid w:val="00B92A3D"/>
    <w:rsid w:val="00BA3FD9"/>
    <w:rsid w:val="00BA5DAF"/>
    <w:rsid w:val="00BB0041"/>
    <w:rsid w:val="00BB5C39"/>
    <w:rsid w:val="00BD67EF"/>
    <w:rsid w:val="00BE677F"/>
    <w:rsid w:val="00C030C5"/>
    <w:rsid w:val="00C27864"/>
    <w:rsid w:val="00C54C08"/>
    <w:rsid w:val="00C8519D"/>
    <w:rsid w:val="00C90726"/>
    <w:rsid w:val="00C93241"/>
    <w:rsid w:val="00CA146E"/>
    <w:rsid w:val="00CC6760"/>
    <w:rsid w:val="00CE7B29"/>
    <w:rsid w:val="00CF3F94"/>
    <w:rsid w:val="00D24BC0"/>
    <w:rsid w:val="00D3020A"/>
    <w:rsid w:val="00D374DC"/>
    <w:rsid w:val="00D3788C"/>
    <w:rsid w:val="00D52B97"/>
    <w:rsid w:val="00D65BE9"/>
    <w:rsid w:val="00D66901"/>
    <w:rsid w:val="00D66988"/>
    <w:rsid w:val="00D71174"/>
    <w:rsid w:val="00D7348D"/>
    <w:rsid w:val="00DA0D25"/>
    <w:rsid w:val="00DC1E22"/>
    <w:rsid w:val="00DE0066"/>
    <w:rsid w:val="00DE12BE"/>
    <w:rsid w:val="00DF276B"/>
    <w:rsid w:val="00DF305B"/>
    <w:rsid w:val="00DF6E24"/>
    <w:rsid w:val="00DF7770"/>
    <w:rsid w:val="00E12671"/>
    <w:rsid w:val="00E16601"/>
    <w:rsid w:val="00E17F17"/>
    <w:rsid w:val="00E20578"/>
    <w:rsid w:val="00E20640"/>
    <w:rsid w:val="00E33611"/>
    <w:rsid w:val="00E93416"/>
    <w:rsid w:val="00EB2AE4"/>
    <w:rsid w:val="00ED18D8"/>
    <w:rsid w:val="00EE2351"/>
    <w:rsid w:val="00EE3BF4"/>
    <w:rsid w:val="00EF481E"/>
    <w:rsid w:val="00F00AE8"/>
    <w:rsid w:val="00F07A7B"/>
    <w:rsid w:val="00F31D88"/>
    <w:rsid w:val="00F56FE0"/>
    <w:rsid w:val="00F90393"/>
    <w:rsid w:val="00FA00A7"/>
    <w:rsid w:val="00FB54AE"/>
    <w:rsid w:val="00FC371A"/>
    <w:rsid w:val="00FD40F7"/>
    <w:rsid w:val="00FD778E"/>
    <w:rsid w:val="00FE32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paragraph" w:styleId="Heading1">
    <w:name w:val="heading 1"/>
    <w:basedOn w:val="Normal"/>
    <w:link w:val="Heading1Char"/>
    <w:uiPriority w:val="9"/>
    <w:qFormat/>
    <w:rsid w:val="00695923"/>
    <w:pPr>
      <w:spacing w:before="100" w:beforeAutospacing="1" w:after="100" w:afterAutospacing="1"/>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A3192"/>
    <w:rPr>
      <w:color w:val="005078"/>
      <w:u w:val="single"/>
    </w:rPr>
  </w:style>
  <w:style w:type="paragraph" w:customStyle="1" w:styleId="Default">
    <w:name w:val="Default"/>
    <w:rsid w:val="0031292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9C1DE0"/>
    <w:pPr>
      <w:tabs>
        <w:tab w:val="center" w:pos="4513"/>
        <w:tab w:val="right" w:pos="9026"/>
      </w:tabs>
    </w:pPr>
  </w:style>
  <w:style w:type="character" w:customStyle="1" w:styleId="HeaderChar">
    <w:name w:val="Header Char"/>
    <w:link w:val="Header"/>
    <w:uiPriority w:val="99"/>
    <w:rsid w:val="009C1DE0"/>
    <w:rPr>
      <w:sz w:val="22"/>
      <w:szCs w:val="22"/>
      <w:lang w:eastAsia="en-US"/>
    </w:rPr>
  </w:style>
  <w:style w:type="paragraph" w:styleId="Footer">
    <w:name w:val="footer"/>
    <w:basedOn w:val="Normal"/>
    <w:link w:val="FooterChar"/>
    <w:uiPriority w:val="99"/>
    <w:unhideWhenUsed/>
    <w:rsid w:val="009C1DE0"/>
    <w:pPr>
      <w:tabs>
        <w:tab w:val="center" w:pos="4513"/>
        <w:tab w:val="right" w:pos="9026"/>
      </w:tabs>
    </w:pPr>
  </w:style>
  <w:style w:type="character" w:customStyle="1" w:styleId="FooterChar">
    <w:name w:val="Footer Char"/>
    <w:link w:val="Footer"/>
    <w:uiPriority w:val="99"/>
    <w:rsid w:val="009C1DE0"/>
    <w:rPr>
      <w:sz w:val="22"/>
      <w:szCs w:val="22"/>
      <w:lang w:eastAsia="en-US"/>
    </w:rPr>
  </w:style>
  <w:style w:type="character" w:customStyle="1" w:styleId="Heading1Char">
    <w:name w:val="Heading 1 Char"/>
    <w:link w:val="Heading1"/>
    <w:uiPriority w:val="9"/>
    <w:rsid w:val="00695923"/>
    <w:rPr>
      <w:rFonts w:ascii="Times New Roman" w:eastAsia="Times New Roman" w:hAnsi="Times New Roman"/>
      <w:b/>
      <w:bCs/>
      <w:kern w:val="36"/>
      <w:sz w:val="48"/>
      <w:szCs w:val="48"/>
    </w:rPr>
  </w:style>
  <w:style w:type="paragraph" w:customStyle="1" w:styleId="author">
    <w:name w:val="author"/>
    <w:basedOn w:val="Normal"/>
    <w:rsid w:val="00695923"/>
    <w:pPr>
      <w:spacing w:before="100" w:beforeAutospacing="1" w:after="100" w:afterAutospacing="1"/>
    </w:pPr>
    <w:rPr>
      <w:rFonts w:ascii="Times New Roman" w:eastAsia="Times New Roman" w:hAnsi="Times New Roman"/>
      <w:sz w:val="24"/>
      <w:szCs w:val="24"/>
      <w:lang w:eastAsia="en-AU"/>
    </w:rPr>
  </w:style>
  <w:style w:type="paragraph" w:customStyle="1" w:styleId="published">
    <w:name w:val="published"/>
    <w:basedOn w:val="Normal"/>
    <w:rsid w:val="00695923"/>
    <w:pPr>
      <w:spacing w:before="100" w:beforeAutospacing="1" w:after="100" w:afterAutospacing="1"/>
    </w:pPr>
    <w:rPr>
      <w:rFonts w:ascii="Times New Roman" w:eastAsia="Times New Roman" w:hAnsi="Times New Roman"/>
      <w:sz w:val="24"/>
      <w:szCs w:val="24"/>
      <w:lang w:eastAsia="en-AU"/>
    </w:rPr>
  </w:style>
  <w:style w:type="character" w:customStyle="1" w:styleId="timestamp">
    <w:name w:val="timestamp"/>
    <w:rsid w:val="00695923"/>
  </w:style>
  <w:style w:type="character" w:styleId="FollowedHyperlink">
    <w:name w:val="FollowedHyperlink"/>
    <w:uiPriority w:val="99"/>
    <w:semiHidden/>
    <w:unhideWhenUsed/>
    <w:rsid w:val="00755FF5"/>
    <w:rPr>
      <w:color w:val="800080"/>
      <w:u w:val="single"/>
    </w:rPr>
  </w:style>
  <w:style w:type="paragraph" w:styleId="BalloonText">
    <w:name w:val="Balloon Text"/>
    <w:basedOn w:val="Normal"/>
    <w:link w:val="BalloonTextChar"/>
    <w:uiPriority w:val="99"/>
    <w:semiHidden/>
    <w:unhideWhenUsed/>
    <w:rsid w:val="003E7E84"/>
    <w:rPr>
      <w:rFonts w:ascii="Arial" w:hAnsi="Arial" w:cs="Arial"/>
      <w:sz w:val="16"/>
      <w:szCs w:val="16"/>
    </w:rPr>
  </w:style>
  <w:style w:type="character" w:customStyle="1" w:styleId="BalloonTextChar">
    <w:name w:val="Balloon Text Char"/>
    <w:link w:val="BalloonText"/>
    <w:uiPriority w:val="99"/>
    <w:semiHidden/>
    <w:rsid w:val="003E7E84"/>
    <w:rPr>
      <w:rFonts w:ascii="Arial" w:hAnsi="Arial" w:cs="Arial"/>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paragraph" w:styleId="Heading1">
    <w:name w:val="heading 1"/>
    <w:basedOn w:val="Normal"/>
    <w:link w:val="Heading1Char"/>
    <w:uiPriority w:val="9"/>
    <w:qFormat/>
    <w:rsid w:val="00695923"/>
    <w:pPr>
      <w:spacing w:before="100" w:beforeAutospacing="1" w:after="100" w:afterAutospacing="1"/>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A3192"/>
    <w:rPr>
      <w:color w:val="005078"/>
      <w:u w:val="single"/>
    </w:rPr>
  </w:style>
  <w:style w:type="paragraph" w:customStyle="1" w:styleId="Default">
    <w:name w:val="Default"/>
    <w:rsid w:val="00312927"/>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9C1DE0"/>
    <w:pPr>
      <w:tabs>
        <w:tab w:val="center" w:pos="4513"/>
        <w:tab w:val="right" w:pos="9026"/>
      </w:tabs>
    </w:pPr>
  </w:style>
  <w:style w:type="character" w:customStyle="1" w:styleId="HeaderChar">
    <w:name w:val="Header Char"/>
    <w:link w:val="Header"/>
    <w:uiPriority w:val="99"/>
    <w:rsid w:val="009C1DE0"/>
    <w:rPr>
      <w:sz w:val="22"/>
      <w:szCs w:val="22"/>
      <w:lang w:eastAsia="en-US"/>
    </w:rPr>
  </w:style>
  <w:style w:type="paragraph" w:styleId="Footer">
    <w:name w:val="footer"/>
    <w:basedOn w:val="Normal"/>
    <w:link w:val="FooterChar"/>
    <w:uiPriority w:val="99"/>
    <w:unhideWhenUsed/>
    <w:rsid w:val="009C1DE0"/>
    <w:pPr>
      <w:tabs>
        <w:tab w:val="center" w:pos="4513"/>
        <w:tab w:val="right" w:pos="9026"/>
      </w:tabs>
    </w:pPr>
  </w:style>
  <w:style w:type="character" w:customStyle="1" w:styleId="FooterChar">
    <w:name w:val="Footer Char"/>
    <w:link w:val="Footer"/>
    <w:uiPriority w:val="99"/>
    <w:rsid w:val="009C1DE0"/>
    <w:rPr>
      <w:sz w:val="22"/>
      <w:szCs w:val="22"/>
      <w:lang w:eastAsia="en-US"/>
    </w:rPr>
  </w:style>
  <w:style w:type="character" w:customStyle="1" w:styleId="Heading1Char">
    <w:name w:val="Heading 1 Char"/>
    <w:link w:val="Heading1"/>
    <w:uiPriority w:val="9"/>
    <w:rsid w:val="00695923"/>
    <w:rPr>
      <w:rFonts w:ascii="Times New Roman" w:eastAsia="Times New Roman" w:hAnsi="Times New Roman"/>
      <w:b/>
      <w:bCs/>
      <w:kern w:val="36"/>
      <w:sz w:val="48"/>
      <w:szCs w:val="48"/>
    </w:rPr>
  </w:style>
  <w:style w:type="paragraph" w:customStyle="1" w:styleId="author">
    <w:name w:val="author"/>
    <w:basedOn w:val="Normal"/>
    <w:rsid w:val="00695923"/>
    <w:pPr>
      <w:spacing w:before="100" w:beforeAutospacing="1" w:after="100" w:afterAutospacing="1"/>
    </w:pPr>
    <w:rPr>
      <w:rFonts w:ascii="Times New Roman" w:eastAsia="Times New Roman" w:hAnsi="Times New Roman"/>
      <w:sz w:val="24"/>
      <w:szCs w:val="24"/>
      <w:lang w:eastAsia="en-AU"/>
    </w:rPr>
  </w:style>
  <w:style w:type="paragraph" w:customStyle="1" w:styleId="published">
    <w:name w:val="published"/>
    <w:basedOn w:val="Normal"/>
    <w:rsid w:val="00695923"/>
    <w:pPr>
      <w:spacing w:before="100" w:beforeAutospacing="1" w:after="100" w:afterAutospacing="1"/>
    </w:pPr>
    <w:rPr>
      <w:rFonts w:ascii="Times New Roman" w:eastAsia="Times New Roman" w:hAnsi="Times New Roman"/>
      <w:sz w:val="24"/>
      <w:szCs w:val="24"/>
      <w:lang w:eastAsia="en-AU"/>
    </w:rPr>
  </w:style>
  <w:style w:type="character" w:customStyle="1" w:styleId="timestamp">
    <w:name w:val="timestamp"/>
    <w:rsid w:val="00695923"/>
  </w:style>
  <w:style w:type="character" w:styleId="FollowedHyperlink">
    <w:name w:val="FollowedHyperlink"/>
    <w:uiPriority w:val="99"/>
    <w:semiHidden/>
    <w:unhideWhenUsed/>
    <w:rsid w:val="00755FF5"/>
    <w:rPr>
      <w:color w:val="800080"/>
      <w:u w:val="single"/>
    </w:rPr>
  </w:style>
  <w:style w:type="paragraph" w:styleId="BalloonText">
    <w:name w:val="Balloon Text"/>
    <w:basedOn w:val="Normal"/>
    <w:link w:val="BalloonTextChar"/>
    <w:uiPriority w:val="99"/>
    <w:semiHidden/>
    <w:unhideWhenUsed/>
    <w:rsid w:val="003E7E84"/>
    <w:rPr>
      <w:rFonts w:ascii="Arial" w:hAnsi="Arial" w:cs="Arial"/>
      <w:sz w:val="16"/>
      <w:szCs w:val="16"/>
    </w:rPr>
  </w:style>
  <w:style w:type="character" w:customStyle="1" w:styleId="BalloonTextChar">
    <w:name w:val="Balloon Text Char"/>
    <w:link w:val="BalloonText"/>
    <w:uiPriority w:val="99"/>
    <w:semiHidden/>
    <w:rsid w:val="003E7E84"/>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38005">
      <w:bodyDiv w:val="1"/>
      <w:marLeft w:val="0"/>
      <w:marRight w:val="0"/>
      <w:marTop w:val="0"/>
      <w:marBottom w:val="0"/>
      <w:divBdr>
        <w:top w:val="none" w:sz="0" w:space="0" w:color="auto"/>
        <w:left w:val="none" w:sz="0" w:space="0" w:color="auto"/>
        <w:bottom w:val="none" w:sz="0" w:space="0" w:color="auto"/>
        <w:right w:val="none" w:sz="0" w:space="0" w:color="auto"/>
      </w:divBdr>
      <w:divsChild>
        <w:div w:id="406152717">
          <w:marLeft w:val="0"/>
          <w:marRight w:val="0"/>
          <w:marTop w:val="0"/>
          <w:marBottom w:val="0"/>
          <w:divBdr>
            <w:top w:val="none" w:sz="0" w:space="0" w:color="auto"/>
            <w:left w:val="none" w:sz="0" w:space="0" w:color="auto"/>
            <w:bottom w:val="none" w:sz="0" w:space="0" w:color="auto"/>
            <w:right w:val="none" w:sz="0" w:space="0" w:color="auto"/>
          </w:divBdr>
          <w:divsChild>
            <w:div w:id="452598166">
              <w:marLeft w:val="0"/>
              <w:marRight w:val="0"/>
              <w:marTop w:val="0"/>
              <w:marBottom w:val="0"/>
              <w:divBdr>
                <w:top w:val="none" w:sz="0" w:space="0" w:color="auto"/>
                <w:left w:val="none" w:sz="0" w:space="0" w:color="auto"/>
                <w:bottom w:val="none" w:sz="0" w:space="0" w:color="auto"/>
                <w:right w:val="none" w:sz="0" w:space="0" w:color="auto"/>
              </w:divBdr>
              <w:divsChild>
                <w:div w:id="1370230005">
                  <w:marLeft w:val="0"/>
                  <w:marRight w:val="0"/>
                  <w:marTop w:val="0"/>
                  <w:marBottom w:val="0"/>
                  <w:divBdr>
                    <w:top w:val="none" w:sz="0" w:space="0" w:color="auto"/>
                    <w:left w:val="none" w:sz="0" w:space="0" w:color="auto"/>
                    <w:bottom w:val="none" w:sz="0" w:space="0" w:color="auto"/>
                    <w:right w:val="none" w:sz="0" w:space="0" w:color="auto"/>
                  </w:divBdr>
                  <w:divsChild>
                    <w:div w:id="629096124">
                      <w:marLeft w:val="0"/>
                      <w:marRight w:val="0"/>
                      <w:marTop w:val="0"/>
                      <w:marBottom w:val="0"/>
                      <w:divBdr>
                        <w:top w:val="none" w:sz="0" w:space="0" w:color="auto"/>
                        <w:left w:val="none" w:sz="0" w:space="0" w:color="auto"/>
                        <w:bottom w:val="none" w:sz="0" w:space="0" w:color="auto"/>
                        <w:right w:val="none" w:sz="0" w:space="0" w:color="auto"/>
                      </w:divBdr>
                      <w:divsChild>
                        <w:div w:id="139816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cities.com.a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bc.net.au/catalyst/stories/3201781.htm" TargetMode="External"/><Relationship Id="rId4" Type="http://schemas.openxmlformats.org/officeDocument/2006/relationships/settings" Target="settings.xml"/><Relationship Id="rId9" Type="http://schemas.openxmlformats.org/officeDocument/2006/relationships/hyperlink" Target="http://www.abc.net.au/news/2011-04-28/age-of-cheap-fuel-is-over-iea/2695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4561</Words>
  <Characters>26001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30501</CharactersWithSpaces>
  <SharedDoc>false</SharedDoc>
  <HLinks>
    <vt:vector size="24" baseType="variant">
      <vt:variant>
        <vt:i4>7733288</vt:i4>
      </vt:variant>
      <vt:variant>
        <vt:i4>9</vt:i4>
      </vt:variant>
      <vt:variant>
        <vt:i4>0</vt:i4>
      </vt:variant>
      <vt:variant>
        <vt:i4>5</vt:i4>
      </vt:variant>
      <vt:variant>
        <vt:lpwstr>http://www.abc.net.au/catalyst/stories/3201781.htm</vt:lpwstr>
      </vt:variant>
      <vt:variant>
        <vt:lpwstr/>
      </vt:variant>
      <vt:variant>
        <vt:i4>3604529</vt:i4>
      </vt:variant>
      <vt:variant>
        <vt:i4>6</vt:i4>
      </vt:variant>
      <vt:variant>
        <vt:i4>0</vt:i4>
      </vt:variant>
      <vt:variant>
        <vt:i4>5</vt:i4>
      </vt:variant>
      <vt:variant>
        <vt:lpwstr>http://www.abc.net.au/news/2011-04-28/age-of-cheap-fuel-is-over-iea/2695928</vt:lpwstr>
      </vt:variant>
      <vt:variant>
        <vt:lpwstr/>
      </vt:variant>
      <vt:variant>
        <vt:i4>1835097</vt:i4>
      </vt:variant>
      <vt:variant>
        <vt:i4>3</vt:i4>
      </vt:variant>
      <vt:variant>
        <vt:i4>0</vt:i4>
      </vt:variant>
      <vt:variant>
        <vt:i4>5</vt:i4>
      </vt:variant>
      <vt:variant>
        <vt:lpwstr>http://www.healthycities.com.au/</vt:lpwstr>
      </vt:variant>
      <vt:variant>
        <vt:lpwstr/>
      </vt:variant>
      <vt:variant>
        <vt:i4>655457</vt:i4>
      </vt:variant>
      <vt:variant>
        <vt:i4>0</vt:i4>
      </vt:variant>
      <vt:variant>
        <vt:i4>0</vt:i4>
      </vt:variant>
      <vt:variant>
        <vt:i4>5</vt:i4>
      </vt:variant>
      <vt:variant>
        <vt:lpwstr>mailto:wedward@brisnet.com.au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DR181 - Geoff Edwards - Public Infrastructure - Public inquiry</dc:title>
  <dc:creator>Geoff Edwards</dc:creator>
  <cp:lastModifiedBy>Productivity Commission</cp:lastModifiedBy>
  <cp:revision>3</cp:revision>
  <cp:lastPrinted>2014-04-13T22:39:00Z</cp:lastPrinted>
  <dcterms:created xsi:type="dcterms:W3CDTF">2014-04-24T05:12:00Z</dcterms:created>
  <dcterms:modified xsi:type="dcterms:W3CDTF">2014-05-15T03:48:00Z</dcterms:modified>
</cp:coreProperties>
</file>