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26" w:rsidRDefault="00E50826" w:rsidP="00CB5673">
      <w:pPr>
        <w:spacing w:after="0" w:line="240" w:lineRule="auto"/>
        <w:rPr>
          <w:sz w:val="24"/>
          <w:szCs w:val="24"/>
        </w:rPr>
      </w:pPr>
      <w:r w:rsidRPr="00E50826">
        <w:rPr>
          <w:sz w:val="24"/>
          <w:szCs w:val="24"/>
        </w:rPr>
        <w:t xml:space="preserve">Inquiry </w:t>
      </w:r>
      <w:r>
        <w:rPr>
          <w:sz w:val="24"/>
          <w:szCs w:val="24"/>
        </w:rPr>
        <w:t>i</w:t>
      </w:r>
      <w:r w:rsidRPr="00E50826">
        <w:rPr>
          <w:sz w:val="24"/>
          <w:szCs w:val="24"/>
        </w:rPr>
        <w:t>nto Public Infrastructure</w:t>
      </w:r>
    </w:p>
    <w:p w:rsidR="00E50826" w:rsidRDefault="00E50826" w:rsidP="00CB5673">
      <w:pPr>
        <w:spacing w:after="0" w:line="240" w:lineRule="auto"/>
        <w:rPr>
          <w:sz w:val="24"/>
          <w:szCs w:val="24"/>
        </w:rPr>
      </w:pPr>
      <w:r>
        <w:rPr>
          <w:sz w:val="24"/>
          <w:szCs w:val="24"/>
        </w:rPr>
        <w:t>Productivity Commission</w:t>
      </w:r>
    </w:p>
    <w:p w:rsidR="00E50826" w:rsidRDefault="00E50826" w:rsidP="00CB5673">
      <w:pPr>
        <w:spacing w:after="0" w:line="240" w:lineRule="auto"/>
        <w:rPr>
          <w:sz w:val="24"/>
          <w:szCs w:val="24"/>
        </w:rPr>
      </w:pPr>
      <w:r>
        <w:rPr>
          <w:sz w:val="24"/>
          <w:szCs w:val="24"/>
        </w:rPr>
        <w:t>LB2 Collins Street East</w:t>
      </w:r>
    </w:p>
    <w:p w:rsidR="00E50826" w:rsidRDefault="00E50826" w:rsidP="00CB5673">
      <w:pPr>
        <w:spacing w:after="0" w:line="240" w:lineRule="auto"/>
        <w:rPr>
          <w:sz w:val="24"/>
          <w:szCs w:val="24"/>
        </w:rPr>
      </w:pPr>
      <w:r>
        <w:rPr>
          <w:sz w:val="24"/>
          <w:szCs w:val="24"/>
        </w:rPr>
        <w:t>MELBOURNE VIC 8003</w:t>
      </w:r>
    </w:p>
    <w:p w:rsidR="00E50826" w:rsidRPr="00E50826" w:rsidRDefault="00E50826" w:rsidP="00E50826">
      <w:pPr>
        <w:spacing w:after="0"/>
        <w:rPr>
          <w:sz w:val="24"/>
          <w:szCs w:val="24"/>
        </w:rPr>
      </w:pPr>
    </w:p>
    <w:p w:rsidR="00FC10A0" w:rsidRPr="005B5E16" w:rsidRDefault="00D355EC">
      <w:pPr>
        <w:rPr>
          <w:b/>
          <w:sz w:val="24"/>
          <w:szCs w:val="24"/>
        </w:rPr>
      </w:pPr>
      <w:r>
        <w:rPr>
          <w:b/>
          <w:sz w:val="24"/>
          <w:szCs w:val="24"/>
        </w:rPr>
        <w:t xml:space="preserve">PUBLIC </w:t>
      </w:r>
      <w:r w:rsidR="00CB25D2" w:rsidRPr="005B5E16">
        <w:rPr>
          <w:b/>
          <w:sz w:val="24"/>
          <w:szCs w:val="24"/>
        </w:rPr>
        <w:t>INFRASTRUCTURE PRICING</w:t>
      </w:r>
    </w:p>
    <w:p w:rsidR="00E50826" w:rsidRDefault="00E50826" w:rsidP="00CB25D2">
      <w:pPr>
        <w:pStyle w:val="Default"/>
        <w:rPr>
          <w:rFonts w:ascii="Calibri" w:hAnsi="Calibri"/>
        </w:rPr>
      </w:pPr>
      <w:r>
        <w:rPr>
          <w:rFonts w:ascii="Calibri" w:hAnsi="Calibri"/>
        </w:rPr>
        <w:t>The purpose of this note is to bring to the attention of the Commission a publication by the Commonwealth Treasury (in which I was involved while at the Treasury) that may assist the Commission in finalising its report into public infrastructure. The Treasury publication may, in particular, be of interest in relation to infrastructure pricing.</w:t>
      </w:r>
    </w:p>
    <w:p w:rsidR="00E50826" w:rsidRDefault="00E50826" w:rsidP="00CB25D2">
      <w:pPr>
        <w:pStyle w:val="Default"/>
        <w:rPr>
          <w:rFonts w:ascii="Calibri" w:hAnsi="Calibri"/>
        </w:rPr>
      </w:pPr>
    </w:p>
    <w:p w:rsidR="00E50826" w:rsidRDefault="00E50826" w:rsidP="00CB25D2">
      <w:pPr>
        <w:pStyle w:val="Default"/>
        <w:rPr>
          <w:rFonts w:ascii="Calibri" w:eastAsia="Times New Roman" w:hAnsi="Calibri" w:cs="Times New Roman"/>
          <w:lang w:eastAsia="en-AU"/>
        </w:rPr>
      </w:pPr>
      <w:r>
        <w:rPr>
          <w:rFonts w:ascii="Calibri" w:hAnsi="Calibri"/>
        </w:rPr>
        <w:t>The Treasury publication is</w:t>
      </w:r>
      <w:r>
        <w:rPr>
          <w:rFonts w:ascii="Calibri" w:eastAsia="Times New Roman" w:hAnsi="Calibri" w:cs="Times New Roman"/>
          <w:lang w:eastAsia="en-AU"/>
        </w:rPr>
        <w:t>:</w:t>
      </w:r>
      <w:r w:rsidRPr="004D00B7">
        <w:rPr>
          <w:rFonts w:ascii="Calibri" w:eastAsia="Times New Roman" w:hAnsi="Calibri" w:cs="Times New Roman"/>
          <w:lang w:eastAsia="en-AU"/>
        </w:rPr>
        <w:t xml:space="preserve"> </w:t>
      </w:r>
      <w:r w:rsidRPr="004D00B7">
        <w:rPr>
          <w:rFonts w:ascii="Calibri" w:eastAsia="Times New Roman" w:hAnsi="Calibri" w:cs="Times New Roman"/>
          <w:i/>
          <w:iCs/>
          <w:lang w:eastAsia="en-AU"/>
        </w:rPr>
        <w:t>Financial Monitoring of Government Business Enterprises: An Economic Framework</w:t>
      </w:r>
      <w:r w:rsidRPr="004D00B7">
        <w:rPr>
          <w:rFonts w:ascii="Calibri" w:eastAsia="Times New Roman" w:hAnsi="Calibri" w:cs="Times New Roman"/>
          <w:lang w:eastAsia="en-AU"/>
        </w:rPr>
        <w:t>, Treasury Economic Paper 14, AGPS, 1990</w:t>
      </w:r>
      <w:r>
        <w:rPr>
          <w:rFonts w:ascii="Calibri" w:eastAsia="Times New Roman" w:hAnsi="Calibri" w:cs="Times New Roman"/>
          <w:lang w:eastAsia="en-AU"/>
        </w:rPr>
        <w:t xml:space="preserve"> (‘TEP 14’)</w:t>
      </w:r>
      <w:r w:rsidRPr="004D00B7">
        <w:rPr>
          <w:rFonts w:ascii="Calibri" w:eastAsia="Times New Roman" w:hAnsi="Calibri" w:cs="Times New Roman"/>
          <w:lang w:eastAsia="en-AU"/>
        </w:rPr>
        <w:t>.</w:t>
      </w:r>
    </w:p>
    <w:p w:rsidR="00E50826" w:rsidRDefault="00E50826" w:rsidP="00CB25D2">
      <w:pPr>
        <w:pStyle w:val="Default"/>
        <w:rPr>
          <w:rFonts w:ascii="Calibri" w:eastAsia="Times New Roman" w:hAnsi="Calibri" w:cs="Times New Roman"/>
          <w:lang w:eastAsia="en-AU"/>
        </w:rPr>
      </w:pPr>
    </w:p>
    <w:p w:rsidR="00635EA8" w:rsidRDefault="00E50826" w:rsidP="00CB25D2">
      <w:pPr>
        <w:pStyle w:val="Default"/>
        <w:rPr>
          <w:rFonts w:ascii="Calibri" w:eastAsia="Times New Roman" w:hAnsi="Calibri" w:cs="Times New Roman"/>
          <w:lang w:eastAsia="en-AU"/>
        </w:rPr>
      </w:pPr>
      <w:r>
        <w:rPr>
          <w:rFonts w:ascii="Calibri" w:eastAsia="Times New Roman" w:hAnsi="Calibri" w:cs="Times New Roman"/>
          <w:lang w:eastAsia="en-AU"/>
        </w:rPr>
        <w:t>Chapter 4 (Pricing of Goods and Services) of TEP</w:t>
      </w:r>
      <w:r w:rsidR="00A97E0F">
        <w:rPr>
          <w:rFonts w:ascii="Calibri" w:eastAsia="Times New Roman" w:hAnsi="Calibri" w:cs="Times New Roman"/>
          <w:lang w:eastAsia="en-AU"/>
        </w:rPr>
        <w:t xml:space="preserve"> </w:t>
      </w:r>
      <w:r>
        <w:rPr>
          <w:rFonts w:ascii="Calibri" w:eastAsia="Times New Roman" w:hAnsi="Calibri" w:cs="Times New Roman"/>
          <w:lang w:eastAsia="en-AU"/>
        </w:rPr>
        <w:t>14</w:t>
      </w:r>
      <w:r w:rsidR="00A97E0F">
        <w:rPr>
          <w:rFonts w:ascii="Calibri" w:eastAsia="Times New Roman" w:hAnsi="Calibri" w:cs="Times New Roman"/>
          <w:lang w:eastAsia="en-AU"/>
        </w:rPr>
        <w:t xml:space="preserve"> presents a practical pricing strategy for </w:t>
      </w:r>
      <w:r w:rsidR="00E0225F">
        <w:rPr>
          <w:rFonts w:ascii="Calibri" w:eastAsia="Times New Roman" w:hAnsi="Calibri" w:cs="Times New Roman"/>
          <w:lang w:eastAsia="en-AU"/>
        </w:rPr>
        <w:t xml:space="preserve">goods and </w:t>
      </w:r>
      <w:r w:rsidR="00A97E0F">
        <w:rPr>
          <w:rFonts w:ascii="Calibri" w:eastAsia="Times New Roman" w:hAnsi="Calibri" w:cs="Times New Roman"/>
          <w:lang w:eastAsia="en-AU"/>
        </w:rPr>
        <w:t xml:space="preserve">services provided by business units of government businesses. </w:t>
      </w:r>
      <w:r w:rsidR="00635EA8">
        <w:rPr>
          <w:rFonts w:ascii="Calibri" w:eastAsia="Times New Roman" w:hAnsi="Calibri" w:cs="Times New Roman"/>
          <w:lang w:eastAsia="en-AU"/>
        </w:rPr>
        <w:t>These goods and services</w:t>
      </w:r>
      <w:r w:rsidR="00E0225F">
        <w:rPr>
          <w:rFonts w:ascii="Calibri" w:eastAsia="Times New Roman" w:hAnsi="Calibri" w:cs="Times New Roman"/>
          <w:lang w:eastAsia="en-AU"/>
        </w:rPr>
        <w:t xml:space="preserve"> may be provided directly by government, indirectly via enterprises owned and controlled by government or provided by the private sector under government contract which includes pricing controls. Funding of associated capital investment may </w:t>
      </w:r>
      <w:r w:rsidR="00FB0A8A">
        <w:rPr>
          <w:rFonts w:ascii="Calibri" w:eastAsia="Times New Roman" w:hAnsi="Calibri" w:cs="Times New Roman"/>
          <w:lang w:eastAsia="en-AU"/>
        </w:rPr>
        <w:t>include</w:t>
      </w:r>
      <w:r w:rsidR="00E0225F">
        <w:rPr>
          <w:rFonts w:ascii="Calibri" w:eastAsia="Times New Roman" w:hAnsi="Calibri" w:cs="Times New Roman"/>
          <w:lang w:eastAsia="en-AU"/>
        </w:rPr>
        <w:t xml:space="preserve"> debt or </w:t>
      </w:r>
      <w:r w:rsidR="00635EA8">
        <w:rPr>
          <w:rFonts w:ascii="Calibri" w:eastAsia="Times New Roman" w:hAnsi="Calibri" w:cs="Times New Roman"/>
          <w:lang w:eastAsia="en-AU"/>
        </w:rPr>
        <w:t xml:space="preserve">government/private </w:t>
      </w:r>
      <w:r w:rsidR="00E0225F">
        <w:rPr>
          <w:rFonts w:ascii="Calibri" w:eastAsia="Times New Roman" w:hAnsi="Calibri" w:cs="Times New Roman"/>
          <w:lang w:eastAsia="en-AU"/>
        </w:rPr>
        <w:t>equity</w:t>
      </w:r>
      <w:r w:rsidR="00635EA8">
        <w:rPr>
          <w:rFonts w:ascii="Calibri" w:eastAsia="Times New Roman" w:hAnsi="Calibri" w:cs="Times New Roman"/>
          <w:lang w:eastAsia="en-AU"/>
        </w:rPr>
        <w:t xml:space="preserve">. The goods and services are not pure public goods (joint consumption unable to be excluded by pricing). </w:t>
      </w:r>
      <w:r w:rsidR="00E0225F">
        <w:rPr>
          <w:rFonts w:ascii="Calibri" w:eastAsia="Times New Roman" w:hAnsi="Calibri" w:cs="Times New Roman"/>
          <w:lang w:eastAsia="en-AU"/>
        </w:rPr>
        <w:t xml:space="preserve"> </w:t>
      </w:r>
    </w:p>
    <w:p w:rsidR="00635EA8" w:rsidRDefault="00635EA8" w:rsidP="00CB25D2">
      <w:pPr>
        <w:pStyle w:val="Default"/>
        <w:rPr>
          <w:rFonts w:ascii="Calibri" w:eastAsia="Times New Roman" w:hAnsi="Calibri" w:cs="Times New Roman"/>
          <w:lang w:eastAsia="en-AU"/>
        </w:rPr>
      </w:pPr>
    </w:p>
    <w:p w:rsidR="00E0225F" w:rsidRDefault="00A97E0F" w:rsidP="00CB25D2">
      <w:pPr>
        <w:pStyle w:val="Default"/>
        <w:rPr>
          <w:rFonts w:ascii="Calibri" w:hAnsi="Calibri"/>
        </w:rPr>
      </w:pPr>
      <w:r>
        <w:rPr>
          <w:rFonts w:ascii="Calibri" w:eastAsia="Times New Roman" w:hAnsi="Calibri" w:cs="Times New Roman"/>
          <w:lang w:eastAsia="en-AU"/>
        </w:rPr>
        <w:t xml:space="preserve">The business units </w:t>
      </w:r>
      <w:r w:rsidR="00635EA8">
        <w:rPr>
          <w:rFonts w:ascii="Calibri" w:eastAsia="Times New Roman" w:hAnsi="Calibri" w:cs="Times New Roman"/>
          <w:lang w:eastAsia="en-AU"/>
        </w:rPr>
        <w:t xml:space="preserve">subject to TEP 14 </w:t>
      </w:r>
      <w:r w:rsidR="00FB0A8A">
        <w:rPr>
          <w:rFonts w:ascii="Calibri" w:eastAsia="Times New Roman" w:hAnsi="Calibri" w:cs="Times New Roman"/>
          <w:lang w:eastAsia="en-AU"/>
        </w:rPr>
        <w:t xml:space="preserve">discussion </w:t>
      </w:r>
      <w:r>
        <w:rPr>
          <w:rFonts w:ascii="Calibri" w:eastAsia="Times New Roman" w:hAnsi="Calibri" w:cs="Times New Roman"/>
          <w:lang w:eastAsia="en-AU"/>
        </w:rPr>
        <w:t xml:space="preserve">typically have some degree of </w:t>
      </w:r>
      <w:r w:rsidR="00FB0A8A">
        <w:rPr>
          <w:rFonts w:ascii="Calibri" w:eastAsia="Times New Roman" w:hAnsi="Calibri" w:cs="Times New Roman"/>
          <w:lang w:eastAsia="en-AU"/>
        </w:rPr>
        <w:t>legislated market presence</w:t>
      </w:r>
      <w:r>
        <w:rPr>
          <w:rFonts w:ascii="Calibri" w:eastAsia="Times New Roman" w:hAnsi="Calibri" w:cs="Times New Roman"/>
          <w:lang w:eastAsia="en-AU"/>
        </w:rPr>
        <w:t xml:space="preserve"> and assets (invariably infrastructure assets)</w:t>
      </w:r>
      <w:r w:rsidR="00FB0A8A">
        <w:rPr>
          <w:rFonts w:ascii="Calibri" w:eastAsia="Times New Roman" w:hAnsi="Calibri" w:cs="Times New Roman"/>
          <w:lang w:eastAsia="en-AU"/>
        </w:rPr>
        <w:t xml:space="preserve"> that</w:t>
      </w:r>
      <w:r>
        <w:rPr>
          <w:rFonts w:ascii="Calibri" w:eastAsia="Times New Roman" w:hAnsi="Calibri" w:cs="Times New Roman"/>
          <w:lang w:eastAsia="en-AU"/>
        </w:rPr>
        <w:t xml:space="preserve"> are lumpy by nature. The pricing strategy in TEP 14 seeks to </w:t>
      </w:r>
      <w:r w:rsidR="00FB0A8A">
        <w:rPr>
          <w:rFonts w:ascii="Calibri" w:eastAsia="Times New Roman" w:hAnsi="Calibri" w:cs="Times New Roman"/>
          <w:lang w:eastAsia="en-AU"/>
        </w:rPr>
        <w:t>simulate</w:t>
      </w:r>
      <w:r>
        <w:rPr>
          <w:rFonts w:ascii="Calibri" w:eastAsia="Times New Roman" w:hAnsi="Calibri" w:cs="Times New Roman"/>
          <w:lang w:eastAsia="en-AU"/>
        </w:rPr>
        <w:t xml:space="preserve"> pricing that </w:t>
      </w:r>
      <w:r w:rsidR="00FB0A8A">
        <w:rPr>
          <w:rFonts w:ascii="Calibri" w:eastAsia="Times New Roman" w:hAnsi="Calibri" w:cs="Times New Roman"/>
          <w:lang w:eastAsia="en-AU"/>
        </w:rPr>
        <w:t>would be achieved were</w:t>
      </w:r>
      <w:r>
        <w:rPr>
          <w:rFonts w:ascii="Calibri" w:eastAsia="Times New Roman" w:hAnsi="Calibri" w:cs="Times New Roman"/>
          <w:lang w:eastAsia="en-AU"/>
        </w:rPr>
        <w:t xml:space="preserve"> the business units </w:t>
      </w:r>
      <w:r w:rsidR="00FB0A8A">
        <w:rPr>
          <w:rFonts w:ascii="Calibri" w:eastAsia="Times New Roman" w:hAnsi="Calibri" w:cs="Times New Roman"/>
          <w:lang w:eastAsia="en-AU"/>
        </w:rPr>
        <w:t>subject to</w:t>
      </w:r>
      <w:r>
        <w:rPr>
          <w:rFonts w:ascii="Calibri" w:eastAsia="Times New Roman" w:hAnsi="Calibri" w:cs="Times New Roman"/>
          <w:lang w:eastAsia="en-AU"/>
        </w:rPr>
        <w:t xml:space="preserve"> a fully competitive environment. That is in line with the Commission’s</w:t>
      </w:r>
      <w:r w:rsidR="00E0225F">
        <w:rPr>
          <w:rFonts w:ascii="Calibri" w:eastAsia="Times New Roman" w:hAnsi="Calibri" w:cs="Times New Roman"/>
          <w:lang w:eastAsia="en-AU"/>
        </w:rPr>
        <w:t xml:space="preserve"> draft report that sees </w:t>
      </w:r>
      <w:r w:rsidR="00BD4B62">
        <w:rPr>
          <w:rFonts w:ascii="Calibri" w:eastAsia="Times New Roman" w:hAnsi="Calibri" w:cs="Times New Roman"/>
          <w:lang w:eastAsia="en-AU"/>
        </w:rPr>
        <w:t>d</w:t>
      </w:r>
      <w:r w:rsidR="00CB25D2" w:rsidRPr="00CB25D2">
        <w:rPr>
          <w:rFonts w:ascii="Calibri" w:hAnsi="Calibri"/>
        </w:rPr>
        <w:t xml:space="preserve">irect user charges </w:t>
      </w:r>
      <w:r w:rsidR="00BD4B62">
        <w:rPr>
          <w:rFonts w:ascii="Calibri" w:hAnsi="Calibri"/>
        </w:rPr>
        <w:t>as providing “</w:t>
      </w:r>
      <w:r w:rsidR="00CB25D2" w:rsidRPr="00CB25D2">
        <w:rPr>
          <w:rFonts w:ascii="Calibri" w:hAnsi="Calibri"/>
        </w:rPr>
        <w:t>an incentive for efficient provision and use of infrastructure</w:t>
      </w:r>
      <w:r w:rsidR="00CB25D2">
        <w:rPr>
          <w:rFonts w:ascii="Calibri" w:hAnsi="Calibri"/>
        </w:rPr>
        <w:t>”.</w:t>
      </w:r>
      <w:r w:rsidR="00A960AA">
        <w:rPr>
          <w:rFonts w:ascii="Calibri" w:hAnsi="Calibri"/>
        </w:rPr>
        <w:t xml:space="preserve"> Achieving </w:t>
      </w:r>
      <w:r w:rsidR="00BD4B62">
        <w:rPr>
          <w:rFonts w:ascii="Calibri" w:hAnsi="Calibri"/>
        </w:rPr>
        <w:t>such</w:t>
      </w:r>
      <w:r w:rsidR="00A960AA">
        <w:rPr>
          <w:rFonts w:ascii="Calibri" w:hAnsi="Calibri"/>
        </w:rPr>
        <w:t xml:space="preserve"> efficiencies obviously depends on how the infrastructure prices are set.</w:t>
      </w:r>
    </w:p>
    <w:p w:rsidR="002A18AB" w:rsidRDefault="002A18AB" w:rsidP="00CB25D2">
      <w:pPr>
        <w:pStyle w:val="Default"/>
        <w:rPr>
          <w:rFonts w:ascii="Calibri" w:hAnsi="Calibri"/>
        </w:rPr>
      </w:pPr>
    </w:p>
    <w:p w:rsidR="00034A16" w:rsidRDefault="002A18AB" w:rsidP="00CB25D2">
      <w:pPr>
        <w:pStyle w:val="Default"/>
        <w:rPr>
          <w:rFonts w:ascii="Calibri" w:hAnsi="Calibri"/>
        </w:rPr>
      </w:pPr>
      <w:r>
        <w:rPr>
          <w:rFonts w:ascii="Calibri" w:hAnsi="Calibri"/>
        </w:rPr>
        <w:t xml:space="preserve">Consistent with the Commission’s draft report, TEP 14’s pricing strategy is underpinned by </w:t>
      </w:r>
      <w:r w:rsidR="00FB0A8A">
        <w:rPr>
          <w:rFonts w:ascii="Calibri" w:hAnsi="Calibri"/>
        </w:rPr>
        <w:t>a</w:t>
      </w:r>
      <w:r w:rsidR="00F76407">
        <w:rPr>
          <w:rFonts w:ascii="Calibri" w:hAnsi="Calibri"/>
        </w:rPr>
        <w:t xml:space="preserve"> business unit’s short-run marginal cost (including ‘congestion’ costs as current capacity is reached) – not long-run </w:t>
      </w:r>
      <w:r w:rsidR="00367766">
        <w:rPr>
          <w:rFonts w:ascii="Calibri" w:hAnsi="Calibri"/>
        </w:rPr>
        <w:t xml:space="preserve">marginal </w:t>
      </w:r>
      <w:r w:rsidR="00F76407">
        <w:rPr>
          <w:rFonts w:ascii="Calibri" w:hAnsi="Calibri"/>
        </w:rPr>
        <w:t xml:space="preserve">costs. </w:t>
      </w:r>
      <w:r w:rsidR="00367766">
        <w:rPr>
          <w:rFonts w:ascii="Calibri" w:hAnsi="Calibri"/>
        </w:rPr>
        <w:t xml:space="preserve">In contrast, often in Australia, infrastructure pricing is set on the basis of long-run rates of return, resulting in capacity expansion automatically leading to price increases. Thus, </w:t>
      </w:r>
      <w:r w:rsidR="00034A16">
        <w:rPr>
          <w:rFonts w:ascii="Calibri" w:hAnsi="Calibri"/>
        </w:rPr>
        <w:t>t</w:t>
      </w:r>
      <w:r w:rsidR="00F76407">
        <w:rPr>
          <w:rFonts w:ascii="Calibri" w:hAnsi="Calibri"/>
        </w:rPr>
        <w:t xml:space="preserve">he pricing strategy in TEP 14 </w:t>
      </w:r>
      <w:r w:rsidR="00034A16">
        <w:rPr>
          <w:rFonts w:ascii="Calibri" w:hAnsi="Calibri"/>
        </w:rPr>
        <w:t>ensures</w:t>
      </w:r>
      <w:r w:rsidR="00367766">
        <w:rPr>
          <w:rFonts w:ascii="Calibri" w:hAnsi="Calibri"/>
        </w:rPr>
        <w:t xml:space="preserve"> the crucial </w:t>
      </w:r>
      <w:r w:rsidR="00F76407">
        <w:rPr>
          <w:rFonts w:ascii="Calibri" w:hAnsi="Calibri"/>
        </w:rPr>
        <w:t>separati</w:t>
      </w:r>
      <w:r w:rsidR="00367766">
        <w:rPr>
          <w:rFonts w:ascii="Calibri" w:hAnsi="Calibri"/>
        </w:rPr>
        <w:t>on of</w:t>
      </w:r>
      <w:r w:rsidR="00F76407">
        <w:rPr>
          <w:rFonts w:ascii="Calibri" w:hAnsi="Calibri"/>
        </w:rPr>
        <w:t xml:space="preserve"> infrastructure pricing from associated long-run marginal costs or rates of return</w:t>
      </w:r>
      <w:r w:rsidR="00367766">
        <w:rPr>
          <w:rFonts w:ascii="Calibri" w:hAnsi="Calibri"/>
        </w:rPr>
        <w:t xml:space="preserve">: </w:t>
      </w:r>
    </w:p>
    <w:p w:rsidR="00034A16" w:rsidRDefault="00034A16" w:rsidP="00CB25D2">
      <w:pPr>
        <w:pStyle w:val="Default"/>
        <w:rPr>
          <w:rFonts w:ascii="Calibri" w:hAnsi="Calibri"/>
        </w:rPr>
      </w:pPr>
    </w:p>
    <w:p w:rsidR="00034A16" w:rsidRDefault="00946379" w:rsidP="00034A16">
      <w:pPr>
        <w:pStyle w:val="Default"/>
        <w:numPr>
          <w:ilvl w:val="0"/>
          <w:numId w:val="1"/>
        </w:numPr>
        <w:rPr>
          <w:rFonts w:ascii="Calibri" w:eastAsia="Times New Roman" w:hAnsi="Calibri" w:cs="Times New Roman"/>
          <w:lang w:eastAsia="en-AU"/>
        </w:rPr>
      </w:pPr>
      <w:r w:rsidRPr="004D00B7">
        <w:rPr>
          <w:rFonts w:ascii="Calibri" w:eastAsia="Times New Roman" w:hAnsi="Calibri" w:cs="Times New Roman"/>
          <w:lang w:eastAsia="en-AU"/>
        </w:rPr>
        <w:t>prices set on the basis of short-run demand and supply considerations (or pricing to utilise all of currently available capacity)</w:t>
      </w:r>
      <w:r w:rsidR="00367766">
        <w:rPr>
          <w:rFonts w:ascii="Calibri" w:eastAsia="Times New Roman" w:hAnsi="Calibri" w:cs="Times New Roman"/>
          <w:lang w:eastAsia="en-AU"/>
        </w:rPr>
        <w:t>;</w:t>
      </w:r>
      <w:r w:rsidR="00034A16">
        <w:rPr>
          <w:rFonts w:ascii="Calibri" w:eastAsia="Times New Roman" w:hAnsi="Calibri" w:cs="Times New Roman"/>
          <w:lang w:eastAsia="en-AU"/>
        </w:rPr>
        <w:t xml:space="preserve">  and</w:t>
      </w:r>
      <w:r w:rsidR="00367766">
        <w:rPr>
          <w:rFonts w:ascii="Calibri" w:eastAsia="Times New Roman" w:hAnsi="Calibri" w:cs="Times New Roman"/>
          <w:lang w:eastAsia="en-AU"/>
        </w:rPr>
        <w:t xml:space="preserve"> </w:t>
      </w:r>
    </w:p>
    <w:p w:rsidR="00034A16" w:rsidRDefault="00034A16" w:rsidP="00CB25D2">
      <w:pPr>
        <w:pStyle w:val="Default"/>
        <w:rPr>
          <w:rFonts w:ascii="Calibri" w:eastAsia="Times New Roman" w:hAnsi="Calibri" w:cs="Times New Roman"/>
          <w:lang w:eastAsia="en-AU"/>
        </w:rPr>
      </w:pPr>
    </w:p>
    <w:p w:rsidR="00946379" w:rsidRDefault="00946379" w:rsidP="00034A16">
      <w:pPr>
        <w:pStyle w:val="Default"/>
        <w:numPr>
          <w:ilvl w:val="0"/>
          <w:numId w:val="1"/>
        </w:numPr>
        <w:rPr>
          <w:rFonts w:ascii="Calibri" w:eastAsia="Times New Roman" w:hAnsi="Calibri" w:cs="Times New Roman"/>
          <w:lang w:eastAsia="en-AU"/>
        </w:rPr>
      </w:pPr>
      <w:r>
        <w:rPr>
          <w:rFonts w:ascii="Calibri" w:eastAsia="Times New Roman" w:hAnsi="Calibri" w:cs="Times New Roman"/>
          <w:lang w:eastAsia="en-AU"/>
        </w:rPr>
        <w:t>annual returns from such pricing compare</w:t>
      </w:r>
      <w:r w:rsidR="00367766">
        <w:rPr>
          <w:rFonts w:ascii="Calibri" w:eastAsia="Times New Roman" w:hAnsi="Calibri" w:cs="Times New Roman"/>
          <w:lang w:eastAsia="en-AU"/>
        </w:rPr>
        <w:t>d</w:t>
      </w:r>
      <w:r>
        <w:rPr>
          <w:rFonts w:ascii="Calibri" w:eastAsia="Times New Roman" w:hAnsi="Calibri" w:cs="Times New Roman"/>
          <w:lang w:eastAsia="en-AU"/>
        </w:rPr>
        <w:t xml:space="preserve"> to long-run </w:t>
      </w:r>
      <w:r w:rsidR="00FB0A8A">
        <w:rPr>
          <w:rFonts w:ascii="Calibri" w:eastAsia="Times New Roman" w:hAnsi="Calibri" w:cs="Times New Roman"/>
          <w:lang w:eastAsia="en-AU"/>
        </w:rPr>
        <w:t xml:space="preserve">target </w:t>
      </w:r>
      <w:r>
        <w:rPr>
          <w:rFonts w:ascii="Calibri" w:eastAsia="Times New Roman" w:hAnsi="Calibri" w:cs="Times New Roman"/>
          <w:lang w:eastAsia="en-AU"/>
        </w:rPr>
        <w:t>rate</w:t>
      </w:r>
      <w:r w:rsidR="00FB0A8A">
        <w:rPr>
          <w:rFonts w:ascii="Calibri" w:eastAsia="Times New Roman" w:hAnsi="Calibri" w:cs="Times New Roman"/>
          <w:lang w:eastAsia="en-AU"/>
        </w:rPr>
        <w:t>s</w:t>
      </w:r>
      <w:r>
        <w:rPr>
          <w:rFonts w:ascii="Calibri" w:eastAsia="Times New Roman" w:hAnsi="Calibri" w:cs="Times New Roman"/>
          <w:lang w:eastAsia="en-AU"/>
        </w:rPr>
        <w:t xml:space="preserve"> of return then determine whether capacity needs to be expanded or reduced.</w:t>
      </w:r>
    </w:p>
    <w:p w:rsidR="00946379" w:rsidRDefault="00946379" w:rsidP="00CB25D2">
      <w:pPr>
        <w:pStyle w:val="Default"/>
        <w:rPr>
          <w:rFonts w:ascii="Calibri" w:eastAsia="Times New Roman" w:hAnsi="Calibri" w:cs="Times New Roman"/>
          <w:lang w:eastAsia="en-AU"/>
        </w:rPr>
      </w:pPr>
    </w:p>
    <w:p w:rsidR="00AE3BB3" w:rsidRDefault="00034A16" w:rsidP="00367766">
      <w:pPr>
        <w:pStyle w:val="Default"/>
        <w:rPr>
          <w:rFonts w:ascii="Calibri" w:hAnsi="Calibri"/>
        </w:rPr>
      </w:pPr>
      <w:r>
        <w:rPr>
          <w:rFonts w:ascii="Calibri" w:eastAsia="Times New Roman" w:hAnsi="Calibri" w:cs="Times New Roman"/>
          <w:lang w:eastAsia="en-AU"/>
        </w:rPr>
        <w:t>This strategy recognises that</w:t>
      </w:r>
      <w:r w:rsidR="00946379">
        <w:rPr>
          <w:rFonts w:ascii="Calibri" w:eastAsia="Times New Roman" w:hAnsi="Calibri" w:cs="Times New Roman"/>
          <w:lang w:eastAsia="en-AU"/>
        </w:rPr>
        <w:t xml:space="preserve"> efficient</w:t>
      </w:r>
      <w:r w:rsidR="00A960AA">
        <w:rPr>
          <w:rFonts w:ascii="Calibri" w:hAnsi="Calibri"/>
        </w:rPr>
        <w:t xml:space="preserve"> </w:t>
      </w:r>
      <w:r w:rsidR="00946379">
        <w:rPr>
          <w:rFonts w:ascii="Calibri" w:hAnsi="Calibri"/>
        </w:rPr>
        <w:t>provision and use of infrastructure require</w:t>
      </w:r>
      <w:r>
        <w:rPr>
          <w:rFonts w:ascii="Calibri" w:hAnsi="Calibri"/>
        </w:rPr>
        <w:t>, first,</w:t>
      </w:r>
      <w:r w:rsidR="00946379">
        <w:rPr>
          <w:rFonts w:ascii="Calibri" w:hAnsi="Calibri"/>
        </w:rPr>
        <w:t xml:space="preserve"> pricing set to maximise </w:t>
      </w:r>
      <w:r w:rsidR="00821BEB">
        <w:rPr>
          <w:rFonts w:ascii="Calibri" w:hAnsi="Calibri"/>
        </w:rPr>
        <w:t>utilisation of available capacity and</w:t>
      </w:r>
      <w:r>
        <w:rPr>
          <w:rFonts w:ascii="Calibri" w:hAnsi="Calibri"/>
        </w:rPr>
        <w:t>, secondly,</w:t>
      </w:r>
      <w:r w:rsidR="00821BEB">
        <w:rPr>
          <w:rFonts w:ascii="Calibri" w:hAnsi="Calibri"/>
        </w:rPr>
        <w:t xml:space="preserve"> capacity set in response to short-run returns compared to long-run rate of return target.</w:t>
      </w:r>
      <w:r w:rsidR="00367766">
        <w:rPr>
          <w:rFonts w:ascii="Calibri" w:hAnsi="Calibri"/>
        </w:rPr>
        <w:t xml:space="preserve"> </w:t>
      </w:r>
      <w:r w:rsidR="0080243C">
        <w:rPr>
          <w:rFonts w:ascii="Calibri" w:hAnsi="Calibri"/>
        </w:rPr>
        <w:t>As noted, t</w:t>
      </w:r>
      <w:r w:rsidR="00AE3BB3">
        <w:rPr>
          <w:rFonts w:ascii="Calibri" w:hAnsi="Calibri"/>
        </w:rPr>
        <w:t xml:space="preserve">his </w:t>
      </w:r>
      <w:r w:rsidR="00AE3BB3">
        <w:rPr>
          <w:rFonts w:ascii="Calibri" w:hAnsi="Calibri"/>
        </w:rPr>
        <w:lastRenderedPageBreak/>
        <w:t xml:space="preserve">strategy seeks to emulate pricing and investment decisions in a competitive market. </w:t>
      </w:r>
      <w:r w:rsidR="0080243C">
        <w:rPr>
          <w:rFonts w:ascii="Calibri" w:hAnsi="Calibri"/>
        </w:rPr>
        <w:t>Using bread to illustrate the parallel, s</w:t>
      </w:r>
      <w:r w:rsidR="00AE3BB3">
        <w:rPr>
          <w:rFonts w:ascii="Calibri" w:hAnsi="Calibri"/>
        </w:rPr>
        <w:t>ay at current bread prices, capacity meets demand and associated profits keep the bread makers in business. At current capacity, changes in the demand for bread would be expected to immediately affect prices. These price changes would affect profits and changes in profit would be a signal to bread-makers (including potential new entrants) to increase o</w:t>
      </w:r>
      <w:r w:rsidR="0080243C">
        <w:rPr>
          <w:rFonts w:ascii="Calibri" w:hAnsi="Calibri"/>
        </w:rPr>
        <w:t>r</w:t>
      </w:r>
      <w:r w:rsidR="00AE3BB3">
        <w:rPr>
          <w:rFonts w:ascii="Calibri" w:hAnsi="Calibri"/>
        </w:rPr>
        <w:t xml:space="preserve"> decrease bread-making capacity.</w:t>
      </w:r>
    </w:p>
    <w:p w:rsidR="00AE3BB3" w:rsidRDefault="00AE3BB3" w:rsidP="00367766">
      <w:pPr>
        <w:pStyle w:val="Default"/>
        <w:rPr>
          <w:rFonts w:ascii="Calibri" w:hAnsi="Calibri"/>
        </w:rPr>
      </w:pPr>
    </w:p>
    <w:p w:rsidR="00CA51B0" w:rsidRDefault="00367766" w:rsidP="00367766">
      <w:pPr>
        <w:pStyle w:val="Default"/>
        <w:rPr>
          <w:rFonts w:ascii="Calibri" w:eastAsia="Times New Roman" w:hAnsi="Calibri" w:cs="Times New Roman"/>
          <w:lang w:eastAsia="en-AU"/>
        </w:rPr>
      </w:pPr>
      <w:r>
        <w:rPr>
          <w:rFonts w:ascii="Calibri" w:hAnsi="Calibri"/>
        </w:rPr>
        <w:t>Th</w:t>
      </w:r>
      <w:r w:rsidR="00AE3BB3">
        <w:rPr>
          <w:rFonts w:ascii="Calibri" w:hAnsi="Calibri"/>
        </w:rPr>
        <w:t xml:space="preserve">e infrastructure pricing strategy in TEP 14 </w:t>
      </w:r>
      <w:r>
        <w:rPr>
          <w:rFonts w:ascii="Calibri" w:hAnsi="Calibri"/>
        </w:rPr>
        <w:t xml:space="preserve">is </w:t>
      </w:r>
      <w:r w:rsidR="009652CE">
        <w:rPr>
          <w:rFonts w:ascii="Calibri" w:eastAsia="Times New Roman" w:hAnsi="Calibri" w:cs="Times New Roman"/>
          <w:lang w:eastAsia="en-AU"/>
        </w:rPr>
        <w:t>summarised in the following two paragraphs from page 38</w:t>
      </w:r>
      <w:r w:rsidR="004D00B7" w:rsidRPr="004D00B7">
        <w:rPr>
          <w:rFonts w:ascii="Calibri" w:eastAsia="Times New Roman" w:hAnsi="Calibri" w:cs="Times New Roman"/>
          <w:lang w:eastAsia="en-AU"/>
        </w:rPr>
        <w:t>.</w:t>
      </w:r>
    </w:p>
    <w:p w:rsidR="00350CB5" w:rsidRDefault="00350CB5" w:rsidP="004D00B7">
      <w:pPr>
        <w:spacing w:after="0" w:line="240" w:lineRule="auto"/>
        <w:rPr>
          <w:rFonts w:ascii="Calibri" w:eastAsia="Times New Roman" w:hAnsi="Calibri" w:cs="Times New Roman"/>
          <w:color w:val="000000"/>
          <w:sz w:val="24"/>
          <w:szCs w:val="24"/>
          <w:lang w:eastAsia="en-AU"/>
        </w:rPr>
      </w:pPr>
    </w:p>
    <w:p w:rsidR="00350CB5" w:rsidRDefault="002345B6" w:rsidP="002345B6">
      <w:pPr>
        <w:spacing w:after="0" w:line="240" w:lineRule="auto"/>
        <w:ind w:left="720"/>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w:t>
      </w:r>
      <w:r w:rsidR="00350CB5">
        <w:rPr>
          <w:rFonts w:ascii="Calibri" w:eastAsia="Times New Roman" w:hAnsi="Calibri" w:cs="Times New Roman"/>
          <w:color w:val="000000"/>
          <w:sz w:val="24"/>
          <w:szCs w:val="24"/>
          <w:lang w:eastAsia="en-AU"/>
        </w:rPr>
        <w:t xml:space="preserve">In short, global target rates of return cannot be regarded simply as rates of return to be achieved through price adjustments, or even to be exceeded if possible. With pricing strategies designed to allocate current capacity most efficiently, sustained returns of individual services in excess of targets – which reflect the market risk associated with those services – suggest that an increase in capacity investment is economically justified. Sustained returns less than the targets point to a contraction in capacity being required. </w:t>
      </w:r>
      <w:r w:rsidR="00350CB5" w:rsidRPr="002345B6">
        <w:rPr>
          <w:rFonts w:ascii="Calibri" w:eastAsia="Times New Roman" w:hAnsi="Calibri" w:cs="Times New Roman"/>
          <w:i/>
          <w:color w:val="000000"/>
          <w:sz w:val="24"/>
          <w:szCs w:val="24"/>
          <w:lang w:eastAsia="en-AU"/>
        </w:rPr>
        <w:t>Rather than being a passive minimum benchmark, the targets are central to investment decision making and enable the usually difficult question of whether the level of public infrastructure is adequate to be answered</w:t>
      </w:r>
      <w:r w:rsidR="00350CB5">
        <w:rPr>
          <w:rFonts w:ascii="Calibri" w:eastAsia="Times New Roman" w:hAnsi="Calibri" w:cs="Times New Roman"/>
          <w:color w:val="000000"/>
          <w:sz w:val="24"/>
          <w:szCs w:val="24"/>
          <w:lang w:eastAsia="en-AU"/>
        </w:rPr>
        <w:t>.</w:t>
      </w:r>
    </w:p>
    <w:p w:rsidR="00350CB5" w:rsidRDefault="00350CB5" w:rsidP="002345B6">
      <w:pPr>
        <w:spacing w:after="0" w:line="240" w:lineRule="auto"/>
        <w:ind w:left="720"/>
        <w:rPr>
          <w:rFonts w:ascii="Calibri" w:eastAsia="Times New Roman" w:hAnsi="Calibri" w:cs="Times New Roman"/>
          <w:color w:val="000000"/>
          <w:sz w:val="24"/>
          <w:szCs w:val="24"/>
          <w:lang w:eastAsia="en-AU"/>
        </w:rPr>
      </w:pPr>
    </w:p>
    <w:p w:rsidR="00CA51B0" w:rsidRDefault="00350CB5" w:rsidP="002345B6">
      <w:pPr>
        <w:spacing w:after="0" w:line="240" w:lineRule="auto"/>
        <w:ind w:left="720"/>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Regardless of the approach taken to determine the global target rate of return for each enterprise, </w:t>
      </w:r>
      <w:r w:rsidRPr="002345B6">
        <w:rPr>
          <w:rFonts w:ascii="Calibri" w:eastAsia="Times New Roman" w:hAnsi="Calibri" w:cs="Times New Roman"/>
          <w:i/>
          <w:color w:val="000000"/>
          <w:sz w:val="24"/>
          <w:szCs w:val="24"/>
          <w:lang w:eastAsia="en-AU"/>
        </w:rPr>
        <w:t xml:space="preserve">the pricing of enterprise services should ideally be independent of the target and based on efficient pricing principles designed to make the best use </w:t>
      </w:r>
      <w:r w:rsidR="00D91766" w:rsidRPr="002345B6">
        <w:rPr>
          <w:rFonts w:ascii="Calibri" w:eastAsia="Times New Roman" w:hAnsi="Calibri" w:cs="Times New Roman"/>
          <w:i/>
          <w:color w:val="000000"/>
          <w:sz w:val="24"/>
          <w:szCs w:val="24"/>
          <w:lang w:eastAsia="en-AU"/>
        </w:rPr>
        <w:t>of current capacity of each individual business unit. Pricing services so that the use of available capacity is, where possible, maximised during peak as well as slack period</w:t>
      </w:r>
      <w:r w:rsidR="00034A16">
        <w:rPr>
          <w:rFonts w:ascii="Calibri" w:eastAsia="Times New Roman" w:hAnsi="Calibri" w:cs="Times New Roman"/>
          <w:i/>
          <w:color w:val="000000"/>
          <w:sz w:val="24"/>
          <w:szCs w:val="24"/>
          <w:lang w:eastAsia="en-AU"/>
        </w:rPr>
        <w:t>s</w:t>
      </w:r>
      <w:r w:rsidR="00D91766" w:rsidRPr="002345B6">
        <w:rPr>
          <w:rFonts w:ascii="Calibri" w:eastAsia="Times New Roman" w:hAnsi="Calibri" w:cs="Times New Roman"/>
          <w:i/>
          <w:color w:val="000000"/>
          <w:sz w:val="24"/>
          <w:szCs w:val="24"/>
          <w:lang w:eastAsia="en-AU"/>
        </w:rPr>
        <w:t xml:space="preserve"> accords with these principles and with private sector practice</w:t>
      </w:r>
      <w:r w:rsidR="00D91766">
        <w:rPr>
          <w:rFonts w:ascii="Calibri" w:eastAsia="Times New Roman" w:hAnsi="Calibri" w:cs="Times New Roman"/>
          <w:color w:val="000000"/>
          <w:sz w:val="24"/>
          <w:szCs w:val="24"/>
          <w:lang w:eastAsia="en-AU"/>
        </w:rPr>
        <w:t>.</w:t>
      </w:r>
      <w:r w:rsidR="002345B6">
        <w:rPr>
          <w:rFonts w:ascii="Calibri" w:eastAsia="Times New Roman" w:hAnsi="Calibri" w:cs="Times New Roman"/>
          <w:color w:val="000000"/>
          <w:sz w:val="24"/>
          <w:szCs w:val="24"/>
          <w:lang w:eastAsia="en-AU"/>
        </w:rPr>
        <w:t>”</w:t>
      </w:r>
    </w:p>
    <w:p w:rsidR="004D00B7" w:rsidRPr="004D00B7" w:rsidRDefault="004D00B7" w:rsidP="004D00B7">
      <w:pPr>
        <w:spacing w:after="0" w:line="240" w:lineRule="auto"/>
        <w:rPr>
          <w:rFonts w:ascii="Calibri" w:eastAsia="Times New Roman" w:hAnsi="Calibri" w:cs="Times New Roman"/>
          <w:color w:val="000000"/>
          <w:sz w:val="24"/>
          <w:szCs w:val="24"/>
          <w:lang w:eastAsia="en-AU"/>
        </w:rPr>
      </w:pPr>
      <w:r w:rsidRPr="004D00B7">
        <w:rPr>
          <w:rFonts w:ascii="Calibri" w:eastAsia="Times New Roman" w:hAnsi="Calibri" w:cs="Times New Roman"/>
          <w:color w:val="000000"/>
          <w:sz w:val="24"/>
          <w:szCs w:val="24"/>
          <w:lang w:eastAsia="en-AU"/>
        </w:rPr>
        <w:t> </w:t>
      </w:r>
    </w:p>
    <w:p w:rsidR="000C6FA0" w:rsidRDefault="0061711F" w:rsidP="004D00B7">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Setting prices to maximise utilisation of available capacity would see consequent price </w:t>
      </w:r>
      <w:r w:rsidR="006A40A0">
        <w:rPr>
          <w:rFonts w:ascii="Calibri" w:eastAsia="Times New Roman" w:hAnsi="Calibri" w:cs="Times New Roman"/>
          <w:color w:val="000000"/>
          <w:sz w:val="24"/>
          <w:szCs w:val="24"/>
          <w:lang w:eastAsia="en-AU"/>
        </w:rPr>
        <w:t xml:space="preserve">variations over cycles that varied in length depending on the infrastructure involved. For electricity </w:t>
      </w:r>
      <w:r w:rsidR="00DE7E34">
        <w:rPr>
          <w:rFonts w:ascii="Calibri" w:eastAsia="Times New Roman" w:hAnsi="Calibri" w:cs="Times New Roman"/>
          <w:color w:val="000000"/>
          <w:sz w:val="24"/>
          <w:szCs w:val="24"/>
          <w:lang w:eastAsia="en-AU"/>
        </w:rPr>
        <w:t>generation/</w:t>
      </w:r>
      <w:r w:rsidR="006A40A0">
        <w:rPr>
          <w:rFonts w:ascii="Calibri" w:eastAsia="Times New Roman" w:hAnsi="Calibri" w:cs="Times New Roman"/>
          <w:color w:val="000000"/>
          <w:sz w:val="24"/>
          <w:szCs w:val="24"/>
          <w:lang w:eastAsia="en-AU"/>
        </w:rPr>
        <w:t xml:space="preserve">distribution, </w:t>
      </w:r>
      <w:r w:rsidR="005A226A">
        <w:rPr>
          <w:rFonts w:ascii="Calibri" w:eastAsia="Times New Roman" w:hAnsi="Calibri" w:cs="Times New Roman"/>
          <w:color w:val="000000"/>
          <w:sz w:val="24"/>
          <w:szCs w:val="24"/>
          <w:lang w:eastAsia="en-AU"/>
        </w:rPr>
        <w:t xml:space="preserve">government-run bus services, </w:t>
      </w:r>
      <w:r w:rsidR="006A40A0">
        <w:rPr>
          <w:rFonts w:ascii="Calibri" w:eastAsia="Times New Roman" w:hAnsi="Calibri" w:cs="Times New Roman"/>
          <w:color w:val="000000"/>
          <w:sz w:val="24"/>
          <w:szCs w:val="24"/>
          <w:lang w:eastAsia="en-AU"/>
        </w:rPr>
        <w:t>toll roads or parking spaces, for example, daily cycles t</w:t>
      </w:r>
      <w:r w:rsidR="00BF43AF">
        <w:rPr>
          <w:rFonts w:ascii="Calibri" w:eastAsia="Times New Roman" w:hAnsi="Calibri" w:cs="Times New Roman"/>
          <w:color w:val="000000"/>
          <w:sz w:val="24"/>
          <w:szCs w:val="24"/>
          <w:lang w:eastAsia="en-AU"/>
        </w:rPr>
        <w:t>h</w:t>
      </w:r>
      <w:r w:rsidR="006A40A0">
        <w:rPr>
          <w:rFonts w:ascii="Calibri" w:eastAsia="Times New Roman" w:hAnsi="Calibri" w:cs="Times New Roman"/>
          <w:color w:val="000000"/>
          <w:sz w:val="24"/>
          <w:szCs w:val="24"/>
          <w:lang w:eastAsia="en-AU"/>
        </w:rPr>
        <w:t xml:space="preserve">rough </w:t>
      </w:r>
      <w:r w:rsidR="00BF43AF">
        <w:rPr>
          <w:rFonts w:ascii="Calibri" w:eastAsia="Times New Roman" w:hAnsi="Calibri" w:cs="Times New Roman"/>
          <w:color w:val="000000"/>
          <w:sz w:val="24"/>
          <w:szCs w:val="24"/>
          <w:lang w:eastAsia="en-AU"/>
        </w:rPr>
        <w:t>p</w:t>
      </w:r>
      <w:r w:rsidR="006A40A0">
        <w:rPr>
          <w:rFonts w:ascii="Calibri" w:eastAsia="Times New Roman" w:hAnsi="Calibri" w:cs="Times New Roman"/>
          <w:color w:val="000000"/>
          <w:sz w:val="24"/>
          <w:szCs w:val="24"/>
          <w:lang w:eastAsia="en-AU"/>
        </w:rPr>
        <w:t>eak and slack periods would be expected.</w:t>
      </w:r>
      <w:r w:rsidR="00BF43AF">
        <w:rPr>
          <w:rFonts w:ascii="Calibri" w:eastAsia="Times New Roman" w:hAnsi="Calibri" w:cs="Times New Roman"/>
          <w:color w:val="000000"/>
          <w:sz w:val="24"/>
          <w:szCs w:val="24"/>
          <w:lang w:eastAsia="en-AU"/>
        </w:rPr>
        <w:t xml:space="preserve"> </w:t>
      </w:r>
      <w:r w:rsidR="00CB5673">
        <w:rPr>
          <w:rFonts w:ascii="Calibri" w:eastAsia="Times New Roman" w:hAnsi="Calibri" w:cs="Times New Roman"/>
          <w:color w:val="000000"/>
          <w:sz w:val="24"/>
          <w:szCs w:val="24"/>
          <w:lang w:eastAsia="en-AU"/>
        </w:rPr>
        <w:t xml:space="preserve">Where possible, capacity on stream would also be varied during the day (bus numbers and size of buses in the case of bus services). </w:t>
      </w:r>
      <w:r w:rsidR="00BF43AF">
        <w:rPr>
          <w:rFonts w:ascii="Calibri" w:eastAsia="Times New Roman" w:hAnsi="Calibri" w:cs="Times New Roman"/>
          <w:color w:val="000000"/>
          <w:sz w:val="24"/>
          <w:szCs w:val="24"/>
          <w:lang w:eastAsia="en-AU"/>
        </w:rPr>
        <w:t xml:space="preserve">With water </w:t>
      </w:r>
      <w:r w:rsidR="000C6FA0">
        <w:rPr>
          <w:rFonts w:ascii="Calibri" w:eastAsia="Times New Roman" w:hAnsi="Calibri" w:cs="Times New Roman"/>
          <w:color w:val="000000"/>
          <w:sz w:val="24"/>
          <w:szCs w:val="24"/>
          <w:lang w:eastAsia="en-AU"/>
        </w:rPr>
        <w:t>assets</w:t>
      </w:r>
      <w:r w:rsidR="005D197C">
        <w:rPr>
          <w:rFonts w:ascii="Calibri" w:eastAsia="Times New Roman" w:hAnsi="Calibri" w:cs="Times New Roman"/>
          <w:color w:val="000000"/>
          <w:sz w:val="24"/>
          <w:szCs w:val="24"/>
          <w:lang w:eastAsia="en-AU"/>
        </w:rPr>
        <w:t xml:space="preserve">, </w:t>
      </w:r>
      <w:r w:rsidR="000C6FA0">
        <w:rPr>
          <w:rFonts w:ascii="Calibri" w:eastAsia="Times New Roman" w:hAnsi="Calibri" w:cs="Times New Roman"/>
          <w:color w:val="000000"/>
          <w:sz w:val="24"/>
          <w:szCs w:val="24"/>
          <w:lang w:eastAsia="en-AU"/>
        </w:rPr>
        <w:t>pricing would be expected to vary on an annual seasonal basis with changing seasonal demand and rainfall.</w:t>
      </w:r>
    </w:p>
    <w:p w:rsidR="000C6FA0" w:rsidRDefault="000C6FA0" w:rsidP="004D00B7">
      <w:pPr>
        <w:spacing w:after="0" w:line="240" w:lineRule="auto"/>
        <w:rPr>
          <w:rFonts w:ascii="Calibri" w:eastAsia="Times New Roman" w:hAnsi="Calibri" w:cs="Times New Roman"/>
          <w:color w:val="000000"/>
          <w:sz w:val="24"/>
          <w:szCs w:val="24"/>
          <w:lang w:eastAsia="en-AU"/>
        </w:rPr>
      </w:pPr>
    </w:p>
    <w:p w:rsidR="00634ABC" w:rsidRDefault="000C6FA0" w:rsidP="004D00B7">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Water pricing brings with it the </w:t>
      </w:r>
      <w:r w:rsidR="00DE7E34">
        <w:rPr>
          <w:rFonts w:ascii="Calibri" w:eastAsia="Times New Roman" w:hAnsi="Calibri" w:cs="Times New Roman"/>
          <w:color w:val="000000"/>
          <w:sz w:val="24"/>
          <w:szCs w:val="24"/>
          <w:lang w:eastAsia="en-AU"/>
        </w:rPr>
        <w:t>interesting</w:t>
      </w:r>
      <w:r>
        <w:rPr>
          <w:rFonts w:ascii="Calibri" w:eastAsia="Times New Roman" w:hAnsi="Calibri" w:cs="Times New Roman"/>
          <w:color w:val="000000"/>
          <w:sz w:val="24"/>
          <w:szCs w:val="24"/>
          <w:lang w:eastAsia="en-AU"/>
        </w:rPr>
        <w:t xml:space="preserve"> complication that </w:t>
      </w:r>
      <w:r w:rsidR="00DE7E34">
        <w:rPr>
          <w:rFonts w:ascii="Calibri" w:eastAsia="Times New Roman" w:hAnsi="Calibri" w:cs="Times New Roman"/>
          <w:color w:val="000000"/>
          <w:sz w:val="24"/>
          <w:szCs w:val="24"/>
          <w:lang w:eastAsia="en-AU"/>
        </w:rPr>
        <w:t>water supply</w:t>
      </w:r>
      <w:r>
        <w:rPr>
          <w:rFonts w:ascii="Calibri" w:eastAsia="Times New Roman" w:hAnsi="Calibri" w:cs="Times New Roman"/>
          <w:color w:val="000000"/>
          <w:sz w:val="24"/>
          <w:szCs w:val="24"/>
          <w:lang w:eastAsia="en-AU"/>
        </w:rPr>
        <w:t xml:space="preserve"> depends not only on dam capacity but also on rainfall (including expected rainfall). Say a government’s water authority </w:t>
      </w:r>
      <w:r w:rsidR="00992D6E">
        <w:rPr>
          <w:rFonts w:ascii="Calibri" w:eastAsia="Times New Roman" w:hAnsi="Calibri" w:cs="Times New Roman"/>
          <w:color w:val="000000"/>
          <w:sz w:val="24"/>
          <w:szCs w:val="24"/>
          <w:lang w:eastAsia="en-AU"/>
        </w:rPr>
        <w:t xml:space="preserve">achieves annual returns matching the government-imposed rate of return target at a time </w:t>
      </w:r>
      <w:r w:rsidR="00AE3BB3">
        <w:rPr>
          <w:rFonts w:ascii="Calibri" w:eastAsia="Times New Roman" w:hAnsi="Calibri" w:cs="Times New Roman"/>
          <w:color w:val="000000"/>
          <w:sz w:val="24"/>
          <w:szCs w:val="24"/>
          <w:lang w:eastAsia="en-AU"/>
        </w:rPr>
        <w:t xml:space="preserve">when </w:t>
      </w:r>
      <w:r w:rsidR="00992D6E">
        <w:rPr>
          <w:rFonts w:ascii="Calibri" w:eastAsia="Times New Roman" w:hAnsi="Calibri" w:cs="Times New Roman"/>
          <w:color w:val="000000"/>
          <w:sz w:val="24"/>
          <w:szCs w:val="24"/>
          <w:lang w:eastAsia="en-AU"/>
        </w:rPr>
        <w:t>water supply (dam capacity and rainfall) and water demand are balanced and rainfall is at ‘normal’ levels. In a subsequent drought, efficient pricing would see prices rising significantly to reduce demand to available supply and water allocated to those who value it most (ignoring the practical</w:t>
      </w:r>
      <w:r w:rsidR="001F3538">
        <w:rPr>
          <w:rFonts w:ascii="Calibri" w:eastAsia="Times New Roman" w:hAnsi="Calibri" w:cs="Times New Roman"/>
          <w:color w:val="000000"/>
          <w:sz w:val="24"/>
          <w:szCs w:val="24"/>
          <w:lang w:eastAsia="en-AU"/>
        </w:rPr>
        <w:t xml:space="preserve"> inevitability </w:t>
      </w:r>
      <w:r w:rsidR="00992D6E">
        <w:rPr>
          <w:rFonts w:ascii="Calibri" w:eastAsia="Times New Roman" w:hAnsi="Calibri" w:cs="Times New Roman"/>
          <w:color w:val="000000"/>
          <w:sz w:val="24"/>
          <w:szCs w:val="24"/>
          <w:lang w:eastAsia="en-AU"/>
        </w:rPr>
        <w:t xml:space="preserve">of some temporary restrictions and allocations </w:t>
      </w:r>
      <w:r w:rsidR="001F3538">
        <w:rPr>
          <w:rFonts w:ascii="Calibri" w:eastAsia="Times New Roman" w:hAnsi="Calibri" w:cs="Times New Roman"/>
          <w:color w:val="000000"/>
          <w:sz w:val="24"/>
          <w:szCs w:val="24"/>
          <w:lang w:eastAsia="en-AU"/>
        </w:rPr>
        <w:t>of cheap water to households). Resentment over green lawns would give way to acceptance that some put high enough value on having them – as with long showers, vegetable patches and even clean patio areas.</w:t>
      </w:r>
      <w:r w:rsidR="00773F8D">
        <w:rPr>
          <w:rFonts w:ascii="Calibri" w:eastAsia="Times New Roman" w:hAnsi="Calibri" w:cs="Times New Roman"/>
          <w:color w:val="000000"/>
          <w:sz w:val="24"/>
          <w:szCs w:val="24"/>
          <w:lang w:eastAsia="en-AU"/>
        </w:rPr>
        <w:t xml:space="preserve"> The water authority’s annual profit and rate of return would likely increase – the authority’s commercial signal that water supply needs to be increased as much as possible by alternative water supply measures</w:t>
      </w:r>
      <w:r w:rsidR="00DE7E34">
        <w:rPr>
          <w:rFonts w:ascii="Calibri" w:eastAsia="Times New Roman" w:hAnsi="Calibri" w:cs="Times New Roman"/>
          <w:color w:val="000000"/>
          <w:sz w:val="24"/>
          <w:szCs w:val="24"/>
          <w:lang w:eastAsia="en-AU"/>
        </w:rPr>
        <w:t xml:space="preserve"> (like the daily </w:t>
      </w:r>
      <w:r w:rsidR="00DE7E34">
        <w:rPr>
          <w:rFonts w:ascii="Calibri" w:eastAsia="Times New Roman" w:hAnsi="Calibri" w:cs="Times New Roman"/>
          <w:color w:val="000000"/>
          <w:sz w:val="24"/>
          <w:szCs w:val="24"/>
          <w:lang w:eastAsia="en-AU"/>
        </w:rPr>
        <w:lastRenderedPageBreak/>
        <w:t>changes in bus numbers or sizes)</w:t>
      </w:r>
      <w:r w:rsidR="00773F8D">
        <w:rPr>
          <w:rFonts w:ascii="Calibri" w:eastAsia="Times New Roman" w:hAnsi="Calibri" w:cs="Times New Roman"/>
          <w:color w:val="000000"/>
          <w:sz w:val="24"/>
          <w:szCs w:val="24"/>
          <w:lang w:eastAsia="en-AU"/>
        </w:rPr>
        <w:t>. Only in times of ‘normal’ rainfall would this be a signal for increased dam capacity.</w:t>
      </w:r>
    </w:p>
    <w:p w:rsidR="00634ABC" w:rsidRDefault="00634ABC" w:rsidP="004D00B7">
      <w:pPr>
        <w:spacing w:after="0" w:line="240" w:lineRule="auto"/>
        <w:rPr>
          <w:rFonts w:ascii="Calibri" w:eastAsia="Times New Roman" w:hAnsi="Calibri" w:cs="Times New Roman"/>
          <w:color w:val="000000"/>
          <w:sz w:val="24"/>
          <w:szCs w:val="24"/>
          <w:lang w:eastAsia="en-AU"/>
        </w:rPr>
      </w:pPr>
    </w:p>
    <w:p w:rsidR="006A40A0" w:rsidRDefault="00634ABC" w:rsidP="004D00B7">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Flexible water pricing would ideally accompanied by user-friendly</w:t>
      </w:r>
      <w:r w:rsidR="00C02DFC">
        <w:rPr>
          <w:rFonts w:ascii="Calibri" w:eastAsia="Times New Roman" w:hAnsi="Calibri" w:cs="Times New Roman"/>
          <w:color w:val="000000"/>
          <w:sz w:val="24"/>
          <w:szCs w:val="24"/>
          <w:lang w:eastAsia="en-AU"/>
        </w:rPr>
        <w:t xml:space="preserve"> water meters so the cost of watering a lawn in a particular season is known in advance – and by user-friendly electricity meters (to bring in corresponding issues with government-controlled electricity pricing) so the cost of having a shower at a particular time of day is known in advance. </w:t>
      </w:r>
      <w:r w:rsidR="00773F8D">
        <w:rPr>
          <w:rFonts w:ascii="Calibri" w:eastAsia="Times New Roman" w:hAnsi="Calibri" w:cs="Times New Roman"/>
          <w:color w:val="000000"/>
          <w:sz w:val="24"/>
          <w:szCs w:val="24"/>
          <w:lang w:eastAsia="en-AU"/>
        </w:rPr>
        <w:t xml:space="preserve"> </w:t>
      </w:r>
      <w:r w:rsidR="001F3538">
        <w:rPr>
          <w:rFonts w:ascii="Calibri" w:eastAsia="Times New Roman" w:hAnsi="Calibri" w:cs="Times New Roman"/>
          <w:color w:val="000000"/>
          <w:sz w:val="24"/>
          <w:szCs w:val="24"/>
          <w:lang w:eastAsia="en-AU"/>
        </w:rPr>
        <w:t xml:space="preserve">  </w:t>
      </w:r>
      <w:r w:rsidR="00992D6E">
        <w:rPr>
          <w:rFonts w:ascii="Calibri" w:eastAsia="Times New Roman" w:hAnsi="Calibri" w:cs="Times New Roman"/>
          <w:color w:val="000000"/>
          <w:sz w:val="24"/>
          <w:szCs w:val="24"/>
          <w:lang w:eastAsia="en-AU"/>
        </w:rPr>
        <w:t xml:space="preserve">   </w:t>
      </w:r>
      <w:r w:rsidR="00BF43AF">
        <w:rPr>
          <w:rFonts w:ascii="Calibri" w:eastAsia="Times New Roman" w:hAnsi="Calibri" w:cs="Times New Roman"/>
          <w:color w:val="000000"/>
          <w:sz w:val="24"/>
          <w:szCs w:val="24"/>
          <w:lang w:eastAsia="en-AU"/>
        </w:rPr>
        <w:t xml:space="preserve"> </w:t>
      </w:r>
      <w:r w:rsidR="006A40A0">
        <w:rPr>
          <w:rFonts w:ascii="Calibri" w:eastAsia="Times New Roman" w:hAnsi="Calibri" w:cs="Times New Roman"/>
          <w:color w:val="000000"/>
          <w:sz w:val="24"/>
          <w:szCs w:val="24"/>
          <w:lang w:eastAsia="en-AU"/>
        </w:rPr>
        <w:t xml:space="preserve"> </w:t>
      </w:r>
    </w:p>
    <w:p w:rsidR="006A40A0" w:rsidRDefault="006A40A0" w:rsidP="004D00B7">
      <w:pPr>
        <w:spacing w:after="0" w:line="240" w:lineRule="auto"/>
        <w:rPr>
          <w:rFonts w:ascii="Calibri" w:eastAsia="Times New Roman" w:hAnsi="Calibri" w:cs="Times New Roman"/>
          <w:color w:val="000000"/>
          <w:sz w:val="24"/>
          <w:szCs w:val="24"/>
          <w:lang w:eastAsia="en-AU"/>
        </w:rPr>
      </w:pPr>
    </w:p>
    <w:p w:rsidR="004D00B7" w:rsidRDefault="00DE7E34" w:rsidP="004D00B7">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In sum, r</w:t>
      </w:r>
      <w:r w:rsidR="002577BD">
        <w:rPr>
          <w:rFonts w:ascii="Calibri" w:eastAsia="Times New Roman" w:hAnsi="Calibri" w:cs="Times New Roman"/>
          <w:color w:val="000000"/>
          <w:sz w:val="24"/>
          <w:szCs w:val="24"/>
          <w:lang w:eastAsia="en-AU"/>
        </w:rPr>
        <w:t>egardless of infrastructure type</w:t>
      </w:r>
      <w:r w:rsidR="004D00B7" w:rsidRPr="004D00B7">
        <w:rPr>
          <w:rFonts w:ascii="Calibri" w:eastAsia="Times New Roman" w:hAnsi="Calibri" w:cs="Times New Roman"/>
          <w:color w:val="000000"/>
          <w:sz w:val="24"/>
          <w:szCs w:val="24"/>
          <w:lang w:eastAsia="en-AU"/>
        </w:rPr>
        <w:t xml:space="preserve">, increasing general demand at fixed capacity </w:t>
      </w:r>
      <w:r w:rsidR="002577BD">
        <w:rPr>
          <w:rFonts w:ascii="Calibri" w:eastAsia="Times New Roman" w:hAnsi="Calibri" w:cs="Times New Roman"/>
          <w:color w:val="000000"/>
          <w:sz w:val="24"/>
          <w:szCs w:val="24"/>
          <w:lang w:eastAsia="en-AU"/>
        </w:rPr>
        <w:t xml:space="preserve">(and rainfall with water assets) </w:t>
      </w:r>
      <w:r w:rsidR="004D00B7" w:rsidRPr="004D00B7">
        <w:rPr>
          <w:rFonts w:ascii="Calibri" w:eastAsia="Times New Roman" w:hAnsi="Calibri" w:cs="Times New Roman"/>
          <w:color w:val="000000"/>
          <w:sz w:val="24"/>
          <w:szCs w:val="24"/>
          <w:lang w:eastAsia="en-AU"/>
        </w:rPr>
        <w:t>would see prices increase generally (still with daily and</w:t>
      </w:r>
      <w:r w:rsidR="002577BD">
        <w:rPr>
          <w:rFonts w:ascii="Calibri" w:eastAsia="Times New Roman" w:hAnsi="Calibri" w:cs="Times New Roman"/>
          <w:color w:val="000000"/>
          <w:sz w:val="24"/>
          <w:szCs w:val="24"/>
          <w:lang w:eastAsia="en-AU"/>
        </w:rPr>
        <w:t>/or</w:t>
      </w:r>
      <w:r w:rsidR="004D00B7" w:rsidRPr="004D00B7">
        <w:rPr>
          <w:rFonts w:ascii="Calibri" w:eastAsia="Times New Roman" w:hAnsi="Calibri" w:cs="Times New Roman"/>
          <w:color w:val="000000"/>
          <w:sz w:val="24"/>
          <w:szCs w:val="24"/>
          <w:lang w:eastAsia="en-AU"/>
        </w:rPr>
        <w:t xml:space="preserve"> seasonal variations) and some price-induced reduction in demand. </w:t>
      </w:r>
      <w:r w:rsidR="00CB5673">
        <w:rPr>
          <w:rFonts w:ascii="Calibri" w:eastAsia="Times New Roman" w:hAnsi="Calibri" w:cs="Times New Roman"/>
          <w:color w:val="000000"/>
          <w:sz w:val="24"/>
          <w:szCs w:val="24"/>
          <w:lang w:eastAsia="en-AU"/>
        </w:rPr>
        <w:t>The o</w:t>
      </w:r>
      <w:r w:rsidR="004D00B7" w:rsidRPr="004D00B7">
        <w:rPr>
          <w:rFonts w:ascii="Calibri" w:eastAsia="Times New Roman" w:hAnsi="Calibri" w:cs="Times New Roman"/>
          <w:color w:val="000000"/>
          <w:sz w:val="24"/>
          <w:szCs w:val="24"/>
          <w:lang w:eastAsia="en-AU"/>
        </w:rPr>
        <w:t>verall result would likely be increased profit and rate of return relative to required long-run return signalling the need to expand capacity</w:t>
      </w:r>
      <w:r w:rsidR="002577BD">
        <w:rPr>
          <w:rFonts w:ascii="Calibri" w:eastAsia="Times New Roman" w:hAnsi="Calibri" w:cs="Times New Roman"/>
          <w:color w:val="000000"/>
          <w:sz w:val="24"/>
          <w:szCs w:val="24"/>
          <w:lang w:eastAsia="en-AU"/>
        </w:rPr>
        <w:t xml:space="preserve">. </w:t>
      </w:r>
      <w:r w:rsidR="00085A9D">
        <w:rPr>
          <w:rFonts w:ascii="Calibri" w:eastAsia="Times New Roman" w:hAnsi="Calibri" w:cs="Times New Roman"/>
          <w:color w:val="000000"/>
          <w:sz w:val="24"/>
          <w:szCs w:val="24"/>
          <w:lang w:eastAsia="en-AU"/>
        </w:rPr>
        <w:t>P</w:t>
      </w:r>
      <w:r w:rsidR="004D00B7" w:rsidRPr="004D00B7">
        <w:rPr>
          <w:rFonts w:ascii="Calibri" w:eastAsia="Times New Roman" w:hAnsi="Calibri" w:cs="Times New Roman"/>
          <w:color w:val="000000"/>
          <w:sz w:val="24"/>
          <w:szCs w:val="24"/>
          <w:lang w:eastAsia="en-AU"/>
        </w:rPr>
        <w:t xml:space="preserve">ricing according to demand/supply considerations after the capacity change </w:t>
      </w:r>
      <w:r w:rsidR="00085A9D">
        <w:rPr>
          <w:rFonts w:ascii="Calibri" w:eastAsia="Times New Roman" w:hAnsi="Calibri" w:cs="Times New Roman"/>
          <w:color w:val="000000"/>
          <w:sz w:val="24"/>
          <w:szCs w:val="24"/>
          <w:lang w:eastAsia="en-AU"/>
        </w:rPr>
        <w:t>would be aimed at achieving</w:t>
      </w:r>
      <w:r w:rsidR="004D00B7" w:rsidRPr="004D00B7">
        <w:rPr>
          <w:rFonts w:ascii="Calibri" w:eastAsia="Times New Roman" w:hAnsi="Calibri" w:cs="Times New Roman"/>
          <w:color w:val="000000"/>
          <w:sz w:val="24"/>
          <w:szCs w:val="24"/>
          <w:lang w:eastAsia="en-AU"/>
        </w:rPr>
        <w:t xml:space="preserve"> returns consistent with </w:t>
      </w:r>
      <w:r w:rsidR="00085A9D">
        <w:rPr>
          <w:rFonts w:ascii="Calibri" w:eastAsia="Times New Roman" w:hAnsi="Calibri" w:cs="Times New Roman"/>
          <w:color w:val="000000"/>
          <w:sz w:val="24"/>
          <w:szCs w:val="24"/>
          <w:lang w:eastAsia="en-AU"/>
        </w:rPr>
        <w:t xml:space="preserve">the government-imposed </w:t>
      </w:r>
      <w:r w:rsidR="004D00B7" w:rsidRPr="004D00B7">
        <w:rPr>
          <w:rFonts w:ascii="Calibri" w:eastAsia="Times New Roman" w:hAnsi="Calibri" w:cs="Times New Roman"/>
          <w:color w:val="000000"/>
          <w:sz w:val="24"/>
          <w:szCs w:val="24"/>
          <w:lang w:eastAsia="en-AU"/>
        </w:rPr>
        <w:t>required long-run return.</w:t>
      </w:r>
      <w:r>
        <w:rPr>
          <w:rFonts w:ascii="Calibri" w:eastAsia="Times New Roman" w:hAnsi="Calibri" w:cs="Times New Roman"/>
          <w:color w:val="000000"/>
          <w:sz w:val="24"/>
          <w:szCs w:val="24"/>
          <w:lang w:eastAsia="en-AU"/>
        </w:rPr>
        <w:t xml:space="preserve"> </w:t>
      </w:r>
      <w:r w:rsidR="004D00B7" w:rsidRPr="004D00B7">
        <w:rPr>
          <w:rFonts w:ascii="Calibri" w:eastAsia="Times New Roman" w:hAnsi="Calibri" w:cs="Times New Roman"/>
          <w:color w:val="000000"/>
          <w:sz w:val="24"/>
          <w:szCs w:val="24"/>
          <w:lang w:eastAsia="en-AU"/>
        </w:rPr>
        <w:t xml:space="preserve">In these circumstances, </w:t>
      </w:r>
      <w:r w:rsidR="00085A9D" w:rsidRPr="00CB25D2">
        <w:rPr>
          <w:rFonts w:ascii="Calibri" w:hAnsi="Calibri" w:cs="Arial"/>
          <w:color w:val="000000"/>
          <w:sz w:val="24"/>
          <w:szCs w:val="24"/>
        </w:rPr>
        <w:t>provision and use of infrastructure</w:t>
      </w:r>
      <w:r w:rsidR="00085A9D" w:rsidRPr="004D00B7">
        <w:rPr>
          <w:rFonts w:ascii="Calibri" w:eastAsia="Times New Roman" w:hAnsi="Calibri" w:cs="Times New Roman"/>
          <w:color w:val="000000"/>
          <w:sz w:val="24"/>
          <w:szCs w:val="24"/>
          <w:lang w:eastAsia="en-AU"/>
        </w:rPr>
        <w:t xml:space="preserve"> </w:t>
      </w:r>
      <w:r w:rsidR="00085A9D">
        <w:rPr>
          <w:rFonts w:ascii="Calibri" w:eastAsia="Times New Roman" w:hAnsi="Calibri" w:cs="Times New Roman"/>
          <w:color w:val="000000"/>
          <w:sz w:val="24"/>
          <w:szCs w:val="24"/>
          <w:lang w:eastAsia="en-AU"/>
        </w:rPr>
        <w:t>could</w:t>
      </w:r>
      <w:r w:rsidR="004D00B7" w:rsidRPr="004D00B7">
        <w:rPr>
          <w:rFonts w:ascii="Calibri" w:eastAsia="Times New Roman" w:hAnsi="Calibri" w:cs="Times New Roman"/>
          <w:color w:val="000000"/>
          <w:sz w:val="24"/>
          <w:szCs w:val="24"/>
          <w:lang w:eastAsia="en-AU"/>
        </w:rPr>
        <w:t xml:space="preserve"> simulate what might be expected in a fully competitive environment.</w:t>
      </w:r>
    </w:p>
    <w:p w:rsidR="00CB5673" w:rsidRDefault="00CB5673" w:rsidP="004D00B7">
      <w:pPr>
        <w:spacing w:after="0" w:line="240" w:lineRule="auto"/>
        <w:rPr>
          <w:rFonts w:ascii="Calibri" w:eastAsia="Times New Roman" w:hAnsi="Calibri" w:cs="Times New Roman"/>
          <w:color w:val="000000"/>
          <w:sz w:val="24"/>
          <w:szCs w:val="24"/>
          <w:lang w:eastAsia="en-AU"/>
        </w:rPr>
      </w:pPr>
    </w:p>
    <w:p w:rsidR="00CB5673" w:rsidRDefault="00CB5673" w:rsidP="004D00B7">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I hope TEP 14 proves </w:t>
      </w:r>
      <w:r w:rsidR="00DE7E34">
        <w:rPr>
          <w:rFonts w:ascii="Calibri" w:eastAsia="Times New Roman" w:hAnsi="Calibri" w:cs="Times New Roman"/>
          <w:color w:val="000000"/>
          <w:sz w:val="24"/>
          <w:szCs w:val="24"/>
          <w:lang w:eastAsia="en-AU"/>
        </w:rPr>
        <w:t>of use</w:t>
      </w:r>
      <w:r>
        <w:rPr>
          <w:rFonts w:ascii="Calibri" w:eastAsia="Times New Roman" w:hAnsi="Calibri" w:cs="Times New Roman"/>
          <w:color w:val="000000"/>
          <w:sz w:val="24"/>
          <w:szCs w:val="24"/>
          <w:lang w:eastAsia="en-AU"/>
        </w:rPr>
        <w:t xml:space="preserve"> to the Commission</w:t>
      </w:r>
      <w:r w:rsidR="00DE7E34">
        <w:rPr>
          <w:rFonts w:ascii="Calibri" w:eastAsia="Times New Roman" w:hAnsi="Calibri" w:cs="Times New Roman"/>
          <w:color w:val="000000"/>
          <w:sz w:val="24"/>
          <w:szCs w:val="24"/>
          <w:lang w:eastAsia="en-AU"/>
        </w:rPr>
        <w:t xml:space="preserve"> even at this late stage</w:t>
      </w:r>
      <w:r>
        <w:rPr>
          <w:rFonts w:ascii="Calibri" w:eastAsia="Times New Roman" w:hAnsi="Calibri" w:cs="Times New Roman"/>
          <w:color w:val="000000"/>
          <w:sz w:val="24"/>
          <w:szCs w:val="24"/>
          <w:lang w:eastAsia="en-AU"/>
        </w:rPr>
        <w:t>.</w:t>
      </w:r>
    </w:p>
    <w:p w:rsidR="00CB5673" w:rsidRDefault="00CB5673" w:rsidP="004D00B7">
      <w:pPr>
        <w:spacing w:after="0" w:line="240" w:lineRule="auto"/>
        <w:rPr>
          <w:rFonts w:ascii="Calibri" w:eastAsia="Times New Roman" w:hAnsi="Calibri" w:cs="Times New Roman"/>
          <w:color w:val="000000"/>
          <w:sz w:val="24"/>
          <w:szCs w:val="24"/>
          <w:lang w:eastAsia="en-AU"/>
        </w:rPr>
      </w:pPr>
    </w:p>
    <w:p w:rsidR="00CB5673" w:rsidRDefault="00CB5673" w:rsidP="004D00B7">
      <w:pPr>
        <w:spacing w:after="0" w:line="240" w:lineRule="auto"/>
        <w:rPr>
          <w:rFonts w:ascii="Calibri" w:eastAsia="Times New Roman" w:hAnsi="Calibri" w:cs="Times New Roman"/>
          <w:color w:val="000000"/>
          <w:sz w:val="24"/>
          <w:szCs w:val="24"/>
          <w:lang w:eastAsia="en-AU"/>
        </w:rPr>
      </w:pPr>
    </w:p>
    <w:p w:rsidR="00CB5673" w:rsidRDefault="00CB5673" w:rsidP="004D00B7">
      <w:pPr>
        <w:spacing w:after="0" w:line="240" w:lineRule="auto"/>
        <w:rPr>
          <w:rFonts w:ascii="Calibri" w:eastAsia="Times New Roman" w:hAnsi="Calibri" w:cs="Times New Roman"/>
          <w:color w:val="000000"/>
          <w:sz w:val="24"/>
          <w:szCs w:val="24"/>
          <w:lang w:eastAsia="en-AU"/>
        </w:rPr>
      </w:pPr>
      <w:bookmarkStart w:id="0" w:name="_GoBack"/>
      <w:r>
        <w:rPr>
          <w:rFonts w:ascii="Calibri" w:eastAsia="Times New Roman" w:hAnsi="Calibri" w:cs="Times New Roman"/>
          <w:color w:val="000000"/>
          <w:sz w:val="24"/>
          <w:szCs w:val="24"/>
          <w:lang w:eastAsia="en-AU"/>
        </w:rPr>
        <w:t>Wayne Mayo</w:t>
      </w:r>
    </w:p>
    <w:bookmarkEnd w:id="0"/>
    <w:p w:rsidR="00CB5673" w:rsidRPr="004D00B7" w:rsidRDefault="00CB5673" w:rsidP="004D00B7">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5 May 2014</w:t>
      </w:r>
    </w:p>
    <w:p w:rsidR="00A960AA" w:rsidRDefault="00A960AA" w:rsidP="00CB25D2">
      <w:pPr>
        <w:pStyle w:val="Default"/>
        <w:rPr>
          <w:rFonts w:ascii="Calibri" w:hAnsi="Calibri"/>
        </w:rPr>
      </w:pPr>
      <w:r>
        <w:rPr>
          <w:rFonts w:ascii="Calibri" w:hAnsi="Calibri"/>
        </w:rPr>
        <w:t xml:space="preserve">     </w:t>
      </w:r>
    </w:p>
    <w:sectPr w:rsidR="00A96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94E61"/>
    <w:multiLevelType w:val="hybridMultilevel"/>
    <w:tmpl w:val="5366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D2"/>
    <w:rsid w:val="00034A16"/>
    <w:rsid w:val="00085A9D"/>
    <w:rsid w:val="000C6FA0"/>
    <w:rsid w:val="001F3538"/>
    <w:rsid w:val="002345B6"/>
    <w:rsid w:val="002577BD"/>
    <w:rsid w:val="002A18AB"/>
    <w:rsid w:val="00350CB5"/>
    <w:rsid w:val="00367766"/>
    <w:rsid w:val="004D00B7"/>
    <w:rsid w:val="005A226A"/>
    <w:rsid w:val="005B5E16"/>
    <w:rsid w:val="005D197C"/>
    <w:rsid w:val="0061711F"/>
    <w:rsid w:val="00634ABC"/>
    <w:rsid w:val="00635EA8"/>
    <w:rsid w:val="006A40A0"/>
    <w:rsid w:val="00773F8D"/>
    <w:rsid w:val="0080243C"/>
    <w:rsid w:val="00821BEB"/>
    <w:rsid w:val="00946379"/>
    <w:rsid w:val="009652CE"/>
    <w:rsid w:val="00992D6E"/>
    <w:rsid w:val="00A960AA"/>
    <w:rsid w:val="00A97E0F"/>
    <w:rsid w:val="00AE3BB3"/>
    <w:rsid w:val="00BD4B62"/>
    <w:rsid w:val="00BF43AF"/>
    <w:rsid w:val="00C02DFC"/>
    <w:rsid w:val="00CA51B0"/>
    <w:rsid w:val="00CB25D2"/>
    <w:rsid w:val="00CB5673"/>
    <w:rsid w:val="00D355EC"/>
    <w:rsid w:val="00D91766"/>
    <w:rsid w:val="00DE7E34"/>
    <w:rsid w:val="00E0225F"/>
    <w:rsid w:val="00E50826"/>
    <w:rsid w:val="00F76407"/>
    <w:rsid w:val="00F8795E"/>
    <w:rsid w:val="00FB0A8A"/>
    <w:rsid w:val="00FC10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5D2"/>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4D00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5D2"/>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4D00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77022">
      <w:bodyDiv w:val="1"/>
      <w:marLeft w:val="0"/>
      <w:marRight w:val="0"/>
      <w:marTop w:val="0"/>
      <w:marBottom w:val="0"/>
      <w:divBdr>
        <w:top w:val="none" w:sz="0" w:space="0" w:color="auto"/>
        <w:left w:val="none" w:sz="0" w:space="0" w:color="auto"/>
        <w:bottom w:val="none" w:sz="0" w:space="0" w:color="auto"/>
        <w:right w:val="none" w:sz="0" w:space="0" w:color="auto"/>
      </w:divBdr>
      <w:divsChild>
        <w:div w:id="1977103585">
          <w:marLeft w:val="0"/>
          <w:marRight w:val="0"/>
          <w:marTop w:val="0"/>
          <w:marBottom w:val="0"/>
          <w:divBdr>
            <w:top w:val="none" w:sz="0" w:space="0" w:color="auto"/>
            <w:left w:val="none" w:sz="0" w:space="0" w:color="auto"/>
            <w:bottom w:val="none" w:sz="0" w:space="0" w:color="auto"/>
            <w:right w:val="none" w:sz="0" w:space="0" w:color="auto"/>
          </w:divBdr>
          <w:divsChild>
            <w:div w:id="1391686083">
              <w:marLeft w:val="0"/>
              <w:marRight w:val="0"/>
              <w:marTop w:val="0"/>
              <w:marBottom w:val="0"/>
              <w:divBdr>
                <w:top w:val="none" w:sz="0" w:space="0" w:color="auto"/>
                <w:left w:val="none" w:sz="0" w:space="0" w:color="auto"/>
                <w:bottom w:val="none" w:sz="0" w:space="0" w:color="auto"/>
                <w:right w:val="none" w:sz="0" w:space="0" w:color="auto"/>
              </w:divBdr>
              <w:divsChild>
                <w:div w:id="2029677341">
                  <w:marLeft w:val="0"/>
                  <w:marRight w:val="0"/>
                  <w:marTop w:val="0"/>
                  <w:marBottom w:val="0"/>
                  <w:divBdr>
                    <w:top w:val="none" w:sz="0" w:space="0" w:color="auto"/>
                    <w:left w:val="none" w:sz="0" w:space="0" w:color="auto"/>
                    <w:bottom w:val="none" w:sz="0" w:space="0" w:color="auto"/>
                    <w:right w:val="none" w:sz="0" w:space="0" w:color="auto"/>
                  </w:divBdr>
                  <w:divsChild>
                    <w:div w:id="1737361652">
                      <w:marLeft w:val="0"/>
                      <w:marRight w:val="0"/>
                      <w:marTop w:val="0"/>
                      <w:marBottom w:val="0"/>
                      <w:divBdr>
                        <w:top w:val="none" w:sz="0" w:space="0" w:color="auto"/>
                        <w:left w:val="none" w:sz="0" w:space="0" w:color="auto"/>
                        <w:bottom w:val="none" w:sz="0" w:space="0" w:color="auto"/>
                        <w:right w:val="none" w:sz="0" w:space="0" w:color="auto"/>
                      </w:divBdr>
                      <w:divsChild>
                        <w:div w:id="160434686">
                          <w:marLeft w:val="0"/>
                          <w:marRight w:val="0"/>
                          <w:marTop w:val="0"/>
                          <w:marBottom w:val="0"/>
                          <w:divBdr>
                            <w:top w:val="none" w:sz="0" w:space="0" w:color="auto"/>
                            <w:left w:val="none" w:sz="0" w:space="0" w:color="auto"/>
                            <w:bottom w:val="none" w:sz="0" w:space="0" w:color="auto"/>
                            <w:right w:val="none" w:sz="0" w:space="0" w:color="auto"/>
                          </w:divBdr>
                          <w:divsChild>
                            <w:div w:id="602953374">
                              <w:marLeft w:val="0"/>
                              <w:marRight w:val="0"/>
                              <w:marTop w:val="0"/>
                              <w:marBottom w:val="0"/>
                              <w:divBdr>
                                <w:top w:val="none" w:sz="0" w:space="0" w:color="auto"/>
                                <w:left w:val="none" w:sz="0" w:space="0" w:color="auto"/>
                                <w:bottom w:val="none" w:sz="0" w:space="0" w:color="auto"/>
                                <w:right w:val="none" w:sz="0" w:space="0" w:color="auto"/>
                              </w:divBdr>
                              <w:divsChild>
                                <w:div w:id="55398246">
                                  <w:marLeft w:val="0"/>
                                  <w:marRight w:val="0"/>
                                  <w:marTop w:val="0"/>
                                  <w:marBottom w:val="0"/>
                                  <w:divBdr>
                                    <w:top w:val="none" w:sz="0" w:space="0" w:color="auto"/>
                                    <w:left w:val="none" w:sz="0" w:space="0" w:color="auto"/>
                                    <w:bottom w:val="none" w:sz="0" w:space="0" w:color="auto"/>
                                    <w:right w:val="none" w:sz="0" w:space="0" w:color="auto"/>
                                  </w:divBdr>
                                  <w:divsChild>
                                    <w:div w:id="1307783054">
                                      <w:marLeft w:val="0"/>
                                      <w:marRight w:val="0"/>
                                      <w:marTop w:val="0"/>
                                      <w:marBottom w:val="0"/>
                                      <w:divBdr>
                                        <w:top w:val="none" w:sz="0" w:space="0" w:color="auto"/>
                                        <w:left w:val="none" w:sz="0" w:space="0" w:color="auto"/>
                                        <w:bottom w:val="none" w:sz="0" w:space="0" w:color="auto"/>
                                        <w:right w:val="none" w:sz="0" w:space="0" w:color="auto"/>
                                      </w:divBdr>
                                      <w:divsChild>
                                        <w:div w:id="1731801126">
                                          <w:marLeft w:val="0"/>
                                          <w:marRight w:val="0"/>
                                          <w:marTop w:val="0"/>
                                          <w:marBottom w:val="0"/>
                                          <w:divBdr>
                                            <w:top w:val="none" w:sz="0" w:space="0" w:color="auto"/>
                                            <w:left w:val="none" w:sz="0" w:space="0" w:color="auto"/>
                                            <w:bottom w:val="none" w:sz="0" w:space="0" w:color="auto"/>
                                            <w:right w:val="none" w:sz="0" w:space="0" w:color="auto"/>
                                          </w:divBdr>
                                        </w:div>
                                        <w:div w:id="1081098157">
                                          <w:marLeft w:val="0"/>
                                          <w:marRight w:val="0"/>
                                          <w:marTop w:val="0"/>
                                          <w:marBottom w:val="0"/>
                                          <w:divBdr>
                                            <w:top w:val="none" w:sz="0" w:space="0" w:color="auto"/>
                                            <w:left w:val="none" w:sz="0" w:space="0" w:color="auto"/>
                                            <w:bottom w:val="none" w:sz="0" w:space="0" w:color="auto"/>
                                            <w:right w:val="none" w:sz="0" w:space="0" w:color="auto"/>
                                          </w:divBdr>
                                        </w:div>
                                        <w:div w:id="1869486243">
                                          <w:marLeft w:val="0"/>
                                          <w:marRight w:val="0"/>
                                          <w:marTop w:val="0"/>
                                          <w:marBottom w:val="0"/>
                                          <w:divBdr>
                                            <w:top w:val="none" w:sz="0" w:space="0" w:color="auto"/>
                                            <w:left w:val="none" w:sz="0" w:space="0" w:color="auto"/>
                                            <w:bottom w:val="none" w:sz="0" w:space="0" w:color="auto"/>
                                            <w:right w:val="none" w:sz="0" w:space="0" w:color="auto"/>
                                          </w:divBdr>
                                        </w:div>
                                        <w:div w:id="827594917">
                                          <w:marLeft w:val="0"/>
                                          <w:marRight w:val="0"/>
                                          <w:marTop w:val="0"/>
                                          <w:marBottom w:val="0"/>
                                          <w:divBdr>
                                            <w:top w:val="none" w:sz="0" w:space="0" w:color="auto"/>
                                            <w:left w:val="none" w:sz="0" w:space="0" w:color="auto"/>
                                            <w:bottom w:val="none" w:sz="0" w:space="0" w:color="auto"/>
                                            <w:right w:val="none" w:sz="0" w:space="0" w:color="auto"/>
                                          </w:divBdr>
                                        </w:div>
                                        <w:div w:id="2137403771">
                                          <w:marLeft w:val="0"/>
                                          <w:marRight w:val="0"/>
                                          <w:marTop w:val="0"/>
                                          <w:marBottom w:val="0"/>
                                          <w:divBdr>
                                            <w:top w:val="none" w:sz="0" w:space="0" w:color="auto"/>
                                            <w:left w:val="none" w:sz="0" w:space="0" w:color="auto"/>
                                            <w:bottom w:val="none" w:sz="0" w:space="0" w:color="auto"/>
                                            <w:right w:val="none" w:sz="0" w:space="0" w:color="auto"/>
                                          </w:divBdr>
                                        </w:div>
                                        <w:div w:id="1403680371">
                                          <w:marLeft w:val="0"/>
                                          <w:marRight w:val="0"/>
                                          <w:marTop w:val="0"/>
                                          <w:marBottom w:val="0"/>
                                          <w:divBdr>
                                            <w:top w:val="none" w:sz="0" w:space="0" w:color="auto"/>
                                            <w:left w:val="none" w:sz="0" w:space="0" w:color="auto"/>
                                            <w:bottom w:val="none" w:sz="0" w:space="0" w:color="auto"/>
                                            <w:right w:val="none" w:sz="0" w:space="0" w:color="auto"/>
                                          </w:divBdr>
                                        </w:div>
                                        <w:div w:id="9550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6554</Characters>
  <Application>Microsoft Office Word</Application>
  <DocSecurity>0</DocSecurity>
  <Lines>116</Lines>
  <Paragraphs>23</Paragraphs>
  <ScaleCrop>false</ScaleCrop>
  <HeadingPairs>
    <vt:vector size="2" baseType="variant">
      <vt:variant>
        <vt:lpstr>Title</vt:lpstr>
      </vt:variant>
      <vt:variant>
        <vt:i4>1</vt:i4>
      </vt:variant>
    </vt:vector>
  </HeadingPairs>
  <TitlesOfParts>
    <vt:vector size="1" baseType="lpstr">
      <vt:lpstr>Submission DR208 - Wayne Mayo - Public Infrastructure - Public inquiry</vt:lpstr>
    </vt:vector>
  </TitlesOfParts>
  <Company>Wayne Mayo</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DR208 - Wayne Mayo - Public Infrastructure - Public inquiry</dc:title>
  <dc:creator>Wayne Mayo</dc:creator>
  <cp:lastModifiedBy>Productivity Commission</cp:lastModifiedBy>
  <cp:revision>2</cp:revision>
  <dcterms:created xsi:type="dcterms:W3CDTF">2014-05-09T04:45:00Z</dcterms:created>
  <dcterms:modified xsi:type="dcterms:W3CDTF">2014-05-09T04:45:00Z</dcterms:modified>
</cp:coreProperties>
</file>