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90C20" w:rsidRPr="00290C20" w:rsidRDefault="00290C20" w:rsidP="00290C20">
      <w:pPr>
        <w:pStyle w:val="Heading1"/>
        <w:rPr>
          <w:color w:val="FFFFFF" w:themeColor="background1"/>
          <w:sz w:val="12"/>
          <w:szCs w:val="12"/>
        </w:rPr>
      </w:pPr>
      <w:r w:rsidRPr="00290C20">
        <w:rPr>
          <w:color w:val="FFFFFF" w:themeColor="background1"/>
          <w:sz w:val="12"/>
          <w:szCs w:val="12"/>
        </w:rPr>
        <w:t>Intellectual Property Arrangements</w:t>
      </w:r>
    </w:p>
    <w:p w:rsidR="00B04D19" w:rsidRPr="00290C20" w:rsidRDefault="00290C20" w:rsidP="00290C20">
      <w:pPr>
        <w:pStyle w:val="BodyText"/>
        <w:rPr>
          <w:color w:val="FFFFFF" w:themeColor="background1"/>
          <w:sz w:val="12"/>
          <w:szCs w:val="12"/>
        </w:rPr>
      </w:pPr>
      <w:r w:rsidRPr="00290C20">
        <w:rPr>
          <w:color w:val="FFFFFF" w:themeColor="background1"/>
          <w:sz w:val="12"/>
          <w:szCs w:val="12"/>
        </w:rPr>
        <w:t>Productivity Commission Draft Report, April 2016</w:t>
      </w:r>
      <w:r>
        <w:rPr>
          <w:noProof/>
          <w:color w:val="FFFFFF" w:themeColor="background1"/>
          <w:sz w:val="12"/>
          <w:szCs w:val="12"/>
        </w:rPr>
        <w:drawing>
          <wp:anchor distT="0" distB="0" distL="114300" distR="114300" simplePos="0" relativeHeight="251658240" behindDoc="0" locked="0" layoutInCell="1" allowOverlap="1">
            <wp:simplePos x="826135" y="1016635"/>
            <wp:positionH relativeFrom="page">
              <wp:align>center</wp:align>
            </wp:positionH>
            <wp:positionV relativeFrom="page">
              <wp:align>center</wp:align>
            </wp:positionV>
            <wp:extent cx="7581600" cy="10771200"/>
            <wp:effectExtent l="0" t="0" r="635" b="0"/>
            <wp:wrapNone/>
            <wp:docPr id="1" name="Picture 1" descr="Cover for: Intellectual Property Arrangements, Productivity Commission Draft Report, April 2016. This is a draft report prepared for further public consultation and input. The Commission will finalise its report after these processes have taken pla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itle-IP-dr.png"/>
                    <pic:cNvPicPr/>
                  </pic:nvPicPr>
                  <pic:blipFill>
                    <a:blip r:embed="rId9">
                      <a:extLst>
                        <a:ext uri="{28A0092B-C50C-407E-A947-70E740481C1C}">
                          <a14:useLocalDpi xmlns:a14="http://schemas.microsoft.com/office/drawing/2010/main" val="0"/>
                        </a:ext>
                      </a:extLst>
                    </a:blip>
                    <a:stretch>
                      <a:fillRect/>
                    </a:stretch>
                  </pic:blipFill>
                  <pic:spPr>
                    <a:xfrm>
                      <a:off x="0" y="0"/>
                      <a:ext cx="7581600" cy="10771200"/>
                    </a:xfrm>
                    <a:prstGeom prst="rect">
                      <a:avLst/>
                    </a:prstGeom>
                  </pic:spPr>
                </pic:pic>
              </a:graphicData>
            </a:graphic>
            <wp14:sizeRelH relativeFrom="margin">
              <wp14:pctWidth>0</wp14:pctWidth>
            </wp14:sizeRelH>
            <wp14:sizeRelV relativeFrom="margin">
              <wp14:pctHeight>0</wp14:pctHeight>
            </wp14:sizeRelV>
          </wp:anchor>
        </w:drawing>
      </w:r>
      <w:r w:rsidR="00B04D19" w:rsidRPr="00290C20">
        <w:rPr>
          <w:color w:val="FFFFFF" w:themeColor="background1"/>
          <w:sz w:val="12"/>
          <w:szCs w:val="12"/>
        </w:rPr>
        <w:br w:type="page"/>
      </w:r>
    </w:p>
    <w:p w:rsidR="003E7802" w:rsidRDefault="003E7802" w:rsidP="00D969AE">
      <w:pPr>
        <w:pStyle w:val="Copyrightheading"/>
      </w:pPr>
      <w:r w:rsidRPr="008C305F">
        <w:lastRenderedPageBreak/>
        <w:fldChar w:fldCharType="begin"/>
      </w:r>
      <w:r w:rsidRPr="008C305F">
        <w:instrText>SYMBOL 227 \f "Symbol"</w:instrText>
      </w:r>
      <w:r w:rsidRPr="008C305F">
        <w:fldChar w:fldCharType="end"/>
      </w:r>
      <w:r w:rsidRPr="008C305F">
        <w:t xml:space="preserve"> Commonwealth of Australia </w:t>
      </w:r>
      <w:r w:rsidR="00D74E25">
        <w:t>201</w:t>
      </w:r>
      <w:r w:rsidR="00BA311E">
        <w:t>6</w:t>
      </w:r>
    </w:p>
    <w:p w:rsidR="008A3857" w:rsidRDefault="008A3857" w:rsidP="008E242D">
      <w:pPr>
        <w:pStyle w:val="BodyText"/>
        <w:spacing w:after="120"/>
      </w:pPr>
      <w:bookmarkStart w:id="0" w:name="ISSN"/>
      <w:bookmarkEnd w:id="0"/>
      <w:r w:rsidRPr="00862D8F">
        <w:rPr>
          <w:noProof/>
          <w:sz w:val="22"/>
          <w:szCs w:val="22"/>
        </w:rPr>
        <w:drawing>
          <wp:inline distT="0" distB="0" distL="0" distR="0" wp14:anchorId="67B7F93C" wp14:editId="17E161C5">
            <wp:extent cx="843280" cy="295043"/>
            <wp:effectExtent l="0" t="0" r="0" b="0"/>
            <wp:docPr id="2" name="Picture 2" descr="CC BY licence 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C-By logo"/>
                    <pic:cNvPicPr>
                      <a:picLocks noChangeAspect="1" noChangeArrowheads="1"/>
                    </pic:cNvPicPr>
                  </pic:nvPicPr>
                  <pic:blipFill>
                    <a:blip r:embed="rId10" cstate="print">
                      <a:extLst>
                        <a:ext uri="{28A0092B-C50C-407E-A947-70E740481C1C}">
                          <a14:useLocalDpi xmlns:a14="http://schemas.microsoft.com/office/drawing/2010/main" val="0"/>
                        </a:ext>
                      </a:extLst>
                    </a:blip>
                    <a:stretch>
                      <a:fillRect/>
                    </a:stretch>
                  </pic:blipFill>
                  <pic:spPr bwMode="auto">
                    <a:xfrm>
                      <a:off x="0" y="0"/>
                      <a:ext cx="843280" cy="295043"/>
                    </a:xfrm>
                    <a:prstGeom prst="rect">
                      <a:avLst/>
                    </a:prstGeom>
                    <a:noFill/>
                    <a:ln>
                      <a:noFill/>
                    </a:ln>
                  </pic:spPr>
                </pic:pic>
              </a:graphicData>
            </a:graphic>
          </wp:inline>
        </w:drawing>
      </w:r>
    </w:p>
    <w:p w:rsidR="008A3857" w:rsidRPr="008A3857" w:rsidRDefault="008A3857" w:rsidP="00BA0B81">
      <w:pPr>
        <w:pStyle w:val="Copyrightbodytext"/>
      </w:pPr>
      <w:r w:rsidRPr="008A3857">
        <w:t xml:space="preserve">Except for the Commonwealth Coat of Arms and content supplied by third parties, this copyright work is licensed under a Creative Commons Attribution 3.0 Australia licence. To view a copy of this licence, visit </w:t>
      </w:r>
      <w:hyperlink r:id="rId11" w:history="1">
        <w:hyperlink r:id="rId12" w:history="1">
          <w:r w:rsidRPr="00805FD7">
            <w:t>http://creativecommons.org/licenses/by/3.0/au</w:t>
          </w:r>
        </w:hyperlink>
      </w:hyperlink>
      <w:r w:rsidRPr="008A3857">
        <w:rPr>
          <w:sz w:val="24"/>
          <w:szCs w:val="24"/>
        </w:rPr>
        <w:t>.</w:t>
      </w:r>
      <w:r w:rsidRPr="008A3857">
        <w:t xml:space="preserve"> In essence, you are free to copy, communicate and adapt the work, as long as you attribute the work to the Productivity Commission (but not in any way that suggests the Commission endorses you or your use) and abide by the other licence terms.</w:t>
      </w:r>
    </w:p>
    <w:p w:rsidR="008A3857" w:rsidRPr="008A3857" w:rsidRDefault="008A3857" w:rsidP="008A3857">
      <w:pPr>
        <w:pStyle w:val="Copyrightsubtitle"/>
      </w:pPr>
      <w:r w:rsidRPr="008A3857">
        <w:t>Use of the Commonwealth Coat of Arms</w:t>
      </w:r>
    </w:p>
    <w:p w:rsidR="008A3857" w:rsidRPr="008A3857" w:rsidRDefault="008A3857" w:rsidP="00BA0B81">
      <w:pPr>
        <w:pStyle w:val="Copyrightbodytext"/>
      </w:pPr>
      <w:r w:rsidRPr="008A3857">
        <w:t>For terms of use of the Coat of Arms visit the ‘</w:t>
      </w:r>
      <w:hyperlink r:id="rId13" w:history="1">
        <w:r w:rsidRPr="00805FD7">
          <w:t>It’s an Honour</w:t>
        </w:r>
      </w:hyperlink>
      <w:r w:rsidRPr="008A3857">
        <w:t>’ website</w:t>
      </w:r>
      <w:r w:rsidR="00122FE9" w:rsidRPr="00BA0B81">
        <w:t>:</w:t>
      </w:r>
      <w:r w:rsidRPr="00BA0B81">
        <w:t xml:space="preserve"> </w:t>
      </w:r>
      <w:hyperlink r:id="rId14" w:history="1">
        <w:r w:rsidR="00BA0B81" w:rsidRPr="00805FD7">
          <w:t>http://www.itsanhonour.gov.au</w:t>
        </w:r>
      </w:hyperlink>
    </w:p>
    <w:p w:rsidR="008A3857" w:rsidRPr="008A3857" w:rsidRDefault="008A3857" w:rsidP="008A3857">
      <w:pPr>
        <w:pStyle w:val="Copyrightsubtitle"/>
      </w:pPr>
      <w:r w:rsidRPr="008A3857">
        <w:t>Third party copyright</w:t>
      </w:r>
    </w:p>
    <w:p w:rsidR="008A3857" w:rsidRPr="008A3857" w:rsidRDefault="008A3857" w:rsidP="00BA0B81">
      <w:pPr>
        <w:pStyle w:val="Copyrightbodytext"/>
      </w:pPr>
      <w:r w:rsidRPr="008A3857">
        <w:t>Wherever a third party holds copyright in this material, the copyright remains with that party. Their permission may be required to use the material, please contact them directly.</w:t>
      </w:r>
    </w:p>
    <w:p w:rsidR="008A3857" w:rsidRPr="008A3857" w:rsidRDefault="008A3857" w:rsidP="008A3857">
      <w:pPr>
        <w:pStyle w:val="Copyrightsubtitle"/>
      </w:pPr>
      <w:r w:rsidRPr="008A3857">
        <w:t>Attribution</w:t>
      </w:r>
    </w:p>
    <w:p w:rsidR="008A3857" w:rsidRPr="008A3857" w:rsidRDefault="008A3857" w:rsidP="00BA0B81">
      <w:pPr>
        <w:pStyle w:val="Copyrightbodytext"/>
      </w:pPr>
      <w:r w:rsidRPr="008A3857">
        <w:t xml:space="preserve">This work should be attributed as follows, </w:t>
      </w:r>
      <w:r w:rsidRPr="008E242D">
        <w:rPr>
          <w:i/>
        </w:rPr>
        <w:t xml:space="preserve">Source: Productivity Commission, </w:t>
      </w:r>
      <w:r w:rsidR="00BD77F3">
        <w:rPr>
          <w:i/>
        </w:rPr>
        <w:t>Intellectual Property Arrangements, Draft Report</w:t>
      </w:r>
      <w:r w:rsidRPr="008A3857">
        <w:t>.</w:t>
      </w:r>
    </w:p>
    <w:p w:rsidR="008A3857" w:rsidRPr="008A3857" w:rsidRDefault="008A3857" w:rsidP="00BA0B81">
      <w:pPr>
        <w:pStyle w:val="Copyrightbodytext"/>
        <w:spacing w:before="120"/>
      </w:pPr>
      <w:r w:rsidRPr="008A3857">
        <w:t xml:space="preserve">If you have adapted, modified or transformed this work in anyway, please use the following, </w:t>
      </w:r>
      <w:r w:rsidRPr="008E242D">
        <w:rPr>
          <w:i/>
        </w:rPr>
        <w:t>Source: based on Productivity Commission</w:t>
      </w:r>
      <w:r w:rsidR="00122FE9">
        <w:rPr>
          <w:i/>
        </w:rPr>
        <w:t xml:space="preserve"> </w:t>
      </w:r>
      <w:r w:rsidRPr="008E242D">
        <w:rPr>
          <w:i/>
        </w:rPr>
        <w:t>data</w:t>
      </w:r>
      <w:r w:rsidR="008E242D" w:rsidRPr="008E242D">
        <w:rPr>
          <w:i/>
        </w:rPr>
        <w:t xml:space="preserve">, </w:t>
      </w:r>
      <w:r w:rsidR="00BD77F3">
        <w:rPr>
          <w:i/>
        </w:rPr>
        <w:t>Intellectual Property Arrangements, Draft Report</w:t>
      </w:r>
      <w:r w:rsidR="00BD77F3" w:rsidRPr="008A3857">
        <w:t>.</w:t>
      </w:r>
    </w:p>
    <w:p w:rsidR="008A3857" w:rsidRPr="008A3857" w:rsidRDefault="008A3857" w:rsidP="008A3857">
      <w:pPr>
        <w:pStyle w:val="Copyrightsubtitle"/>
      </w:pPr>
      <w:r w:rsidRPr="008A3857">
        <w:t xml:space="preserve">An appropriate </w:t>
      </w:r>
      <w:r w:rsidR="00122FE9">
        <w:t>reference</w:t>
      </w:r>
      <w:r w:rsidRPr="008A3857">
        <w:t xml:space="preserve"> for this publication is:</w:t>
      </w:r>
    </w:p>
    <w:p w:rsidR="008A3857" w:rsidRPr="008A3857" w:rsidRDefault="00BD77F3" w:rsidP="008A3857">
      <w:pPr>
        <w:pStyle w:val="Copyrightbodytext"/>
      </w:pPr>
      <w:r>
        <w:t>Productivity Commission 201</w:t>
      </w:r>
      <w:r w:rsidR="00DA7FDA">
        <w:t>6</w:t>
      </w:r>
      <w:r>
        <w:t xml:space="preserve">, </w:t>
      </w:r>
      <w:r>
        <w:rPr>
          <w:i/>
        </w:rPr>
        <w:t xml:space="preserve">Intellectual Property Arrangements, </w:t>
      </w:r>
      <w:r w:rsidRPr="00BD77F3">
        <w:t>Draft Report</w:t>
      </w:r>
      <w:r>
        <w:t>, Canberra.</w:t>
      </w:r>
    </w:p>
    <w:p w:rsidR="008A3857" w:rsidRPr="008A3857" w:rsidRDefault="008A3857" w:rsidP="008A3857">
      <w:pPr>
        <w:pStyle w:val="Copyrightsubtitle"/>
      </w:pPr>
      <w:bookmarkStart w:id="1" w:name="JEL"/>
      <w:bookmarkEnd w:id="1"/>
      <w:r w:rsidRPr="008A3857">
        <w:t>Publications enquiries</w:t>
      </w:r>
    </w:p>
    <w:p w:rsidR="00E30DDB" w:rsidRDefault="008A3857" w:rsidP="00EC38C1">
      <w:pPr>
        <w:pStyle w:val="Copyrightbodytext"/>
      </w:pPr>
      <w:r w:rsidRPr="008A3857">
        <w:t xml:space="preserve">Media and Publications, </w:t>
      </w:r>
      <w:r w:rsidR="00EC38C1">
        <w:rPr>
          <w:szCs w:val="24"/>
        </w:rPr>
        <w:t>phone:</w:t>
      </w:r>
      <w:r w:rsidR="00EC38C1" w:rsidRPr="00BB5DCF">
        <w:rPr>
          <w:szCs w:val="24"/>
        </w:rPr>
        <w:t xml:space="preserve"> (03) 9653 2244 or email: maps@pc.gov.au</w:t>
      </w:r>
    </w:p>
    <w:p w:rsidR="008A3857" w:rsidRDefault="008A3857" w:rsidP="008A3857">
      <w:pPr>
        <w:pStyle w:val="BoxSpaceAbove"/>
      </w:pPr>
    </w:p>
    <w:tbl>
      <w:tblPr>
        <w:tblW w:w="0" w:type="auto"/>
        <w:tblInd w:w="164" w:type="dxa"/>
        <w:tblBorders>
          <w:top w:val="single" w:sz="6" w:space="0" w:color="78A22F"/>
          <w:left w:val="single" w:sz="6" w:space="0" w:color="78A22F"/>
          <w:bottom w:val="single" w:sz="6" w:space="0" w:color="78A22F"/>
          <w:right w:val="single" w:sz="6" w:space="0" w:color="78A22F"/>
        </w:tblBorders>
        <w:tblLayout w:type="fixed"/>
        <w:tblCellMar>
          <w:left w:w="142" w:type="dxa"/>
          <w:right w:w="142" w:type="dxa"/>
        </w:tblCellMar>
        <w:tblLook w:val="0000" w:firstRow="0" w:lastRow="0" w:firstColumn="0" w:lastColumn="0" w:noHBand="0" w:noVBand="0"/>
        <w:tblDescription w:val="Table used for design layout."/>
      </w:tblPr>
      <w:tblGrid>
        <w:gridCol w:w="8771"/>
      </w:tblGrid>
      <w:tr w:rsidR="008A3857" w:rsidTr="00C670DE">
        <w:tc>
          <w:tcPr>
            <w:tcW w:w="8771" w:type="dxa"/>
            <w:tcBorders>
              <w:top w:val="single" w:sz="6" w:space="0" w:color="78A22F"/>
              <w:left w:val="nil"/>
              <w:bottom w:val="nil"/>
              <w:right w:val="nil"/>
            </w:tcBorders>
            <w:shd w:val="clear" w:color="auto" w:fill="F2F2F2" w:themeFill="background1" w:themeFillShade="F2"/>
          </w:tcPr>
          <w:p w:rsidR="008A3857" w:rsidRPr="008A3857" w:rsidRDefault="008A3857" w:rsidP="00A361CF">
            <w:pPr>
              <w:pStyle w:val="BoxTitle"/>
              <w:rPr>
                <w:sz w:val="22"/>
                <w:szCs w:val="22"/>
              </w:rPr>
            </w:pPr>
            <w:r w:rsidRPr="008A3857">
              <w:rPr>
                <w:sz w:val="22"/>
                <w:szCs w:val="22"/>
              </w:rPr>
              <w:t>The Productivity Commission</w:t>
            </w:r>
          </w:p>
        </w:tc>
      </w:tr>
      <w:tr w:rsidR="008A3857" w:rsidTr="00C670DE">
        <w:tc>
          <w:tcPr>
            <w:tcW w:w="8771" w:type="dxa"/>
            <w:tcBorders>
              <w:top w:val="nil"/>
              <w:left w:val="nil"/>
              <w:bottom w:val="nil"/>
              <w:right w:val="nil"/>
            </w:tcBorders>
            <w:shd w:val="clear" w:color="auto" w:fill="F2F2F2" w:themeFill="background1" w:themeFillShade="F2"/>
          </w:tcPr>
          <w:p w:rsidR="008A3857" w:rsidRDefault="008A3857" w:rsidP="00A361CF">
            <w:pPr>
              <w:pStyle w:val="Box"/>
            </w:pPr>
            <w:r w:rsidRPr="00BB5DCF">
              <w:t>The Productivity Commission is the Australian Government’s independent research and advisory body on a range of economic, social and environmental issues affecting the welfare of Australians. Its role, expressed most simply, is to help governments make better policies, in the long term interest of the Australian community.</w:t>
            </w:r>
          </w:p>
          <w:p w:rsidR="008A3857" w:rsidRDefault="008A3857" w:rsidP="00A361CF">
            <w:pPr>
              <w:pStyle w:val="Box"/>
            </w:pPr>
            <w:r w:rsidRPr="00BB5DCF">
              <w:t>The Commission’s independence is underpinned by an Act of Parliament. Its processes and outputs are open to public scrutiny and are driven by concern for the wellbeing of the community as a whole.</w:t>
            </w:r>
          </w:p>
          <w:p w:rsidR="008A3857" w:rsidRDefault="008A3857" w:rsidP="00EC38C1">
            <w:pPr>
              <w:pStyle w:val="Box"/>
            </w:pPr>
            <w:r w:rsidRPr="00BB5DCF">
              <w:rPr>
                <w:szCs w:val="24"/>
              </w:rPr>
              <w:t>Further information on the Productivity Commission can be obtained from the Commission’s website (</w:t>
            </w:r>
            <w:hyperlink r:id="rId15" w:history="1">
              <w:r w:rsidRPr="00805FD7">
                <w:t>www.pc.gov.au</w:t>
              </w:r>
            </w:hyperlink>
            <w:r w:rsidRPr="00BB5DCF">
              <w:rPr>
                <w:szCs w:val="24"/>
              </w:rPr>
              <w:t>)</w:t>
            </w:r>
            <w:r w:rsidR="00EC38C1">
              <w:rPr>
                <w:szCs w:val="24"/>
              </w:rPr>
              <w:t>.</w:t>
            </w:r>
          </w:p>
        </w:tc>
      </w:tr>
      <w:tr w:rsidR="008A3857" w:rsidTr="00C670DE">
        <w:tc>
          <w:tcPr>
            <w:tcW w:w="8771" w:type="dxa"/>
            <w:tcBorders>
              <w:top w:val="nil"/>
              <w:left w:val="nil"/>
              <w:bottom w:val="single" w:sz="6" w:space="0" w:color="78A22F"/>
              <w:right w:val="nil"/>
            </w:tcBorders>
            <w:shd w:val="clear" w:color="auto" w:fill="F2F2F2" w:themeFill="background1" w:themeFillShade="F2"/>
          </w:tcPr>
          <w:p w:rsidR="008A3857" w:rsidRDefault="008A3857" w:rsidP="00A361CF">
            <w:pPr>
              <w:pStyle w:val="Box"/>
              <w:spacing w:before="0" w:line="120" w:lineRule="exact"/>
            </w:pPr>
          </w:p>
        </w:tc>
      </w:tr>
    </w:tbl>
    <w:p w:rsidR="00735FEA" w:rsidRDefault="00735FEA">
      <w:pPr>
        <w:pStyle w:val="BodyText"/>
        <w:sectPr w:rsidR="00735FEA" w:rsidSect="00122FE9">
          <w:headerReference w:type="even" r:id="rId16"/>
          <w:headerReference w:type="default" r:id="rId17"/>
          <w:footerReference w:type="even" r:id="rId18"/>
          <w:footerReference w:type="default" r:id="rId19"/>
          <w:headerReference w:type="first" r:id="rId20"/>
          <w:footerReference w:type="first" r:id="rId21"/>
          <w:type w:val="oddPage"/>
          <w:pgSz w:w="11907" w:h="16840" w:code="9"/>
          <w:pgMar w:top="1304" w:right="1304" w:bottom="567" w:left="1814" w:header="1701" w:footer="397" w:gutter="0"/>
          <w:pgNumType w:fmt="lowerRoman" w:start="1"/>
          <w:cols w:space="720"/>
          <w:titlePg/>
        </w:sectPr>
      </w:pPr>
      <w:bookmarkStart w:id="2" w:name="cov"/>
      <w:bookmarkEnd w:id="2"/>
    </w:p>
    <w:p w:rsidR="00580133" w:rsidRDefault="00580133">
      <w:pPr>
        <w:pStyle w:val="Heading1"/>
      </w:pPr>
      <w:bookmarkStart w:id="3" w:name="_Toc448823024"/>
      <w:bookmarkStart w:id="4" w:name="_Toc448841779"/>
      <w:bookmarkStart w:id="5" w:name="_Toc448933506"/>
      <w:r>
        <w:lastRenderedPageBreak/>
        <w:t>Opportunity for further comment</w:t>
      </w:r>
      <w:bookmarkEnd w:id="3"/>
      <w:bookmarkEnd w:id="4"/>
      <w:bookmarkEnd w:id="5"/>
    </w:p>
    <w:p w:rsidR="00580133" w:rsidRPr="0075065D" w:rsidRDefault="00580133" w:rsidP="00580133">
      <w:pPr>
        <w:pStyle w:val="BodyText"/>
      </w:pPr>
      <w:r w:rsidRPr="0075065D">
        <w:t xml:space="preserve">You are invited to examine this draft and comment on it by written submission to the Productivity Commission, preferably in electronic format, by </w:t>
      </w:r>
      <w:r w:rsidR="00D046A6" w:rsidRPr="0075065D">
        <w:rPr>
          <w:b/>
        </w:rPr>
        <w:t>3 June 2016</w:t>
      </w:r>
      <w:r w:rsidRPr="0075065D">
        <w:t>. Further information on how to provide a submission is included on the inquiry website</w:t>
      </w:r>
      <w:r w:rsidR="00290C20">
        <w:t>:</w:t>
      </w:r>
      <w:r w:rsidRPr="0075065D">
        <w:t xml:space="preserve"> </w:t>
      </w:r>
      <w:hyperlink r:id="rId22" w:history="1">
        <w:r w:rsidRPr="00755EA4">
          <w:rPr>
            <w:rStyle w:val="Hyperlink"/>
            <w:u w:val="none"/>
          </w:rPr>
          <w:t>http://www.pc.gov.au/inquiries/current/intel</w:t>
        </w:r>
        <w:r w:rsidR="00290C20" w:rsidRPr="00755EA4">
          <w:rPr>
            <w:rStyle w:val="Hyperlink"/>
            <w:u w:val="none"/>
          </w:rPr>
          <w:t>lectual-property/make-submission</w:t>
        </w:r>
      </w:hyperlink>
    </w:p>
    <w:p w:rsidR="00C765A8" w:rsidRDefault="00C765A8" w:rsidP="00580133">
      <w:pPr>
        <w:pStyle w:val="BodyText"/>
        <w:rPr>
          <w:spacing w:val="-2"/>
        </w:rPr>
      </w:pPr>
      <w:r w:rsidRPr="00C765A8">
        <w:rPr>
          <w:spacing w:val="-2"/>
        </w:rPr>
        <w:t>The Commission will be holding public hearings in June 2016. Likely locations for public hearings are Canberra, Sydney and Melbourne. Details regarding public hearings will be made available on the Commission’s website in due course.</w:t>
      </w:r>
    </w:p>
    <w:p w:rsidR="00580133" w:rsidRPr="00755EA4" w:rsidRDefault="00580133" w:rsidP="00580133">
      <w:pPr>
        <w:pStyle w:val="BodyText"/>
        <w:rPr>
          <w:spacing w:val="-2"/>
        </w:rPr>
      </w:pPr>
      <w:r w:rsidRPr="00755EA4">
        <w:rPr>
          <w:spacing w:val="-2"/>
        </w:rPr>
        <w:t xml:space="preserve">The final report will be prepared after further submissions have been received and public hearings have been held, and will be forwarded to the </w:t>
      </w:r>
      <w:r w:rsidR="00755EA4">
        <w:rPr>
          <w:spacing w:val="-2"/>
        </w:rPr>
        <w:t>Australian Government in August </w:t>
      </w:r>
      <w:r w:rsidRPr="00755EA4">
        <w:rPr>
          <w:spacing w:val="-2"/>
        </w:rPr>
        <w:t>2016.</w:t>
      </w:r>
    </w:p>
    <w:p w:rsidR="00580133" w:rsidRPr="00683E2C" w:rsidRDefault="00580133" w:rsidP="00A361CF">
      <w:pPr>
        <w:pStyle w:val="Heading3"/>
      </w:pPr>
      <w:r w:rsidRPr="00683E2C">
        <w:t>Commissioners</w:t>
      </w:r>
    </w:p>
    <w:p w:rsidR="00580133" w:rsidRDefault="00580133" w:rsidP="00A361CF">
      <w:pPr>
        <w:pStyle w:val="BodyText"/>
      </w:pPr>
      <w:r w:rsidRPr="007151C7">
        <w:t xml:space="preserve">For the purposes of this inquiry and draft report, in accordance with </w:t>
      </w:r>
      <w:r w:rsidR="00C765A8">
        <w:t>section</w:t>
      </w:r>
      <w:r w:rsidR="00ED3A38">
        <w:t> </w:t>
      </w:r>
      <w:r w:rsidRPr="007151C7">
        <w:t xml:space="preserve">40 of the </w:t>
      </w:r>
      <w:r w:rsidRPr="00297BB6">
        <w:rPr>
          <w:i/>
        </w:rPr>
        <w:t>Productivity Commission Act 1998</w:t>
      </w:r>
      <w:r w:rsidR="00ED3A38">
        <w:rPr>
          <w:i/>
        </w:rPr>
        <w:t>,</w:t>
      </w:r>
      <w:r w:rsidRPr="007151C7">
        <w:t xml:space="preserve"> the powers of the Productivity Commission have been exercised by:</w:t>
      </w:r>
    </w:p>
    <w:tbl>
      <w:tblPr>
        <w:tblW w:w="0" w:type="auto"/>
        <w:tblLayout w:type="fixed"/>
        <w:tblLook w:val="01E0" w:firstRow="1" w:lastRow="1" w:firstColumn="1" w:lastColumn="1" w:noHBand="0" w:noVBand="0"/>
      </w:tblPr>
      <w:tblGrid>
        <w:gridCol w:w="1843"/>
        <w:gridCol w:w="6946"/>
      </w:tblGrid>
      <w:tr w:rsidR="00580133" w:rsidTr="00290C20">
        <w:tc>
          <w:tcPr>
            <w:tcW w:w="1843" w:type="dxa"/>
            <w:tcMar>
              <w:left w:w="0" w:type="dxa"/>
              <w:right w:w="0" w:type="dxa"/>
            </w:tcMar>
          </w:tcPr>
          <w:p w:rsidR="00580133" w:rsidRDefault="00F24344" w:rsidP="00A361CF">
            <w:pPr>
              <w:pStyle w:val="BodyText"/>
              <w:spacing w:before="120"/>
            </w:pPr>
            <w:r>
              <w:t>Karen Chester</w:t>
            </w:r>
          </w:p>
        </w:tc>
        <w:tc>
          <w:tcPr>
            <w:tcW w:w="6946" w:type="dxa"/>
          </w:tcPr>
          <w:p w:rsidR="00580133" w:rsidRDefault="00F24344" w:rsidP="00A361CF">
            <w:pPr>
              <w:pStyle w:val="BodyText"/>
              <w:spacing w:before="120"/>
            </w:pPr>
            <w:r>
              <w:t>Commissioner</w:t>
            </w:r>
          </w:p>
        </w:tc>
      </w:tr>
      <w:tr w:rsidR="00580133" w:rsidTr="00290C20">
        <w:tc>
          <w:tcPr>
            <w:tcW w:w="1843" w:type="dxa"/>
            <w:tcMar>
              <w:left w:w="0" w:type="dxa"/>
              <w:right w:w="0" w:type="dxa"/>
            </w:tcMar>
          </w:tcPr>
          <w:p w:rsidR="00580133" w:rsidRDefault="00F24344" w:rsidP="00A361CF">
            <w:pPr>
              <w:pStyle w:val="BodyText"/>
              <w:spacing w:before="120"/>
            </w:pPr>
            <w:r>
              <w:t>Jonathan Coppel</w:t>
            </w:r>
          </w:p>
        </w:tc>
        <w:tc>
          <w:tcPr>
            <w:tcW w:w="6946" w:type="dxa"/>
          </w:tcPr>
          <w:p w:rsidR="00580133" w:rsidRDefault="00F24344" w:rsidP="00A361CF">
            <w:pPr>
              <w:pStyle w:val="BodyText"/>
              <w:spacing w:before="120"/>
            </w:pPr>
            <w:r>
              <w:t>Commissioner</w:t>
            </w:r>
          </w:p>
        </w:tc>
      </w:tr>
    </w:tbl>
    <w:p w:rsidR="00580133" w:rsidRPr="00DD35BF" w:rsidRDefault="00580133" w:rsidP="00A361CF">
      <w:pPr>
        <w:pStyle w:val="BodyText"/>
        <w:rPr>
          <w:lang w:eastAsia="en-US"/>
        </w:rPr>
      </w:pPr>
    </w:p>
    <w:p w:rsidR="00580133" w:rsidRPr="003C10D8" w:rsidRDefault="00580133" w:rsidP="00A361CF">
      <w:pPr>
        <w:pStyle w:val="BodyText"/>
        <w:rPr>
          <w:lang w:eastAsia="en-US"/>
        </w:rPr>
        <w:sectPr w:rsidR="00580133" w:rsidRPr="003C10D8" w:rsidSect="00A361CF">
          <w:headerReference w:type="even" r:id="rId23"/>
          <w:headerReference w:type="default" r:id="rId24"/>
          <w:footerReference w:type="even" r:id="rId25"/>
          <w:footerReference w:type="default" r:id="rId26"/>
          <w:type w:val="oddPage"/>
          <w:pgSz w:w="11907" w:h="16840" w:code="9"/>
          <w:pgMar w:top="1985" w:right="1304" w:bottom="1191" w:left="1814" w:header="1701" w:footer="397" w:gutter="0"/>
          <w:pgNumType w:fmt="lowerRoman"/>
          <w:cols w:space="720"/>
        </w:sectPr>
      </w:pPr>
    </w:p>
    <w:p w:rsidR="00580133" w:rsidRDefault="00580133" w:rsidP="00A361CF">
      <w:pPr>
        <w:pStyle w:val="Heading1"/>
      </w:pPr>
      <w:bookmarkStart w:id="6" w:name="_Toc448823025"/>
      <w:bookmarkStart w:id="7" w:name="_Toc448841780"/>
      <w:bookmarkStart w:id="8" w:name="_Toc448933507"/>
      <w:r>
        <w:lastRenderedPageBreak/>
        <w:t>Terms of reference</w:t>
      </w:r>
      <w:bookmarkEnd w:id="6"/>
      <w:bookmarkEnd w:id="7"/>
      <w:bookmarkEnd w:id="8"/>
    </w:p>
    <w:p w:rsidR="00F315F4" w:rsidRDefault="00F315F4" w:rsidP="00F315F4">
      <w:pPr>
        <w:pStyle w:val="BodyText"/>
        <w:jc w:val="center"/>
      </w:pPr>
      <w:r>
        <w:t>INQUIRY INTO AUSTRALIA’S INTELLECTUAL PROPERTY ARRANGEMENTS</w:t>
      </w:r>
    </w:p>
    <w:p w:rsidR="00ED4AA5" w:rsidRDefault="00ED4AA5" w:rsidP="0086396F">
      <w:pPr>
        <w:pStyle w:val="BodyText"/>
        <w:spacing w:before="360"/>
      </w:pPr>
      <w:r w:rsidRPr="00ED4AA5">
        <w:t>I, Joseph Benedict Hockey, Treasurer, pursuant to Parts 2 and 3 of the Productivity Commission Act 1998, hereby request that the Productivity Commission undertake an inquiry into Australia's intellectual property arrangements, including their effect on investment, competition, trade, innovation and consumer welfare.</w:t>
      </w:r>
    </w:p>
    <w:p w:rsidR="00ED4AA5" w:rsidRPr="00ED4AA5" w:rsidRDefault="00ED4AA5" w:rsidP="00ED4AA5">
      <w:pPr>
        <w:pStyle w:val="BodyText"/>
        <w:rPr>
          <w:b/>
        </w:rPr>
      </w:pPr>
      <w:r w:rsidRPr="00ED4AA5">
        <w:rPr>
          <w:b/>
        </w:rPr>
        <w:t>Background</w:t>
      </w:r>
    </w:p>
    <w:p w:rsidR="00ED4AA5" w:rsidRPr="00ED4AA5" w:rsidRDefault="00ED4AA5" w:rsidP="00ED4AA5">
      <w:pPr>
        <w:pStyle w:val="BodyText"/>
      </w:pPr>
      <w:r w:rsidRPr="00ED4AA5">
        <w:t xml:space="preserve">Australia provides statutory protection for intellectual property through patents, </w:t>
      </w:r>
      <w:proofErr w:type="spellStart"/>
      <w:r w:rsidRPr="00ED4AA5">
        <w:t>trade marks</w:t>
      </w:r>
      <w:proofErr w:type="spellEnd"/>
      <w:r w:rsidRPr="00ED4AA5">
        <w:t>, geographical indications, registered designs, plant breeders' rights, copyright, moral rights, performers' rights and circuit layout rights. Current laws are consistent with treaties under the auspices of the World Trade Organization, the World Intellectual Property Organization and the World Health Organization to which Australia has acceded, as well as bilateral and regional trade agreements.</w:t>
      </w:r>
    </w:p>
    <w:p w:rsidR="00ED4AA5" w:rsidRPr="00ED4AA5" w:rsidRDefault="00ED4AA5" w:rsidP="00ED4AA5">
      <w:pPr>
        <w:pStyle w:val="BodyText"/>
      </w:pPr>
      <w:r w:rsidRPr="00ED4AA5">
        <w:t>The global economy and technology are changing and there have been increases in the scope and duration of intellectual property protection. The Australian Government seeks to ensure that the appropriate balance exists between incentives for innovation and investment and the interests of both individuals and businesses, including small businesses, in accessing ideas and products.</w:t>
      </w:r>
    </w:p>
    <w:p w:rsidR="00ED4AA5" w:rsidRPr="00ED4AA5" w:rsidRDefault="00ED4AA5" w:rsidP="00ED4AA5">
      <w:pPr>
        <w:pStyle w:val="BodyText"/>
        <w:rPr>
          <w:b/>
        </w:rPr>
      </w:pPr>
      <w:r w:rsidRPr="00ED4AA5">
        <w:rPr>
          <w:b/>
        </w:rPr>
        <w:t>Scope of the inquiry</w:t>
      </w:r>
    </w:p>
    <w:p w:rsidR="00ED4AA5" w:rsidRDefault="00ED4AA5" w:rsidP="00ED4AA5">
      <w:pPr>
        <w:pStyle w:val="BodyText"/>
      </w:pPr>
      <w:r>
        <w:t>The Australian Government wishes to ensure that the intellectual property system provides appropriate incentives for innovation, investment and the production of creative works while ensuring it does not unreasonably impede further innovation, competition, investment and access to goods and services.</w:t>
      </w:r>
    </w:p>
    <w:p w:rsidR="00ED4AA5" w:rsidRDefault="00ED4AA5" w:rsidP="00ED4AA5">
      <w:pPr>
        <w:pStyle w:val="BodyText"/>
      </w:pPr>
      <w:r>
        <w:t>In undertaking the inquiry, the Commission should:</w:t>
      </w:r>
    </w:p>
    <w:p w:rsidR="00ED4AA5" w:rsidRPr="00ED4AA5" w:rsidRDefault="00ED4AA5" w:rsidP="00ED4AA5">
      <w:pPr>
        <w:pStyle w:val="ListNumber"/>
      </w:pPr>
      <w:r w:rsidRPr="00ED4AA5">
        <w:t>examine the effect of the scope and duration of protection afforded by Australia's intellectual property system on:</w:t>
      </w:r>
    </w:p>
    <w:p w:rsidR="00ED4AA5" w:rsidRPr="00ED4AA5" w:rsidRDefault="00ED4AA5" w:rsidP="00ED4AA5">
      <w:pPr>
        <w:pStyle w:val="ListNumber2"/>
      </w:pPr>
      <w:r w:rsidRPr="00ED4AA5">
        <w:t>research and innovation, including freedom to build on existing innovation</w:t>
      </w:r>
    </w:p>
    <w:p w:rsidR="00ED4AA5" w:rsidRPr="00ED4AA5" w:rsidRDefault="00ED4AA5" w:rsidP="00ED4AA5">
      <w:pPr>
        <w:pStyle w:val="ListNumber2"/>
      </w:pPr>
      <w:r w:rsidRPr="00ED4AA5">
        <w:t>access to and cost of goods and services</w:t>
      </w:r>
    </w:p>
    <w:p w:rsidR="00ED4AA5" w:rsidRPr="00ED4AA5" w:rsidRDefault="00ED4AA5" w:rsidP="00ED4AA5">
      <w:pPr>
        <w:pStyle w:val="ListNumber2"/>
      </w:pPr>
      <w:r w:rsidRPr="00ED4AA5">
        <w:t>competition, trade and investment.</w:t>
      </w:r>
    </w:p>
    <w:p w:rsidR="00ED4AA5" w:rsidRPr="00ED4AA5" w:rsidRDefault="00ED4AA5" w:rsidP="00ED4AA5">
      <w:pPr>
        <w:pStyle w:val="ListNumber"/>
      </w:pPr>
      <w:r w:rsidRPr="00ED4AA5">
        <w:lastRenderedPageBreak/>
        <w:t>recommend changes to the current system that would improve the overall wellbeing of Australian society, which take account of Australia's international trade obligations, including changes that would:</w:t>
      </w:r>
    </w:p>
    <w:p w:rsidR="00ED4AA5" w:rsidRPr="00ED4AA5" w:rsidRDefault="00ED4AA5" w:rsidP="00ED4AA5">
      <w:pPr>
        <w:pStyle w:val="ListNumber2"/>
      </w:pPr>
      <w:r w:rsidRPr="00ED4AA5">
        <w:t>encourage creativity, investment and new innovation by individuals, businesses and through collaboration while not unduly restricting access to technologies and creative works</w:t>
      </w:r>
    </w:p>
    <w:p w:rsidR="00ED4AA5" w:rsidRPr="00ED4AA5" w:rsidRDefault="00ED4AA5" w:rsidP="00ED4AA5">
      <w:pPr>
        <w:pStyle w:val="ListNumber2"/>
      </w:pPr>
      <w:r w:rsidRPr="00ED4AA5">
        <w:t>allow access to an increased range of quality and value goods and services</w:t>
      </w:r>
    </w:p>
    <w:p w:rsidR="00ED4AA5" w:rsidRPr="00ED4AA5" w:rsidRDefault="00ED4AA5" w:rsidP="00ED4AA5">
      <w:pPr>
        <w:pStyle w:val="ListNumber2"/>
      </w:pPr>
      <w:r w:rsidRPr="00ED4AA5">
        <w:t>provide greater certainty to individuals and businesses as to whether they are likely to infringe the intellectual property rights of others</w:t>
      </w:r>
    </w:p>
    <w:p w:rsidR="00ED4AA5" w:rsidRPr="00ED4AA5" w:rsidRDefault="00ED4AA5" w:rsidP="00ED4AA5">
      <w:pPr>
        <w:pStyle w:val="ListNumber2"/>
      </w:pPr>
      <w:r w:rsidRPr="00ED4AA5">
        <w:t>reduce the compliance and administrative costs associated with intellectual property rules.</w:t>
      </w:r>
    </w:p>
    <w:p w:rsidR="00ED4AA5" w:rsidRPr="00ED4AA5" w:rsidRDefault="00ED4AA5" w:rsidP="00ED4AA5">
      <w:pPr>
        <w:pStyle w:val="ListNumber"/>
      </w:pPr>
      <w:r w:rsidRPr="00ED4AA5">
        <w:t>in undertaking the inquiry and proposing changes, the Commission is to have regard to:</w:t>
      </w:r>
    </w:p>
    <w:p w:rsidR="00ED4AA5" w:rsidRPr="00ED4AA5" w:rsidRDefault="00ED4AA5" w:rsidP="00ED4AA5">
      <w:pPr>
        <w:pStyle w:val="ListNumber2"/>
      </w:pPr>
      <w:r w:rsidRPr="00ED4AA5">
        <w:t>Australia's international arrangements, including obligations accepted under bilateral, multilateral and regional trade agreements to which Australia is a party</w:t>
      </w:r>
    </w:p>
    <w:p w:rsidR="00ED4AA5" w:rsidRPr="00ED4AA5" w:rsidRDefault="00ED4AA5" w:rsidP="00ED4AA5">
      <w:pPr>
        <w:pStyle w:val="ListNumber2"/>
      </w:pPr>
      <w:r w:rsidRPr="00ED4AA5">
        <w:t>the IP arrangements of Australia's top intellectual property trading partners and the experiences of these and other advanced economies in reforming their IP systems to ensure those systems meet the needs of the modern economy</w:t>
      </w:r>
    </w:p>
    <w:p w:rsidR="00ED4AA5" w:rsidRPr="00ED4AA5" w:rsidRDefault="00ED4AA5" w:rsidP="00ED4AA5">
      <w:pPr>
        <w:pStyle w:val="ListNumber2"/>
      </w:pPr>
      <w:r w:rsidRPr="00ED4AA5">
        <w:t>the relative contribution of imported and domestically produced intellectual property to the Australian economy, for example to Australia's terms of trade and other economic impacts of IP protection, including on inward investment</w:t>
      </w:r>
    </w:p>
    <w:p w:rsidR="00ED4AA5" w:rsidRPr="00ED4AA5" w:rsidRDefault="00ED4AA5" w:rsidP="00ED4AA5">
      <w:pPr>
        <w:pStyle w:val="ListNumber2"/>
      </w:pPr>
      <w:r w:rsidRPr="00ED4AA5">
        <w:t>the Government's desire to retain appropriate incentives for innovation and investment, including innovation that builds on existing work, and production of creative works</w:t>
      </w:r>
    </w:p>
    <w:p w:rsidR="00ED4AA5" w:rsidRPr="00ED4AA5" w:rsidRDefault="00ED4AA5" w:rsidP="00ED4AA5">
      <w:pPr>
        <w:pStyle w:val="ListNumber2"/>
      </w:pPr>
      <w:r w:rsidRPr="00ED4AA5">
        <w:t>the economy-wide and distributional consequences of recommendations on changes to the existing intellectual property system, including on trade and competition</w:t>
      </w:r>
    </w:p>
    <w:p w:rsidR="00ED4AA5" w:rsidRPr="00ED4AA5" w:rsidRDefault="00ED4AA5" w:rsidP="00ED4AA5">
      <w:pPr>
        <w:pStyle w:val="ListNumber2"/>
      </w:pPr>
      <w:r w:rsidRPr="00ED4AA5">
        <w:t>ensuring the intellectual property system will be efficient, effective and robust through time, in light of economic and technological changes</w:t>
      </w:r>
    </w:p>
    <w:p w:rsidR="00ED4AA5" w:rsidRPr="00ED4AA5" w:rsidRDefault="00ED4AA5" w:rsidP="00ED4AA5">
      <w:pPr>
        <w:pStyle w:val="ListNumber2"/>
      </w:pPr>
      <w:r w:rsidRPr="00ED4AA5">
        <w:t>how proposed changes fit with, or may require changes to, other existing regulation or forms of assistance (such as research subsidies) currently providing incentives for the development of intellectual property</w:t>
      </w:r>
    </w:p>
    <w:p w:rsidR="00ED4AA5" w:rsidRPr="00ED4AA5" w:rsidRDefault="00ED4AA5" w:rsidP="00ED4AA5">
      <w:pPr>
        <w:pStyle w:val="ListNumber2"/>
      </w:pPr>
      <w:r w:rsidRPr="00ED4AA5">
        <w:t>the findings and recommendations of the Harper Competition Policy Review in the context of the Australian Government's response, including recommendations related to parallel import restrictions in the </w:t>
      </w:r>
      <w:r w:rsidRPr="00ED4AA5">
        <w:rPr>
          <w:i/>
          <w:iCs/>
        </w:rPr>
        <w:t>Copyright Act 1968</w:t>
      </w:r>
      <w:r w:rsidRPr="00ED4AA5">
        <w:t> and the parallel importation defence under the</w:t>
      </w:r>
      <w:r w:rsidR="00841FC6">
        <w:t xml:space="preserve"> </w:t>
      </w:r>
      <w:r w:rsidRPr="00ED4AA5">
        <w:rPr>
          <w:i/>
          <w:iCs/>
        </w:rPr>
        <w:t>Trade Marks Act 1995</w:t>
      </w:r>
    </w:p>
    <w:p w:rsidR="00ED4AA5" w:rsidRPr="00ED4AA5" w:rsidRDefault="00ED4AA5" w:rsidP="00ED4AA5">
      <w:pPr>
        <w:pStyle w:val="ListNumber2"/>
      </w:pPr>
      <w:r w:rsidRPr="00ED4AA5">
        <w:t xml:space="preserve">the findings and recommendations of the Advisory Council on Intellectual Property's Review of the Innovation Patent System the Senate Economics </w:t>
      </w:r>
      <w:r w:rsidRPr="00ED4AA5">
        <w:lastRenderedPageBreak/>
        <w:t>References Committee's inquiry into Australia's innovation system the Australian Law Reform Commission's Copyright and the Digital Economy report.</w:t>
      </w:r>
    </w:p>
    <w:p w:rsidR="00ED4AA5" w:rsidRPr="00ED4AA5" w:rsidRDefault="00ED4AA5" w:rsidP="00ED4AA5">
      <w:pPr>
        <w:pStyle w:val="BodyText"/>
        <w:rPr>
          <w:b/>
        </w:rPr>
      </w:pPr>
      <w:r w:rsidRPr="00ED4AA5">
        <w:rPr>
          <w:b/>
        </w:rPr>
        <w:t>Process</w:t>
      </w:r>
    </w:p>
    <w:p w:rsidR="00ED4AA5" w:rsidRDefault="00ED4AA5" w:rsidP="00ED4AA5">
      <w:pPr>
        <w:pStyle w:val="BodyText"/>
      </w:pPr>
      <w:r>
        <w:t>The Commission is to undertake an appropriate public consultation process, inviting public submissions and releasing a draft report to the public.</w:t>
      </w:r>
    </w:p>
    <w:p w:rsidR="00ED4AA5" w:rsidRDefault="00ED4AA5" w:rsidP="00ED4AA5">
      <w:pPr>
        <w:pStyle w:val="BodyText"/>
      </w:pPr>
      <w:r>
        <w:t>The Final report is to be provided to the Government within 12 months of receipt of this Terms of Reference.</w:t>
      </w:r>
    </w:p>
    <w:p w:rsidR="00ED4AA5" w:rsidRDefault="00ED4AA5" w:rsidP="00290C20">
      <w:pPr>
        <w:pStyle w:val="BodyText"/>
        <w:spacing w:before="480"/>
        <w:jc w:val="left"/>
      </w:pPr>
      <w:r>
        <w:t>J B Hockey</w:t>
      </w:r>
      <w:r w:rsidR="00290C20">
        <w:br/>
      </w:r>
      <w:r>
        <w:t>Treasurer</w:t>
      </w:r>
    </w:p>
    <w:p w:rsidR="00ED4AA5" w:rsidRDefault="00ED4AA5" w:rsidP="00ED4AA5">
      <w:pPr>
        <w:pStyle w:val="BodyText"/>
      </w:pPr>
      <w:r>
        <w:t>[Received 18 August 2015]</w:t>
      </w:r>
    </w:p>
    <w:p w:rsidR="00580133" w:rsidRDefault="00580133" w:rsidP="00A361CF">
      <w:pPr>
        <w:pStyle w:val="BodyText"/>
      </w:pPr>
    </w:p>
    <w:p w:rsidR="00580133" w:rsidRDefault="00580133" w:rsidP="00A361CF">
      <w:pPr>
        <w:pStyle w:val="BodyText"/>
        <w:sectPr w:rsidR="00580133" w:rsidSect="00A361CF">
          <w:headerReference w:type="even" r:id="rId27"/>
          <w:headerReference w:type="default" r:id="rId28"/>
          <w:footerReference w:type="even" r:id="rId29"/>
          <w:footerReference w:type="default" r:id="rId30"/>
          <w:pgSz w:w="11907" w:h="16840" w:code="9"/>
          <w:pgMar w:top="1985" w:right="1304" w:bottom="1247" w:left="1814" w:header="1701" w:footer="397" w:gutter="0"/>
          <w:pgNumType w:fmt="lowerRoman"/>
          <w:cols w:space="720"/>
        </w:sectPr>
      </w:pPr>
    </w:p>
    <w:p w:rsidR="00A361CF" w:rsidRDefault="00735FEA" w:rsidP="00134524">
      <w:pPr>
        <w:pStyle w:val="Heading1NotTOC"/>
        <w:rPr>
          <w:noProof/>
        </w:rPr>
      </w:pPr>
      <w:bookmarkStart w:id="9" w:name="Contents"/>
      <w:bookmarkEnd w:id="9"/>
      <w:r w:rsidRPr="00B153C3">
        <w:lastRenderedPageBreak/>
        <w:t>Contents</w:t>
      </w:r>
      <w:bookmarkStart w:id="10" w:name="InsertContents"/>
      <w:bookmarkEnd w:id="10"/>
    </w:p>
    <w:p w:rsidR="00A361CF" w:rsidRDefault="00A361CF">
      <w:pPr>
        <w:pStyle w:val="TOC1"/>
        <w:rPr>
          <w:rFonts w:asciiTheme="minorHAnsi" w:eastAsiaTheme="minorEastAsia" w:hAnsiTheme="minorHAnsi" w:cstheme="minorBidi"/>
          <w:b w:val="0"/>
          <w:noProof/>
          <w:sz w:val="22"/>
          <w:szCs w:val="22"/>
          <w:lang w:eastAsia="en-AU"/>
        </w:rPr>
      </w:pPr>
      <w:r>
        <w:rPr>
          <w:noProof/>
        </w:rPr>
        <w:t>Opportunity for further comment</w:t>
      </w:r>
      <w:r>
        <w:rPr>
          <w:noProof/>
        </w:rPr>
        <w:tab/>
        <w:t>iii</w:t>
      </w:r>
    </w:p>
    <w:p w:rsidR="00A361CF" w:rsidRDefault="00A361CF">
      <w:pPr>
        <w:pStyle w:val="TOC1"/>
        <w:rPr>
          <w:rFonts w:asciiTheme="minorHAnsi" w:eastAsiaTheme="minorEastAsia" w:hAnsiTheme="minorHAnsi" w:cstheme="minorBidi"/>
          <w:b w:val="0"/>
          <w:noProof/>
          <w:sz w:val="22"/>
          <w:szCs w:val="22"/>
          <w:lang w:eastAsia="en-AU"/>
        </w:rPr>
      </w:pPr>
      <w:r>
        <w:rPr>
          <w:noProof/>
        </w:rPr>
        <w:t>Terms of reference</w:t>
      </w:r>
      <w:r>
        <w:rPr>
          <w:noProof/>
        </w:rPr>
        <w:tab/>
        <w:t>iv</w:t>
      </w:r>
    </w:p>
    <w:p w:rsidR="00A361CF" w:rsidRDefault="00A361CF">
      <w:pPr>
        <w:pStyle w:val="TOC1"/>
        <w:rPr>
          <w:rFonts w:asciiTheme="minorHAnsi" w:eastAsiaTheme="minorEastAsia" w:hAnsiTheme="minorHAnsi" w:cstheme="minorBidi"/>
          <w:b w:val="0"/>
          <w:noProof/>
          <w:sz w:val="22"/>
          <w:szCs w:val="22"/>
          <w:lang w:eastAsia="en-AU"/>
        </w:rPr>
      </w:pPr>
      <w:r>
        <w:rPr>
          <w:noProof/>
        </w:rPr>
        <w:t>Acknowledgments</w:t>
      </w:r>
      <w:r>
        <w:rPr>
          <w:noProof/>
        </w:rPr>
        <w:tab/>
        <w:t>xi</w:t>
      </w:r>
    </w:p>
    <w:p w:rsidR="00A361CF" w:rsidRDefault="00A361CF">
      <w:pPr>
        <w:pStyle w:val="TOC1"/>
        <w:rPr>
          <w:rFonts w:asciiTheme="minorHAnsi" w:eastAsiaTheme="minorEastAsia" w:hAnsiTheme="minorHAnsi" w:cstheme="minorBidi"/>
          <w:b w:val="0"/>
          <w:noProof/>
          <w:sz w:val="22"/>
          <w:szCs w:val="22"/>
          <w:lang w:eastAsia="en-AU"/>
        </w:rPr>
      </w:pPr>
      <w:r>
        <w:rPr>
          <w:noProof/>
        </w:rPr>
        <w:t>Abbreviations</w:t>
      </w:r>
      <w:r>
        <w:rPr>
          <w:noProof/>
        </w:rPr>
        <w:tab/>
        <w:t>xi</w:t>
      </w:r>
      <w:r w:rsidR="005353B0">
        <w:rPr>
          <w:noProof/>
        </w:rPr>
        <w:t>i</w:t>
      </w:r>
    </w:p>
    <w:p w:rsidR="00A361CF" w:rsidRDefault="00A361CF">
      <w:pPr>
        <w:pStyle w:val="TOC1"/>
        <w:rPr>
          <w:rFonts w:asciiTheme="minorHAnsi" w:eastAsiaTheme="minorEastAsia" w:hAnsiTheme="minorHAnsi" w:cstheme="minorBidi"/>
          <w:b w:val="0"/>
          <w:noProof/>
          <w:sz w:val="22"/>
          <w:szCs w:val="22"/>
          <w:lang w:eastAsia="en-AU"/>
        </w:rPr>
      </w:pPr>
      <w:r>
        <w:rPr>
          <w:noProof/>
        </w:rPr>
        <w:t>Overview</w:t>
      </w:r>
      <w:r>
        <w:rPr>
          <w:noProof/>
        </w:rPr>
        <w:tab/>
        <w:t>1</w:t>
      </w:r>
    </w:p>
    <w:p w:rsidR="00A361CF" w:rsidRDefault="00A361CF">
      <w:pPr>
        <w:pStyle w:val="TOC1"/>
        <w:rPr>
          <w:rFonts w:asciiTheme="minorHAnsi" w:eastAsiaTheme="minorEastAsia" w:hAnsiTheme="minorHAnsi" w:cstheme="minorBidi"/>
          <w:b w:val="0"/>
          <w:noProof/>
          <w:sz w:val="22"/>
          <w:szCs w:val="22"/>
          <w:lang w:eastAsia="en-AU"/>
        </w:rPr>
      </w:pPr>
      <w:r>
        <w:rPr>
          <w:noProof/>
        </w:rPr>
        <w:t>Draft recommendations, findings and information requests</w:t>
      </w:r>
      <w:r>
        <w:rPr>
          <w:noProof/>
        </w:rPr>
        <w:tab/>
        <w:t>29</w:t>
      </w:r>
    </w:p>
    <w:p w:rsidR="00A361CF" w:rsidRDefault="00A361CF">
      <w:pPr>
        <w:pStyle w:val="TOC1"/>
        <w:rPr>
          <w:rFonts w:asciiTheme="minorHAnsi" w:eastAsiaTheme="minorEastAsia" w:hAnsiTheme="minorHAnsi" w:cstheme="minorBidi"/>
          <w:b w:val="0"/>
          <w:noProof/>
          <w:sz w:val="22"/>
          <w:szCs w:val="22"/>
          <w:lang w:eastAsia="en-AU"/>
        </w:rPr>
      </w:pPr>
      <w:r>
        <w:rPr>
          <w:noProof/>
        </w:rPr>
        <w:t>1</w:t>
      </w:r>
      <w:r>
        <w:rPr>
          <w:rFonts w:asciiTheme="minorHAnsi" w:eastAsiaTheme="minorEastAsia" w:hAnsiTheme="minorHAnsi" w:cstheme="minorBidi"/>
          <w:b w:val="0"/>
          <w:noProof/>
          <w:sz w:val="22"/>
          <w:szCs w:val="22"/>
          <w:lang w:eastAsia="en-AU"/>
        </w:rPr>
        <w:tab/>
      </w:r>
      <w:r>
        <w:rPr>
          <w:noProof/>
        </w:rPr>
        <w:t>About this inquiry</w:t>
      </w:r>
      <w:r>
        <w:rPr>
          <w:noProof/>
        </w:rPr>
        <w:tab/>
        <w:t>43</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t>1.1</w:t>
      </w:r>
      <w:r>
        <w:rPr>
          <w:rFonts w:asciiTheme="minorHAnsi" w:eastAsiaTheme="minorEastAsia" w:hAnsiTheme="minorHAnsi" w:cstheme="minorBidi"/>
          <w:noProof/>
          <w:sz w:val="22"/>
          <w:szCs w:val="22"/>
          <w:lang w:eastAsia="en-AU"/>
        </w:rPr>
        <w:tab/>
      </w:r>
      <w:r>
        <w:rPr>
          <w:noProof/>
        </w:rPr>
        <w:t>Background to this inquiry</w:t>
      </w:r>
      <w:r>
        <w:rPr>
          <w:noProof/>
        </w:rPr>
        <w:tab/>
        <w:t>43</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t>1.2</w:t>
      </w:r>
      <w:r>
        <w:rPr>
          <w:rFonts w:asciiTheme="minorHAnsi" w:eastAsiaTheme="minorEastAsia" w:hAnsiTheme="minorHAnsi" w:cstheme="minorBidi"/>
          <w:noProof/>
          <w:sz w:val="22"/>
          <w:szCs w:val="22"/>
          <w:lang w:eastAsia="en-AU"/>
        </w:rPr>
        <w:tab/>
      </w:r>
      <w:r>
        <w:rPr>
          <w:noProof/>
        </w:rPr>
        <w:t>What has the Commission been asked to do?</w:t>
      </w:r>
      <w:r>
        <w:rPr>
          <w:noProof/>
        </w:rPr>
        <w:tab/>
        <w:t>44</w:t>
      </w:r>
    </w:p>
    <w:p w:rsidR="00A361CF" w:rsidRDefault="00A361CF">
      <w:pPr>
        <w:pStyle w:val="TOC2"/>
        <w:tabs>
          <w:tab w:val="left" w:pos="1190"/>
        </w:tabs>
        <w:rPr>
          <w:noProof/>
        </w:rPr>
      </w:pPr>
      <w:r>
        <w:rPr>
          <w:noProof/>
        </w:rPr>
        <w:t>1.3</w:t>
      </w:r>
      <w:r>
        <w:rPr>
          <w:rFonts w:asciiTheme="minorHAnsi" w:eastAsiaTheme="minorEastAsia" w:hAnsiTheme="minorHAnsi" w:cstheme="minorBidi"/>
          <w:noProof/>
          <w:sz w:val="22"/>
          <w:szCs w:val="22"/>
          <w:lang w:eastAsia="en-AU"/>
        </w:rPr>
        <w:tab/>
      </w:r>
      <w:r>
        <w:rPr>
          <w:noProof/>
        </w:rPr>
        <w:t>Scope of the inquiry</w:t>
      </w:r>
      <w:r>
        <w:rPr>
          <w:noProof/>
        </w:rPr>
        <w:tab/>
        <w:t>45</w:t>
      </w:r>
    </w:p>
    <w:p w:rsidR="008F1525" w:rsidRPr="008F1525" w:rsidRDefault="008F1525">
      <w:pPr>
        <w:pStyle w:val="TOC2"/>
        <w:tabs>
          <w:tab w:val="left" w:pos="1190"/>
        </w:tabs>
        <w:rPr>
          <w:noProof/>
        </w:rPr>
      </w:pPr>
      <w:r w:rsidRPr="008F1525">
        <w:rPr>
          <w:noProof/>
        </w:rPr>
        <w:t>1.4</w:t>
      </w:r>
      <w:r w:rsidRPr="008F1525">
        <w:rPr>
          <w:noProof/>
        </w:rPr>
        <w:tab/>
        <w:t>The Commission’s approach</w:t>
      </w:r>
      <w:r>
        <w:rPr>
          <w:noProof/>
        </w:rPr>
        <w:tab/>
        <w:t>48</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t>1.5</w:t>
      </w:r>
      <w:r>
        <w:rPr>
          <w:rFonts w:asciiTheme="minorHAnsi" w:eastAsiaTheme="minorEastAsia" w:hAnsiTheme="minorHAnsi" w:cstheme="minorBidi"/>
          <w:noProof/>
          <w:sz w:val="22"/>
          <w:szCs w:val="22"/>
          <w:lang w:eastAsia="en-AU"/>
        </w:rPr>
        <w:tab/>
      </w:r>
      <w:r>
        <w:rPr>
          <w:noProof/>
        </w:rPr>
        <w:t>Conduct of this inquiry</w:t>
      </w:r>
      <w:r>
        <w:rPr>
          <w:noProof/>
        </w:rPr>
        <w:tab/>
        <w:t>48</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t>1.6</w:t>
      </w:r>
      <w:r>
        <w:rPr>
          <w:rFonts w:asciiTheme="minorHAnsi" w:eastAsiaTheme="minorEastAsia" w:hAnsiTheme="minorHAnsi" w:cstheme="minorBidi"/>
          <w:noProof/>
          <w:sz w:val="22"/>
          <w:szCs w:val="22"/>
          <w:lang w:eastAsia="en-AU"/>
        </w:rPr>
        <w:tab/>
      </w:r>
      <w:r>
        <w:rPr>
          <w:noProof/>
        </w:rPr>
        <w:t>A guide to the remainder of this report</w:t>
      </w:r>
      <w:r>
        <w:rPr>
          <w:noProof/>
        </w:rPr>
        <w:tab/>
        <w:t>48</w:t>
      </w:r>
    </w:p>
    <w:p w:rsidR="00A361CF" w:rsidRDefault="00A361CF">
      <w:pPr>
        <w:pStyle w:val="TOC1"/>
        <w:rPr>
          <w:rFonts w:asciiTheme="minorHAnsi" w:eastAsiaTheme="minorEastAsia" w:hAnsiTheme="minorHAnsi" w:cstheme="minorBidi"/>
          <w:b w:val="0"/>
          <w:noProof/>
          <w:sz w:val="22"/>
          <w:szCs w:val="22"/>
          <w:lang w:eastAsia="en-AU"/>
        </w:rPr>
      </w:pPr>
      <w:r>
        <w:rPr>
          <w:noProof/>
        </w:rPr>
        <w:t>2</w:t>
      </w:r>
      <w:r>
        <w:rPr>
          <w:rFonts w:asciiTheme="minorHAnsi" w:eastAsiaTheme="minorEastAsia" w:hAnsiTheme="minorHAnsi" w:cstheme="minorBidi"/>
          <w:b w:val="0"/>
          <w:noProof/>
          <w:sz w:val="22"/>
          <w:szCs w:val="22"/>
          <w:lang w:eastAsia="en-AU"/>
        </w:rPr>
        <w:tab/>
      </w:r>
      <w:r>
        <w:rPr>
          <w:noProof/>
        </w:rPr>
        <w:t>Assessing the IP system — an analytical framework</w:t>
      </w:r>
      <w:r>
        <w:rPr>
          <w:noProof/>
        </w:rPr>
        <w:tab/>
        <w:t>51</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t>2.1</w:t>
      </w:r>
      <w:r>
        <w:rPr>
          <w:rFonts w:asciiTheme="minorHAnsi" w:eastAsiaTheme="minorEastAsia" w:hAnsiTheme="minorHAnsi" w:cstheme="minorBidi"/>
          <w:noProof/>
          <w:sz w:val="22"/>
          <w:szCs w:val="22"/>
          <w:lang w:eastAsia="en-AU"/>
        </w:rPr>
        <w:tab/>
      </w:r>
      <w:r>
        <w:rPr>
          <w:noProof/>
        </w:rPr>
        <w:t>How do IP arrangements affect wellbeing?</w:t>
      </w:r>
      <w:r>
        <w:rPr>
          <w:noProof/>
        </w:rPr>
        <w:tab/>
        <w:t>52</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t>2.2</w:t>
      </w:r>
      <w:r>
        <w:rPr>
          <w:rFonts w:asciiTheme="minorHAnsi" w:eastAsiaTheme="minorEastAsia" w:hAnsiTheme="minorHAnsi" w:cstheme="minorBidi"/>
          <w:noProof/>
          <w:sz w:val="22"/>
          <w:szCs w:val="22"/>
          <w:lang w:eastAsia="en-AU"/>
        </w:rPr>
        <w:tab/>
      </w:r>
      <w:r>
        <w:rPr>
          <w:noProof/>
        </w:rPr>
        <w:t>What do we want the IP system to achieve?</w:t>
      </w:r>
      <w:r>
        <w:rPr>
          <w:noProof/>
        </w:rPr>
        <w:tab/>
        <w:t>54</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t>2.3</w:t>
      </w:r>
      <w:r>
        <w:rPr>
          <w:rFonts w:asciiTheme="minorHAnsi" w:eastAsiaTheme="minorEastAsia" w:hAnsiTheme="minorHAnsi" w:cstheme="minorBidi"/>
          <w:noProof/>
          <w:sz w:val="22"/>
          <w:szCs w:val="22"/>
          <w:lang w:eastAsia="en-AU"/>
        </w:rPr>
        <w:tab/>
      </w:r>
      <w:r>
        <w:rPr>
          <w:noProof/>
        </w:rPr>
        <w:t>What principles are important for the IP system?</w:t>
      </w:r>
      <w:r>
        <w:rPr>
          <w:noProof/>
        </w:rPr>
        <w:tab/>
        <w:t>58</w:t>
      </w:r>
    </w:p>
    <w:p w:rsidR="00A361CF" w:rsidRDefault="00A361CF">
      <w:pPr>
        <w:pStyle w:val="TOC1"/>
        <w:rPr>
          <w:rFonts w:asciiTheme="minorHAnsi" w:eastAsiaTheme="minorEastAsia" w:hAnsiTheme="minorHAnsi" w:cstheme="minorBidi"/>
          <w:b w:val="0"/>
          <w:noProof/>
          <w:sz w:val="22"/>
          <w:szCs w:val="22"/>
          <w:lang w:eastAsia="en-AU"/>
        </w:rPr>
      </w:pPr>
      <w:r>
        <w:rPr>
          <w:noProof/>
        </w:rPr>
        <w:t>3</w:t>
      </w:r>
      <w:r>
        <w:rPr>
          <w:rFonts w:asciiTheme="minorHAnsi" w:eastAsiaTheme="minorEastAsia" w:hAnsiTheme="minorHAnsi" w:cstheme="minorBidi"/>
          <w:b w:val="0"/>
          <w:noProof/>
          <w:sz w:val="22"/>
          <w:szCs w:val="22"/>
          <w:lang w:eastAsia="en-AU"/>
        </w:rPr>
        <w:tab/>
      </w:r>
      <w:r>
        <w:rPr>
          <w:noProof/>
        </w:rPr>
        <w:t>How does the system fare?</w:t>
      </w:r>
      <w:r>
        <w:rPr>
          <w:noProof/>
        </w:rPr>
        <w:tab/>
        <w:t>73</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t>3.1</w:t>
      </w:r>
      <w:r>
        <w:rPr>
          <w:rFonts w:asciiTheme="minorHAnsi" w:eastAsiaTheme="minorEastAsia" w:hAnsiTheme="minorHAnsi" w:cstheme="minorBidi"/>
          <w:noProof/>
          <w:sz w:val="22"/>
          <w:szCs w:val="22"/>
          <w:lang w:eastAsia="en-AU"/>
        </w:rPr>
        <w:tab/>
      </w:r>
      <w:r>
        <w:rPr>
          <w:noProof/>
        </w:rPr>
        <w:t>Is the IP system effective?</w:t>
      </w:r>
      <w:r>
        <w:rPr>
          <w:noProof/>
        </w:rPr>
        <w:tab/>
        <w:t>74</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t>3.2</w:t>
      </w:r>
      <w:r>
        <w:rPr>
          <w:rFonts w:asciiTheme="minorHAnsi" w:eastAsiaTheme="minorEastAsia" w:hAnsiTheme="minorHAnsi" w:cstheme="minorBidi"/>
          <w:noProof/>
          <w:sz w:val="22"/>
          <w:szCs w:val="22"/>
          <w:lang w:eastAsia="en-AU"/>
        </w:rPr>
        <w:tab/>
      </w:r>
      <w:r>
        <w:rPr>
          <w:noProof/>
        </w:rPr>
        <w:t>Is the IP system efficient?</w:t>
      </w:r>
      <w:r>
        <w:rPr>
          <w:noProof/>
        </w:rPr>
        <w:tab/>
        <w:t>81</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t>3.3</w:t>
      </w:r>
      <w:r>
        <w:rPr>
          <w:rFonts w:asciiTheme="minorHAnsi" w:eastAsiaTheme="minorEastAsia" w:hAnsiTheme="minorHAnsi" w:cstheme="minorBidi"/>
          <w:noProof/>
          <w:sz w:val="22"/>
          <w:szCs w:val="22"/>
          <w:lang w:eastAsia="en-AU"/>
        </w:rPr>
        <w:tab/>
      </w:r>
      <w:r>
        <w:rPr>
          <w:noProof/>
        </w:rPr>
        <w:t>Is the IP system adaptable?</w:t>
      </w:r>
      <w:r>
        <w:rPr>
          <w:noProof/>
        </w:rPr>
        <w:tab/>
        <w:t>86</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t>3.4</w:t>
      </w:r>
      <w:r>
        <w:rPr>
          <w:rFonts w:asciiTheme="minorHAnsi" w:eastAsiaTheme="minorEastAsia" w:hAnsiTheme="minorHAnsi" w:cstheme="minorBidi"/>
          <w:noProof/>
          <w:sz w:val="22"/>
          <w:szCs w:val="22"/>
          <w:lang w:eastAsia="en-AU"/>
        </w:rPr>
        <w:tab/>
      </w:r>
      <w:r>
        <w:rPr>
          <w:noProof/>
        </w:rPr>
        <w:t>Are IP arrangements accountable?</w:t>
      </w:r>
      <w:r>
        <w:rPr>
          <w:noProof/>
        </w:rPr>
        <w:tab/>
        <w:t>89</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t>3.5</w:t>
      </w:r>
      <w:r>
        <w:rPr>
          <w:rFonts w:asciiTheme="minorHAnsi" w:eastAsiaTheme="minorEastAsia" w:hAnsiTheme="minorHAnsi" w:cstheme="minorBidi"/>
          <w:noProof/>
          <w:sz w:val="22"/>
          <w:szCs w:val="22"/>
          <w:lang w:eastAsia="en-AU"/>
        </w:rPr>
        <w:tab/>
      </w:r>
      <w:r>
        <w:rPr>
          <w:noProof/>
        </w:rPr>
        <w:t>Are IP arrangements suited to Australia’s circumstances?</w:t>
      </w:r>
      <w:r>
        <w:rPr>
          <w:noProof/>
        </w:rPr>
        <w:tab/>
        <w:t>90</w:t>
      </w:r>
    </w:p>
    <w:p w:rsidR="00A361CF" w:rsidRDefault="00A361CF">
      <w:pPr>
        <w:pStyle w:val="TOC1"/>
        <w:rPr>
          <w:rFonts w:asciiTheme="minorHAnsi" w:eastAsiaTheme="minorEastAsia" w:hAnsiTheme="minorHAnsi" w:cstheme="minorBidi"/>
          <w:b w:val="0"/>
          <w:noProof/>
          <w:sz w:val="22"/>
          <w:szCs w:val="22"/>
          <w:lang w:eastAsia="en-AU"/>
        </w:rPr>
      </w:pPr>
      <w:r>
        <w:rPr>
          <w:noProof/>
        </w:rPr>
        <w:t>4</w:t>
      </w:r>
      <w:r>
        <w:rPr>
          <w:rFonts w:asciiTheme="minorHAnsi" w:eastAsiaTheme="minorEastAsia" w:hAnsiTheme="minorHAnsi" w:cstheme="minorBidi"/>
          <w:b w:val="0"/>
          <w:noProof/>
          <w:sz w:val="22"/>
          <w:szCs w:val="22"/>
          <w:lang w:eastAsia="en-AU"/>
        </w:rPr>
        <w:tab/>
      </w:r>
      <w:r>
        <w:rPr>
          <w:noProof/>
        </w:rPr>
        <w:t>Copyright term and scope</w:t>
      </w:r>
      <w:r>
        <w:rPr>
          <w:noProof/>
        </w:rPr>
        <w:tab/>
        <w:t>93</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t>4.1</w:t>
      </w:r>
      <w:r>
        <w:rPr>
          <w:rFonts w:asciiTheme="minorHAnsi" w:eastAsiaTheme="minorEastAsia" w:hAnsiTheme="minorHAnsi" w:cstheme="minorBidi"/>
          <w:noProof/>
          <w:sz w:val="22"/>
          <w:szCs w:val="22"/>
          <w:lang w:eastAsia="en-AU"/>
        </w:rPr>
        <w:tab/>
      </w:r>
      <w:r>
        <w:rPr>
          <w:noProof/>
        </w:rPr>
        <w:t>An overview of the copyright system</w:t>
      </w:r>
      <w:r>
        <w:rPr>
          <w:noProof/>
        </w:rPr>
        <w:tab/>
        <w:t>94</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lastRenderedPageBreak/>
        <w:t>4.2</w:t>
      </w:r>
      <w:r>
        <w:rPr>
          <w:rFonts w:asciiTheme="minorHAnsi" w:eastAsiaTheme="minorEastAsia" w:hAnsiTheme="minorHAnsi" w:cstheme="minorBidi"/>
          <w:noProof/>
          <w:sz w:val="22"/>
          <w:szCs w:val="22"/>
          <w:lang w:eastAsia="en-AU"/>
        </w:rPr>
        <w:tab/>
      </w:r>
      <w:r>
        <w:rPr>
          <w:noProof/>
        </w:rPr>
        <w:t>Applying the Commission’s framework</w:t>
      </w:r>
      <w:r>
        <w:rPr>
          <w:noProof/>
        </w:rPr>
        <w:tab/>
        <w:t>100</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t>4.3</w:t>
      </w:r>
      <w:r>
        <w:rPr>
          <w:rFonts w:asciiTheme="minorHAnsi" w:eastAsiaTheme="minorEastAsia" w:hAnsiTheme="minorHAnsi" w:cstheme="minorBidi"/>
          <w:noProof/>
          <w:sz w:val="22"/>
          <w:szCs w:val="22"/>
          <w:lang w:eastAsia="en-AU"/>
        </w:rPr>
        <w:tab/>
      </w:r>
      <w:r>
        <w:rPr>
          <w:noProof/>
        </w:rPr>
        <w:t>The scope of the copyright system</w:t>
      </w:r>
      <w:r>
        <w:rPr>
          <w:noProof/>
        </w:rPr>
        <w:tab/>
        <w:t>102</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t>4.4</w:t>
      </w:r>
      <w:r>
        <w:rPr>
          <w:rFonts w:asciiTheme="minorHAnsi" w:eastAsiaTheme="minorEastAsia" w:hAnsiTheme="minorHAnsi" w:cstheme="minorBidi"/>
          <w:noProof/>
          <w:sz w:val="22"/>
          <w:szCs w:val="22"/>
          <w:lang w:eastAsia="en-AU"/>
        </w:rPr>
        <w:tab/>
      </w:r>
      <w:r>
        <w:rPr>
          <w:noProof/>
        </w:rPr>
        <w:t>The duration of protection</w:t>
      </w:r>
      <w:r>
        <w:rPr>
          <w:noProof/>
        </w:rPr>
        <w:tab/>
        <w:t>112</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t>4.5</w:t>
      </w:r>
      <w:r>
        <w:rPr>
          <w:rFonts w:asciiTheme="minorHAnsi" w:eastAsiaTheme="minorEastAsia" w:hAnsiTheme="minorHAnsi" w:cstheme="minorBidi"/>
          <w:noProof/>
          <w:sz w:val="22"/>
          <w:szCs w:val="22"/>
          <w:lang w:eastAsia="en-AU"/>
        </w:rPr>
        <w:tab/>
      </w:r>
      <w:r>
        <w:rPr>
          <w:noProof/>
        </w:rPr>
        <w:t>Further reforms to the copyright system</w:t>
      </w:r>
      <w:r>
        <w:rPr>
          <w:noProof/>
        </w:rPr>
        <w:tab/>
        <w:t>119</w:t>
      </w:r>
    </w:p>
    <w:p w:rsidR="00A361CF" w:rsidRDefault="00A361CF">
      <w:pPr>
        <w:pStyle w:val="TOC1"/>
        <w:rPr>
          <w:rFonts w:asciiTheme="minorHAnsi" w:eastAsiaTheme="minorEastAsia" w:hAnsiTheme="minorHAnsi" w:cstheme="minorBidi"/>
          <w:b w:val="0"/>
          <w:noProof/>
          <w:sz w:val="22"/>
          <w:szCs w:val="22"/>
          <w:lang w:eastAsia="en-AU"/>
        </w:rPr>
      </w:pPr>
      <w:r>
        <w:rPr>
          <w:noProof/>
        </w:rPr>
        <w:t>5</w:t>
      </w:r>
      <w:r>
        <w:rPr>
          <w:rFonts w:asciiTheme="minorHAnsi" w:eastAsiaTheme="minorEastAsia" w:hAnsiTheme="minorHAnsi" w:cstheme="minorBidi"/>
          <w:b w:val="0"/>
          <w:noProof/>
          <w:sz w:val="22"/>
          <w:szCs w:val="22"/>
          <w:lang w:eastAsia="en-AU"/>
        </w:rPr>
        <w:tab/>
      </w:r>
      <w:r>
        <w:rPr>
          <w:noProof/>
        </w:rPr>
        <w:t>Copyright licensing and exceptions</w:t>
      </w:r>
      <w:r>
        <w:rPr>
          <w:noProof/>
        </w:rPr>
        <w:tab/>
        <w:t>121</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t>5.1</w:t>
      </w:r>
      <w:r>
        <w:rPr>
          <w:rFonts w:asciiTheme="minorHAnsi" w:eastAsiaTheme="minorEastAsia" w:hAnsiTheme="minorHAnsi" w:cstheme="minorBidi"/>
          <w:noProof/>
          <w:sz w:val="22"/>
          <w:szCs w:val="22"/>
          <w:lang w:eastAsia="en-AU"/>
        </w:rPr>
        <w:tab/>
      </w:r>
      <w:r>
        <w:rPr>
          <w:noProof/>
        </w:rPr>
        <w:t>Use and licensing of copyright material</w:t>
      </w:r>
      <w:r>
        <w:rPr>
          <w:noProof/>
        </w:rPr>
        <w:tab/>
        <w:t>122</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t>5.2</w:t>
      </w:r>
      <w:r>
        <w:rPr>
          <w:rFonts w:asciiTheme="minorHAnsi" w:eastAsiaTheme="minorEastAsia" w:hAnsiTheme="minorHAnsi" w:cstheme="minorBidi"/>
          <w:noProof/>
          <w:sz w:val="22"/>
          <w:szCs w:val="22"/>
          <w:lang w:eastAsia="en-AU"/>
        </w:rPr>
        <w:tab/>
      </w:r>
      <w:r>
        <w:rPr>
          <w:noProof/>
        </w:rPr>
        <w:t>The case for ‘fair use’ in Australia</w:t>
      </w:r>
      <w:r>
        <w:rPr>
          <w:noProof/>
        </w:rPr>
        <w:tab/>
        <w:t>140</w:t>
      </w:r>
    </w:p>
    <w:p w:rsidR="00A361CF" w:rsidRDefault="00A361CF">
      <w:pPr>
        <w:pStyle w:val="TOC1"/>
        <w:rPr>
          <w:rFonts w:asciiTheme="minorHAnsi" w:eastAsiaTheme="minorEastAsia" w:hAnsiTheme="minorHAnsi" w:cstheme="minorBidi"/>
          <w:b w:val="0"/>
          <w:noProof/>
          <w:sz w:val="22"/>
          <w:szCs w:val="22"/>
          <w:lang w:eastAsia="en-AU"/>
        </w:rPr>
      </w:pPr>
      <w:r>
        <w:rPr>
          <w:noProof/>
        </w:rPr>
        <w:t>6</w:t>
      </w:r>
      <w:r>
        <w:rPr>
          <w:rFonts w:asciiTheme="minorHAnsi" w:eastAsiaTheme="minorEastAsia" w:hAnsiTheme="minorHAnsi" w:cstheme="minorBidi"/>
          <w:b w:val="0"/>
          <w:noProof/>
          <w:sz w:val="22"/>
          <w:szCs w:val="22"/>
          <w:lang w:eastAsia="en-AU"/>
        </w:rPr>
        <w:tab/>
      </w:r>
      <w:r>
        <w:rPr>
          <w:noProof/>
        </w:rPr>
        <w:t>The patent system: focussing on the fundamentals</w:t>
      </w:r>
      <w:r>
        <w:rPr>
          <w:noProof/>
        </w:rPr>
        <w:tab/>
        <w:t>163</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t>6.1</w:t>
      </w:r>
      <w:r>
        <w:rPr>
          <w:rFonts w:asciiTheme="minorHAnsi" w:eastAsiaTheme="minorEastAsia" w:hAnsiTheme="minorHAnsi" w:cstheme="minorBidi"/>
          <w:noProof/>
          <w:sz w:val="22"/>
          <w:szCs w:val="22"/>
          <w:lang w:eastAsia="en-AU"/>
        </w:rPr>
        <w:tab/>
      </w:r>
      <w:r>
        <w:rPr>
          <w:noProof/>
        </w:rPr>
        <w:t>A patent primer</w:t>
      </w:r>
      <w:r>
        <w:rPr>
          <w:noProof/>
        </w:rPr>
        <w:tab/>
        <w:t>165</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t>6.2</w:t>
      </w:r>
      <w:r>
        <w:rPr>
          <w:rFonts w:asciiTheme="minorHAnsi" w:eastAsiaTheme="minorEastAsia" w:hAnsiTheme="minorHAnsi" w:cstheme="minorBidi"/>
          <w:noProof/>
          <w:sz w:val="22"/>
          <w:szCs w:val="22"/>
          <w:lang w:eastAsia="en-AU"/>
        </w:rPr>
        <w:tab/>
      </w:r>
      <w:r>
        <w:rPr>
          <w:noProof/>
        </w:rPr>
        <w:t>Allocating patent rights: which inventions should and do receive patent protection?</w:t>
      </w:r>
      <w:r>
        <w:rPr>
          <w:noProof/>
        </w:rPr>
        <w:tab/>
        <w:t>171</w:t>
      </w:r>
    </w:p>
    <w:p w:rsidR="00A361CF" w:rsidRDefault="00A361CF">
      <w:pPr>
        <w:pStyle w:val="TOC2"/>
        <w:tabs>
          <w:tab w:val="left" w:pos="1190"/>
        </w:tabs>
        <w:rPr>
          <w:rFonts w:asciiTheme="minorHAnsi" w:eastAsiaTheme="minorEastAsia" w:hAnsiTheme="minorHAnsi" w:cstheme="minorBidi"/>
          <w:noProof/>
          <w:sz w:val="22"/>
          <w:szCs w:val="22"/>
          <w:lang w:eastAsia="en-AU"/>
        </w:rPr>
      </w:pPr>
      <w:r w:rsidRPr="00D40A90">
        <w:rPr>
          <w:noProof/>
          <w:spacing w:val="-4"/>
        </w:rPr>
        <w:t>6.3</w:t>
      </w:r>
      <w:r>
        <w:rPr>
          <w:rFonts w:asciiTheme="minorHAnsi" w:eastAsiaTheme="minorEastAsia" w:hAnsiTheme="minorHAnsi" w:cstheme="minorBidi"/>
          <w:noProof/>
          <w:sz w:val="22"/>
          <w:szCs w:val="22"/>
          <w:lang w:eastAsia="en-AU"/>
        </w:rPr>
        <w:tab/>
      </w:r>
      <w:r w:rsidRPr="00D40A90">
        <w:rPr>
          <w:noProof/>
          <w:spacing w:val="-4"/>
        </w:rPr>
        <w:t>Reforming the inventive step</w:t>
      </w:r>
      <w:r>
        <w:rPr>
          <w:noProof/>
        </w:rPr>
        <w:tab/>
        <w:t>178</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t>6.4</w:t>
      </w:r>
      <w:r>
        <w:rPr>
          <w:rFonts w:asciiTheme="minorHAnsi" w:eastAsiaTheme="minorEastAsia" w:hAnsiTheme="minorHAnsi" w:cstheme="minorBidi"/>
          <w:noProof/>
          <w:sz w:val="22"/>
          <w:szCs w:val="22"/>
          <w:lang w:eastAsia="en-AU"/>
        </w:rPr>
        <w:tab/>
      </w:r>
      <w:r>
        <w:rPr>
          <w:noProof/>
        </w:rPr>
        <w:t>Introducing an objects clause</w:t>
      </w:r>
      <w:r>
        <w:rPr>
          <w:noProof/>
        </w:rPr>
        <w:tab/>
        <w:t>186</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t>6.5</w:t>
      </w:r>
      <w:r>
        <w:rPr>
          <w:rFonts w:asciiTheme="minorHAnsi" w:eastAsiaTheme="minorEastAsia" w:hAnsiTheme="minorHAnsi" w:cstheme="minorBidi"/>
          <w:noProof/>
          <w:sz w:val="22"/>
          <w:szCs w:val="22"/>
          <w:lang w:eastAsia="en-AU"/>
        </w:rPr>
        <w:tab/>
      </w:r>
      <w:r>
        <w:rPr>
          <w:noProof/>
        </w:rPr>
        <w:t>Improved decision making for granting patents</w:t>
      </w:r>
      <w:r>
        <w:rPr>
          <w:noProof/>
        </w:rPr>
        <w:tab/>
        <w:t>189</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t>6.6</w:t>
      </w:r>
      <w:r>
        <w:rPr>
          <w:rFonts w:asciiTheme="minorHAnsi" w:eastAsiaTheme="minorEastAsia" w:hAnsiTheme="minorHAnsi" w:cstheme="minorBidi"/>
          <w:noProof/>
          <w:sz w:val="22"/>
          <w:szCs w:val="22"/>
          <w:lang w:eastAsia="en-AU"/>
        </w:rPr>
        <w:tab/>
      </w:r>
      <w:r>
        <w:rPr>
          <w:noProof/>
        </w:rPr>
        <w:t>Defining patent rights: does the strength of rights strike the right balance?</w:t>
      </w:r>
      <w:r>
        <w:rPr>
          <w:noProof/>
        </w:rPr>
        <w:tab/>
        <w:t>194</w:t>
      </w:r>
    </w:p>
    <w:p w:rsidR="00A361CF" w:rsidRDefault="00A361CF">
      <w:pPr>
        <w:pStyle w:val="TOC1"/>
        <w:rPr>
          <w:rFonts w:asciiTheme="minorHAnsi" w:eastAsiaTheme="minorEastAsia" w:hAnsiTheme="minorHAnsi" w:cstheme="minorBidi"/>
          <w:b w:val="0"/>
          <w:noProof/>
          <w:sz w:val="22"/>
          <w:szCs w:val="22"/>
          <w:lang w:eastAsia="en-AU"/>
        </w:rPr>
      </w:pPr>
      <w:r>
        <w:rPr>
          <w:noProof/>
        </w:rPr>
        <w:t>7</w:t>
      </w:r>
      <w:r>
        <w:rPr>
          <w:rFonts w:asciiTheme="minorHAnsi" w:eastAsiaTheme="minorEastAsia" w:hAnsiTheme="minorHAnsi" w:cstheme="minorBidi"/>
          <w:b w:val="0"/>
          <w:noProof/>
          <w:sz w:val="22"/>
          <w:szCs w:val="22"/>
          <w:lang w:eastAsia="en-AU"/>
        </w:rPr>
        <w:tab/>
      </w:r>
      <w:r>
        <w:rPr>
          <w:noProof/>
        </w:rPr>
        <w:t>The innovation patent system</w:t>
      </w:r>
      <w:r>
        <w:rPr>
          <w:noProof/>
        </w:rPr>
        <w:tab/>
        <w:t>209</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t>7.1</w:t>
      </w:r>
      <w:r>
        <w:rPr>
          <w:rFonts w:asciiTheme="minorHAnsi" w:eastAsiaTheme="minorEastAsia" w:hAnsiTheme="minorHAnsi" w:cstheme="minorBidi"/>
          <w:noProof/>
          <w:sz w:val="22"/>
          <w:szCs w:val="22"/>
          <w:lang w:eastAsia="en-AU"/>
        </w:rPr>
        <w:tab/>
      </w:r>
      <w:r>
        <w:rPr>
          <w:noProof/>
        </w:rPr>
        <w:t>The innovation patent system: a primer</w:t>
      </w:r>
      <w:r>
        <w:rPr>
          <w:noProof/>
        </w:rPr>
        <w:tab/>
        <w:t>210</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t>7.2</w:t>
      </w:r>
      <w:r>
        <w:rPr>
          <w:rFonts w:asciiTheme="minorHAnsi" w:eastAsiaTheme="minorEastAsia" w:hAnsiTheme="minorHAnsi" w:cstheme="minorBidi"/>
          <w:noProof/>
          <w:sz w:val="22"/>
          <w:szCs w:val="22"/>
          <w:lang w:eastAsia="en-AU"/>
        </w:rPr>
        <w:tab/>
      </w:r>
      <w:r>
        <w:rPr>
          <w:noProof/>
        </w:rPr>
        <w:t>How well is the IPS performing?</w:t>
      </w:r>
      <w:r>
        <w:rPr>
          <w:noProof/>
        </w:rPr>
        <w:tab/>
        <w:t>215</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t>7.3</w:t>
      </w:r>
      <w:r>
        <w:rPr>
          <w:rFonts w:asciiTheme="minorHAnsi" w:eastAsiaTheme="minorEastAsia" w:hAnsiTheme="minorHAnsi" w:cstheme="minorBidi"/>
          <w:noProof/>
          <w:sz w:val="22"/>
          <w:szCs w:val="22"/>
          <w:lang w:eastAsia="en-AU"/>
        </w:rPr>
        <w:tab/>
      </w:r>
      <w:r>
        <w:rPr>
          <w:noProof/>
        </w:rPr>
        <w:t>The IPS — where to from here?</w:t>
      </w:r>
      <w:r>
        <w:rPr>
          <w:noProof/>
        </w:rPr>
        <w:tab/>
        <w:t>227</w:t>
      </w:r>
    </w:p>
    <w:p w:rsidR="00A361CF" w:rsidRDefault="00A361CF">
      <w:pPr>
        <w:pStyle w:val="TOC1"/>
        <w:rPr>
          <w:rFonts w:asciiTheme="minorHAnsi" w:eastAsiaTheme="minorEastAsia" w:hAnsiTheme="minorHAnsi" w:cstheme="minorBidi"/>
          <w:b w:val="0"/>
          <w:noProof/>
          <w:sz w:val="22"/>
          <w:szCs w:val="22"/>
          <w:lang w:eastAsia="en-AU"/>
        </w:rPr>
      </w:pPr>
      <w:r>
        <w:rPr>
          <w:noProof/>
        </w:rPr>
        <w:t>8</w:t>
      </w:r>
      <w:r>
        <w:rPr>
          <w:rFonts w:asciiTheme="minorHAnsi" w:eastAsiaTheme="minorEastAsia" w:hAnsiTheme="minorHAnsi" w:cstheme="minorBidi"/>
          <w:b w:val="0"/>
          <w:noProof/>
          <w:sz w:val="22"/>
          <w:szCs w:val="22"/>
          <w:lang w:eastAsia="en-AU"/>
        </w:rPr>
        <w:tab/>
      </w:r>
      <w:r>
        <w:rPr>
          <w:noProof/>
        </w:rPr>
        <w:t>Business methods and software patents</w:t>
      </w:r>
      <w:r>
        <w:rPr>
          <w:noProof/>
        </w:rPr>
        <w:tab/>
        <w:t>233</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t>8.1</w:t>
      </w:r>
      <w:r>
        <w:rPr>
          <w:rFonts w:asciiTheme="minorHAnsi" w:eastAsiaTheme="minorEastAsia" w:hAnsiTheme="minorHAnsi" w:cstheme="minorBidi"/>
          <w:noProof/>
          <w:sz w:val="22"/>
          <w:szCs w:val="22"/>
          <w:lang w:eastAsia="en-AU"/>
        </w:rPr>
        <w:tab/>
      </w:r>
      <w:r>
        <w:rPr>
          <w:noProof/>
        </w:rPr>
        <w:t>Protection of BM&amp;S</w:t>
      </w:r>
      <w:r>
        <w:rPr>
          <w:noProof/>
        </w:rPr>
        <w:tab/>
        <w:t>234</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t>8.2</w:t>
      </w:r>
      <w:r>
        <w:rPr>
          <w:rFonts w:asciiTheme="minorHAnsi" w:eastAsiaTheme="minorEastAsia" w:hAnsiTheme="minorHAnsi" w:cstheme="minorBidi"/>
          <w:noProof/>
          <w:sz w:val="22"/>
          <w:szCs w:val="22"/>
          <w:lang w:eastAsia="en-AU"/>
        </w:rPr>
        <w:tab/>
      </w:r>
      <w:r>
        <w:rPr>
          <w:noProof/>
        </w:rPr>
        <w:t>What is the nature of patent protection afforded to BM&amp;S?</w:t>
      </w:r>
      <w:r>
        <w:rPr>
          <w:noProof/>
        </w:rPr>
        <w:tab/>
        <w:t>237</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t>8.3</w:t>
      </w:r>
      <w:r>
        <w:rPr>
          <w:rFonts w:asciiTheme="minorHAnsi" w:eastAsiaTheme="minorEastAsia" w:hAnsiTheme="minorHAnsi" w:cstheme="minorBidi"/>
          <w:noProof/>
          <w:sz w:val="22"/>
          <w:szCs w:val="22"/>
          <w:lang w:eastAsia="en-AU"/>
        </w:rPr>
        <w:tab/>
      </w:r>
      <w:r>
        <w:rPr>
          <w:noProof/>
        </w:rPr>
        <w:t>Are patents for business methods and software effective and efficient?</w:t>
      </w:r>
      <w:r>
        <w:rPr>
          <w:noProof/>
        </w:rPr>
        <w:tab/>
        <w:t>241</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t>8.4</w:t>
      </w:r>
      <w:r>
        <w:rPr>
          <w:rFonts w:asciiTheme="minorHAnsi" w:eastAsiaTheme="minorEastAsia" w:hAnsiTheme="minorHAnsi" w:cstheme="minorBidi"/>
          <w:noProof/>
          <w:sz w:val="22"/>
          <w:szCs w:val="22"/>
          <w:lang w:eastAsia="en-AU"/>
        </w:rPr>
        <w:tab/>
      </w:r>
      <w:r>
        <w:rPr>
          <w:noProof/>
        </w:rPr>
        <w:t>Where to for policy?</w:t>
      </w:r>
      <w:r>
        <w:rPr>
          <w:noProof/>
        </w:rPr>
        <w:tab/>
        <w:t>248</w:t>
      </w:r>
    </w:p>
    <w:p w:rsidR="00A361CF" w:rsidRDefault="00A361CF">
      <w:pPr>
        <w:pStyle w:val="TOC1"/>
        <w:rPr>
          <w:rFonts w:asciiTheme="minorHAnsi" w:eastAsiaTheme="minorEastAsia" w:hAnsiTheme="minorHAnsi" w:cstheme="minorBidi"/>
          <w:b w:val="0"/>
          <w:noProof/>
          <w:sz w:val="22"/>
          <w:szCs w:val="22"/>
          <w:lang w:eastAsia="en-AU"/>
        </w:rPr>
      </w:pPr>
      <w:r>
        <w:rPr>
          <w:noProof/>
        </w:rPr>
        <w:t>9</w:t>
      </w:r>
      <w:r>
        <w:rPr>
          <w:rFonts w:asciiTheme="minorHAnsi" w:eastAsiaTheme="minorEastAsia" w:hAnsiTheme="minorHAnsi" w:cstheme="minorBidi"/>
          <w:b w:val="0"/>
          <w:noProof/>
          <w:sz w:val="22"/>
          <w:szCs w:val="22"/>
          <w:lang w:eastAsia="en-AU"/>
        </w:rPr>
        <w:tab/>
      </w:r>
      <w:r>
        <w:rPr>
          <w:noProof/>
        </w:rPr>
        <w:t>Pharmaceuticals – getting the right policy prescription</w:t>
      </w:r>
      <w:r>
        <w:rPr>
          <w:noProof/>
        </w:rPr>
        <w:tab/>
        <w:t>253</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t>9.1</w:t>
      </w:r>
      <w:r>
        <w:rPr>
          <w:rFonts w:asciiTheme="minorHAnsi" w:eastAsiaTheme="minorEastAsia" w:hAnsiTheme="minorHAnsi" w:cstheme="minorBidi"/>
          <w:noProof/>
          <w:sz w:val="22"/>
          <w:szCs w:val="22"/>
          <w:lang w:eastAsia="en-AU"/>
        </w:rPr>
        <w:tab/>
      </w:r>
      <w:r>
        <w:rPr>
          <w:noProof/>
        </w:rPr>
        <w:t>Why focus on pharmaceuticals?</w:t>
      </w:r>
      <w:r>
        <w:rPr>
          <w:noProof/>
        </w:rPr>
        <w:tab/>
        <w:t>254</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t>9.2</w:t>
      </w:r>
      <w:r>
        <w:rPr>
          <w:rFonts w:asciiTheme="minorHAnsi" w:eastAsiaTheme="minorEastAsia" w:hAnsiTheme="minorHAnsi" w:cstheme="minorBidi"/>
          <w:noProof/>
          <w:sz w:val="22"/>
          <w:szCs w:val="22"/>
          <w:lang w:eastAsia="en-AU"/>
        </w:rPr>
        <w:tab/>
      </w:r>
      <w:r>
        <w:rPr>
          <w:noProof/>
        </w:rPr>
        <w:t>Getting term right – extensions of term</w:t>
      </w:r>
      <w:r>
        <w:rPr>
          <w:noProof/>
        </w:rPr>
        <w:tab/>
        <w:t>261</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t>9.3</w:t>
      </w:r>
      <w:r>
        <w:rPr>
          <w:rFonts w:asciiTheme="minorHAnsi" w:eastAsiaTheme="minorEastAsia" w:hAnsiTheme="minorHAnsi" w:cstheme="minorBidi"/>
          <w:noProof/>
          <w:sz w:val="22"/>
          <w:szCs w:val="22"/>
          <w:lang w:eastAsia="en-AU"/>
        </w:rPr>
        <w:tab/>
      </w:r>
      <w:r>
        <w:rPr>
          <w:noProof/>
        </w:rPr>
        <w:t>Manufacture for export</w:t>
      </w:r>
      <w:r>
        <w:rPr>
          <w:noProof/>
        </w:rPr>
        <w:tab/>
        <w:t>271</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t>9.4</w:t>
      </w:r>
      <w:r>
        <w:rPr>
          <w:rFonts w:asciiTheme="minorHAnsi" w:eastAsiaTheme="minorEastAsia" w:hAnsiTheme="minorHAnsi" w:cstheme="minorBidi"/>
          <w:noProof/>
          <w:sz w:val="22"/>
          <w:szCs w:val="22"/>
          <w:lang w:eastAsia="en-AU"/>
        </w:rPr>
        <w:tab/>
      </w:r>
      <w:r>
        <w:rPr>
          <w:noProof/>
        </w:rPr>
        <w:t>Data protection</w:t>
      </w:r>
      <w:r>
        <w:rPr>
          <w:noProof/>
        </w:rPr>
        <w:tab/>
        <w:t>274</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lastRenderedPageBreak/>
        <w:t>9.5</w:t>
      </w:r>
      <w:r>
        <w:rPr>
          <w:rFonts w:asciiTheme="minorHAnsi" w:eastAsiaTheme="minorEastAsia" w:hAnsiTheme="minorHAnsi" w:cstheme="minorBidi"/>
          <w:noProof/>
          <w:sz w:val="22"/>
          <w:szCs w:val="22"/>
          <w:lang w:eastAsia="en-AU"/>
        </w:rPr>
        <w:tab/>
      </w:r>
      <w:r>
        <w:rPr>
          <w:noProof/>
        </w:rPr>
        <w:t>Strategic behaviour</w:t>
      </w:r>
      <w:r>
        <w:rPr>
          <w:noProof/>
        </w:rPr>
        <w:tab/>
        <w:t>281</w:t>
      </w:r>
    </w:p>
    <w:p w:rsidR="00A361CF" w:rsidRDefault="00A361CF">
      <w:pPr>
        <w:pStyle w:val="TOC2"/>
        <w:tabs>
          <w:tab w:val="left" w:pos="1190"/>
        </w:tabs>
        <w:rPr>
          <w:rFonts w:asciiTheme="minorHAnsi" w:eastAsiaTheme="minorEastAsia" w:hAnsiTheme="minorHAnsi" w:cstheme="minorBidi"/>
          <w:noProof/>
          <w:sz w:val="22"/>
          <w:szCs w:val="22"/>
          <w:lang w:eastAsia="en-AU"/>
        </w:rPr>
      </w:pPr>
      <w:r>
        <w:rPr>
          <w:noProof/>
        </w:rPr>
        <w:t>9.6</w:t>
      </w:r>
      <w:r>
        <w:rPr>
          <w:rFonts w:asciiTheme="minorHAnsi" w:eastAsiaTheme="minorEastAsia" w:hAnsiTheme="minorHAnsi" w:cstheme="minorBidi"/>
          <w:noProof/>
          <w:sz w:val="22"/>
          <w:szCs w:val="22"/>
          <w:lang w:eastAsia="en-AU"/>
        </w:rPr>
        <w:tab/>
      </w:r>
      <w:r>
        <w:rPr>
          <w:noProof/>
        </w:rPr>
        <w:t>Data collection for policy analysis</w:t>
      </w:r>
      <w:r>
        <w:rPr>
          <w:noProof/>
        </w:rPr>
        <w:tab/>
        <w:t>290</w:t>
      </w:r>
    </w:p>
    <w:p w:rsidR="00A361CF" w:rsidRDefault="00A361CF">
      <w:pPr>
        <w:pStyle w:val="TOC1"/>
        <w:rPr>
          <w:rFonts w:asciiTheme="minorHAnsi" w:eastAsiaTheme="minorEastAsia" w:hAnsiTheme="minorHAnsi" w:cstheme="minorBidi"/>
          <w:b w:val="0"/>
          <w:noProof/>
          <w:sz w:val="22"/>
          <w:szCs w:val="22"/>
          <w:lang w:eastAsia="en-AU"/>
        </w:rPr>
      </w:pPr>
      <w:r>
        <w:rPr>
          <w:noProof/>
        </w:rPr>
        <w:t>10</w:t>
      </w:r>
      <w:r>
        <w:rPr>
          <w:rFonts w:asciiTheme="minorHAnsi" w:eastAsiaTheme="minorEastAsia" w:hAnsiTheme="minorHAnsi" w:cstheme="minorBidi"/>
          <w:b w:val="0"/>
          <w:noProof/>
          <w:sz w:val="22"/>
          <w:szCs w:val="22"/>
          <w:lang w:eastAsia="en-AU"/>
        </w:rPr>
        <w:tab/>
      </w:r>
      <w:r>
        <w:rPr>
          <w:noProof/>
        </w:rPr>
        <w:t>Registered designs</w:t>
      </w:r>
      <w:r>
        <w:rPr>
          <w:noProof/>
        </w:rPr>
        <w:tab/>
        <w:t>295</w:t>
      </w:r>
    </w:p>
    <w:p w:rsidR="00A361CF" w:rsidRDefault="00A361CF" w:rsidP="00A361CF">
      <w:pPr>
        <w:pStyle w:val="TOC2"/>
        <w:tabs>
          <w:tab w:val="left" w:pos="1320"/>
        </w:tabs>
        <w:ind w:left="1134" w:hanging="624"/>
        <w:rPr>
          <w:rFonts w:asciiTheme="minorHAnsi" w:eastAsiaTheme="minorEastAsia" w:hAnsiTheme="minorHAnsi" w:cstheme="minorBidi"/>
          <w:noProof/>
          <w:sz w:val="22"/>
          <w:szCs w:val="22"/>
          <w:lang w:eastAsia="en-AU"/>
        </w:rPr>
      </w:pPr>
      <w:r>
        <w:rPr>
          <w:noProof/>
        </w:rPr>
        <w:t>10.1</w:t>
      </w:r>
      <w:r>
        <w:rPr>
          <w:rFonts w:asciiTheme="minorHAnsi" w:eastAsiaTheme="minorEastAsia" w:hAnsiTheme="minorHAnsi" w:cstheme="minorBidi"/>
          <w:noProof/>
          <w:sz w:val="22"/>
          <w:szCs w:val="22"/>
          <w:lang w:eastAsia="en-AU"/>
        </w:rPr>
        <w:tab/>
      </w:r>
      <w:r>
        <w:rPr>
          <w:noProof/>
        </w:rPr>
        <w:t>Design rights in Australia</w:t>
      </w:r>
      <w:r>
        <w:rPr>
          <w:noProof/>
        </w:rPr>
        <w:tab/>
        <w:t>296</w:t>
      </w:r>
    </w:p>
    <w:p w:rsidR="00A361CF" w:rsidRDefault="00A361CF" w:rsidP="00A361CF">
      <w:pPr>
        <w:pStyle w:val="TOC2"/>
        <w:tabs>
          <w:tab w:val="left" w:pos="1320"/>
        </w:tabs>
        <w:ind w:left="1134" w:hanging="624"/>
        <w:rPr>
          <w:rFonts w:asciiTheme="minorHAnsi" w:eastAsiaTheme="minorEastAsia" w:hAnsiTheme="minorHAnsi" w:cstheme="minorBidi"/>
          <w:noProof/>
          <w:sz w:val="22"/>
          <w:szCs w:val="22"/>
          <w:lang w:eastAsia="en-AU"/>
        </w:rPr>
      </w:pPr>
      <w:r>
        <w:rPr>
          <w:noProof/>
        </w:rPr>
        <w:t>10.2</w:t>
      </w:r>
      <w:r>
        <w:rPr>
          <w:rFonts w:asciiTheme="minorHAnsi" w:eastAsiaTheme="minorEastAsia" w:hAnsiTheme="minorHAnsi" w:cstheme="minorBidi"/>
          <w:noProof/>
          <w:sz w:val="22"/>
          <w:szCs w:val="22"/>
          <w:lang w:eastAsia="en-AU"/>
        </w:rPr>
        <w:tab/>
      </w:r>
      <w:r>
        <w:rPr>
          <w:noProof/>
        </w:rPr>
        <w:t>Concerns about Australia’s design rights system</w:t>
      </w:r>
      <w:r>
        <w:rPr>
          <w:noProof/>
        </w:rPr>
        <w:tab/>
        <w:t>301</w:t>
      </w:r>
    </w:p>
    <w:p w:rsidR="00A361CF" w:rsidRDefault="00A361CF" w:rsidP="00A361CF">
      <w:pPr>
        <w:pStyle w:val="TOC2"/>
        <w:tabs>
          <w:tab w:val="left" w:pos="1320"/>
        </w:tabs>
        <w:ind w:left="1134" w:hanging="624"/>
        <w:rPr>
          <w:rFonts w:asciiTheme="minorHAnsi" w:eastAsiaTheme="minorEastAsia" w:hAnsiTheme="minorHAnsi" w:cstheme="minorBidi"/>
          <w:noProof/>
          <w:sz w:val="22"/>
          <w:szCs w:val="22"/>
          <w:lang w:eastAsia="en-AU"/>
        </w:rPr>
      </w:pPr>
      <w:r>
        <w:rPr>
          <w:noProof/>
        </w:rPr>
        <w:t>10.3</w:t>
      </w:r>
      <w:r>
        <w:rPr>
          <w:rFonts w:asciiTheme="minorHAnsi" w:eastAsiaTheme="minorEastAsia" w:hAnsiTheme="minorHAnsi" w:cstheme="minorBidi"/>
          <w:noProof/>
          <w:sz w:val="22"/>
          <w:szCs w:val="22"/>
          <w:lang w:eastAsia="en-AU"/>
        </w:rPr>
        <w:tab/>
      </w:r>
      <w:r>
        <w:rPr>
          <w:noProof/>
        </w:rPr>
        <w:t xml:space="preserve"> Alternatives to the current design system</w:t>
      </w:r>
      <w:r>
        <w:rPr>
          <w:noProof/>
        </w:rPr>
        <w:tab/>
        <w:t>309</w:t>
      </w:r>
    </w:p>
    <w:p w:rsidR="00A361CF" w:rsidRDefault="00A361CF" w:rsidP="00A361CF">
      <w:pPr>
        <w:pStyle w:val="TOC2"/>
        <w:tabs>
          <w:tab w:val="left" w:pos="1320"/>
        </w:tabs>
        <w:ind w:left="1134" w:hanging="624"/>
        <w:rPr>
          <w:rFonts w:asciiTheme="minorHAnsi" w:eastAsiaTheme="minorEastAsia" w:hAnsiTheme="minorHAnsi" w:cstheme="minorBidi"/>
          <w:noProof/>
          <w:sz w:val="22"/>
          <w:szCs w:val="22"/>
          <w:lang w:eastAsia="en-AU"/>
        </w:rPr>
      </w:pPr>
      <w:r>
        <w:rPr>
          <w:noProof/>
        </w:rPr>
        <w:t>10.4</w:t>
      </w:r>
      <w:r>
        <w:rPr>
          <w:rFonts w:asciiTheme="minorHAnsi" w:eastAsiaTheme="minorEastAsia" w:hAnsiTheme="minorHAnsi" w:cstheme="minorBidi"/>
          <w:noProof/>
          <w:sz w:val="22"/>
          <w:szCs w:val="22"/>
          <w:lang w:eastAsia="en-AU"/>
        </w:rPr>
        <w:tab/>
      </w:r>
      <w:r>
        <w:rPr>
          <w:noProof/>
        </w:rPr>
        <w:t>Options for improving the existing design system</w:t>
      </w:r>
      <w:r>
        <w:rPr>
          <w:noProof/>
        </w:rPr>
        <w:tab/>
        <w:t>313</w:t>
      </w:r>
    </w:p>
    <w:p w:rsidR="00A361CF" w:rsidRDefault="00A361CF">
      <w:pPr>
        <w:pStyle w:val="TOC1"/>
        <w:rPr>
          <w:rFonts w:asciiTheme="minorHAnsi" w:eastAsiaTheme="minorEastAsia" w:hAnsiTheme="minorHAnsi" w:cstheme="minorBidi"/>
          <w:b w:val="0"/>
          <w:noProof/>
          <w:sz w:val="22"/>
          <w:szCs w:val="22"/>
          <w:lang w:eastAsia="en-AU"/>
        </w:rPr>
      </w:pPr>
      <w:r>
        <w:rPr>
          <w:noProof/>
        </w:rPr>
        <w:t>11</w:t>
      </w:r>
      <w:r>
        <w:rPr>
          <w:rFonts w:asciiTheme="minorHAnsi" w:eastAsiaTheme="minorEastAsia" w:hAnsiTheme="minorHAnsi" w:cstheme="minorBidi"/>
          <w:b w:val="0"/>
          <w:noProof/>
          <w:sz w:val="22"/>
          <w:szCs w:val="22"/>
          <w:lang w:eastAsia="en-AU"/>
        </w:rPr>
        <w:tab/>
      </w:r>
      <w:r>
        <w:rPr>
          <w:noProof/>
        </w:rPr>
        <w:t>Trade marks and geographical indications</w:t>
      </w:r>
      <w:r>
        <w:rPr>
          <w:noProof/>
        </w:rPr>
        <w:tab/>
        <w:t>325</w:t>
      </w:r>
    </w:p>
    <w:p w:rsidR="00A361CF" w:rsidRDefault="00A361CF" w:rsidP="00A361CF">
      <w:pPr>
        <w:pStyle w:val="TOC2"/>
        <w:tabs>
          <w:tab w:val="left" w:pos="1320"/>
        </w:tabs>
        <w:ind w:left="1134" w:hanging="624"/>
        <w:rPr>
          <w:rFonts w:asciiTheme="minorHAnsi" w:eastAsiaTheme="minorEastAsia" w:hAnsiTheme="minorHAnsi" w:cstheme="minorBidi"/>
          <w:noProof/>
          <w:sz w:val="22"/>
          <w:szCs w:val="22"/>
          <w:lang w:eastAsia="en-AU"/>
        </w:rPr>
      </w:pPr>
      <w:r>
        <w:rPr>
          <w:noProof/>
        </w:rPr>
        <w:t>11.1</w:t>
      </w:r>
      <w:r>
        <w:rPr>
          <w:rFonts w:asciiTheme="minorHAnsi" w:eastAsiaTheme="minorEastAsia" w:hAnsiTheme="minorHAnsi" w:cstheme="minorBidi"/>
          <w:noProof/>
          <w:sz w:val="22"/>
          <w:szCs w:val="22"/>
          <w:lang w:eastAsia="en-AU"/>
        </w:rPr>
        <w:tab/>
      </w:r>
      <w:r>
        <w:rPr>
          <w:noProof/>
        </w:rPr>
        <w:t>What are trade marks and GIs?</w:t>
      </w:r>
      <w:r>
        <w:rPr>
          <w:noProof/>
        </w:rPr>
        <w:tab/>
        <w:t>326</w:t>
      </w:r>
    </w:p>
    <w:p w:rsidR="00A361CF" w:rsidRDefault="00A361CF" w:rsidP="00A361CF">
      <w:pPr>
        <w:pStyle w:val="TOC2"/>
        <w:tabs>
          <w:tab w:val="left" w:pos="1320"/>
        </w:tabs>
        <w:ind w:left="1134" w:hanging="624"/>
        <w:rPr>
          <w:rFonts w:asciiTheme="minorHAnsi" w:eastAsiaTheme="minorEastAsia" w:hAnsiTheme="minorHAnsi" w:cstheme="minorBidi"/>
          <w:noProof/>
          <w:sz w:val="22"/>
          <w:szCs w:val="22"/>
          <w:lang w:eastAsia="en-AU"/>
        </w:rPr>
      </w:pPr>
      <w:r>
        <w:rPr>
          <w:noProof/>
        </w:rPr>
        <w:t>11.2</w:t>
      </w:r>
      <w:r>
        <w:rPr>
          <w:rFonts w:asciiTheme="minorHAnsi" w:eastAsiaTheme="minorEastAsia" w:hAnsiTheme="minorHAnsi" w:cstheme="minorBidi"/>
          <w:noProof/>
          <w:sz w:val="22"/>
          <w:szCs w:val="22"/>
          <w:lang w:eastAsia="en-AU"/>
        </w:rPr>
        <w:tab/>
      </w:r>
      <w:r>
        <w:rPr>
          <w:noProof/>
        </w:rPr>
        <w:t>The economic rationale for trade marks and GIs</w:t>
      </w:r>
      <w:r>
        <w:rPr>
          <w:noProof/>
        </w:rPr>
        <w:tab/>
        <w:t>332</w:t>
      </w:r>
    </w:p>
    <w:p w:rsidR="00A361CF" w:rsidRDefault="00A361CF" w:rsidP="00A361CF">
      <w:pPr>
        <w:pStyle w:val="TOC2"/>
        <w:tabs>
          <w:tab w:val="left" w:pos="1320"/>
        </w:tabs>
        <w:ind w:left="1134" w:hanging="624"/>
        <w:rPr>
          <w:rFonts w:asciiTheme="minorHAnsi" w:eastAsiaTheme="minorEastAsia" w:hAnsiTheme="minorHAnsi" w:cstheme="minorBidi"/>
          <w:noProof/>
          <w:sz w:val="22"/>
          <w:szCs w:val="22"/>
          <w:lang w:eastAsia="en-AU"/>
        </w:rPr>
      </w:pPr>
      <w:r>
        <w:rPr>
          <w:noProof/>
        </w:rPr>
        <w:t>11.3</w:t>
      </w:r>
      <w:r>
        <w:rPr>
          <w:rFonts w:asciiTheme="minorHAnsi" w:eastAsiaTheme="minorEastAsia" w:hAnsiTheme="minorHAnsi" w:cstheme="minorBidi"/>
          <w:noProof/>
          <w:sz w:val="22"/>
          <w:szCs w:val="22"/>
          <w:lang w:eastAsia="en-AU"/>
        </w:rPr>
        <w:tab/>
      </w:r>
      <w:r>
        <w:rPr>
          <w:noProof/>
        </w:rPr>
        <w:t>Improving effectiveness by less cluttering and confusion</w:t>
      </w:r>
      <w:r>
        <w:rPr>
          <w:noProof/>
        </w:rPr>
        <w:tab/>
        <w:t>334</w:t>
      </w:r>
    </w:p>
    <w:p w:rsidR="00A361CF" w:rsidRDefault="00A361CF" w:rsidP="00A361CF">
      <w:pPr>
        <w:pStyle w:val="TOC2"/>
        <w:tabs>
          <w:tab w:val="left" w:pos="1320"/>
        </w:tabs>
        <w:ind w:left="1134" w:hanging="624"/>
        <w:rPr>
          <w:rFonts w:asciiTheme="minorHAnsi" w:eastAsiaTheme="minorEastAsia" w:hAnsiTheme="minorHAnsi" w:cstheme="minorBidi"/>
          <w:noProof/>
          <w:sz w:val="22"/>
          <w:szCs w:val="22"/>
          <w:lang w:eastAsia="en-AU"/>
        </w:rPr>
      </w:pPr>
      <w:r>
        <w:rPr>
          <w:noProof/>
        </w:rPr>
        <w:t>11.4</w:t>
      </w:r>
      <w:r>
        <w:rPr>
          <w:rFonts w:asciiTheme="minorHAnsi" w:eastAsiaTheme="minorEastAsia" w:hAnsiTheme="minorHAnsi" w:cstheme="minorBidi"/>
          <w:noProof/>
          <w:sz w:val="22"/>
          <w:szCs w:val="22"/>
          <w:lang w:eastAsia="en-AU"/>
        </w:rPr>
        <w:tab/>
      </w:r>
      <w:r>
        <w:rPr>
          <w:noProof/>
        </w:rPr>
        <w:t>Improving efficiency by reforming parallel imports</w:t>
      </w:r>
      <w:r>
        <w:rPr>
          <w:noProof/>
        </w:rPr>
        <w:tab/>
        <w:t>346</w:t>
      </w:r>
    </w:p>
    <w:p w:rsidR="00A361CF" w:rsidRDefault="00A361CF" w:rsidP="00A361CF">
      <w:pPr>
        <w:pStyle w:val="TOC2"/>
        <w:tabs>
          <w:tab w:val="left" w:pos="1320"/>
        </w:tabs>
        <w:ind w:left="1134" w:hanging="624"/>
        <w:rPr>
          <w:rFonts w:asciiTheme="minorHAnsi" w:eastAsiaTheme="minorEastAsia" w:hAnsiTheme="minorHAnsi" w:cstheme="minorBidi"/>
          <w:noProof/>
          <w:sz w:val="22"/>
          <w:szCs w:val="22"/>
          <w:lang w:eastAsia="en-AU"/>
        </w:rPr>
      </w:pPr>
      <w:r>
        <w:rPr>
          <w:noProof/>
        </w:rPr>
        <w:t>11.5</w:t>
      </w:r>
      <w:r>
        <w:rPr>
          <w:rFonts w:asciiTheme="minorHAnsi" w:eastAsiaTheme="minorEastAsia" w:hAnsiTheme="minorHAnsi" w:cstheme="minorBidi"/>
          <w:noProof/>
          <w:sz w:val="22"/>
          <w:szCs w:val="22"/>
          <w:lang w:eastAsia="en-AU"/>
        </w:rPr>
        <w:tab/>
      </w:r>
      <w:r>
        <w:rPr>
          <w:noProof/>
        </w:rPr>
        <w:t>Challenges for trade marks in the digital age</w:t>
      </w:r>
      <w:r>
        <w:rPr>
          <w:noProof/>
        </w:rPr>
        <w:tab/>
        <w:t>349</w:t>
      </w:r>
    </w:p>
    <w:p w:rsidR="00A361CF" w:rsidRDefault="00A361CF" w:rsidP="00A361CF">
      <w:pPr>
        <w:pStyle w:val="TOC2"/>
        <w:tabs>
          <w:tab w:val="left" w:pos="1320"/>
        </w:tabs>
        <w:ind w:left="1134" w:hanging="624"/>
        <w:rPr>
          <w:rFonts w:asciiTheme="minorHAnsi" w:eastAsiaTheme="minorEastAsia" w:hAnsiTheme="minorHAnsi" w:cstheme="minorBidi"/>
          <w:noProof/>
          <w:sz w:val="22"/>
          <w:szCs w:val="22"/>
          <w:lang w:eastAsia="en-AU"/>
        </w:rPr>
      </w:pPr>
      <w:r>
        <w:rPr>
          <w:noProof/>
        </w:rPr>
        <w:t>11.6</w:t>
      </w:r>
      <w:r>
        <w:rPr>
          <w:rFonts w:asciiTheme="minorHAnsi" w:eastAsiaTheme="minorEastAsia" w:hAnsiTheme="minorHAnsi" w:cstheme="minorBidi"/>
          <w:noProof/>
          <w:sz w:val="22"/>
          <w:szCs w:val="22"/>
          <w:lang w:eastAsia="en-AU"/>
        </w:rPr>
        <w:tab/>
      </w:r>
      <w:r>
        <w:rPr>
          <w:noProof/>
        </w:rPr>
        <w:t>Geographical indications</w:t>
      </w:r>
      <w:r>
        <w:rPr>
          <w:noProof/>
        </w:rPr>
        <w:tab/>
        <w:t>351</w:t>
      </w:r>
    </w:p>
    <w:p w:rsidR="00A361CF" w:rsidRDefault="00A361CF">
      <w:pPr>
        <w:pStyle w:val="TOC1"/>
        <w:rPr>
          <w:rFonts w:asciiTheme="minorHAnsi" w:eastAsiaTheme="minorEastAsia" w:hAnsiTheme="minorHAnsi" w:cstheme="minorBidi"/>
          <w:b w:val="0"/>
          <w:noProof/>
          <w:sz w:val="22"/>
          <w:szCs w:val="22"/>
          <w:lang w:eastAsia="en-AU"/>
        </w:rPr>
      </w:pPr>
      <w:r>
        <w:rPr>
          <w:noProof/>
        </w:rPr>
        <w:t>12</w:t>
      </w:r>
      <w:r>
        <w:rPr>
          <w:rFonts w:asciiTheme="minorHAnsi" w:eastAsiaTheme="minorEastAsia" w:hAnsiTheme="minorHAnsi" w:cstheme="minorBidi"/>
          <w:b w:val="0"/>
          <w:noProof/>
          <w:sz w:val="22"/>
          <w:szCs w:val="22"/>
          <w:lang w:eastAsia="en-AU"/>
        </w:rPr>
        <w:tab/>
      </w:r>
      <w:r>
        <w:rPr>
          <w:noProof/>
        </w:rPr>
        <w:t>Plant Breeder’s Rights</w:t>
      </w:r>
      <w:r>
        <w:rPr>
          <w:noProof/>
        </w:rPr>
        <w:tab/>
        <w:t>355</w:t>
      </w:r>
    </w:p>
    <w:p w:rsidR="00A361CF" w:rsidRDefault="00A361CF" w:rsidP="00A361CF">
      <w:pPr>
        <w:pStyle w:val="TOC2"/>
        <w:tabs>
          <w:tab w:val="left" w:pos="1320"/>
        </w:tabs>
        <w:ind w:left="1134" w:hanging="624"/>
        <w:rPr>
          <w:rFonts w:asciiTheme="minorHAnsi" w:eastAsiaTheme="minorEastAsia" w:hAnsiTheme="minorHAnsi" w:cstheme="minorBidi"/>
          <w:noProof/>
          <w:sz w:val="22"/>
          <w:szCs w:val="22"/>
          <w:lang w:eastAsia="en-AU"/>
        </w:rPr>
      </w:pPr>
      <w:r>
        <w:rPr>
          <w:noProof/>
        </w:rPr>
        <w:t>12.1</w:t>
      </w:r>
      <w:r>
        <w:rPr>
          <w:rFonts w:asciiTheme="minorHAnsi" w:eastAsiaTheme="minorEastAsia" w:hAnsiTheme="minorHAnsi" w:cstheme="minorBidi"/>
          <w:noProof/>
          <w:sz w:val="22"/>
          <w:szCs w:val="22"/>
          <w:lang w:eastAsia="en-AU"/>
        </w:rPr>
        <w:tab/>
      </w:r>
      <w:r>
        <w:rPr>
          <w:noProof/>
        </w:rPr>
        <w:t>Plant Breeder’s Rights: A primer</w:t>
      </w:r>
      <w:r>
        <w:rPr>
          <w:noProof/>
        </w:rPr>
        <w:tab/>
        <w:t>356</w:t>
      </w:r>
    </w:p>
    <w:p w:rsidR="00A361CF" w:rsidRDefault="00A361CF" w:rsidP="00A361CF">
      <w:pPr>
        <w:pStyle w:val="TOC2"/>
        <w:tabs>
          <w:tab w:val="left" w:pos="1320"/>
        </w:tabs>
        <w:ind w:left="1134" w:hanging="624"/>
        <w:rPr>
          <w:rFonts w:asciiTheme="minorHAnsi" w:eastAsiaTheme="minorEastAsia" w:hAnsiTheme="minorHAnsi" w:cstheme="minorBidi"/>
          <w:noProof/>
          <w:sz w:val="22"/>
          <w:szCs w:val="22"/>
          <w:lang w:eastAsia="en-AU"/>
        </w:rPr>
      </w:pPr>
      <w:r>
        <w:rPr>
          <w:noProof/>
        </w:rPr>
        <w:t>12.2</w:t>
      </w:r>
      <w:r>
        <w:rPr>
          <w:rFonts w:asciiTheme="minorHAnsi" w:eastAsiaTheme="minorEastAsia" w:hAnsiTheme="minorHAnsi" w:cstheme="minorBidi"/>
          <w:noProof/>
          <w:sz w:val="22"/>
          <w:szCs w:val="22"/>
          <w:lang w:eastAsia="en-AU"/>
        </w:rPr>
        <w:tab/>
      </w:r>
      <w:r>
        <w:rPr>
          <w:noProof/>
        </w:rPr>
        <w:t>PBR have stimulated commercial plant breeding</w:t>
      </w:r>
      <w:r>
        <w:rPr>
          <w:noProof/>
        </w:rPr>
        <w:tab/>
        <w:t>358</w:t>
      </w:r>
    </w:p>
    <w:p w:rsidR="00A361CF" w:rsidRDefault="00A361CF" w:rsidP="00A361CF">
      <w:pPr>
        <w:pStyle w:val="TOC2"/>
        <w:tabs>
          <w:tab w:val="left" w:pos="1320"/>
        </w:tabs>
        <w:ind w:left="1134" w:hanging="624"/>
        <w:rPr>
          <w:rFonts w:asciiTheme="minorHAnsi" w:eastAsiaTheme="minorEastAsia" w:hAnsiTheme="minorHAnsi" w:cstheme="minorBidi"/>
          <w:noProof/>
          <w:sz w:val="22"/>
          <w:szCs w:val="22"/>
          <w:lang w:eastAsia="en-AU"/>
        </w:rPr>
      </w:pPr>
      <w:r>
        <w:rPr>
          <w:noProof/>
        </w:rPr>
        <w:t>12.3</w:t>
      </w:r>
      <w:r>
        <w:rPr>
          <w:rFonts w:asciiTheme="minorHAnsi" w:eastAsiaTheme="minorEastAsia" w:hAnsiTheme="minorHAnsi" w:cstheme="minorBidi"/>
          <w:noProof/>
          <w:sz w:val="22"/>
          <w:szCs w:val="22"/>
          <w:lang w:eastAsia="en-AU"/>
        </w:rPr>
        <w:tab/>
      </w:r>
      <w:r>
        <w:rPr>
          <w:noProof/>
        </w:rPr>
        <w:t>Are reforms to PBR required?</w:t>
      </w:r>
      <w:r>
        <w:rPr>
          <w:noProof/>
        </w:rPr>
        <w:tab/>
        <w:t>364</w:t>
      </w:r>
    </w:p>
    <w:p w:rsidR="00A361CF" w:rsidRDefault="00A361CF">
      <w:pPr>
        <w:pStyle w:val="TOC1"/>
        <w:rPr>
          <w:rFonts w:asciiTheme="minorHAnsi" w:eastAsiaTheme="minorEastAsia" w:hAnsiTheme="minorHAnsi" w:cstheme="minorBidi"/>
          <w:b w:val="0"/>
          <w:noProof/>
          <w:sz w:val="22"/>
          <w:szCs w:val="22"/>
          <w:lang w:eastAsia="en-AU"/>
        </w:rPr>
      </w:pPr>
      <w:r>
        <w:rPr>
          <w:noProof/>
        </w:rPr>
        <w:t>13</w:t>
      </w:r>
      <w:r>
        <w:rPr>
          <w:rFonts w:asciiTheme="minorHAnsi" w:eastAsiaTheme="minorEastAsia" w:hAnsiTheme="minorHAnsi" w:cstheme="minorBidi"/>
          <w:b w:val="0"/>
          <w:noProof/>
          <w:sz w:val="22"/>
          <w:szCs w:val="22"/>
          <w:lang w:eastAsia="en-AU"/>
        </w:rPr>
        <w:tab/>
      </w:r>
      <w:r>
        <w:rPr>
          <w:noProof/>
        </w:rPr>
        <w:t>Circuit layout rights</w:t>
      </w:r>
      <w:r>
        <w:rPr>
          <w:noProof/>
        </w:rPr>
        <w:tab/>
        <w:t>377</w:t>
      </w:r>
    </w:p>
    <w:p w:rsidR="00A361CF" w:rsidRDefault="00A361CF" w:rsidP="00611432">
      <w:pPr>
        <w:pStyle w:val="TOC2"/>
        <w:tabs>
          <w:tab w:val="left" w:pos="1320"/>
        </w:tabs>
        <w:ind w:left="1134" w:hanging="624"/>
        <w:rPr>
          <w:rFonts w:asciiTheme="minorHAnsi" w:eastAsiaTheme="minorEastAsia" w:hAnsiTheme="minorHAnsi" w:cstheme="minorBidi"/>
          <w:noProof/>
          <w:sz w:val="22"/>
          <w:szCs w:val="22"/>
          <w:lang w:eastAsia="en-AU"/>
        </w:rPr>
      </w:pPr>
      <w:r>
        <w:rPr>
          <w:noProof/>
        </w:rPr>
        <w:t>13.1</w:t>
      </w:r>
      <w:r>
        <w:rPr>
          <w:rFonts w:asciiTheme="minorHAnsi" w:eastAsiaTheme="minorEastAsia" w:hAnsiTheme="minorHAnsi" w:cstheme="minorBidi"/>
          <w:noProof/>
          <w:sz w:val="22"/>
          <w:szCs w:val="22"/>
          <w:lang w:eastAsia="en-AU"/>
        </w:rPr>
        <w:tab/>
      </w:r>
      <w:r>
        <w:rPr>
          <w:noProof/>
        </w:rPr>
        <w:t>What are circuit layouts and how are they protected?</w:t>
      </w:r>
      <w:r>
        <w:rPr>
          <w:noProof/>
        </w:rPr>
        <w:tab/>
        <w:t>377</w:t>
      </w:r>
    </w:p>
    <w:p w:rsidR="00A361CF" w:rsidRDefault="00A361CF" w:rsidP="00611432">
      <w:pPr>
        <w:pStyle w:val="TOC2"/>
        <w:tabs>
          <w:tab w:val="left" w:pos="1320"/>
        </w:tabs>
        <w:ind w:left="1134" w:hanging="624"/>
        <w:rPr>
          <w:rFonts w:asciiTheme="minorHAnsi" w:eastAsiaTheme="minorEastAsia" w:hAnsiTheme="minorHAnsi" w:cstheme="minorBidi"/>
          <w:noProof/>
          <w:sz w:val="22"/>
          <w:szCs w:val="22"/>
          <w:lang w:eastAsia="en-AU"/>
        </w:rPr>
      </w:pPr>
      <w:r>
        <w:rPr>
          <w:noProof/>
        </w:rPr>
        <w:t>13.2</w:t>
      </w:r>
      <w:r>
        <w:rPr>
          <w:rFonts w:asciiTheme="minorHAnsi" w:eastAsiaTheme="minorEastAsia" w:hAnsiTheme="minorHAnsi" w:cstheme="minorBidi"/>
          <w:noProof/>
          <w:sz w:val="22"/>
          <w:szCs w:val="22"/>
          <w:lang w:eastAsia="en-AU"/>
        </w:rPr>
        <w:tab/>
      </w:r>
      <w:r>
        <w:rPr>
          <w:noProof/>
        </w:rPr>
        <w:t>CLR are becoming redundant</w:t>
      </w:r>
      <w:r>
        <w:rPr>
          <w:noProof/>
        </w:rPr>
        <w:tab/>
        <w:t>379</w:t>
      </w:r>
    </w:p>
    <w:p w:rsidR="00A361CF" w:rsidRDefault="00A361CF" w:rsidP="00611432">
      <w:pPr>
        <w:pStyle w:val="TOC2"/>
        <w:tabs>
          <w:tab w:val="left" w:pos="1320"/>
        </w:tabs>
        <w:ind w:left="1134" w:hanging="624"/>
        <w:rPr>
          <w:rFonts w:asciiTheme="minorHAnsi" w:eastAsiaTheme="minorEastAsia" w:hAnsiTheme="minorHAnsi" w:cstheme="minorBidi"/>
          <w:noProof/>
          <w:sz w:val="22"/>
          <w:szCs w:val="22"/>
          <w:lang w:eastAsia="en-AU"/>
        </w:rPr>
      </w:pPr>
      <w:r>
        <w:rPr>
          <w:noProof/>
        </w:rPr>
        <w:t>13.3</w:t>
      </w:r>
      <w:r>
        <w:rPr>
          <w:rFonts w:asciiTheme="minorHAnsi" w:eastAsiaTheme="minorEastAsia" w:hAnsiTheme="minorHAnsi" w:cstheme="minorBidi"/>
          <w:noProof/>
          <w:sz w:val="22"/>
          <w:szCs w:val="22"/>
          <w:lang w:eastAsia="en-AU"/>
        </w:rPr>
        <w:tab/>
      </w:r>
      <w:r>
        <w:rPr>
          <w:noProof/>
        </w:rPr>
        <w:t>Where to from here — policy lessons rather than policy change</w:t>
      </w:r>
      <w:r>
        <w:rPr>
          <w:noProof/>
        </w:rPr>
        <w:tab/>
        <w:t>385</w:t>
      </w:r>
    </w:p>
    <w:p w:rsidR="00A361CF" w:rsidRDefault="00A361CF">
      <w:pPr>
        <w:pStyle w:val="TOC1"/>
        <w:rPr>
          <w:rFonts w:asciiTheme="minorHAnsi" w:eastAsiaTheme="minorEastAsia" w:hAnsiTheme="minorHAnsi" w:cstheme="minorBidi"/>
          <w:b w:val="0"/>
          <w:noProof/>
          <w:sz w:val="22"/>
          <w:szCs w:val="22"/>
          <w:lang w:eastAsia="en-AU"/>
        </w:rPr>
      </w:pPr>
      <w:r>
        <w:rPr>
          <w:noProof/>
        </w:rPr>
        <w:t>14</w:t>
      </w:r>
      <w:r>
        <w:rPr>
          <w:rFonts w:asciiTheme="minorHAnsi" w:eastAsiaTheme="minorEastAsia" w:hAnsiTheme="minorHAnsi" w:cstheme="minorBidi"/>
          <w:b w:val="0"/>
          <w:noProof/>
          <w:sz w:val="22"/>
          <w:szCs w:val="22"/>
          <w:lang w:eastAsia="en-AU"/>
        </w:rPr>
        <w:tab/>
      </w:r>
      <w:r>
        <w:rPr>
          <w:noProof/>
        </w:rPr>
        <w:t>Intellectual property rights and competition law</w:t>
      </w:r>
      <w:r>
        <w:rPr>
          <w:noProof/>
        </w:rPr>
        <w:tab/>
        <w:t>387</w:t>
      </w:r>
    </w:p>
    <w:p w:rsidR="00A361CF" w:rsidRDefault="00A361CF" w:rsidP="00611432">
      <w:pPr>
        <w:pStyle w:val="TOC2"/>
        <w:tabs>
          <w:tab w:val="left" w:pos="1320"/>
        </w:tabs>
        <w:ind w:left="1134" w:hanging="624"/>
        <w:rPr>
          <w:rFonts w:asciiTheme="minorHAnsi" w:eastAsiaTheme="minorEastAsia" w:hAnsiTheme="minorHAnsi" w:cstheme="minorBidi"/>
          <w:noProof/>
          <w:sz w:val="22"/>
          <w:szCs w:val="22"/>
          <w:lang w:eastAsia="en-AU"/>
        </w:rPr>
      </w:pPr>
      <w:r>
        <w:rPr>
          <w:noProof/>
        </w:rPr>
        <w:t>14.1</w:t>
      </w:r>
      <w:r>
        <w:rPr>
          <w:rFonts w:asciiTheme="minorHAnsi" w:eastAsiaTheme="minorEastAsia" w:hAnsiTheme="minorHAnsi" w:cstheme="minorBidi"/>
          <w:noProof/>
          <w:sz w:val="22"/>
          <w:szCs w:val="22"/>
          <w:lang w:eastAsia="en-AU"/>
        </w:rPr>
        <w:tab/>
      </w:r>
      <w:r>
        <w:rPr>
          <w:noProof/>
        </w:rPr>
        <w:t>The exemption for licensing or assignment of IP</w:t>
      </w:r>
      <w:r>
        <w:rPr>
          <w:noProof/>
        </w:rPr>
        <w:tab/>
        <w:t>389</w:t>
      </w:r>
    </w:p>
    <w:p w:rsidR="00A361CF" w:rsidRDefault="00A361CF" w:rsidP="00611432">
      <w:pPr>
        <w:pStyle w:val="TOC2"/>
        <w:tabs>
          <w:tab w:val="left" w:pos="1320"/>
        </w:tabs>
        <w:ind w:left="1134" w:hanging="624"/>
        <w:rPr>
          <w:rFonts w:asciiTheme="minorHAnsi" w:eastAsiaTheme="minorEastAsia" w:hAnsiTheme="minorHAnsi" w:cstheme="minorBidi"/>
          <w:noProof/>
          <w:sz w:val="22"/>
          <w:szCs w:val="22"/>
          <w:lang w:eastAsia="en-AU"/>
        </w:rPr>
      </w:pPr>
      <w:r>
        <w:rPr>
          <w:noProof/>
        </w:rPr>
        <w:t>14.2</w:t>
      </w:r>
      <w:r>
        <w:rPr>
          <w:rFonts w:asciiTheme="minorHAnsi" w:eastAsiaTheme="minorEastAsia" w:hAnsiTheme="minorHAnsi" w:cstheme="minorBidi"/>
          <w:noProof/>
          <w:sz w:val="22"/>
          <w:szCs w:val="22"/>
          <w:lang w:eastAsia="en-AU"/>
        </w:rPr>
        <w:tab/>
      </w:r>
      <w:r>
        <w:rPr>
          <w:noProof/>
        </w:rPr>
        <w:t>Compulsory access to intellectual property</w:t>
      </w:r>
      <w:r>
        <w:rPr>
          <w:noProof/>
        </w:rPr>
        <w:tab/>
        <w:t>398</w:t>
      </w:r>
    </w:p>
    <w:p w:rsidR="00A361CF" w:rsidRDefault="00A361CF" w:rsidP="00611432">
      <w:pPr>
        <w:pStyle w:val="TOC2"/>
        <w:tabs>
          <w:tab w:val="left" w:pos="1320"/>
        </w:tabs>
        <w:ind w:left="1134" w:hanging="624"/>
        <w:rPr>
          <w:rFonts w:asciiTheme="minorHAnsi" w:eastAsiaTheme="minorEastAsia" w:hAnsiTheme="minorHAnsi" w:cstheme="minorBidi"/>
          <w:noProof/>
          <w:sz w:val="22"/>
          <w:szCs w:val="22"/>
          <w:lang w:eastAsia="en-AU"/>
        </w:rPr>
      </w:pPr>
      <w:r>
        <w:rPr>
          <w:noProof/>
        </w:rPr>
        <w:t>14.3</w:t>
      </w:r>
      <w:r>
        <w:rPr>
          <w:rFonts w:asciiTheme="minorHAnsi" w:eastAsiaTheme="minorEastAsia" w:hAnsiTheme="minorHAnsi" w:cstheme="minorBidi"/>
          <w:noProof/>
          <w:sz w:val="22"/>
          <w:szCs w:val="22"/>
          <w:lang w:eastAsia="en-AU"/>
        </w:rPr>
        <w:tab/>
      </w:r>
      <w:r>
        <w:rPr>
          <w:noProof/>
        </w:rPr>
        <w:t>Competition impacts of licence conditions</w:t>
      </w:r>
      <w:r>
        <w:rPr>
          <w:noProof/>
        </w:rPr>
        <w:tab/>
        <w:t>401</w:t>
      </w:r>
    </w:p>
    <w:p w:rsidR="00A361CF" w:rsidRDefault="00A361CF">
      <w:pPr>
        <w:pStyle w:val="TOC1"/>
        <w:rPr>
          <w:rFonts w:asciiTheme="minorHAnsi" w:eastAsiaTheme="minorEastAsia" w:hAnsiTheme="minorHAnsi" w:cstheme="minorBidi"/>
          <w:b w:val="0"/>
          <w:noProof/>
          <w:sz w:val="22"/>
          <w:szCs w:val="22"/>
          <w:lang w:eastAsia="en-AU"/>
        </w:rPr>
      </w:pPr>
      <w:r>
        <w:rPr>
          <w:noProof/>
        </w:rPr>
        <w:t>15</w:t>
      </w:r>
      <w:r>
        <w:rPr>
          <w:rFonts w:asciiTheme="minorHAnsi" w:eastAsiaTheme="minorEastAsia" w:hAnsiTheme="minorHAnsi" w:cstheme="minorBidi"/>
          <w:b w:val="0"/>
          <w:noProof/>
          <w:sz w:val="22"/>
          <w:szCs w:val="22"/>
          <w:lang w:eastAsia="en-AU"/>
        </w:rPr>
        <w:tab/>
      </w:r>
      <w:r>
        <w:rPr>
          <w:noProof/>
        </w:rPr>
        <w:t>IP and public institutions</w:t>
      </w:r>
      <w:r>
        <w:rPr>
          <w:noProof/>
        </w:rPr>
        <w:tab/>
        <w:t>403</w:t>
      </w:r>
    </w:p>
    <w:p w:rsidR="00A361CF" w:rsidRDefault="00A361CF" w:rsidP="00611432">
      <w:pPr>
        <w:pStyle w:val="TOC2"/>
        <w:tabs>
          <w:tab w:val="left" w:pos="1320"/>
        </w:tabs>
        <w:ind w:left="1134" w:hanging="624"/>
        <w:rPr>
          <w:rFonts w:asciiTheme="minorHAnsi" w:eastAsiaTheme="minorEastAsia" w:hAnsiTheme="minorHAnsi" w:cstheme="minorBidi"/>
          <w:noProof/>
          <w:sz w:val="22"/>
          <w:szCs w:val="22"/>
          <w:lang w:eastAsia="en-AU"/>
        </w:rPr>
      </w:pPr>
      <w:r>
        <w:rPr>
          <w:noProof/>
        </w:rPr>
        <w:t>15.1</w:t>
      </w:r>
      <w:r>
        <w:rPr>
          <w:rFonts w:asciiTheme="minorHAnsi" w:eastAsiaTheme="minorEastAsia" w:hAnsiTheme="minorHAnsi" w:cstheme="minorBidi"/>
          <w:noProof/>
          <w:sz w:val="22"/>
          <w:szCs w:val="22"/>
          <w:lang w:eastAsia="en-AU"/>
        </w:rPr>
        <w:tab/>
      </w:r>
      <w:r>
        <w:rPr>
          <w:noProof/>
        </w:rPr>
        <w:t>IP rights and public funding of research</w:t>
      </w:r>
      <w:r>
        <w:rPr>
          <w:noProof/>
        </w:rPr>
        <w:tab/>
        <w:t>405</w:t>
      </w:r>
    </w:p>
    <w:p w:rsidR="00A361CF" w:rsidRDefault="00A361CF" w:rsidP="00611432">
      <w:pPr>
        <w:pStyle w:val="TOC2"/>
        <w:tabs>
          <w:tab w:val="left" w:pos="1320"/>
        </w:tabs>
        <w:ind w:left="1134" w:hanging="624"/>
        <w:rPr>
          <w:rFonts w:asciiTheme="minorHAnsi" w:eastAsiaTheme="minorEastAsia" w:hAnsiTheme="minorHAnsi" w:cstheme="minorBidi"/>
          <w:noProof/>
          <w:sz w:val="22"/>
          <w:szCs w:val="22"/>
          <w:lang w:eastAsia="en-AU"/>
        </w:rPr>
      </w:pPr>
      <w:r>
        <w:rPr>
          <w:noProof/>
        </w:rPr>
        <w:t>15.2</w:t>
      </w:r>
      <w:r>
        <w:rPr>
          <w:rFonts w:asciiTheme="minorHAnsi" w:eastAsiaTheme="minorEastAsia" w:hAnsiTheme="minorHAnsi" w:cstheme="minorBidi"/>
          <w:noProof/>
          <w:sz w:val="22"/>
          <w:szCs w:val="22"/>
          <w:lang w:eastAsia="en-AU"/>
        </w:rPr>
        <w:tab/>
      </w:r>
      <w:r>
        <w:rPr>
          <w:noProof/>
        </w:rPr>
        <w:t>Should IP rights be created and enforced over the results of publicly</w:t>
      </w:r>
      <w:r>
        <w:rPr>
          <w:noProof/>
        </w:rPr>
        <w:noBreakHyphen/>
        <w:t>funded research?</w:t>
      </w:r>
      <w:r>
        <w:rPr>
          <w:noProof/>
        </w:rPr>
        <w:tab/>
        <w:t>408</w:t>
      </w:r>
    </w:p>
    <w:p w:rsidR="00A361CF" w:rsidRDefault="00A361CF" w:rsidP="00611432">
      <w:pPr>
        <w:pStyle w:val="TOC2"/>
        <w:tabs>
          <w:tab w:val="left" w:pos="1320"/>
        </w:tabs>
        <w:ind w:left="1134" w:hanging="624"/>
        <w:rPr>
          <w:rFonts w:asciiTheme="minorHAnsi" w:eastAsiaTheme="minorEastAsia" w:hAnsiTheme="minorHAnsi" w:cstheme="minorBidi"/>
          <w:noProof/>
          <w:sz w:val="22"/>
          <w:szCs w:val="22"/>
          <w:lang w:eastAsia="en-AU"/>
        </w:rPr>
      </w:pPr>
      <w:r>
        <w:rPr>
          <w:noProof/>
        </w:rPr>
        <w:lastRenderedPageBreak/>
        <w:t>15.3</w:t>
      </w:r>
      <w:r>
        <w:rPr>
          <w:rFonts w:asciiTheme="minorHAnsi" w:eastAsiaTheme="minorEastAsia" w:hAnsiTheme="minorHAnsi" w:cstheme="minorBidi"/>
          <w:noProof/>
          <w:sz w:val="22"/>
          <w:szCs w:val="22"/>
          <w:lang w:eastAsia="en-AU"/>
        </w:rPr>
        <w:tab/>
      </w:r>
      <w:r>
        <w:rPr>
          <w:noProof/>
        </w:rPr>
        <w:t>Who should own IP arising from publicly</w:t>
      </w:r>
      <w:r>
        <w:rPr>
          <w:noProof/>
        </w:rPr>
        <w:noBreakHyphen/>
        <w:t>funded research?</w:t>
      </w:r>
      <w:r>
        <w:rPr>
          <w:noProof/>
        </w:rPr>
        <w:tab/>
        <w:t>414</w:t>
      </w:r>
    </w:p>
    <w:p w:rsidR="00A361CF" w:rsidRDefault="00A361CF" w:rsidP="00611432">
      <w:pPr>
        <w:pStyle w:val="TOC2"/>
        <w:tabs>
          <w:tab w:val="left" w:pos="1320"/>
        </w:tabs>
        <w:ind w:left="1134" w:hanging="624"/>
        <w:rPr>
          <w:rFonts w:asciiTheme="minorHAnsi" w:eastAsiaTheme="minorEastAsia" w:hAnsiTheme="minorHAnsi" w:cstheme="minorBidi"/>
          <w:noProof/>
          <w:sz w:val="22"/>
          <w:szCs w:val="22"/>
          <w:lang w:eastAsia="en-AU"/>
        </w:rPr>
      </w:pPr>
      <w:r>
        <w:rPr>
          <w:noProof/>
        </w:rPr>
        <w:t>15.4</w:t>
      </w:r>
      <w:r>
        <w:rPr>
          <w:rFonts w:asciiTheme="minorHAnsi" w:eastAsiaTheme="minorEastAsia" w:hAnsiTheme="minorHAnsi" w:cstheme="minorBidi"/>
          <w:noProof/>
          <w:sz w:val="22"/>
          <w:szCs w:val="22"/>
          <w:lang w:eastAsia="en-AU"/>
        </w:rPr>
        <w:tab/>
      </w:r>
      <w:r>
        <w:rPr>
          <w:noProof/>
        </w:rPr>
        <w:t>Improving access to publicly</w:t>
      </w:r>
      <w:r>
        <w:rPr>
          <w:noProof/>
        </w:rPr>
        <w:noBreakHyphen/>
        <w:t>funded research</w:t>
      </w:r>
      <w:r>
        <w:rPr>
          <w:noProof/>
        </w:rPr>
        <w:tab/>
        <w:t>420</w:t>
      </w:r>
    </w:p>
    <w:p w:rsidR="00A361CF" w:rsidRDefault="00A361CF">
      <w:pPr>
        <w:pStyle w:val="TOC1"/>
        <w:rPr>
          <w:rFonts w:asciiTheme="minorHAnsi" w:eastAsiaTheme="minorEastAsia" w:hAnsiTheme="minorHAnsi" w:cstheme="minorBidi"/>
          <w:b w:val="0"/>
          <w:noProof/>
          <w:sz w:val="22"/>
          <w:szCs w:val="22"/>
          <w:lang w:eastAsia="en-AU"/>
        </w:rPr>
      </w:pPr>
      <w:r>
        <w:rPr>
          <w:noProof/>
        </w:rPr>
        <w:t>16</w:t>
      </w:r>
      <w:r>
        <w:rPr>
          <w:rFonts w:asciiTheme="minorHAnsi" w:eastAsiaTheme="minorEastAsia" w:hAnsiTheme="minorHAnsi" w:cstheme="minorBidi"/>
          <w:b w:val="0"/>
          <w:noProof/>
          <w:sz w:val="22"/>
          <w:szCs w:val="22"/>
          <w:lang w:eastAsia="en-AU"/>
        </w:rPr>
        <w:tab/>
      </w:r>
      <w:r>
        <w:rPr>
          <w:noProof/>
        </w:rPr>
        <w:t>Intellectual property’s institutional and governance arrangements</w:t>
      </w:r>
      <w:r>
        <w:rPr>
          <w:noProof/>
        </w:rPr>
        <w:tab/>
        <w:t>425</w:t>
      </w:r>
    </w:p>
    <w:p w:rsidR="00A361CF" w:rsidRDefault="00A361CF" w:rsidP="00611432">
      <w:pPr>
        <w:pStyle w:val="TOC2"/>
        <w:tabs>
          <w:tab w:val="left" w:pos="1320"/>
        </w:tabs>
        <w:ind w:left="1134" w:hanging="624"/>
        <w:rPr>
          <w:rFonts w:asciiTheme="minorHAnsi" w:eastAsiaTheme="minorEastAsia" w:hAnsiTheme="minorHAnsi" w:cstheme="minorBidi"/>
          <w:noProof/>
          <w:sz w:val="22"/>
          <w:szCs w:val="22"/>
          <w:lang w:eastAsia="en-AU"/>
        </w:rPr>
      </w:pPr>
      <w:r>
        <w:rPr>
          <w:noProof/>
        </w:rPr>
        <w:t>16.1</w:t>
      </w:r>
      <w:r>
        <w:rPr>
          <w:rFonts w:asciiTheme="minorHAnsi" w:eastAsiaTheme="minorEastAsia" w:hAnsiTheme="minorHAnsi" w:cstheme="minorBidi"/>
          <w:noProof/>
          <w:sz w:val="22"/>
          <w:szCs w:val="22"/>
          <w:lang w:eastAsia="en-AU"/>
        </w:rPr>
        <w:tab/>
      </w:r>
      <w:r>
        <w:rPr>
          <w:noProof/>
        </w:rPr>
        <w:t>The institutional landscape</w:t>
      </w:r>
      <w:r>
        <w:rPr>
          <w:noProof/>
        </w:rPr>
        <w:tab/>
        <w:t>426</w:t>
      </w:r>
    </w:p>
    <w:p w:rsidR="00A361CF" w:rsidRDefault="00A361CF" w:rsidP="00611432">
      <w:pPr>
        <w:pStyle w:val="TOC2"/>
        <w:tabs>
          <w:tab w:val="left" w:pos="1320"/>
        </w:tabs>
        <w:ind w:left="1134" w:hanging="624"/>
        <w:rPr>
          <w:rFonts w:asciiTheme="minorHAnsi" w:eastAsiaTheme="minorEastAsia" w:hAnsiTheme="minorHAnsi" w:cstheme="minorBidi"/>
          <w:noProof/>
          <w:sz w:val="22"/>
          <w:szCs w:val="22"/>
          <w:lang w:eastAsia="en-AU"/>
        </w:rPr>
      </w:pPr>
      <w:r>
        <w:rPr>
          <w:noProof/>
        </w:rPr>
        <w:t>16.2</w:t>
      </w:r>
      <w:r>
        <w:rPr>
          <w:rFonts w:asciiTheme="minorHAnsi" w:eastAsiaTheme="minorEastAsia" w:hAnsiTheme="minorHAnsi" w:cstheme="minorBidi"/>
          <w:noProof/>
          <w:sz w:val="22"/>
          <w:szCs w:val="22"/>
          <w:lang w:eastAsia="en-AU"/>
        </w:rPr>
        <w:tab/>
      </w:r>
      <w:r>
        <w:rPr>
          <w:noProof/>
        </w:rPr>
        <w:t>Stakeholder concerns about current institutional and governance settings</w:t>
      </w:r>
      <w:r>
        <w:rPr>
          <w:noProof/>
        </w:rPr>
        <w:tab/>
        <w:t>430</w:t>
      </w:r>
    </w:p>
    <w:p w:rsidR="00A361CF" w:rsidRDefault="00A361CF" w:rsidP="00611432">
      <w:pPr>
        <w:pStyle w:val="TOC2"/>
        <w:tabs>
          <w:tab w:val="left" w:pos="1320"/>
        </w:tabs>
        <w:ind w:left="1134" w:hanging="624"/>
        <w:rPr>
          <w:rFonts w:asciiTheme="minorHAnsi" w:eastAsiaTheme="minorEastAsia" w:hAnsiTheme="minorHAnsi" w:cstheme="minorBidi"/>
          <w:noProof/>
          <w:sz w:val="22"/>
          <w:szCs w:val="22"/>
          <w:lang w:eastAsia="en-AU"/>
        </w:rPr>
      </w:pPr>
      <w:r>
        <w:rPr>
          <w:noProof/>
        </w:rPr>
        <w:t>16.3</w:t>
      </w:r>
      <w:r>
        <w:rPr>
          <w:rFonts w:asciiTheme="minorHAnsi" w:eastAsiaTheme="minorEastAsia" w:hAnsiTheme="minorHAnsi" w:cstheme="minorBidi"/>
          <w:noProof/>
          <w:sz w:val="22"/>
          <w:szCs w:val="22"/>
          <w:lang w:eastAsia="en-AU"/>
        </w:rPr>
        <w:tab/>
      </w:r>
      <w:r>
        <w:rPr>
          <w:noProof/>
        </w:rPr>
        <w:t>Options for governance reform — domestic context</w:t>
      </w:r>
      <w:r>
        <w:rPr>
          <w:noProof/>
        </w:rPr>
        <w:tab/>
        <w:t>441</w:t>
      </w:r>
    </w:p>
    <w:p w:rsidR="00A361CF" w:rsidRDefault="00A361CF" w:rsidP="00611432">
      <w:pPr>
        <w:pStyle w:val="TOC2"/>
        <w:tabs>
          <w:tab w:val="left" w:pos="1320"/>
        </w:tabs>
        <w:ind w:left="1134" w:hanging="624"/>
        <w:rPr>
          <w:rFonts w:asciiTheme="minorHAnsi" w:eastAsiaTheme="minorEastAsia" w:hAnsiTheme="minorHAnsi" w:cstheme="minorBidi"/>
          <w:noProof/>
          <w:sz w:val="22"/>
          <w:szCs w:val="22"/>
          <w:lang w:eastAsia="en-AU"/>
        </w:rPr>
      </w:pPr>
      <w:r>
        <w:rPr>
          <w:noProof/>
        </w:rPr>
        <w:t>16.4</w:t>
      </w:r>
      <w:r>
        <w:rPr>
          <w:rFonts w:asciiTheme="minorHAnsi" w:eastAsiaTheme="minorEastAsia" w:hAnsiTheme="minorHAnsi" w:cstheme="minorBidi"/>
          <w:noProof/>
          <w:sz w:val="22"/>
          <w:szCs w:val="22"/>
          <w:lang w:eastAsia="en-AU"/>
        </w:rPr>
        <w:tab/>
      </w:r>
      <w:r>
        <w:rPr>
          <w:noProof/>
        </w:rPr>
        <w:t>Options for reform — international context</w:t>
      </w:r>
      <w:r>
        <w:rPr>
          <w:noProof/>
        </w:rPr>
        <w:tab/>
        <w:t>453</w:t>
      </w:r>
    </w:p>
    <w:p w:rsidR="00A361CF" w:rsidRDefault="00A361CF">
      <w:pPr>
        <w:pStyle w:val="TOC1"/>
        <w:rPr>
          <w:rFonts w:asciiTheme="minorHAnsi" w:eastAsiaTheme="minorEastAsia" w:hAnsiTheme="minorHAnsi" w:cstheme="minorBidi"/>
          <w:b w:val="0"/>
          <w:noProof/>
          <w:sz w:val="22"/>
          <w:szCs w:val="22"/>
          <w:lang w:eastAsia="en-AU"/>
        </w:rPr>
      </w:pPr>
      <w:r>
        <w:rPr>
          <w:noProof/>
        </w:rPr>
        <w:t>17</w:t>
      </w:r>
      <w:r>
        <w:rPr>
          <w:rFonts w:asciiTheme="minorHAnsi" w:eastAsiaTheme="minorEastAsia" w:hAnsiTheme="minorHAnsi" w:cstheme="minorBidi"/>
          <w:b w:val="0"/>
          <w:noProof/>
          <w:sz w:val="22"/>
          <w:szCs w:val="22"/>
          <w:lang w:eastAsia="en-AU"/>
        </w:rPr>
        <w:tab/>
      </w:r>
      <w:r>
        <w:rPr>
          <w:noProof/>
        </w:rPr>
        <w:t>International cooperation in IP</w:t>
      </w:r>
      <w:r>
        <w:rPr>
          <w:noProof/>
        </w:rPr>
        <w:tab/>
        <w:t>459</w:t>
      </w:r>
    </w:p>
    <w:p w:rsidR="00A361CF" w:rsidRDefault="00A361CF" w:rsidP="00611432">
      <w:pPr>
        <w:pStyle w:val="TOC2"/>
        <w:tabs>
          <w:tab w:val="left" w:pos="1320"/>
        </w:tabs>
        <w:ind w:left="1134" w:hanging="624"/>
        <w:rPr>
          <w:rFonts w:asciiTheme="minorHAnsi" w:eastAsiaTheme="minorEastAsia" w:hAnsiTheme="minorHAnsi" w:cstheme="minorBidi"/>
          <w:noProof/>
          <w:sz w:val="22"/>
          <w:szCs w:val="22"/>
          <w:lang w:eastAsia="en-AU"/>
        </w:rPr>
      </w:pPr>
      <w:r>
        <w:rPr>
          <w:noProof/>
        </w:rPr>
        <w:t>17.1</w:t>
      </w:r>
      <w:r>
        <w:rPr>
          <w:rFonts w:asciiTheme="minorHAnsi" w:eastAsiaTheme="minorEastAsia" w:hAnsiTheme="minorHAnsi" w:cstheme="minorBidi"/>
          <w:noProof/>
          <w:sz w:val="22"/>
          <w:szCs w:val="22"/>
          <w:lang w:eastAsia="en-AU"/>
        </w:rPr>
        <w:tab/>
      </w:r>
      <w:r>
        <w:rPr>
          <w:noProof/>
        </w:rPr>
        <w:t>What motivates international cooperation?</w:t>
      </w:r>
      <w:r>
        <w:rPr>
          <w:noProof/>
        </w:rPr>
        <w:tab/>
        <w:t>460</w:t>
      </w:r>
    </w:p>
    <w:p w:rsidR="00A361CF" w:rsidRDefault="00A361CF" w:rsidP="00611432">
      <w:pPr>
        <w:pStyle w:val="TOC2"/>
        <w:tabs>
          <w:tab w:val="left" w:pos="1320"/>
        </w:tabs>
        <w:ind w:left="1134" w:hanging="624"/>
        <w:rPr>
          <w:rFonts w:asciiTheme="minorHAnsi" w:eastAsiaTheme="minorEastAsia" w:hAnsiTheme="minorHAnsi" w:cstheme="minorBidi"/>
          <w:noProof/>
          <w:sz w:val="22"/>
          <w:szCs w:val="22"/>
          <w:lang w:eastAsia="en-AU"/>
        </w:rPr>
      </w:pPr>
      <w:r>
        <w:rPr>
          <w:noProof/>
        </w:rPr>
        <w:t>17.2</w:t>
      </w:r>
      <w:r>
        <w:rPr>
          <w:rFonts w:asciiTheme="minorHAnsi" w:eastAsiaTheme="minorEastAsia" w:hAnsiTheme="minorHAnsi" w:cstheme="minorBidi"/>
          <w:noProof/>
          <w:sz w:val="22"/>
          <w:szCs w:val="22"/>
          <w:lang w:eastAsia="en-AU"/>
        </w:rPr>
        <w:tab/>
      </w:r>
      <w:r>
        <w:rPr>
          <w:noProof/>
        </w:rPr>
        <w:t>Approaches to international cooperation</w:t>
      </w:r>
      <w:r>
        <w:rPr>
          <w:noProof/>
        </w:rPr>
        <w:tab/>
        <w:t>464</w:t>
      </w:r>
    </w:p>
    <w:p w:rsidR="00A361CF" w:rsidRDefault="00A361CF" w:rsidP="00611432">
      <w:pPr>
        <w:pStyle w:val="TOC2"/>
        <w:tabs>
          <w:tab w:val="left" w:pos="1320"/>
        </w:tabs>
        <w:ind w:left="1134" w:hanging="624"/>
        <w:rPr>
          <w:rFonts w:asciiTheme="minorHAnsi" w:eastAsiaTheme="minorEastAsia" w:hAnsiTheme="minorHAnsi" w:cstheme="minorBidi"/>
          <w:noProof/>
          <w:sz w:val="22"/>
          <w:szCs w:val="22"/>
          <w:lang w:eastAsia="en-AU"/>
        </w:rPr>
      </w:pPr>
      <w:r>
        <w:rPr>
          <w:noProof/>
        </w:rPr>
        <w:t>17.3</w:t>
      </w:r>
      <w:r>
        <w:rPr>
          <w:rFonts w:asciiTheme="minorHAnsi" w:eastAsiaTheme="minorEastAsia" w:hAnsiTheme="minorHAnsi" w:cstheme="minorBidi"/>
          <w:noProof/>
          <w:sz w:val="22"/>
          <w:szCs w:val="22"/>
          <w:lang w:eastAsia="en-AU"/>
        </w:rPr>
        <w:tab/>
      </w:r>
      <w:r>
        <w:rPr>
          <w:noProof/>
        </w:rPr>
        <w:t>International cooperation in practice</w:t>
      </w:r>
      <w:r>
        <w:rPr>
          <w:noProof/>
        </w:rPr>
        <w:tab/>
        <w:t>469</w:t>
      </w:r>
    </w:p>
    <w:p w:rsidR="00A361CF" w:rsidRDefault="00A361CF" w:rsidP="00611432">
      <w:pPr>
        <w:pStyle w:val="TOC2"/>
        <w:tabs>
          <w:tab w:val="left" w:pos="1320"/>
        </w:tabs>
        <w:ind w:left="1134" w:hanging="624"/>
        <w:rPr>
          <w:rFonts w:asciiTheme="minorHAnsi" w:eastAsiaTheme="minorEastAsia" w:hAnsiTheme="minorHAnsi" w:cstheme="minorBidi"/>
          <w:noProof/>
          <w:sz w:val="22"/>
          <w:szCs w:val="22"/>
          <w:lang w:eastAsia="en-AU"/>
        </w:rPr>
      </w:pPr>
      <w:r>
        <w:rPr>
          <w:noProof/>
        </w:rPr>
        <w:t>17.4</w:t>
      </w:r>
      <w:r>
        <w:rPr>
          <w:rFonts w:asciiTheme="minorHAnsi" w:eastAsiaTheme="minorEastAsia" w:hAnsiTheme="minorHAnsi" w:cstheme="minorBidi"/>
          <w:noProof/>
          <w:sz w:val="22"/>
          <w:szCs w:val="22"/>
          <w:lang w:eastAsia="en-AU"/>
        </w:rPr>
        <w:tab/>
      </w:r>
      <w:r>
        <w:rPr>
          <w:noProof/>
        </w:rPr>
        <w:t>Australia’s approach to international cooperation — where to from here?</w:t>
      </w:r>
      <w:r>
        <w:rPr>
          <w:noProof/>
        </w:rPr>
        <w:tab/>
        <w:t>474</w:t>
      </w:r>
    </w:p>
    <w:p w:rsidR="00A361CF" w:rsidRDefault="00A361CF">
      <w:pPr>
        <w:pStyle w:val="TOC1"/>
        <w:rPr>
          <w:rFonts w:asciiTheme="minorHAnsi" w:eastAsiaTheme="minorEastAsia" w:hAnsiTheme="minorHAnsi" w:cstheme="minorBidi"/>
          <w:b w:val="0"/>
          <w:noProof/>
          <w:sz w:val="22"/>
          <w:szCs w:val="22"/>
          <w:lang w:eastAsia="en-AU"/>
        </w:rPr>
      </w:pPr>
      <w:r>
        <w:rPr>
          <w:noProof/>
        </w:rPr>
        <w:t>18</w:t>
      </w:r>
      <w:r>
        <w:rPr>
          <w:rFonts w:asciiTheme="minorHAnsi" w:eastAsiaTheme="minorEastAsia" w:hAnsiTheme="minorHAnsi" w:cstheme="minorBidi"/>
          <w:b w:val="0"/>
          <w:noProof/>
          <w:sz w:val="22"/>
          <w:szCs w:val="22"/>
          <w:lang w:eastAsia="en-AU"/>
        </w:rPr>
        <w:tab/>
      </w:r>
      <w:r>
        <w:rPr>
          <w:noProof/>
        </w:rPr>
        <w:t>Compliance and enforcement of IP rights</w:t>
      </w:r>
      <w:r>
        <w:rPr>
          <w:noProof/>
        </w:rPr>
        <w:tab/>
        <w:t>479</w:t>
      </w:r>
    </w:p>
    <w:p w:rsidR="00A361CF" w:rsidRDefault="00A361CF" w:rsidP="00611432">
      <w:pPr>
        <w:pStyle w:val="TOC2"/>
        <w:tabs>
          <w:tab w:val="left" w:pos="1320"/>
        </w:tabs>
        <w:ind w:left="1134" w:hanging="624"/>
        <w:rPr>
          <w:rFonts w:asciiTheme="minorHAnsi" w:eastAsiaTheme="minorEastAsia" w:hAnsiTheme="minorHAnsi" w:cstheme="minorBidi"/>
          <w:noProof/>
          <w:sz w:val="22"/>
          <w:szCs w:val="22"/>
          <w:lang w:eastAsia="en-AU"/>
        </w:rPr>
      </w:pPr>
      <w:r>
        <w:rPr>
          <w:noProof/>
        </w:rPr>
        <w:t>18.1</w:t>
      </w:r>
      <w:r>
        <w:rPr>
          <w:rFonts w:asciiTheme="minorHAnsi" w:eastAsiaTheme="minorEastAsia" w:hAnsiTheme="minorHAnsi" w:cstheme="minorBidi"/>
          <w:noProof/>
          <w:sz w:val="22"/>
          <w:szCs w:val="22"/>
          <w:lang w:eastAsia="en-AU"/>
        </w:rPr>
        <w:tab/>
      </w:r>
      <w:r>
        <w:rPr>
          <w:noProof/>
        </w:rPr>
        <w:t>Enforcement policy and objectives</w:t>
      </w:r>
      <w:r>
        <w:rPr>
          <w:noProof/>
        </w:rPr>
        <w:tab/>
        <w:t>480</w:t>
      </w:r>
    </w:p>
    <w:p w:rsidR="00A361CF" w:rsidRDefault="00A361CF" w:rsidP="00611432">
      <w:pPr>
        <w:pStyle w:val="TOC2"/>
        <w:tabs>
          <w:tab w:val="left" w:pos="1320"/>
        </w:tabs>
        <w:ind w:left="1134" w:hanging="624"/>
        <w:rPr>
          <w:rFonts w:asciiTheme="minorHAnsi" w:eastAsiaTheme="minorEastAsia" w:hAnsiTheme="minorHAnsi" w:cstheme="minorBidi"/>
          <w:noProof/>
          <w:sz w:val="22"/>
          <w:szCs w:val="22"/>
          <w:lang w:eastAsia="en-AU"/>
        </w:rPr>
      </w:pPr>
      <w:r>
        <w:rPr>
          <w:noProof/>
        </w:rPr>
        <w:t>18.2</w:t>
      </w:r>
      <w:r>
        <w:rPr>
          <w:rFonts w:asciiTheme="minorHAnsi" w:eastAsiaTheme="minorEastAsia" w:hAnsiTheme="minorHAnsi" w:cstheme="minorBidi"/>
          <w:noProof/>
          <w:sz w:val="22"/>
          <w:szCs w:val="22"/>
          <w:lang w:eastAsia="en-AU"/>
        </w:rPr>
        <w:tab/>
      </w:r>
      <w:r>
        <w:rPr>
          <w:noProof/>
        </w:rPr>
        <w:t>What is the extent of infringement and enforcement in Australia?</w:t>
      </w:r>
      <w:r>
        <w:rPr>
          <w:noProof/>
        </w:rPr>
        <w:tab/>
        <w:t>482</w:t>
      </w:r>
    </w:p>
    <w:p w:rsidR="00A361CF" w:rsidRDefault="00A361CF" w:rsidP="00611432">
      <w:pPr>
        <w:pStyle w:val="TOC2"/>
        <w:tabs>
          <w:tab w:val="left" w:pos="1320"/>
        </w:tabs>
        <w:ind w:left="1134" w:hanging="624"/>
        <w:rPr>
          <w:rFonts w:asciiTheme="minorHAnsi" w:eastAsiaTheme="minorEastAsia" w:hAnsiTheme="minorHAnsi" w:cstheme="minorBidi"/>
          <w:noProof/>
          <w:sz w:val="22"/>
          <w:szCs w:val="22"/>
          <w:lang w:eastAsia="en-AU"/>
        </w:rPr>
      </w:pPr>
      <w:r>
        <w:rPr>
          <w:noProof/>
        </w:rPr>
        <w:t>18.3</w:t>
      </w:r>
      <w:r>
        <w:rPr>
          <w:rFonts w:asciiTheme="minorHAnsi" w:eastAsiaTheme="minorEastAsia" w:hAnsiTheme="minorHAnsi" w:cstheme="minorBidi"/>
          <w:noProof/>
          <w:sz w:val="22"/>
          <w:szCs w:val="22"/>
          <w:lang w:eastAsia="en-AU"/>
        </w:rPr>
        <w:tab/>
      </w:r>
      <w:r>
        <w:rPr>
          <w:noProof/>
        </w:rPr>
        <w:t>How does the current system perform?</w:t>
      </w:r>
      <w:r>
        <w:rPr>
          <w:noProof/>
        </w:rPr>
        <w:tab/>
        <w:t>486</w:t>
      </w:r>
    </w:p>
    <w:p w:rsidR="00A361CF" w:rsidRDefault="00A361CF" w:rsidP="00611432">
      <w:pPr>
        <w:pStyle w:val="TOC2"/>
        <w:tabs>
          <w:tab w:val="left" w:pos="1320"/>
        </w:tabs>
        <w:ind w:left="1134" w:hanging="624"/>
        <w:rPr>
          <w:rFonts w:asciiTheme="minorHAnsi" w:eastAsiaTheme="minorEastAsia" w:hAnsiTheme="minorHAnsi" w:cstheme="minorBidi"/>
          <w:noProof/>
          <w:sz w:val="22"/>
          <w:szCs w:val="22"/>
          <w:lang w:eastAsia="en-AU"/>
        </w:rPr>
      </w:pPr>
      <w:r>
        <w:rPr>
          <w:noProof/>
        </w:rPr>
        <w:t>18.4</w:t>
      </w:r>
      <w:r>
        <w:rPr>
          <w:rFonts w:asciiTheme="minorHAnsi" w:eastAsiaTheme="minorEastAsia" w:hAnsiTheme="minorHAnsi" w:cstheme="minorBidi"/>
          <w:noProof/>
          <w:sz w:val="22"/>
          <w:szCs w:val="22"/>
          <w:lang w:eastAsia="en-AU"/>
        </w:rPr>
        <w:tab/>
      </w:r>
      <w:r>
        <w:rPr>
          <w:noProof/>
        </w:rPr>
        <w:t>A case to do more on copyright infringement?</w:t>
      </w:r>
      <w:r>
        <w:rPr>
          <w:noProof/>
        </w:rPr>
        <w:tab/>
        <w:t>488</w:t>
      </w:r>
    </w:p>
    <w:p w:rsidR="00A361CF" w:rsidRDefault="00A361CF" w:rsidP="00611432">
      <w:pPr>
        <w:pStyle w:val="TOC2"/>
        <w:tabs>
          <w:tab w:val="left" w:pos="1320"/>
        </w:tabs>
        <w:ind w:left="1134" w:hanging="624"/>
        <w:rPr>
          <w:rFonts w:asciiTheme="minorHAnsi" w:eastAsiaTheme="minorEastAsia" w:hAnsiTheme="minorHAnsi" w:cstheme="minorBidi"/>
          <w:noProof/>
          <w:sz w:val="22"/>
          <w:szCs w:val="22"/>
          <w:lang w:eastAsia="en-AU"/>
        </w:rPr>
      </w:pPr>
      <w:r>
        <w:rPr>
          <w:noProof/>
        </w:rPr>
        <w:t>18.5</w:t>
      </w:r>
      <w:r>
        <w:rPr>
          <w:rFonts w:asciiTheme="minorHAnsi" w:eastAsiaTheme="minorEastAsia" w:hAnsiTheme="minorHAnsi" w:cstheme="minorBidi"/>
          <w:noProof/>
          <w:sz w:val="22"/>
          <w:szCs w:val="22"/>
          <w:lang w:eastAsia="en-AU"/>
        </w:rPr>
        <w:tab/>
      </w:r>
      <w:r>
        <w:rPr>
          <w:noProof/>
        </w:rPr>
        <w:t>Improving dispute resolution, including for SMEs</w:t>
      </w:r>
      <w:r>
        <w:rPr>
          <w:noProof/>
        </w:rPr>
        <w:tab/>
        <w:t>495</w:t>
      </w:r>
    </w:p>
    <w:p w:rsidR="00A361CF" w:rsidRDefault="00A361CF">
      <w:pPr>
        <w:pStyle w:val="TOC1"/>
        <w:rPr>
          <w:rFonts w:asciiTheme="minorHAnsi" w:eastAsiaTheme="minorEastAsia" w:hAnsiTheme="minorHAnsi" w:cstheme="minorBidi"/>
          <w:b w:val="0"/>
          <w:noProof/>
          <w:sz w:val="22"/>
          <w:szCs w:val="22"/>
          <w:lang w:eastAsia="en-AU"/>
        </w:rPr>
      </w:pPr>
      <w:r>
        <w:rPr>
          <w:noProof/>
        </w:rPr>
        <w:t>A</w:t>
      </w:r>
      <w:r>
        <w:rPr>
          <w:rFonts w:asciiTheme="minorHAnsi" w:eastAsiaTheme="minorEastAsia" w:hAnsiTheme="minorHAnsi" w:cstheme="minorBidi"/>
          <w:b w:val="0"/>
          <w:noProof/>
          <w:sz w:val="22"/>
          <w:szCs w:val="22"/>
          <w:lang w:eastAsia="en-AU"/>
        </w:rPr>
        <w:tab/>
      </w:r>
      <w:r>
        <w:rPr>
          <w:noProof/>
        </w:rPr>
        <w:t>Conduct of the study</w:t>
      </w:r>
      <w:r>
        <w:rPr>
          <w:noProof/>
        </w:rPr>
        <w:tab/>
        <w:t>503</w:t>
      </w:r>
    </w:p>
    <w:p w:rsidR="00A361CF" w:rsidRDefault="00A361CF">
      <w:pPr>
        <w:pStyle w:val="TOC1"/>
        <w:rPr>
          <w:rFonts w:asciiTheme="minorHAnsi" w:eastAsiaTheme="minorEastAsia" w:hAnsiTheme="minorHAnsi" w:cstheme="minorBidi"/>
          <w:b w:val="0"/>
          <w:noProof/>
          <w:sz w:val="22"/>
          <w:szCs w:val="22"/>
          <w:lang w:eastAsia="en-AU"/>
        </w:rPr>
      </w:pPr>
      <w:r>
        <w:rPr>
          <w:noProof/>
        </w:rPr>
        <w:t>B</w:t>
      </w:r>
      <w:r>
        <w:rPr>
          <w:rFonts w:asciiTheme="minorHAnsi" w:eastAsiaTheme="minorEastAsia" w:hAnsiTheme="minorHAnsi" w:cstheme="minorBidi"/>
          <w:b w:val="0"/>
          <w:noProof/>
          <w:sz w:val="22"/>
          <w:szCs w:val="22"/>
          <w:lang w:eastAsia="en-AU"/>
        </w:rPr>
        <w:tab/>
      </w:r>
      <w:r>
        <w:rPr>
          <w:noProof/>
        </w:rPr>
        <w:t>International commitments</w:t>
      </w:r>
      <w:r>
        <w:rPr>
          <w:noProof/>
        </w:rPr>
        <w:tab/>
        <w:t>511</w:t>
      </w:r>
    </w:p>
    <w:p w:rsidR="00A361CF" w:rsidRDefault="00A361CF">
      <w:pPr>
        <w:pStyle w:val="TOC1"/>
        <w:rPr>
          <w:rFonts w:asciiTheme="minorHAnsi" w:eastAsiaTheme="minorEastAsia" w:hAnsiTheme="minorHAnsi" w:cstheme="minorBidi"/>
          <w:b w:val="0"/>
          <w:noProof/>
          <w:sz w:val="22"/>
          <w:szCs w:val="22"/>
          <w:lang w:eastAsia="en-AU"/>
        </w:rPr>
      </w:pPr>
      <w:r>
        <w:rPr>
          <w:noProof/>
        </w:rPr>
        <w:t>C</w:t>
      </w:r>
      <w:r>
        <w:rPr>
          <w:rFonts w:asciiTheme="minorHAnsi" w:eastAsiaTheme="minorEastAsia" w:hAnsiTheme="minorHAnsi" w:cstheme="minorBidi"/>
          <w:b w:val="0"/>
          <w:noProof/>
          <w:sz w:val="22"/>
          <w:szCs w:val="22"/>
          <w:lang w:eastAsia="en-AU"/>
        </w:rPr>
        <w:tab/>
      </w:r>
      <w:r>
        <w:rPr>
          <w:noProof/>
        </w:rPr>
        <w:t>The IP-intensity of Australia’s trade</w:t>
      </w:r>
      <w:r>
        <w:rPr>
          <w:noProof/>
        </w:rPr>
        <w:tab/>
        <w:t>521</w:t>
      </w:r>
    </w:p>
    <w:p w:rsidR="00A361CF" w:rsidRDefault="00A361CF">
      <w:pPr>
        <w:pStyle w:val="TOC1"/>
        <w:rPr>
          <w:rFonts w:asciiTheme="minorHAnsi" w:eastAsiaTheme="minorEastAsia" w:hAnsiTheme="minorHAnsi" w:cstheme="minorBidi"/>
          <w:b w:val="0"/>
          <w:noProof/>
          <w:sz w:val="22"/>
          <w:szCs w:val="22"/>
          <w:lang w:eastAsia="en-AU"/>
        </w:rPr>
      </w:pPr>
      <w:r>
        <w:rPr>
          <w:noProof/>
        </w:rPr>
        <w:t>D</w:t>
      </w:r>
      <w:r>
        <w:rPr>
          <w:rFonts w:asciiTheme="minorHAnsi" w:eastAsiaTheme="minorEastAsia" w:hAnsiTheme="minorHAnsi" w:cstheme="minorBidi"/>
          <w:b w:val="0"/>
          <w:noProof/>
          <w:sz w:val="22"/>
          <w:szCs w:val="22"/>
          <w:lang w:eastAsia="en-AU"/>
        </w:rPr>
        <w:tab/>
      </w:r>
      <w:r>
        <w:rPr>
          <w:noProof/>
        </w:rPr>
        <w:t>Evidence on patents: social value, additionality and thickets</w:t>
      </w:r>
      <w:r>
        <w:rPr>
          <w:noProof/>
        </w:rPr>
        <w:tab/>
        <w:t>537</w:t>
      </w:r>
    </w:p>
    <w:p w:rsidR="00A361CF" w:rsidRDefault="00A361CF">
      <w:pPr>
        <w:pStyle w:val="TOC1"/>
        <w:rPr>
          <w:rFonts w:asciiTheme="minorHAnsi" w:eastAsiaTheme="minorEastAsia" w:hAnsiTheme="minorHAnsi" w:cstheme="minorBidi"/>
          <w:b w:val="0"/>
          <w:noProof/>
          <w:sz w:val="22"/>
          <w:szCs w:val="22"/>
          <w:lang w:eastAsia="en-AU"/>
        </w:rPr>
      </w:pPr>
      <w:r>
        <w:rPr>
          <w:noProof/>
        </w:rPr>
        <w:t>References</w:t>
      </w:r>
      <w:r>
        <w:rPr>
          <w:noProof/>
        </w:rPr>
        <w:tab/>
        <w:t>549</w:t>
      </w:r>
    </w:p>
    <w:p w:rsidR="00290C20" w:rsidRDefault="00290C20" w:rsidP="00A361CF">
      <w:pPr>
        <w:pStyle w:val="BodyText"/>
        <w:rPr>
          <w:lang w:eastAsia="en-US"/>
        </w:rPr>
        <w:sectPr w:rsidR="00290C20" w:rsidSect="00A361CF">
          <w:headerReference w:type="even" r:id="rId31"/>
          <w:headerReference w:type="default" r:id="rId32"/>
          <w:footerReference w:type="even" r:id="rId33"/>
          <w:footerReference w:type="default" r:id="rId34"/>
          <w:pgSz w:w="11906" w:h="16838" w:code="9"/>
          <w:pgMar w:top="1985" w:right="1304" w:bottom="1247" w:left="1814" w:header="1701" w:footer="397" w:gutter="0"/>
          <w:pgNumType w:fmt="lowerRoman"/>
          <w:cols w:space="708"/>
          <w:docGrid w:linePitch="360"/>
        </w:sectPr>
      </w:pPr>
    </w:p>
    <w:p w:rsidR="00580133" w:rsidRDefault="00580133" w:rsidP="0075065D">
      <w:pPr>
        <w:pStyle w:val="Heading1NotTOC"/>
      </w:pPr>
      <w:bookmarkStart w:id="11" w:name="Abbreviations"/>
      <w:bookmarkStart w:id="12" w:name="RDnote"/>
      <w:bookmarkStart w:id="13" w:name="_Toc448823026"/>
      <w:bookmarkStart w:id="14" w:name="_Toc448841781"/>
      <w:bookmarkStart w:id="15" w:name="_Toc448933508"/>
      <w:bookmarkEnd w:id="11"/>
      <w:bookmarkEnd w:id="12"/>
      <w:r>
        <w:lastRenderedPageBreak/>
        <w:t>Acknowledgments</w:t>
      </w:r>
      <w:bookmarkEnd w:id="13"/>
      <w:bookmarkEnd w:id="14"/>
      <w:bookmarkEnd w:id="15"/>
    </w:p>
    <w:p w:rsidR="00186B20" w:rsidRPr="0026673A" w:rsidRDefault="00186B20" w:rsidP="00186B20">
      <w:pPr>
        <w:pStyle w:val="BodyText"/>
      </w:pPr>
      <w:r w:rsidRPr="0026673A">
        <w:t xml:space="preserve">The Commission is grateful to </w:t>
      </w:r>
      <w:r>
        <w:t xml:space="preserve">the many individuals and organisations </w:t>
      </w:r>
      <w:r w:rsidRPr="0026673A">
        <w:t>who ha</w:t>
      </w:r>
      <w:r>
        <w:t xml:space="preserve">ve </w:t>
      </w:r>
      <w:r w:rsidRPr="0026673A">
        <w:t xml:space="preserve">taken the time to </w:t>
      </w:r>
      <w:r>
        <w:t>contribute to this inquiry, including those who participated in visits, roundtables and provided submissions</w:t>
      </w:r>
      <w:r w:rsidRPr="0026673A">
        <w:t xml:space="preserve">. </w:t>
      </w:r>
    </w:p>
    <w:p w:rsidR="00186B20" w:rsidRPr="0026673A" w:rsidRDefault="00186B20" w:rsidP="00186B20">
      <w:pPr>
        <w:pStyle w:val="BodyText"/>
      </w:pPr>
      <w:r>
        <w:t>The Commission is also grateful for the assistance it received from IP Australia in preparing this draft report. Staff from</w:t>
      </w:r>
      <w:r w:rsidRPr="0026673A">
        <w:t xml:space="preserve"> </w:t>
      </w:r>
      <w:r>
        <w:t xml:space="preserve">IP Australia facilitated access to </w:t>
      </w:r>
      <w:r>
        <w:rPr>
          <w:szCs w:val="24"/>
        </w:rPr>
        <w:t xml:space="preserve">the </w:t>
      </w:r>
      <w:r w:rsidRPr="00DB20B5">
        <w:t>Intellectual Property Government Open Data</w:t>
      </w:r>
      <w:r>
        <w:t xml:space="preserve"> (IPGOD) database and provided helpful responses to many questions about existing arrangements.</w:t>
      </w:r>
    </w:p>
    <w:p w:rsidR="00186B20" w:rsidRDefault="00186B20" w:rsidP="00186B20">
      <w:pPr>
        <w:pStyle w:val="BodyText"/>
        <w:rPr>
          <w:lang w:eastAsia="en-US"/>
        </w:rPr>
      </w:pPr>
      <w:r w:rsidRPr="0026673A">
        <w:t>The Commissioners would like to express their appreciation to Dominique Lowe, who led the inquiry, and the team:</w:t>
      </w:r>
      <w:r>
        <w:t xml:space="preserve"> Brendan Bourke,</w:t>
      </w:r>
      <w:r w:rsidRPr="0026673A">
        <w:t xml:space="preserve"> </w:t>
      </w:r>
      <w:r>
        <w:t xml:space="preserve">Anderson Cheung, Melissa Edwards, </w:t>
      </w:r>
      <w:r w:rsidRPr="0026673A">
        <w:t xml:space="preserve">Elina Gilbourd, Pragya Giri, Suzana Hardy, </w:t>
      </w:r>
      <w:r>
        <w:t xml:space="preserve">Philip Harslett, </w:t>
      </w:r>
      <w:r w:rsidRPr="0026673A">
        <w:t xml:space="preserve">Andrew Irwin, </w:t>
      </w:r>
      <w:r>
        <w:t xml:space="preserve">Ellie Jepsen, Paul Loke, Darren Magennis, Daniel Marshall, Aaron Morey, Silvana Moro, Adam Sheppard, Anthony Shomos, </w:t>
      </w:r>
      <w:r w:rsidRPr="0026673A">
        <w:t xml:space="preserve">Anthony Smith, Leo Soames and </w:t>
      </w:r>
      <w:r>
        <w:t>Vernon Topp.</w:t>
      </w:r>
    </w:p>
    <w:p w:rsidR="00580133" w:rsidRPr="00883E8C" w:rsidRDefault="00580133" w:rsidP="00A361CF">
      <w:pPr>
        <w:pStyle w:val="BodyText"/>
        <w:rPr>
          <w:lang w:eastAsia="en-US"/>
        </w:rPr>
      </w:pPr>
    </w:p>
    <w:p w:rsidR="00580133" w:rsidRDefault="00580133">
      <w:pPr>
        <w:pStyle w:val="BodyText"/>
        <w:sectPr w:rsidR="00580133" w:rsidSect="00A361CF">
          <w:footerReference w:type="default" r:id="rId35"/>
          <w:pgSz w:w="11906" w:h="16838" w:code="9"/>
          <w:pgMar w:top="1985" w:right="1304" w:bottom="1247" w:left="1814" w:header="1701" w:footer="397" w:gutter="0"/>
          <w:pgNumType w:fmt="lowerRoman"/>
          <w:cols w:space="708"/>
          <w:docGrid w:linePitch="360"/>
        </w:sectPr>
      </w:pPr>
    </w:p>
    <w:p w:rsidR="00735FEA" w:rsidRDefault="00735FEA" w:rsidP="00F7477E">
      <w:pPr>
        <w:pStyle w:val="Heading1"/>
      </w:pPr>
      <w:bookmarkStart w:id="16" w:name="EndContents"/>
      <w:bookmarkStart w:id="17" w:name="_Toc448823027"/>
      <w:bookmarkStart w:id="18" w:name="_Toc448841782"/>
      <w:bookmarkStart w:id="19" w:name="_Toc448933509"/>
      <w:bookmarkEnd w:id="16"/>
      <w:r>
        <w:lastRenderedPageBreak/>
        <w:t>Abbreviations</w:t>
      </w:r>
      <w:bookmarkEnd w:id="17"/>
      <w:bookmarkEnd w:id="18"/>
      <w:bookmarkEnd w:id="19"/>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Caption w:val="Abbreviations"/>
        <w:tblDescription w:val="Abbreviations"/>
      </w:tblPr>
      <w:tblGrid>
        <w:gridCol w:w="1418"/>
        <w:gridCol w:w="7371"/>
      </w:tblGrid>
      <w:tr w:rsidR="00C92AAE" w:rsidRPr="00C92AAE" w:rsidTr="0019209C">
        <w:tc>
          <w:tcPr>
            <w:tcW w:w="1418" w:type="dxa"/>
          </w:tcPr>
          <w:p w:rsidR="00C92AAE" w:rsidRPr="00C92AAE" w:rsidRDefault="00C92AAE" w:rsidP="00C92AAE">
            <w:pPr>
              <w:pStyle w:val="BodyText"/>
              <w:spacing w:before="120"/>
              <w:ind w:right="6"/>
            </w:pPr>
            <w:r w:rsidRPr="00C92AAE">
              <w:t>ABS</w:t>
            </w:r>
          </w:p>
        </w:tc>
        <w:tc>
          <w:tcPr>
            <w:tcW w:w="7371" w:type="dxa"/>
          </w:tcPr>
          <w:p w:rsidR="00C92AAE" w:rsidRPr="00C92AAE" w:rsidRDefault="00C92AAE" w:rsidP="00C92AAE">
            <w:pPr>
              <w:pStyle w:val="BodyText"/>
              <w:spacing w:before="120"/>
              <w:ind w:left="227" w:right="6"/>
            </w:pPr>
            <w:r w:rsidRPr="00C92AAE">
              <w:t>Australian Bureau of Statistics</w:t>
            </w:r>
          </w:p>
        </w:tc>
      </w:tr>
      <w:tr w:rsidR="0019209C" w:rsidRPr="00C92AAE" w:rsidTr="0019209C">
        <w:tc>
          <w:tcPr>
            <w:tcW w:w="1418" w:type="dxa"/>
          </w:tcPr>
          <w:p w:rsidR="00C92AAE" w:rsidRPr="00C92AAE" w:rsidRDefault="00C92AAE" w:rsidP="00C92AAE">
            <w:pPr>
              <w:pStyle w:val="BodyText"/>
              <w:spacing w:before="120"/>
              <w:ind w:right="6"/>
            </w:pPr>
            <w:r w:rsidRPr="00C92AAE">
              <w:t>ACCC</w:t>
            </w:r>
          </w:p>
        </w:tc>
        <w:tc>
          <w:tcPr>
            <w:tcW w:w="7371" w:type="dxa"/>
          </w:tcPr>
          <w:p w:rsidR="00C92AAE" w:rsidRPr="00C92AAE" w:rsidRDefault="00C92AAE" w:rsidP="00C92AAE">
            <w:pPr>
              <w:pStyle w:val="BodyText"/>
              <w:spacing w:before="120"/>
              <w:ind w:left="227" w:right="6"/>
            </w:pPr>
            <w:r w:rsidRPr="00C92AAE">
              <w:t>Australian Competition and Consumer Commission</w:t>
            </w:r>
          </w:p>
        </w:tc>
      </w:tr>
      <w:tr w:rsidR="0019209C" w:rsidRPr="00C92AAE" w:rsidTr="0019209C">
        <w:tc>
          <w:tcPr>
            <w:tcW w:w="1418" w:type="dxa"/>
          </w:tcPr>
          <w:p w:rsidR="00C92AAE" w:rsidRPr="00C92AAE" w:rsidRDefault="00C92AAE" w:rsidP="00C92AAE">
            <w:pPr>
              <w:pStyle w:val="BodyText"/>
              <w:spacing w:before="120"/>
              <w:ind w:right="6"/>
            </w:pPr>
            <w:r w:rsidRPr="00C92AAE">
              <w:t>ACIP</w:t>
            </w:r>
          </w:p>
        </w:tc>
        <w:tc>
          <w:tcPr>
            <w:tcW w:w="7371" w:type="dxa"/>
          </w:tcPr>
          <w:p w:rsidR="00C92AAE" w:rsidRPr="00C92AAE" w:rsidRDefault="00C92AAE" w:rsidP="00C92AAE">
            <w:pPr>
              <w:pStyle w:val="BodyText"/>
              <w:spacing w:before="120"/>
              <w:ind w:left="227" w:right="6"/>
            </w:pPr>
            <w:r w:rsidRPr="00C92AAE">
              <w:t>Advisory Council on Intellectual Property (now defunct)</w:t>
            </w:r>
          </w:p>
        </w:tc>
      </w:tr>
      <w:tr w:rsidR="0019209C" w:rsidRPr="00C92AAE" w:rsidTr="0019209C">
        <w:tc>
          <w:tcPr>
            <w:tcW w:w="1418" w:type="dxa"/>
          </w:tcPr>
          <w:p w:rsidR="00C92AAE" w:rsidRPr="00C92AAE" w:rsidRDefault="00C92AAE" w:rsidP="00C92AAE">
            <w:pPr>
              <w:pStyle w:val="BodyText"/>
              <w:spacing w:before="120"/>
              <w:ind w:right="6"/>
            </w:pPr>
            <w:r w:rsidRPr="00C92AAE">
              <w:t>ALRC</w:t>
            </w:r>
          </w:p>
        </w:tc>
        <w:tc>
          <w:tcPr>
            <w:tcW w:w="7371" w:type="dxa"/>
          </w:tcPr>
          <w:p w:rsidR="00C92AAE" w:rsidRPr="00C92AAE" w:rsidRDefault="00C92AAE" w:rsidP="00C92AAE">
            <w:pPr>
              <w:pStyle w:val="BodyText"/>
              <w:spacing w:before="120"/>
              <w:ind w:left="227" w:right="6"/>
            </w:pPr>
            <w:r w:rsidRPr="00C92AAE">
              <w:t>Australian Law Reform Commission</w:t>
            </w:r>
          </w:p>
        </w:tc>
      </w:tr>
      <w:tr w:rsidR="0019209C" w:rsidRPr="00C92AAE" w:rsidTr="0019209C">
        <w:tc>
          <w:tcPr>
            <w:tcW w:w="1418" w:type="dxa"/>
          </w:tcPr>
          <w:p w:rsidR="00C92AAE" w:rsidRPr="00C92AAE" w:rsidRDefault="00C92AAE" w:rsidP="00C92AAE">
            <w:pPr>
              <w:pStyle w:val="BodyText"/>
              <w:spacing w:before="120"/>
              <w:ind w:right="6"/>
            </w:pPr>
            <w:r w:rsidRPr="00C92AAE">
              <w:t>API</w:t>
            </w:r>
          </w:p>
        </w:tc>
        <w:tc>
          <w:tcPr>
            <w:tcW w:w="7371" w:type="dxa"/>
          </w:tcPr>
          <w:p w:rsidR="00C92AAE" w:rsidRPr="00C92AAE" w:rsidRDefault="00C92AAE" w:rsidP="00C92AAE">
            <w:pPr>
              <w:pStyle w:val="BodyText"/>
              <w:spacing w:before="120"/>
              <w:ind w:left="227" w:right="6"/>
            </w:pPr>
            <w:r w:rsidRPr="00C92AAE">
              <w:t>Active Pharmaceutical Ingredient</w:t>
            </w:r>
          </w:p>
        </w:tc>
      </w:tr>
      <w:tr w:rsidR="0019209C" w:rsidRPr="00C92AAE" w:rsidTr="0019209C">
        <w:tc>
          <w:tcPr>
            <w:tcW w:w="1418" w:type="dxa"/>
          </w:tcPr>
          <w:p w:rsidR="00C92AAE" w:rsidRPr="00C92AAE" w:rsidRDefault="00C92AAE" w:rsidP="00C92AAE">
            <w:pPr>
              <w:pStyle w:val="BodyText"/>
              <w:spacing w:before="120"/>
              <w:ind w:right="6"/>
            </w:pPr>
            <w:r w:rsidRPr="00C92AAE">
              <w:t>ARC</w:t>
            </w:r>
          </w:p>
        </w:tc>
        <w:tc>
          <w:tcPr>
            <w:tcW w:w="7371" w:type="dxa"/>
          </w:tcPr>
          <w:p w:rsidR="00C92AAE" w:rsidRPr="00C92AAE" w:rsidRDefault="00C92AAE" w:rsidP="00C92AAE">
            <w:pPr>
              <w:pStyle w:val="BodyText"/>
              <w:spacing w:before="120"/>
              <w:ind w:left="227" w:right="6"/>
            </w:pPr>
            <w:r w:rsidRPr="00C92AAE">
              <w:t>Australian Research Council</w:t>
            </w:r>
          </w:p>
        </w:tc>
      </w:tr>
      <w:tr w:rsidR="0019209C" w:rsidRPr="00C92AAE" w:rsidTr="0019209C">
        <w:tc>
          <w:tcPr>
            <w:tcW w:w="1418" w:type="dxa"/>
          </w:tcPr>
          <w:p w:rsidR="00C92AAE" w:rsidRPr="00C92AAE" w:rsidRDefault="00C92AAE" w:rsidP="00C92AAE">
            <w:pPr>
              <w:pStyle w:val="BodyText"/>
              <w:spacing w:before="120"/>
              <w:ind w:right="6"/>
            </w:pPr>
            <w:r w:rsidRPr="00C92AAE">
              <w:t>ASEAN</w:t>
            </w:r>
          </w:p>
        </w:tc>
        <w:tc>
          <w:tcPr>
            <w:tcW w:w="7371" w:type="dxa"/>
          </w:tcPr>
          <w:p w:rsidR="00C92AAE" w:rsidRPr="00C92AAE" w:rsidRDefault="00C92AAE" w:rsidP="00C92AAE">
            <w:pPr>
              <w:pStyle w:val="BodyText"/>
              <w:spacing w:before="120"/>
              <w:ind w:left="227" w:right="6"/>
            </w:pPr>
            <w:r w:rsidRPr="00C92AAE">
              <w:t>Association of South East Asian Nations</w:t>
            </w:r>
          </w:p>
        </w:tc>
      </w:tr>
      <w:tr w:rsidR="0019209C" w:rsidRPr="00C92AAE" w:rsidTr="0019209C">
        <w:tc>
          <w:tcPr>
            <w:tcW w:w="1418" w:type="dxa"/>
          </w:tcPr>
          <w:p w:rsidR="00C92AAE" w:rsidRPr="00C92AAE" w:rsidRDefault="00C92AAE" w:rsidP="00C92AAE">
            <w:pPr>
              <w:pStyle w:val="BodyText"/>
              <w:spacing w:before="120"/>
              <w:ind w:right="6"/>
            </w:pPr>
            <w:r w:rsidRPr="00C92AAE">
              <w:t>ASIC</w:t>
            </w:r>
          </w:p>
        </w:tc>
        <w:tc>
          <w:tcPr>
            <w:tcW w:w="7371" w:type="dxa"/>
          </w:tcPr>
          <w:p w:rsidR="00C92AAE" w:rsidRPr="00C92AAE" w:rsidRDefault="00C92AAE" w:rsidP="00C92AAE">
            <w:pPr>
              <w:pStyle w:val="BodyText"/>
              <w:spacing w:before="120"/>
              <w:ind w:left="227" w:right="6"/>
            </w:pPr>
            <w:r w:rsidRPr="00C92AAE">
              <w:t>Australian Securities and Investments Commission</w:t>
            </w:r>
          </w:p>
        </w:tc>
      </w:tr>
      <w:tr w:rsidR="0019209C" w:rsidRPr="00C92AAE" w:rsidTr="0019209C">
        <w:tc>
          <w:tcPr>
            <w:tcW w:w="1418" w:type="dxa"/>
          </w:tcPr>
          <w:p w:rsidR="00C92AAE" w:rsidRPr="00C92AAE" w:rsidRDefault="00C92AAE" w:rsidP="00C92AAE">
            <w:pPr>
              <w:pStyle w:val="BodyText"/>
              <w:spacing w:before="120"/>
              <w:ind w:right="6"/>
            </w:pPr>
            <w:r w:rsidRPr="00C92AAE">
              <w:t>AUSFTA</w:t>
            </w:r>
          </w:p>
        </w:tc>
        <w:tc>
          <w:tcPr>
            <w:tcW w:w="7371" w:type="dxa"/>
          </w:tcPr>
          <w:p w:rsidR="00C92AAE" w:rsidRPr="00C92AAE" w:rsidRDefault="00C92AAE" w:rsidP="00C92AAE">
            <w:pPr>
              <w:pStyle w:val="BodyText"/>
              <w:spacing w:before="120"/>
              <w:ind w:left="227" w:right="6"/>
            </w:pPr>
            <w:r w:rsidRPr="00C92AAE">
              <w:t>Australia-United States Free Trade Agreement</w:t>
            </w:r>
          </w:p>
        </w:tc>
      </w:tr>
      <w:tr w:rsidR="0019209C" w:rsidRPr="00C92AAE" w:rsidTr="0019209C">
        <w:tc>
          <w:tcPr>
            <w:tcW w:w="1418" w:type="dxa"/>
          </w:tcPr>
          <w:p w:rsidR="00C92AAE" w:rsidRPr="00C92AAE" w:rsidRDefault="00C92AAE" w:rsidP="00C92AAE">
            <w:pPr>
              <w:pStyle w:val="BodyText"/>
              <w:spacing w:before="120"/>
              <w:ind w:right="6"/>
            </w:pPr>
            <w:r w:rsidRPr="00C92AAE">
              <w:t>CCA</w:t>
            </w:r>
          </w:p>
        </w:tc>
        <w:tc>
          <w:tcPr>
            <w:tcW w:w="7371" w:type="dxa"/>
          </w:tcPr>
          <w:p w:rsidR="00C92AAE" w:rsidRPr="00C92AAE" w:rsidRDefault="00C92AAE" w:rsidP="00C92AAE">
            <w:pPr>
              <w:pStyle w:val="BodyText"/>
              <w:spacing w:before="120"/>
              <w:ind w:left="227" w:right="6"/>
            </w:pPr>
            <w:r w:rsidRPr="00C92AAE">
              <w:t>Competition and Consumer Act 2010 (</w:t>
            </w:r>
            <w:proofErr w:type="spellStart"/>
            <w:r w:rsidRPr="00C92AAE">
              <w:t>Cth</w:t>
            </w:r>
            <w:proofErr w:type="spellEnd"/>
            <w:r w:rsidRPr="00C92AAE">
              <w:t>)</w:t>
            </w:r>
          </w:p>
        </w:tc>
      </w:tr>
      <w:tr w:rsidR="0019209C" w:rsidRPr="00C92AAE" w:rsidTr="0019209C">
        <w:tc>
          <w:tcPr>
            <w:tcW w:w="1418" w:type="dxa"/>
          </w:tcPr>
          <w:p w:rsidR="00C92AAE" w:rsidRPr="00C92AAE" w:rsidRDefault="00C92AAE" w:rsidP="00C92AAE">
            <w:pPr>
              <w:pStyle w:val="BodyText"/>
              <w:spacing w:before="120"/>
              <w:ind w:right="6"/>
            </w:pPr>
            <w:r w:rsidRPr="00C92AAE">
              <w:t>CLR</w:t>
            </w:r>
          </w:p>
        </w:tc>
        <w:tc>
          <w:tcPr>
            <w:tcW w:w="7371" w:type="dxa"/>
          </w:tcPr>
          <w:p w:rsidR="00C92AAE" w:rsidRPr="00C92AAE" w:rsidRDefault="00C92AAE" w:rsidP="00C92AAE">
            <w:pPr>
              <w:pStyle w:val="BodyText"/>
              <w:spacing w:before="120"/>
              <w:ind w:left="227" w:right="6"/>
            </w:pPr>
            <w:r w:rsidRPr="00C92AAE">
              <w:t>Circuit Layout Right</w:t>
            </w:r>
          </w:p>
        </w:tc>
      </w:tr>
      <w:tr w:rsidR="0019209C" w:rsidRPr="00C92AAE" w:rsidTr="0019209C">
        <w:tc>
          <w:tcPr>
            <w:tcW w:w="1418" w:type="dxa"/>
          </w:tcPr>
          <w:p w:rsidR="00C92AAE" w:rsidRPr="00C92AAE" w:rsidRDefault="00C92AAE" w:rsidP="00C92AAE">
            <w:pPr>
              <w:pStyle w:val="BodyText"/>
              <w:spacing w:before="120"/>
              <w:ind w:right="6"/>
            </w:pPr>
            <w:r w:rsidRPr="00C92AAE">
              <w:t>CSIRO</w:t>
            </w:r>
          </w:p>
        </w:tc>
        <w:tc>
          <w:tcPr>
            <w:tcW w:w="7371" w:type="dxa"/>
          </w:tcPr>
          <w:p w:rsidR="00C92AAE" w:rsidRPr="00C92AAE" w:rsidRDefault="00C92AAE" w:rsidP="00C92AAE">
            <w:pPr>
              <w:pStyle w:val="BodyText"/>
              <w:spacing w:before="120"/>
              <w:ind w:left="227" w:right="6"/>
            </w:pPr>
            <w:r w:rsidRPr="00C92AAE">
              <w:t>Commonwealth Scientific and Industrial Research Organisation</w:t>
            </w:r>
          </w:p>
        </w:tc>
      </w:tr>
      <w:tr w:rsidR="0019209C" w:rsidRPr="00C92AAE" w:rsidTr="0019209C">
        <w:tc>
          <w:tcPr>
            <w:tcW w:w="1418" w:type="dxa"/>
          </w:tcPr>
          <w:p w:rsidR="00C92AAE" w:rsidRPr="00C92AAE" w:rsidRDefault="00C92AAE" w:rsidP="00C92AAE">
            <w:pPr>
              <w:pStyle w:val="BodyText"/>
              <w:spacing w:before="120"/>
              <w:ind w:right="6"/>
            </w:pPr>
            <w:r w:rsidRPr="00C92AAE">
              <w:t>DFAT</w:t>
            </w:r>
          </w:p>
        </w:tc>
        <w:tc>
          <w:tcPr>
            <w:tcW w:w="7371" w:type="dxa"/>
          </w:tcPr>
          <w:p w:rsidR="00C92AAE" w:rsidRPr="00C92AAE" w:rsidRDefault="00C92AAE" w:rsidP="00C92AAE">
            <w:pPr>
              <w:pStyle w:val="BodyText"/>
              <w:spacing w:before="120"/>
              <w:ind w:left="227" w:right="6"/>
            </w:pPr>
            <w:r w:rsidRPr="00C92AAE">
              <w:t>Department of Foreign Affairs and Trade</w:t>
            </w:r>
          </w:p>
        </w:tc>
      </w:tr>
      <w:tr w:rsidR="0019209C" w:rsidRPr="00C92AAE" w:rsidTr="0019209C">
        <w:tc>
          <w:tcPr>
            <w:tcW w:w="1418" w:type="dxa"/>
          </w:tcPr>
          <w:p w:rsidR="00C92AAE" w:rsidRPr="00C92AAE" w:rsidRDefault="00C92AAE" w:rsidP="00C92AAE">
            <w:pPr>
              <w:pStyle w:val="BodyText"/>
              <w:spacing w:before="120"/>
              <w:ind w:right="6"/>
            </w:pPr>
            <w:r w:rsidRPr="00C92AAE">
              <w:t>DIBP</w:t>
            </w:r>
          </w:p>
        </w:tc>
        <w:tc>
          <w:tcPr>
            <w:tcW w:w="7371" w:type="dxa"/>
          </w:tcPr>
          <w:p w:rsidR="00C92AAE" w:rsidRPr="00C92AAE" w:rsidRDefault="00C92AAE" w:rsidP="00C92AAE">
            <w:pPr>
              <w:pStyle w:val="BodyText"/>
              <w:spacing w:before="120"/>
              <w:ind w:left="227" w:right="6"/>
            </w:pPr>
            <w:r w:rsidRPr="00C92AAE">
              <w:t>Department of Immigration and Border Protection</w:t>
            </w:r>
          </w:p>
        </w:tc>
      </w:tr>
      <w:tr w:rsidR="0019209C" w:rsidRPr="00C92AAE" w:rsidTr="0019209C">
        <w:tc>
          <w:tcPr>
            <w:tcW w:w="1418" w:type="dxa"/>
          </w:tcPr>
          <w:p w:rsidR="00C92AAE" w:rsidRPr="00C92AAE" w:rsidRDefault="00C92AAE" w:rsidP="00C92AAE">
            <w:pPr>
              <w:pStyle w:val="BodyText"/>
              <w:spacing w:before="120"/>
              <w:ind w:right="6"/>
            </w:pPr>
            <w:r w:rsidRPr="00C92AAE">
              <w:t>DIIS</w:t>
            </w:r>
          </w:p>
        </w:tc>
        <w:tc>
          <w:tcPr>
            <w:tcW w:w="7371" w:type="dxa"/>
          </w:tcPr>
          <w:p w:rsidR="00C92AAE" w:rsidRPr="00C92AAE" w:rsidRDefault="00C92AAE" w:rsidP="00C92AAE">
            <w:pPr>
              <w:pStyle w:val="BodyText"/>
              <w:spacing w:before="120"/>
              <w:ind w:left="227" w:right="6"/>
            </w:pPr>
            <w:r w:rsidRPr="00C92AAE">
              <w:t>Department of Industry, Innovation and Science</w:t>
            </w:r>
          </w:p>
        </w:tc>
      </w:tr>
      <w:tr w:rsidR="0019209C" w:rsidRPr="00C92AAE" w:rsidTr="0019209C">
        <w:tc>
          <w:tcPr>
            <w:tcW w:w="1418" w:type="dxa"/>
          </w:tcPr>
          <w:p w:rsidR="00C92AAE" w:rsidRPr="00C92AAE" w:rsidRDefault="00C92AAE" w:rsidP="00C92AAE">
            <w:pPr>
              <w:pStyle w:val="BodyText"/>
              <w:spacing w:before="120"/>
              <w:ind w:right="6"/>
            </w:pPr>
            <w:r w:rsidRPr="00C92AAE">
              <w:t>EC</w:t>
            </w:r>
          </w:p>
        </w:tc>
        <w:tc>
          <w:tcPr>
            <w:tcW w:w="7371" w:type="dxa"/>
          </w:tcPr>
          <w:p w:rsidR="00C92AAE" w:rsidRPr="00C92AAE" w:rsidRDefault="00C92AAE" w:rsidP="00C92AAE">
            <w:pPr>
              <w:pStyle w:val="BodyText"/>
              <w:spacing w:before="120"/>
              <w:ind w:left="227" w:right="6"/>
            </w:pPr>
            <w:r w:rsidRPr="00C92AAE">
              <w:t>European Commission</w:t>
            </w:r>
          </w:p>
        </w:tc>
      </w:tr>
      <w:tr w:rsidR="0019209C" w:rsidRPr="00C92AAE" w:rsidTr="0019209C">
        <w:tc>
          <w:tcPr>
            <w:tcW w:w="1418" w:type="dxa"/>
          </w:tcPr>
          <w:p w:rsidR="00C92AAE" w:rsidRPr="00C92AAE" w:rsidRDefault="00C92AAE" w:rsidP="00C92AAE">
            <w:pPr>
              <w:pStyle w:val="BodyText"/>
              <w:spacing w:before="120"/>
              <w:ind w:right="6"/>
            </w:pPr>
            <w:r w:rsidRPr="00C92AAE">
              <w:t>EPC</w:t>
            </w:r>
          </w:p>
        </w:tc>
        <w:tc>
          <w:tcPr>
            <w:tcW w:w="7371" w:type="dxa"/>
          </w:tcPr>
          <w:p w:rsidR="00C92AAE" w:rsidRPr="00C92AAE" w:rsidRDefault="00C92AAE" w:rsidP="00C92AAE">
            <w:pPr>
              <w:pStyle w:val="BodyText"/>
              <w:spacing w:before="120"/>
              <w:ind w:left="227" w:right="6"/>
            </w:pPr>
            <w:r w:rsidRPr="00C92AAE">
              <w:t>European Patent Convention</w:t>
            </w:r>
          </w:p>
        </w:tc>
      </w:tr>
      <w:tr w:rsidR="0019209C" w:rsidRPr="00C92AAE" w:rsidTr="0019209C">
        <w:tc>
          <w:tcPr>
            <w:tcW w:w="1418" w:type="dxa"/>
          </w:tcPr>
          <w:p w:rsidR="00C92AAE" w:rsidRPr="00C92AAE" w:rsidRDefault="00C92AAE" w:rsidP="00C92AAE">
            <w:pPr>
              <w:pStyle w:val="BodyText"/>
              <w:spacing w:before="120"/>
              <w:ind w:right="6"/>
            </w:pPr>
            <w:r w:rsidRPr="00C92AAE">
              <w:t>EPO</w:t>
            </w:r>
          </w:p>
        </w:tc>
        <w:tc>
          <w:tcPr>
            <w:tcW w:w="7371" w:type="dxa"/>
          </w:tcPr>
          <w:p w:rsidR="00C92AAE" w:rsidRPr="00C92AAE" w:rsidRDefault="00C92AAE" w:rsidP="00C92AAE">
            <w:pPr>
              <w:pStyle w:val="BodyText"/>
              <w:spacing w:before="120"/>
              <w:ind w:left="227" w:right="6"/>
            </w:pPr>
            <w:r w:rsidRPr="00C92AAE">
              <w:t>European Patent Office</w:t>
            </w:r>
          </w:p>
        </w:tc>
      </w:tr>
      <w:tr w:rsidR="0019209C" w:rsidRPr="00C92AAE" w:rsidTr="0019209C">
        <w:tc>
          <w:tcPr>
            <w:tcW w:w="1418" w:type="dxa"/>
          </w:tcPr>
          <w:p w:rsidR="00C92AAE" w:rsidRPr="00C92AAE" w:rsidRDefault="00C92AAE" w:rsidP="00C92AAE">
            <w:pPr>
              <w:pStyle w:val="BodyText"/>
              <w:spacing w:before="120"/>
              <w:ind w:right="6"/>
            </w:pPr>
            <w:r w:rsidRPr="00C92AAE">
              <w:t>EU</w:t>
            </w:r>
          </w:p>
        </w:tc>
        <w:tc>
          <w:tcPr>
            <w:tcW w:w="7371" w:type="dxa"/>
          </w:tcPr>
          <w:p w:rsidR="00C92AAE" w:rsidRPr="00C92AAE" w:rsidRDefault="00C92AAE" w:rsidP="00C92AAE">
            <w:pPr>
              <w:pStyle w:val="BodyText"/>
              <w:spacing w:before="120"/>
              <w:ind w:left="227" w:right="6"/>
            </w:pPr>
            <w:r w:rsidRPr="00C92AAE">
              <w:t>European Union</w:t>
            </w:r>
          </w:p>
        </w:tc>
      </w:tr>
      <w:tr w:rsidR="0019209C" w:rsidRPr="00C92AAE" w:rsidTr="0019209C">
        <w:tc>
          <w:tcPr>
            <w:tcW w:w="1418" w:type="dxa"/>
          </w:tcPr>
          <w:p w:rsidR="00C92AAE" w:rsidRPr="00C92AAE" w:rsidRDefault="00C92AAE" w:rsidP="00C92AAE">
            <w:pPr>
              <w:pStyle w:val="BodyText"/>
              <w:spacing w:before="120"/>
              <w:ind w:right="6"/>
            </w:pPr>
            <w:r w:rsidRPr="00C92AAE">
              <w:t>FCA</w:t>
            </w:r>
          </w:p>
        </w:tc>
        <w:tc>
          <w:tcPr>
            <w:tcW w:w="7371" w:type="dxa"/>
          </w:tcPr>
          <w:p w:rsidR="00C92AAE" w:rsidRPr="00C92AAE" w:rsidRDefault="00C92AAE" w:rsidP="00C92AAE">
            <w:pPr>
              <w:pStyle w:val="BodyText"/>
              <w:spacing w:before="120"/>
              <w:ind w:left="227" w:right="6"/>
            </w:pPr>
            <w:r w:rsidRPr="00C92AAE">
              <w:t>Federal Court of Australia</w:t>
            </w:r>
          </w:p>
        </w:tc>
      </w:tr>
      <w:tr w:rsidR="0019209C" w:rsidRPr="00C92AAE" w:rsidTr="0019209C">
        <w:tc>
          <w:tcPr>
            <w:tcW w:w="1418" w:type="dxa"/>
          </w:tcPr>
          <w:p w:rsidR="00C92AAE" w:rsidRPr="00C92AAE" w:rsidRDefault="00C92AAE" w:rsidP="00C92AAE">
            <w:pPr>
              <w:pStyle w:val="BodyText"/>
              <w:spacing w:before="120"/>
              <w:ind w:right="6"/>
            </w:pPr>
            <w:r w:rsidRPr="00C92AAE">
              <w:t>FTA</w:t>
            </w:r>
          </w:p>
        </w:tc>
        <w:tc>
          <w:tcPr>
            <w:tcW w:w="7371" w:type="dxa"/>
          </w:tcPr>
          <w:p w:rsidR="00C92AAE" w:rsidRPr="00C92AAE" w:rsidRDefault="00C92AAE" w:rsidP="00C92AAE">
            <w:pPr>
              <w:pStyle w:val="BodyText"/>
              <w:spacing w:before="120"/>
              <w:ind w:left="227" w:right="6"/>
            </w:pPr>
            <w:r w:rsidRPr="00C92AAE">
              <w:t>Free Trade Agreement</w:t>
            </w:r>
          </w:p>
        </w:tc>
      </w:tr>
      <w:tr w:rsidR="0019209C" w:rsidRPr="00C92AAE" w:rsidTr="0019209C">
        <w:tc>
          <w:tcPr>
            <w:tcW w:w="1418" w:type="dxa"/>
          </w:tcPr>
          <w:p w:rsidR="00C92AAE" w:rsidRPr="00C92AAE" w:rsidRDefault="00C92AAE" w:rsidP="00C92AAE">
            <w:pPr>
              <w:pStyle w:val="BodyText"/>
              <w:spacing w:before="120"/>
              <w:ind w:right="6"/>
            </w:pPr>
            <w:r w:rsidRPr="00C92AAE">
              <w:t>GDP</w:t>
            </w:r>
          </w:p>
        </w:tc>
        <w:tc>
          <w:tcPr>
            <w:tcW w:w="7371" w:type="dxa"/>
          </w:tcPr>
          <w:p w:rsidR="00C92AAE" w:rsidRPr="00C92AAE" w:rsidRDefault="00C92AAE" w:rsidP="00C92AAE">
            <w:pPr>
              <w:pStyle w:val="BodyText"/>
              <w:spacing w:before="120"/>
              <w:ind w:left="227" w:right="6"/>
            </w:pPr>
            <w:r w:rsidRPr="00C92AAE">
              <w:t>Gross Domestic Product</w:t>
            </w:r>
          </w:p>
        </w:tc>
      </w:tr>
      <w:tr w:rsidR="0019209C" w:rsidRPr="00C92AAE" w:rsidTr="0019209C">
        <w:tc>
          <w:tcPr>
            <w:tcW w:w="1418" w:type="dxa"/>
          </w:tcPr>
          <w:p w:rsidR="00C92AAE" w:rsidRPr="00C92AAE" w:rsidRDefault="00C92AAE" w:rsidP="00C92AAE">
            <w:pPr>
              <w:pStyle w:val="BodyText"/>
              <w:spacing w:before="120"/>
              <w:ind w:right="6"/>
            </w:pPr>
            <w:r w:rsidRPr="00C92AAE">
              <w:t>GI</w:t>
            </w:r>
          </w:p>
        </w:tc>
        <w:tc>
          <w:tcPr>
            <w:tcW w:w="7371" w:type="dxa"/>
          </w:tcPr>
          <w:p w:rsidR="00C92AAE" w:rsidRPr="00C92AAE" w:rsidRDefault="00C92AAE" w:rsidP="00C92AAE">
            <w:pPr>
              <w:pStyle w:val="BodyText"/>
              <w:spacing w:before="120"/>
              <w:ind w:left="227" w:right="6"/>
            </w:pPr>
            <w:r w:rsidRPr="00C92AAE">
              <w:t>Geographical Indication</w:t>
            </w:r>
          </w:p>
        </w:tc>
      </w:tr>
      <w:tr w:rsidR="0019209C" w:rsidRPr="00C92AAE" w:rsidTr="0019209C">
        <w:tc>
          <w:tcPr>
            <w:tcW w:w="1418" w:type="dxa"/>
          </w:tcPr>
          <w:p w:rsidR="00C92AAE" w:rsidRPr="00C92AAE" w:rsidRDefault="00C92AAE" w:rsidP="00C92AAE">
            <w:pPr>
              <w:pStyle w:val="BodyText"/>
              <w:spacing w:before="120"/>
              <w:ind w:right="6"/>
            </w:pPr>
            <w:r w:rsidRPr="00C92AAE">
              <w:t>IP</w:t>
            </w:r>
          </w:p>
        </w:tc>
        <w:tc>
          <w:tcPr>
            <w:tcW w:w="7371" w:type="dxa"/>
          </w:tcPr>
          <w:p w:rsidR="00C92AAE" w:rsidRPr="00C92AAE" w:rsidRDefault="00C92AAE" w:rsidP="00C92AAE">
            <w:pPr>
              <w:pStyle w:val="BodyText"/>
              <w:spacing w:before="120"/>
              <w:ind w:left="227" w:right="6"/>
            </w:pPr>
            <w:r w:rsidRPr="00C92AAE">
              <w:t>Intellectual Property</w:t>
            </w:r>
          </w:p>
        </w:tc>
      </w:tr>
      <w:tr w:rsidR="0019209C" w:rsidRPr="00C92AAE" w:rsidTr="0019209C">
        <w:tc>
          <w:tcPr>
            <w:tcW w:w="1418" w:type="dxa"/>
          </w:tcPr>
          <w:p w:rsidR="00C92AAE" w:rsidRPr="00C92AAE" w:rsidRDefault="00C92AAE" w:rsidP="00C92AAE">
            <w:pPr>
              <w:pStyle w:val="BodyText"/>
              <w:spacing w:before="120"/>
              <w:ind w:right="6"/>
            </w:pPr>
            <w:r w:rsidRPr="00C92AAE">
              <w:t>IPCRC</w:t>
            </w:r>
          </w:p>
        </w:tc>
        <w:tc>
          <w:tcPr>
            <w:tcW w:w="7371" w:type="dxa"/>
          </w:tcPr>
          <w:p w:rsidR="00C92AAE" w:rsidRPr="00C92AAE" w:rsidRDefault="00C92AAE" w:rsidP="00C92AAE">
            <w:pPr>
              <w:pStyle w:val="BodyText"/>
              <w:spacing w:before="120"/>
              <w:ind w:left="227" w:right="6"/>
            </w:pPr>
            <w:r w:rsidRPr="00C92AAE">
              <w:t>Intellectual Property and Competition Review Committee</w:t>
            </w:r>
          </w:p>
        </w:tc>
      </w:tr>
      <w:tr w:rsidR="0019209C" w:rsidRPr="00C92AAE" w:rsidTr="0019209C">
        <w:tc>
          <w:tcPr>
            <w:tcW w:w="1418" w:type="dxa"/>
          </w:tcPr>
          <w:p w:rsidR="00C92AAE" w:rsidRPr="00C92AAE" w:rsidRDefault="00C92AAE" w:rsidP="00C92AAE">
            <w:pPr>
              <w:pStyle w:val="BodyText"/>
              <w:spacing w:before="120"/>
              <w:ind w:right="6"/>
            </w:pPr>
            <w:r w:rsidRPr="00C92AAE">
              <w:t>IPEC</w:t>
            </w:r>
          </w:p>
        </w:tc>
        <w:tc>
          <w:tcPr>
            <w:tcW w:w="7371" w:type="dxa"/>
          </w:tcPr>
          <w:p w:rsidR="00C92AAE" w:rsidRPr="00C92AAE" w:rsidRDefault="00C92AAE" w:rsidP="00C92AAE">
            <w:pPr>
              <w:pStyle w:val="BodyText"/>
              <w:spacing w:before="120"/>
              <w:ind w:left="227" w:right="6"/>
            </w:pPr>
            <w:r w:rsidRPr="00C92AAE">
              <w:t xml:space="preserve">United Kingdom Intellectual Property Enterprise Court </w:t>
            </w:r>
          </w:p>
        </w:tc>
      </w:tr>
      <w:tr w:rsidR="0019209C" w:rsidRPr="00C92AAE" w:rsidTr="0019209C">
        <w:tc>
          <w:tcPr>
            <w:tcW w:w="1418" w:type="dxa"/>
          </w:tcPr>
          <w:p w:rsidR="00C92AAE" w:rsidRPr="00C92AAE" w:rsidRDefault="00C92AAE" w:rsidP="00C92AAE">
            <w:pPr>
              <w:pStyle w:val="BodyText"/>
              <w:spacing w:before="120"/>
              <w:ind w:right="6"/>
            </w:pPr>
            <w:r w:rsidRPr="00C92AAE">
              <w:lastRenderedPageBreak/>
              <w:t>IPGOD</w:t>
            </w:r>
          </w:p>
        </w:tc>
        <w:tc>
          <w:tcPr>
            <w:tcW w:w="7371" w:type="dxa"/>
          </w:tcPr>
          <w:p w:rsidR="00C92AAE" w:rsidRPr="00C92AAE" w:rsidRDefault="00C92AAE" w:rsidP="00C92AAE">
            <w:pPr>
              <w:pStyle w:val="BodyText"/>
              <w:spacing w:before="120"/>
              <w:ind w:left="227" w:right="6"/>
            </w:pPr>
            <w:r w:rsidRPr="00C92AAE">
              <w:t>Intellectual Property Government Open Data</w:t>
            </w:r>
          </w:p>
        </w:tc>
      </w:tr>
      <w:tr w:rsidR="0019209C" w:rsidRPr="00C92AAE" w:rsidTr="0019209C">
        <w:tc>
          <w:tcPr>
            <w:tcW w:w="1418" w:type="dxa"/>
          </w:tcPr>
          <w:p w:rsidR="00C92AAE" w:rsidRPr="00C92AAE" w:rsidRDefault="00C92AAE" w:rsidP="00C92AAE">
            <w:pPr>
              <w:pStyle w:val="BodyText"/>
              <w:spacing w:before="120"/>
              <w:ind w:right="6"/>
            </w:pPr>
            <w:r w:rsidRPr="00C92AAE">
              <w:t>IPR</w:t>
            </w:r>
          </w:p>
        </w:tc>
        <w:tc>
          <w:tcPr>
            <w:tcW w:w="7371" w:type="dxa"/>
          </w:tcPr>
          <w:p w:rsidR="00C92AAE" w:rsidRPr="00C92AAE" w:rsidRDefault="00C92AAE" w:rsidP="00C92AAE">
            <w:pPr>
              <w:pStyle w:val="BodyText"/>
              <w:spacing w:before="120"/>
              <w:ind w:left="227" w:right="6"/>
            </w:pPr>
            <w:r w:rsidRPr="00C92AAE">
              <w:t>Intellectual Property Rights</w:t>
            </w:r>
          </w:p>
        </w:tc>
      </w:tr>
      <w:tr w:rsidR="0019209C" w:rsidRPr="00C92AAE" w:rsidTr="0019209C">
        <w:tc>
          <w:tcPr>
            <w:tcW w:w="1418" w:type="dxa"/>
          </w:tcPr>
          <w:p w:rsidR="00C92AAE" w:rsidRPr="00C92AAE" w:rsidRDefault="00C92AAE" w:rsidP="00C92AAE">
            <w:pPr>
              <w:pStyle w:val="BodyText"/>
              <w:spacing w:before="120"/>
              <w:ind w:right="6"/>
            </w:pPr>
            <w:r w:rsidRPr="00C92AAE">
              <w:t>IPS</w:t>
            </w:r>
          </w:p>
        </w:tc>
        <w:tc>
          <w:tcPr>
            <w:tcW w:w="7371" w:type="dxa"/>
          </w:tcPr>
          <w:p w:rsidR="00C92AAE" w:rsidRPr="00C92AAE" w:rsidRDefault="00C92AAE" w:rsidP="00C92AAE">
            <w:pPr>
              <w:pStyle w:val="BodyText"/>
              <w:spacing w:before="120"/>
              <w:ind w:left="227" w:right="6"/>
            </w:pPr>
            <w:r w:rsidRPr="00C92AAE">
              <w:t>Innovation Patent System</w:t>
            </w:r>
          </w:p>
        </w:tc>
      </w:tr>
      <w:tr w:rsidR="0019209C" w:rsidRPr="00C92AAE" w:rsidTr="0019209C">
        <w:tc>
          <w:tcPr>
            <w:tcW w:w="1418" w:type="dxa"/>
          </w:tcPr>
          <w:p w:rsidR="00C92AAE" w:rsidRPr="00C92AAE" w:rsidRDefault="00C92AAE" w:rsidP="00C92AAE">
            <w:pPr>
              <w:pStyle w:val="BodyText"/>
              <w:spacing w:before="120"/>
              <w:ind w:right="6"/>
            </w:pPr>
            <w:r w:rsidRPr="00C92AAE">
              <w:t>IPTA</w:t>
            </w:r>
          </w:p>
        </w:tc>
        <w:tc>
          <w:tcPr>
            <w:tcW w:w="7371" w:type="dxa"/>
          </w:tcPr>
          <w:p w:rsidR="00C92AAE" w:rsidRPr="00C92AAE" w:rsidRDefault="00C92AAE" w:rsidP="00C92AAE">
            <w:pPr>
              <w:pStyle w:val="BodyText"/>
              <w:spacing w:before="120"/>
              <w:ind w:left="227" w:right="6"/>
            </w:pPr>
            <w:r w:rsidRPr="00C92AAE">
              <w:t>Institute of Patent and Trade Mark Attorneys of Australia</w:t>
            </w:r>
          </w:p>
        </w:tc>
      </w:tr>
      <w:tr w:rsidR="0019209C" w:rsidRPr="00C92AAE" w:rsidTr="0019209C">
        <w:tc>
          <w:tcPr>
            <w:tcW w:w="1418" w:type="dxa"/>
          </w:tcPr>
          <w:p w:rsidR="00C92AAE" w:rsidRPr="00C92AAE" w:rsidRDefault="00C92AAE" w:rsidP="00C92AAE">
            <w:pPr>
              <w:pStyle w:val="BodyText"/>
              <w:spacing w:before="120"/>
              <w:ind w:right="6"/>
            </w:pPr>
            <w:r w:rsidRPr="00C92AAE">
              <w:t>OECD</w:t>
            </w:r>
          </w:p>
        </w:tc>
        <w:tc>
          <w:tcPr>
            <w:tcW w:w="7371" w:type="dxa"/>
          </w:tcPr>
          <w:p w:rsidR="00C92AAE" w:rsidRPr="00C92AAE" w:rsidRDefault="00C92AAE" w:rsidP="00C92AAE">
            <w:pPr>
              <w:pStyle w:val="BodyText"/>
              <w:spacing w:before="120"/>
              <w:ind w:left="227" w:right="6"/>
            </w:pPr>
            <w:r w:rsidRPr="00C92AAE">
              <w:t>Organisation for Economic Cooperation and Development</w:t>
            </w:r>
          </w:p>
        </w:tc>
      </w:tr>
      <w:tr w:rsidR="0019209C" w:rsidRPr="00C92AAE" w:rsidTr="0019209C">
        <w:tc>
          <w:tcPr>
            <w:tcW w:w="1418" w:type="dxa"/>
          </w:tcPr>
          <w:p w:rsidR="00C92AAE" w:rsidRPr="00C92AAE" w:rsidRDefault="00C92AAE" w:rsidP="00C92AAE">
            <w:pPr>
              <w:pStyle w:val="BodyText"/>
              <w:spacing w:before="120"/>
              <w:ind w:right="6"/>
            </w:pPr>
            <w:r w:rsidRPr="00C92AAE">
              <w:t>PBR</w:t>
            </w:r>
          </w:p>
        </w:tc>
        <w:tc>
          <w:tcPr>
            <w:tcW w:w="7371" w:type="dxa"/>
          </w:tcPr>
          <w:p w:rsidR="00C92AAE" w:rsidRPr="00C92AAE" w:rsidRDefault="00C92AAE" w:rsidP="00C92AAE">
            <w:pPr>
              <w:pStyle w:val="BodyText"/>
              <w:spacing w:before="120"/>
              <w:ind w:left="227" w:right="6"/>
            </w:pPr>
            <w:r w:rsidRPr="00C92AAE">
              <w:t>Plant Breeder’s Rights</w:t>
            </w:r>
          </w:p>
        </w:tc>
      </w:tr>
      <w:tr w:rsidR="0019209C" w:rsidRPr="00C92AAE" w:rsidTr="0019209C">
        <w:tc>
          <w:tcPr>
            <w:tcW w:w="1418" w:type="dxa"/>
          </w:tcPr>
          <w:p w:rsidR="00C92AAE" w:rsidRPr="00C92AAE" w:rsidRDefault="00C92AAE" w:rsidP="00C92AAE">
            <w:pPr>
              <w:pStyle w:val="BodyText"/>
              <w:spacing w:before="120"/>
              <w:ind w:right="6"/>
            </w:pPr>
            <w:r w:rsidRPr="00C92AAE">
              <w:t>PC</w:t>
            </w:r>
          </w:p>
        </w:tc>
        <w:tc>
          <w:tcPr>
            <w:tcW w:w="7371" w:type="dxa"/>
          </w:tcPr>
          <w:p w:rsidR="00C92AAE" w:rsidRPr="00C92AAE" w:rsidRDefault="00C92AAE" w:rsidP="00C92AAE">
            <w:pPr>
              <w:pStyle w:val="BodyText"/>
              <w:spacing w:before="120"/>
              <w:ind w:left="227" w:right="6"/>
            </w:pPr>
            <w:r w:rsidRPr="00C92AAE">
              <w:t>Productivity Commission</w:t>
            </w:r>
          </w:p>
        </w:tc>
      </w:tr>
      <w:tr w:rsidR="0019209C" w:rsidRPr="00C92AAE" w:rsidTr="0019209C">
        <w:tc>
          <w:tcPr>
            <w:tcW w:w="1418" w:type="dxa"/>
          </w:tcPr>
          <w:p w:rsidR="00C92AAE" w:rsidRPr="00C92AAE" w:rsidRDefault="00C92AAE" w:rsidP="00C92AAE">
            <w:pPr>
              <w:pStyle w:val="BodyText"/>
              <w:spacing w:before="120"/>
              <w:ind w:right="6"/>
            </w:pPr>
            <w:r w:rsidRPr="00C92AAE">
              <w:t>PCT</w:t>
            </w:r>
          </w:p>
        </w:tc>
        <w:tc>
          <w:tcPr>
            <w:tcW w:w="7371" w:type="dxa"/>
          </w:tcPr>
          <w:p w:rsidR="00C92AAE" w:rsidRPr="00C92AAE" w:rsidRDefault="00C92AAE" w:rsidP="00C92AAE">
            <w:pPr>
              <w:pStyle w:val="BodyText"/>
              <w:spacing w:before="120"/>
              <w:ind w:left="227" w:right="6"/>
            </w:pPr>
            <w:r w:rsidRPr="00C92AAE">
              <w:t>Patent Cooperation Treaty</w:t>
            </w:r>
          </w:p>
        </w:tc>
      </w:tr>
      <w:tr w:rsidR="0019209C" w:rsidRPr="00C92AAE" w:rsidTr="0019209C">
        <w:tc>
          <w:tcPr>
            <w:tcW w:w="1418" w:type="dxa"/>
          </w:tcPr>
          <w:p w:rsidR="00C92AAE" w:rsidRPr="00C92AAE" w:rsidRDefault="00C92AAE" w:rsidP="00C92AAE">
            <w:pPr>
              <w:pStyle w:val="BodyText"/>
              <w:spacing w:before="120"/>
              <w:ind w:right="6"/>
            </w:pPr>
            <w:r w:rsidRPr="00C92AAE">
              <w:t>SITC</w:t>
            </w:r>
          </w:p>
        </w:tc>
        <w:tc>
          <w:tcPr>
            <w:tcW w:w="7371" w:type="dxa"/>
          </w:tcPr>
          <w:p w:rsidR="00C92AAE" w:rsidRPr="00C92AAE" w:rsidRDefault="00C92AAE" w:rsidP="00C92AAE">
            <w:pPr>
              <w:pStyle w:val="BodyText"/>
              <w:spacing w:before="120"/>
              <w:ind w:left="227" w:right="6"/>
            </w:pPr>
            <w:r w:rsidRPr="00C92AAE">
              <w:t>Standard International Trade Classification</w:t>
            </w:r>
          </w:p>
        </w:tc>
      </w:tr>
      <w:tr w:rsidR="0019209C" w:rsidRPr="00C92AAE" w:rsidTr="0019209C">
        <w:tc>
          <w:tcPr>
            <w:tcW w:w="1418" w:type="dxa"/>
          </w:tcPr>
          <w:p w:rsidR="00C92AAE" w:rsidRPr="00C92AAE" w:rsidRDefault="00C92AAE" w:rsidP="00C92AAE">
            <w:pPr>
              <w:pStyle w:val="BodyText"/>
              <w:spacing w:before="120"/>
              <w:ind w:right="6"/>
            </w:pPr>
            <w:r w:rsidRPr="00C92AAE">
              <w:t>SME</w:t>
            </w:r>
            <w:r w:rsidR="00841FC6">
              <w:t>s</w:t>
            </w:r>
          </w:p>
        </w:tc>
        <w:tc>
          <w:tcPr>
            <w:tcW w:w="7371" w:type="dxa"/>
          </w:tcPr>
          <w:p w:rsidR="00C92AAE" w:rsidRPr="00C92AAE" w:rsidRDefault="00C92AAE" w:rsidP="00C92AAE">
            <w:pPr>
              <w:pStyle w:val="BodyText"/>
              <w:spacing w:before="120"/>
              <w:ind w:left="227" w:right="6"/>
            </w:pPr>
            <w:r w:rsidRPr="00C92AAE">
              <w:t>Small– and medium–sized enterprises</w:t>
            </w:r>
          </w:p>
        </w:tc>
      </w:tr>
      <w:tr w:rsidR="0019209C" w:rsidRPr="00C92AAE" w:rsidTr="0019209C">
        <w:tc>
          <w:tcPr>
            <w:tcW w:w="1418" w:type="dxa"/>
          </w:tcPr>
          <w:p w:rsidR="00C92AAE" w:rsidRPr="00C92AAE" w:rsidRDefault="00C92AAE" w:rsidP="00C92AAE">
            <w:pPr>
              <w:pStyle w:val="BodyText"/>
              <w:spacing w:before="120"/>
              <w:ind w:right="6"/>
            </w:pPr>
            <w:r w:rsidRPr="00C92AAE">
              <w:t>TPP</w:t>
            </w:r>
          </w:p>
        </w:tc>
        <w:tc>
          <w:tcPr>
            <w:tcW w:w="7371" w:type="dxa"/>
          </w:tcPr>
          <w:p w:rsidR="00C92AAE" w:rsidRPr="00C92AAE" w:rsidRDefault="00C92AAE" w:rsidP="00C92AAE">
            <w:pPr>
              <w:pStyle w:val="BodyText"/>
              <w:spacing w:before="120"/>
              <w:ind w:left="227" w:right="6"/>
            </w:pPr>
            <w:r w:rsidRPr="00C92AAE">
              <w:t>Trans</w:t>
            </w:r>
            <w:r w:rsidRPr="00C92AAE">
              <w:noBreakHyphen/>
              <w:t>Pacific Partnership</w:t>
            </w:r>
          </w:p>
        </w:tc>
      </w:tr>
      <w:tr w:rsidR="0019209C" w:rsidRPr="00C92AAE" w:rsidTr="0019209C">
        <w:tc>
          <w:tcPr>
            <w:tcW w:w="1418" w:type="dxa"/>
          </w:tcPr>
          <w:p w:rsidR="00C92AAE" w:rsidRPr="00C92AAE" w:rsidRDefault="00C92AAE" w:rsidP="00C92AAE">
            <w:pPr>
              <w:pStyle w:val="BodyText"/>
              <w:spacing w:before="120"/>
              <w:ind w:right="6"/>
            </w:pPr>
            <w:r w:rsidRPr="00C92AAE">
              <w:t>TRIPS</w:t>
            </w:r>
          </w:p>
        </w:tc>
        <w:tc>
          <w:tcPr>
            <w:tcW w:w="7371" w:type="dxa"/>
          </w:tcPr>
          <w:p w:rsidR="00C92AAE" w:rsidRPr="00C92AAE" w:rsidRDefault="00C92AAE" w:rsidP="00C92AAE">
            <w:pPr>
              <w:pStyle w:val="BodyText"/>
              <w:spacing w:before="120"/>
              <w:ind w:left="227" w:right="6"/>
            </w:pPr>
            <w:r w:rsidRPr="00C92AAE">
              <w:t>Agreement on Trade Related Aspects of Intellectual Property Rights</w:t>
            </w:r>
          </w:p>
        </w:tc>
      </w:tr>
      <w:tr w:rsidR="0019209C" w:rsidRPr="00C92AAE" w:rsidTr="0019209C">
        <w:tc>
          <w:tcPr>
            <w:tcW w:w="1418" w:type="dxa"/>
          </w:tcPr>
          <w:p w:rsidR="00C92AAE" w:rsidRPr="00C92AAE" w:rsidRDefault="00C92AAE" w:rsidP="00C92AAE">
            <w:pPr>
              <w:pStyle w:val="BodyText"/>
              <w:spacing w:before="120"/>
              <w:ind w:right="6"/>
            </w:pPr>
            <w:r w:rsidRPr="00C92AAE">
              <w:t>UPOV</w:t>
            </w:r>
          </w:p>
        </w:tc>
        <w:tc>
          <w:tcPr>
            <w:tcW w:w="7371" w:type="dxa"/>
          </w:tcPr>
          <w:p w:rsidR="00C92AAE" w:rsidRPr="00C92AAE" w:rsidRDefault="00C92AAE" w:rsidP="00C92AAE">
            <w:pPr>
              <w:pStyle w:val="BodyText"/>
              <w:spacing w:before="120"/>
              <w:ind w:left="227" w:right="6"/>
            </w:pPr>
            <w:r w:rsidRPr="00C92AAE">
              <w:t>International Convention for the Protection of New Varieties of Plants 1961</w:t>
            </w:r>
          </w:p>
        </w:tc>
      </w:tr>
      <w:tr w:rsidR="0019209C" w:rsidRPr="00C92AAE" w:rsidTr="0019209C">
        <w:tc>
          <w:tcPr>
            <w:tcW w:w="1418" w:type="dxa"/>
          </w:tcPr>
          <w:p w:rsidR="00C92AAE" w:rsidRPr="00C92AAE" w:rsidRDefault="00C92AAE" w:rsidP="00C92AAE">
            <w:pPr>
              <w:pStyle w:val="BodyText"/>
              <w:spacing w:before="120"/>
              <w:ind w:right="6"/>
            </w:pPr>
            <w:r w:rsidRPr="00C92AAE">
              <w:t>USPTO</w:t>
            </w:r>
          </w:p>
        </w:tc>
        <w:tc>
          <w:tcPr>
            <w:tcW w:w="7371" w:type="dxa"/>
          </w:tcPr>
          <w:p w:rsidR="00C92AAE" w:rsidRPr="00C92AAE" w:rsidRDefault="00C92AAE" w:rsidP="00C92AAE">
            <w:pPr>
              <w:pStyle w:val="BodyText"/>
              <w:spacing w:before="120"/>
              <w:ind w:left="227" w:right="6"/>
            </w:pPr>
            <w:r w:rsidRPr="00C92AAE">
              <w:t>United States Patent and Trademark Office</w:t>
            </w:r>
          </w:p>
        </w:tc>
      </w:tr>
      <w:tr w:rsidR="0019209C" w:rsidRPr="00C92AAE" w:rsidTr="0019209C">
        <w:tc>
          <w:tcPr>
            <w:tcW w:w="1418" w:type="dxa"/>
          </w:tcPr>
          <w:p w:rsidR="00C92AAE" w:rsidRPr="00C92AAE" w:rsidRDefault="00C92AAE" w:rsidP="00C92AAE">
            <w:pPr>
              <w:pStyle w:val="BodyText"/>
              <w:spacing w:before="120"/>
              <w:ind w:right="6"/>
            </w:pPr>
            <w:r w:rsidRPr="00C92AAE">
              <w:t>WIPO</w:t>
            </w:r>
          </w:p>
        </w:tc>
        <w:tc>
          <w:tcPr>
            <w:tcW w:w="7371" w:type="dxa"/>
          </w:tcPr>
          <w:p w:rsidR="00C92AAE" w:rsidRPr="00C92AAE" w:rsidRDefault="00C92AAE" w:rsidP="00C92AAE">
            <w:pPr>
              <w:pStyle w:val="BodyText"/>
              <w:spacing w:before="120"/>
              <w:ind w:left="227" w:right="6"/>
            </w:pPr>
            <w:r w:rsidRPr="00C92AAE">
              <w:t>World Intellectual Property Organization</w:t>
            </w:r>
          </w:p>
        </w:tc>
      </w:tr>
      <w:tr w:rsidR="0019209C" w:rsidRPr="00C92AAE" w:rsidTr="0019209C">
        <w:tc>
          <w:tcPr>
            <w:tcW w:w="1418" w:type="dxa"/>
          </w:tcPr>
          <w:p w:rsidR="00C92AAE" w:rsidRPr="00C92AAE" w:rsidRDefault="00C92AAE" w:rsidP="00C92AAE">
            <w:pPr>
              <w:pStyle w:val="BodyText"/>
              <w:spacing w:before="120"/>
              <w:ind w:right="6"/>
            </w:pPr>
            <w:r w:rsidRPr="00C92AAE">
              <w:t>WTO</w:t>
            </w:r>
          </w:p>
        </w:tc>
        <w:tc>
          <w:tcPr>
            <w:tcW w:w="7371" w:type="dxa"/>
          </w:tcPr>
          <w:p w:rsidR="00C92AAE" w:rsidRPr="00C92AAE" w:rsidRDefault="00C92AAE" w:rsidP="00C92AAE">
            <w:pPr>
              <w:pStyle w:val="BodyText"/>
              <w:spacing w:before="120"/>
              <w:ind w:left="227" w:right="6"/>
            </w:pPr>
            <w:r w:rsidRPr="00C92AAE">
              <w:t>World Trade Organization</w:t>
            </w:r>
          </w:p>
        </w:tc>
      </w:tr>
    </w:tbl>
    <w:p w:rsidR="00A361CF" w:rsidRPr="00290C20" w:rsidRDefault="00A361CF" w:rsidP="00290C20">
      <w:pPr>
        <w:pStyle w:val="BodyText"/>
        <w:rPr>
          <w:rStyle w:val="CommentReference"/>
          <w:b w:val="0"/>
          <w:vanish w:val="0"/>
          <w:color w:val="auto"/>
          <w:sz w:val="24"/>
        </w:rPr>
      </w:pPr>
      <w:bookmarkStart w:id="20" w:name="Glossary"/>
      <w:bookmarkEnd w:id="20"/>
    </w:p>
    <w:sectPr w:rsidR="00A361CF" w:rsidRPr="00290C20" w:rsidSect="00585B3F">
      <w:headerReference w:type="even" r:id="rId36"/>
      <w:headerReference w:type="default" r:id="rId37"/>
      <w:footerReference w:type="even" r:id="rId38"/>
      <w:footerReference w:type="default" r:id="rId39"/>
      <w:pgSz w:w="11907" w:h="16840" w:code="9"/>
      <w:pgMar w:top="1332" w:right="1304" w:bottom="1247" w:left="1814" w:header="1701" w:footer="397" w:gutter="0"/>
      <w:pgNumType w:fmt="lowerRoman"/>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61CF" w:rsidRDefault="00A361CF">
      <w:r>
        <w:separator/>
      </w:r>
    </w:p>
    <w:p w:rsidR="00A361CF" w:rsidRDefault="00A361CF"/>
    <w:p w:rsidR="00A361CF" w:rsidRDefault="00A361CF"/>
  </w:endnote>
  <w:endnote w:type="continuationSeparator" w:id="0">
    <w:p w:rsidR="00A361CF" w:rsidRDefault="00A361CF">
      <w:r>
        <w:continuationSeparator/>
      </w:r>
    </w:p>
    <w:p w:rsidR="00A361CF" w:rsidRDefault="00A361CF"/>
    <w:p w:rsidR="00A361CF" w:rsidRDefault="00A361C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T Extra">
    <w:panose1 w:val="05050102010205020202"/>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F9D" w:rsidRDefault="00F35F9D">
    <w:pPr>
      <w:pStyle w:val="Footer"/>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397C95" w:rsidTr="00A361CF">
      <w:trPr>
        <w:trHeight w:hRule="exact" w:val="567"/>
      </w:trPr>
      <w:tc>
        <w:tcPr>
          <w:tcW w:w="510" w:type="dxa"/>
        </w:tcPr>
        <w:p w:rsidR="00397C95" w:rsidRDefault="00397C95">
          <w:pPr>
            <w:pStyle w:val="Footer"/>
            <w:ind w:right="360" w:firstLine="360"/>
          </w:pPr>
        </w:p>
      </w:tc>
      <w:tc>
        <w:tcPr>
          <w:tcW w:w="7767" w:type="dxa"/>
        </w:tcPr>
        <w:p w:rsidR="00397C95" w:rsidRDefault="00397C95" w:rsidP="00A361CF">
          <w:pPr>
            <w:pStyle w:val="Footer"/>
            <w:jc w:val="right"/>
            <w:rPr>
              <w:noProof/>
            </w:rPr>
          </w:pPr>
          <w:r>
            <w:rPr>
              <w:noProof/>
            </w:rPr>
            <w:t>acknowledgments</w:t>
          </w:r>
        </w:p>
        <w:p w:rsidR="00397C95" w:rsidRPr="00A90DAF" w:rsidRDefault="00397C95" w:rsidP="00630818">
          <w:pPr>
            <w:pStyle w:val="Footer"/>
            <w:spacing w:before="40"/>
            <w:jc w:val="right"/>
            <w:rPr>
              <w:rFonts w:cs="Arial"/>
            </w:rPr>
          </w:pPr>
          <w:r w:rsidRPr="00290C20">
            <w:rPr>
              <w:color w:val="808080"/>
              <w:lang w:eastAsia="en-AU"/>
            </w:rPr>
            <w:t>Draft Report</w:t>
          </w:r>
        </w:p>
      </w:tc>
      <w:tc>
        <w:tcPr>
          <w:tcW w:w="510" w:type="dxa"/>
        </w:tcPr>
        <w:p w:rsidR="00397C95" w:rsidRPr="00A24443" w:rsidRDefault="00397C95">
          <w:pPr>
            <w:pStyle w:val="Footer"/>
            <w:jc w:val="right"/>
            <w:rPr>
              <w:caps w:val="0"/>
            </w:rPr>
          </w:pPr>
          <w:r w:rsidRPr="00A24443">
            <w:rPr>
              <w:rStyle w:val="PageNumber"/>
              <w:caps w:val="0"/>
            </w:rPr>
            <w:fldChar w:fldCharType="begin"/>
          </w:r>
          <w:r w:rsidRPr="00A24443">
            <w:rPr>
              <w:rStyle w:val="PageNumber"/>
              <w:caps w:val="0"/>
            </w:rPr>
            <w:instrText xml:space="preserve">PAGE  </w:instrText>
          </w:r>
          <w:r w:rsidRPr="00A24443">
            <w:rPr>
              <w:rStyle w:val="PageNumber"/>
              <w:caps w:val="0"/>
            </w:rPr>
            <w:fldChar w:fldCharType="separate"/>
          </w:r>
          <w:r w:rsidR="00F35F9D">
            <w:rPr>
              <w:rStyle w:val="PageNumber"/>
              <w:caps w:val="0"/>
              <w:noProof/>
            </w:rPr>
            <w:t>xi</w:t>
          </w:r>
          <w:r w:rsidRPr="00A24443">
            <w:rPr>
              <w:rStyle w:val="PageNumber"/>
              <w:caps w:val="0"/>
            </w:rPr>
            <w:fldChar w:fldCharType="end"/>
          </w:r>
        </w:p>
      </w:tc>
    </w:tr>
  </w:tbl>
  <w:p w:rsidR="00397C95" w:rsidRDefault="00397C95">
    <w:pPr>
      <w:pStyle w:val="FooterEnd"/>
    </w:pPr>
  </w:p>
  <w:p w:rsidR="00397C95" w:rsidRDefault="00397C95">
    <w:pPr>
      <w:pStyle w:val="FooterEnd"/>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A361CF" w:rsidTr="00A361CF">
      <w:trPr>
        <w:trHeight w:hRule="exact" w:val="567"/>
      </w:trPr>
      <w:tc>
        <w:tcPr>
          <w:tcW w:w="510" w:type="dxa"/>
        </w:tcPr>
        <w:p w:rsidR="00A361CF" w:rsidRPr="007448F7" w:rsidRDefault="00A361CF" w:rsidP="00A361CF">
          <w:pPr>
            <w:pStyle w:val="Footer"/>
            <w:tabs>
              <w:tab w:val="left" w:pos="0"/>
            </w:tabs>
            <w:ind w:right="0"/>
            <w:rPr>
              <w:rStyle w:val="PageNumber"/>
              <w:caps w:val="0"/>
            </w:rPr>
          </w:pPr>
          <w:r w:rsidRPr="007448F7">
            <w:rPr>
              <w:rStyle w:val="PageNumber"/>
              <w:caps w:val="0"/>
            </w:rPr>
            <w:fldChar w:fldCharType="begin"/>
          </w:r>
          <w:r w:rsidRPr="007448F7">
            <w:rPr>
              <w:rStyle w:val="PageNumber"/>
              <w:caps w:val="0"/>
            </w:rPr>
            <w:instrText xml:space="preserve">PAGE  </w:instrText>
          </w:r>
          <w:r w:rsidRPr="007448F7">
            <w:rPr>
              <w:rStyle w:val="PageNumber"/>
              <w:caps w:val="0"/>
            </w:rPr>
            <w:fldChar w:fldCharType="separate"/>
          </w:r>
          <w:r w:rsidR="00F35F9D">
            <w:rPr>
              <w:rStyle w:val="PageNumber"/>
              <w:caps w:val="0"/>
              <w:noProof/>
            </w:rPr>
            <w:t>xii</w:t>
          </w:r>
          <w:r w:rsidRPr="007448F7">
            <w:rPr>
              <w:rStyle w:val="PageNumber"/>
              <w:caps w:val="0"/>
            </w:rPr>
            <w:fldChar w:fldCharType="end"/>
          </w:r>
        </w:p>
      </w:tc>
      <w:tc>
        <w:tcPr>
          <w:tcW w:w="7767" w:type="dxa"/>
        </w:tcPr>
        <w:p w:rsidR="00A361CF" w:rsidRDefault="00290C20" w:rsidP="00271B0C">
          <w:pPr>
            <w:pStyle w:val="Footer"/>
            <w:rPr>
              <w:rFonts w:cs="Arial"/>
            </w:rPr>
          </w:pPr>
          <w:r>
            <w:rPr>
              <w:rFonts w:cs="Arial"/>
            </w:rPr>
            <w:t>Intellectual Property Arrangements</w:t>
          </w:r>
        </w:p>
        <w:p w:rsidR="00630818" w:rsidRPr="0013739A" w:rsidRDefault="00630818" w:rsidP="00630818">
          <w:pPr>
            <w:pStyle w:val="Footer"/>
            <w:spacing w:before="40"/>
            <w:rPr>
              <w:rFonts w:cs="Arial"/>
            </w:rPr>
          </w:pPr>
          <w:r>
            <w:rPr>
              <w:color w:val="808080"/>
            </w:rPr>
            <w:t>DRAFT REPORT</w:t>
          </w:r>
        </w:p>
      </w:tc>
      <w:tc>
        <w:tcPr>
          <w:tcW w:w="510" w:type="dxa"/>
        </w:tcPr>
        <w:p w:rsidR="00A361CF" w:rsidRDefault="00A361CF" w:rsidP="00A361CF">
          <w:pPr>
            <w:pStyle w:val="Footer"/>
          </w:pPr>
        </w:p>
      </w:tc>
    </w:tr>
  </w:tbl>
  <w:p w:rsidR="00A361CF" w:rsidRDefault="00A361CF" w:rsidP="00A361CF">
    <w:pPr>
      <w:pStyle w:val="FooterEnd"/>
    </w:pPr>
  </w:p>
  <w:p w:rsidR="00A361CF" w:rsidRDefault="00A361CF">
    <w:pPr>
      <w:pStyle w:val="FooterEnd"/>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A361CF" w:rsidTr="00A361CF">
      <w:trPr>
        <w:trHeight w:hRule="exact" w:val="567"/>
      </w:trPr>
      <w:tc>
        <w:tcPr>
          <w:tcW w:w="510" w:type="dxa"/>
        </w:tcPr>
        <w:p w:rsidR="00A361CF" w:rsidRDefault="00A361CF">
          <w:pPr>
            <w:pStyle w:val="Footer"/>
            <w:ind w:right="360" w:firstLine="360"/>
          </w:pPr>
        </w:p>
      </w:tc>
      <w:tc>
        <w:tcPr>
          <w:tcW w:w="7767" w:type="dxa"/>
        </w:tcPr>
        <w:p w:rsidR="00A361CF" w:rsidRDefault="00630818" w:rsidP="00340511">
          <w:pPr>
            <w:pStyle w:val="Footer"/>
            <w:jc w:val="right"/>
            <w:rPr>
              <w:noProof/>
            </w:rPr>
          </w:pPr>
          <w:r w:rsidRPr="00630818">
            <w:rPr>
              <w:bCs/>
              <w:noProof/>
              <w:lang w:val="en-US"/>
            </w:rPr>
            <w:t>Abbreviations</w:t>
          </w:r>
        </w:p>
        <w:p w:rsidR="00630818" w:rsidRPr="00340511" w:rsidRDefault="00630818" w:rsidP="00630818">
          <w:pPr>
            <w:pStyle w:val="Footer"/>
            <w:spacing w:before="40"/>
            <w:jc w:val="right"/>
            <w:rPr>
              <w:rFonts w:cs="Arial"/>
            </w:rPr>
          </w:pPr>
          <w:r w:rsidRPr="00290C20">
            <w:rPr>
              <w:color w:val="808080"/>
              <w:lang w:eastAsia="en-AU"/>
            </w:rPr>
            <w:t>Draft Report</w:t>
          </w:r>
        </w:p>
      </w:tc>
      <w:tc>
        <w:tcPr>
          <w:tcW w:w="510" w:type="dxa"/>
        </w:tcPr>
        <w:p w:rsidR="00A361CF" w:rsidRPr="00A24443" w:rsidRDefault="00A361CF">
          <w:pPr>
            <w:pStyle w:val="Footer"/>
            <w:jc w:val="right"/>
            <w:rPr>
              <w:caps w:val="0"/>
            </w:rPr>
          </w:pPr>
          <w:r w:rsidRPr="00A24443">
            <w:rPr>
              <w:rStyle w:val="PageNumber"/>
              <w:caps w:val="0"/>
            </w:rPr>
            <w:fldChar w:fldCharType="begin"/>
          </w:r>
          <w:r w:rsidRPr="00A24443">
            <w:rPr>
              <w:rStyle w:val="PageNumber"/>
              <w:caps w:val="0"/>
            </w:rPr>
            <w:instrText xml:space="preserve">PAGE  </w:instrText>
          </w:r>
          <w:r w:rsidRPr="00A24443">
            <w:rPr>
              <w:rStyle w:val="PageNumber"/>
              <w:caps w:val="0"/>
            </w:rPr>
            <w:fldChar w:fldCharType="separate"/>
          </w:r>
          <w:r w:rsidR="00F35F9D">
            <w:rPr>
              <w:rStyle w:val="PageNumber"/>
              <w:caps w:val="0"/>
              <w:noProof/>
            </w:rPr>
            <w:t>xiii</w:t>
          </w:r>
          <w:r w:rsidRPr="00A24443">
            <w:rPr>
              <w:rStyle w:val="PageNumber"/>
              <w:caps w:val="0"/>
            </w:rPr>
            <w:fldChar w:fldCharType="end"/>
          </w:r>
        </w:p>
      </w:tc>
    </w:tr>
  </w:tbl>
  <w:p w:rsidR="00A361CF" w:rsidRDefault="00A361CF">
    <w:pPr>
      <w:pStyle w:val="FooterEnd"/>
    </w:pPr>
  </w:p>
  <w:p w:rsidR="00A361CF" w:rsidRDefault="00A361CF" w:rsidP="00B95339">
    <w:pPr>
      <w:pStyle w:val="FooterEnd"/>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F9D" w:rsidRDefault="00F35F9D">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F9D" w:rsidRDefault="00F35F9D">
    <w:pPr>
      <w:pStyle w:val="Foote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A361CF" w:rsidTr="00A361CF">
      <w:trPr>
        <w:trHeight w:hRule="exact" w:val="567"/>
      </w:trPr>
      <w:tc>
        <w:tcPr>
          <w:tcW w:w="510" w:type="dxa"/>
        </w:tcPr>
        <w:p w:rsidR="00A361CF" w:rsidRDefault="00A361CF" w:rsidP="00A361CF">
          <w:pPr>
            <w:pStyle w:val="Footer"/>
            <w:tabs>
              <w:tab w:val="left" w:pos="0"/>
            </w:tabs>
            <w:ind w:right="0"/>
            <w:rPr>
              <w:rStyle w:val="PageNumber"/>
            </w:rPr>
          </w:pPr>
          <w:r>
            <w:rPr>
              <w:rStyle w:val="PageNumber"/>
            </w:rPr>
            <w:fldChar w:fldCharType="begin"/>
          </w:r>
          <w:r>
            <w:rPr>
              <w:rStyle w:val="PageNumber"/>
            </w:rPr>
            <w:instrText xml:space="preserve">PAGE  </w:instrText>
          </w:r>
          <w:r>
            <w:rPr>
              <w:rStyle w:val="PageNumber"/>
            </w:rPr>
            <w:fldChar w:fldCharType="separate"/>
          </w:r>
          <w:r w:rsidR="00290C20">
            <w:rPr>
              <w:rStyle w:val="PageNumber"/>
              <w:noProof/>
            </w:rPr>
            <w:t>iv</w:t>
          </w:r>
          <w:r>
            <w:rPr>
              <w:rStyle w:val="PageNumber"/>
            </w:rPr>
            <w:fldChar w:fldCharType="end"/>
          </w:r>
        </w:p>
      </w:tc>
      <w:tc>
        <w:tcPr>
          <w:tcW w:w="7767" w:type="dxa"/>
        </w:tcPr>
        <w:p w:rsidR="00A361CF" w:rsidRPr="0013739A" w:rsidRDefault="00A361CF" w:rsidP="00A361CF">
          <w:pPr>
            <w:pStyle w:val="Footer"/>
            <w:rPr>
              <w:rFonts w:cs="Arial"/>
            </w:rPr>
          </w:pPr>
          <w:r w:rsidRPr="00BA5B14">
            <w:rPr>
              <w:rFonts w:cs="Arial"/>
            </w:rPr>
            <w:fldChar w:fldCharType="begin"/>
          </w:r>
          <w:r>
            <w:rPr>
              <w:rFonts w:cs="Arial"/>
            </w:rPr>
            <w:instrText xml:space="preserve"> TITLE </w:instrText>
          </w:r>
          <w:r w:rsidRPr="00BA5B14">
            <w:rPr>
              <w:rFonts w:cs="Arial"/>
            </w:rPr>
            <w:fldChar w:fldCharType="separate"/>
          </w:r>
          <w:r w:rsidR="00755EA4">
            <w:rPr>
              <w:rFonts w:cs="Arial"/>
            </w:rPr>
            <w:t>Intellectual Property Arrangements</w:t>
          </w:r>
          <w:r w:rsidRPr="00BA5B14">
            <w:rPr>
              <w:rFonts w:cs="Arial"/>
            </w:rPr>
            <w:fldChar w:fldCharType="end"/>
          </w:r>
        </w:p>
      </w:tc>
      <w:tc>
        <w:tcPr>
          <w:tcW w:w="510" w:type="dxa"/>
        </w:tcPr>
        <w:p w:rsidR="00A361CF" w:rsidRDefault="00A361CF" w:rsidP="00A361CF">
          <w:pPr>
            <w:pStyle w:val="Footer"/>
          </w:pPr>
        </w:p>
      </w:tc>
    </w:tr>
  </w:tbl>
  <w:p w:rsidR="00A361CF" w:rsidRDefault="00A361CF" w:rsidP="00A361CF">
    <w:pPr>
      <w:pStyle w:val="FooterEnd"/>
    </w:pPr>
  </w:p>
  <w:p w:rsidR="00A361CF" w:rsidRDefault="00A361CF">
    <w:pPr>
      <w:pStyle w:val="FooterEnd"/>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A361CF" w:rsidTr="00A361CF">
      <w:trPr>
        <w:trHeight w:hRule="exact" w:val="567"/>
      </w:trPr>
      <w:tc>
        <w:tcPr>
          <w:tcW w:w="510" w:type="dxa"/>
        </w:tcPr>
        <w:p w:rsidR="00A361CF" w:rsidRDefault="00A361CF">
          <w:pPr>
            <w:pStyle w:val="Footer"/>
            <w:ind w:right="360" w:firstLine="360"/>
          </w:pPr>
        </w:p>
      </w:tc>
      <w:tc>
        <w:tcPr>
          <w:tcW w:w="7767" w:type="dxa"/>
        </w:tcPr>
        <w:p w:rsidR="00A361CF" w:rsidRDefault="00A361CF" w:rsidP="00A361CF">
          <w:pPr>
            <w:pStyle w:val="Footer"/>
            <w:jc w:val="right"/>
            <w:rPr>
              <w:rFonts w:cs="Arial"/>
            </w:rPr>
          </w:pPr>
          <w:r w:rsidRPr="00C24C8B">
            <w:rPr>
              <w:noProof/>
            </w:rPr>
            <w:fldChar w:fldCharType="begin"/>
          </w:r>
          <w:r w:rsidRPr="00C24C8B">
            <w:rPr>
              <w:noProof/>
            </w:rPr>
            <w:instrText xml:space="preserve"> STYLEREF "Heading 1" \* MERGEFORMAT </w:instrText>
          </w:r>
          <w:r w:rsidRPr="00C24C8B">
            <w:rPr>
              <w:noProof/>
            </w:rPr>
            <w:fldChar w:fldCharType="separate"/>
          </w:r>
          <w:r w:rsidR="00F35F9D" w:rsidRPr="00F35F9D">
            <w:rPr>
              <w:bCs/>
              <w:noProof/>
              <w:lang w:val="en-US"/>
            </w:rPr>
            <w:t>Opportunity for further</w:t>
          </w:r>
          <w:r w:rsidR="00F35F9D">
            <w:rPr>
              <w:noProof/>
            </w:rPr>
            <w:t xml:space="preserve"> comment</w:t>
          </w:r>
          <w:r w:rsidRPr="00C24C8B">
            <w:rPr>
              <w:noProof/>
            </w:rPr>
            <w:fldChar w:fldCharType="end"/>
          </w:r>
          <w:r w:rsidRPr="00C24C8B">
            <w:rPr>
              <w:rFonts w:cs="Arial"/>
            </w:rPr>
            <w:t xml:space="preserve"> </w:t>
          </w:r>
        </w:p>
        <w:p w:rsidR="00290C20" w:rsidRPr="00C24C8B" w:rsidRDefault="00290C20" w:rsidP="00630818">
          <w:pPr>
            <w:pStyle w:val="Footer"/>
            <w:spacing w:before="40"/>
            <w:jc w:val="right"/>
            <w:rPr>
              <w:rFonts w:cs="Arial"/>
            </w:rPr>
          </w:pPr>
          <w:r w:rsidRPr="00290C20">
            <w:rPr>
              <w:color w:val="808080"/>
              <w:lang w:eastAsia="en-AU"/>
            </w:rPr>
            <w:t>Draft Report</w:t>
          </w:r>
        </w:p>
      </w:tc>
      <w:tc>
        <w:tcPr>
          <w:tcW w:w="510" w:type="dxa"/>
        </w:tcPr>
        <w:p w:rsidR="00A361CF" w:rsidRPr="00C24C8B" w:rsidRDefault="00A361CF">
          <w:pPr>
            <w:pStyle w:val="Footer"/>
            <w:jc w:val="right"/>
            <w:rPr>
              <w:caps w:val="0"/>
            </w:rPr>
          </w:pPr>
          <w:r w:rsidRPr="00C24C8B">
            <w:rPr>
              <w:rStyle w:val="PageNumber"/>
              <w:caps w:val="0"/>
            </w:rPr>
            <w:fldChar w:fldCharType="begin"/>
          </w:r>
          <w:r w:rsidRPr="00C24C8B">
            <w:rPr>
              <w:rStyle w:val="PageNumber"/>
              <w:caps w:val="0"/>
            </w:rPr>
            <w:instrText xml:space="preserve">PAGE  </w:instrText>
          </w:r>
          <w:r w:rsidRPr="00C24C8B">
            <w:rPr>
              <w:rStyle w:val="PageNumber"/>
              <w:caps w:val="0"/>
            </w:rPr>
            <w:fldChar w:fldCharType="separate"/>
          </w:r>
          <w:r w:rsidR="00F35F9D">
            <w:rPr>
              <w:rStyle w:val="PageNumber"/>
              <w:caps w:val="0"/>
              <w:noProof/>
            </w:rPr>
            <w:t>iii</w:t>
          </w:r>
          <w:r w:rsidRPr="00C24C8B">
            <w:rPr>
              <w:rStyle w:val="PageNumber"/>
              <w:caps w:val="0"/>
            </w:rPr>
            <w:fldChar w:fldCharType="end"/>
          </w:r>
        </w:p>
      </w:tc>
    </w:tr>
  </w:tbl>
  <w:p w:rsidR="00A361CF" w:rsidRDefault="00A361CF">
    <w:pPr>
      <w:pStyle w:val="FooterEnd"/>
    </w:pPr>
  </w:p>
  <w:p w:rsidR="00A361CF" w:rsidRDefault="00A361CF">
    <w:pPr>
      <w:pStyle w:val="FooterEnd"/>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A361CF" w:rsidTr="00A361CF">
      <w:trPr>
        <w:trHeight w:hRule="exact" w:val="567"/>
      </w:trPr>
      <w:tc>
        <w:tcPr>
          <w:tcW w:w="510" w:type="dxa"/>
        </w:tcPr>
        <w:p w:rsidR="00A361CF" w:rsidRPr="00752FFF" w:rsidRDefault="00A361CF" w:rsidP="00A361CF">
          <w:pPr>
            <w:pStyle w:val="Footer"/>
            <w:tabs>
              <w:tab w:val="left" w:pos="0"/>
            </w:tabs>
            <w:ind w:right="0"/>
            <w:rPr>
              <w:rStyle w:val="PageNumber"/>
              <w:caps w:val="0"/>
            </w:rPr>
          </w:pPr>
          <w:r w:rsidRPr="00752FFF">
            <w:rPr>
              <w:rStyle w:val="PageNumber"/>
              <w:caps w:val="0"/>
            </w:rPr>
            <w:fldChar w:fldCharType="begin"/>
          </w:r>
          <w:r w:rsidRPr="00752FFF">
            <w:rPr>
              <w:rStyle w:val="PageNumber"/>
              <w:caps w:val="0"/>
            </w:rPr>
            <w:instrText xml:space="preserve">PAGE  </w:instrText>
          </w:r>
          <w:r w:rsidRPr="00752FFF">
            <w:rPr>
              <w:rStyle w:val="PageNumber"/>
              <w:caps w:val="0"/>
            </w:rPr>
            <w:fldChar w:fldCharType="separate"/>
          </w:r>
          <w:r w:rsidR="00F35F9D">
            <w:rPr>
              <w:rStyle w:val="PageNumber"/>
              <w:caps w:val="0"/>
              <w:noProof/>
            </w:rPr>
            <w:t>vi</w:t>
          </w:r>
          <w:r w:rsidRPr="00752FFF">
            <w:rPr>
              <w:rStyle w:val="PageNumber"/>
              <w:caps w:val="0"/>
            </w:rPr>
            <w:fldChar w:fldCharType="end"/>
          </w:r>
        </w:p>
      </w:tc>
      <w:tc>
        <w:tcPr>
          <w:tcW w:w="7767" w:type="dxa"/>
        </w:tcPr>
        <w:p w:rsidR="00A361CF" w:rsidRDefault="00290C20" w:rsidP="00A361CF">
          <w:pPr>
            <w:pStyle w:val="Footer"/>
            <w:rPr>
              <w:rFonts w:cs="Arial"/>
            </w:rPr>
          </w:pPr>
          <w:r>
            <w:rPr>
              <w:rFonts w:cs="Arial"/>
            </w:rPr>
            <w:t>Intellectual Property Arrangements</w:t>
          </w:r>
        </w:p>
        <w:p w:rsidR="00290C20" w:rsidRPr="0013739A" w:rsidRDefault="00630818" w:rsidP="00630818">
          <w:pPr>
            <w:pStyle w:val="Footer"/>
            <w:spacing w:before="40"/>
            <w:rPr>
              <w:rFonts w:cs="Arial"/>
            </w:rPr>
          </w:pPr>
          <w:r>
            <w:rPr>
              <w:color w:val="808080"/>
            </w:rPr>
            <w:t>DRAFT REPORT</w:t>
          </w:r>
        </w:p>
      </w:tc>
      <w:tc>
        <w:tcPr>
          <w:tcW w:w="510" w:type="dxa"/>
        </w:tcPr>
        <w:p w:rsidR="00A361CF" w:rsidRDefault="00A361CF" w:rsidP="00A361CF">
          <w:pPr>
            <w:pStyle w:val="Footer"/>
          </w:pPr>
        </w:p>
      </w:tc>
    </w:tr>
  </w:tbl>
  <w:p w:rsidR="00A361CF" w:rsidRDefault="00A361CF" w:rsidP="00A361CF">
    <w:pPr>
      <w:pStyle w:val="FooterEnd"/>
    </w:pPr>
  </w:p>
  <w:p w:rsidR="00A361CF" w:rsidRDefault="00A361CF">
    <w:pPr>
      <w:pStyle w:val="FooterEnd"/>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A361CF" w:rsidTr="00A361CF">
      <w:trPr>
        <w:trHeight w:hRule="exact" w:val="567"/>
      </w:trPr>
      <w:tc>
        <w:tcPr>
          <w:tcW w:w="510" w:type="dxa"/>
        </w:tcPr>
        <w:p w:rsidR="00A361CF" w:rsidRDefault="00A361CF">
          <w:pPr>
            <w:pStyle w:val="Footer"/>
            <w:ind w:right="360" w:firstLine="360"/>
          </w:pPr>
        </w:p>
      </w:tc>
      <w:tc>
        <w:tcPr>
          <w:tcW w:w="7767" w:type="dxa"/>
        </w:tcPr>
        <w:p w:rsidR="00A361CF" w:rsidRDefault="00397C95" w:rsidP="00A361CF">
          <w:pPr>
            <w:pStyle w:val="Footer"/>
            <w:jc w:val="right"/>
            <w:rPr>
              <w:noProof/>
            </w:rPr>
          </w:pPr>
          <w:r w:rsidRPr="00397C95">
            <w:rPr>
              <w:bCs/>
              <w:noProof/>
              <w:lang w:val="en-US"/>
            </w:rPr>
            <w:t>Terms of reference</w:t>
          </w:r>
        </w:p>
        <w:p w:rsidR="00630818" w:rsidRPr="00752FFF" w:rsidRDefault="00630818" w:rsidP="00630818">
          <w:pPr>
            <w:pStyle w:val="Footer"/>
            <w:spacing w:before="40"/>
            <w:jc w:val="right"/>
            <w:rPr>
              <w:rFonts w:cs="Arial"/>
            </w:rPr>
          </w:pPr>
          <w:r w:rsidRPr="00290C20">
            <w:rPr>
              <w:color w:val="808080"/>
              <w:lang w:eastAsia="en-AU"/>
            </w:rPr>
            <w:t>Draft Report</w:t>
          </w:r>
        </w:p>
      </w:tc>
      <w:tc>
        <w:tcPr>
          <w:tcW w:w="510" w:type="dxa"/>
        </w:tcPr>
        <w:p w:rsidR="00A361CF" w:rsidRPr="00A24443" w:rsidRDefault="00A361CF">
          <w:pPr>
            <w:pStyle w:val="Footer"/>
            <w:jc w:val="right"/>
            <w:rPr>
              <w:caps w:val="0"/>
            </w:rPr>
          </w:pPr>
          <w:r w:rsidRPr="00A24443">
            <w:rPr>
              <w:rStyle w:val="PageNumber"/>
              <w:caps w:val="0"/>
            </w:rPr>
            <w:fldChar w:fldCharType="begin"/>
          </w:r>
          <w:r w:rsidRPr="00A24443">
            <w:rPr>
              <w:rStyle w:val="PageNumber"/>
              <w:caps w:val="0"/>
            </w:rPr>
            <w:instrText xml:space="preserve">PAGE  </w:instrText>
          </w:r>
          <w:r w:rsidRPr="00A24443">
            <w:rPr>
              <w:rStyle w:val="PageNumber"/>
              <w:caps w:val="0"/>
            </w:rPr>
            <w:fldChar w:fldCharType="separate"/>
          </w:r>
          <w:r w:rsidR="00F35F9D">
            <w:rPr>
              <w:rStyle w:val="PageNumber"/>
              <w:caps w:val="0"/>
              <w:noProof/>
            </w:rPr>
            <w:t>v</w:t>
          </w:r>
          <w:r w:rsidRPr="00A24443">
            <w:rPr>
              <w:rStyle w:val="PageNumber"/>
              <w:caps w:val="0"/>
            </w:rPr>
            <w:fldChar w:fldCharType="end"/>
          </w:r>
        </w:p>
      </w:tc>
    </w:tr>
  </w:tbl>
  <w:p w:rsidR="00A361CF" w:rsidRDefault="00A361CF">
    <w:pPr>
      <w:pStyle w:val="FooterEnd"/>
    </w:pPr>
  </w:p>
  <w:p w:rsidR="00A361CF" w:rsidRPr="00D01645" w:rsidRDefault="00A361CF" w:rsidP="00A361CF">
    <w:pPr>
      <w:pStyle w:val="FooterEnd"/>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A361CF" w:rsidTr="00A361CF">
      <w:trPr>
        <w:trHeight w:hRule="exact" w:val="567"/>
      </w:trPr>
      <w:tc>
        <w:tcPr>
          <w:tcW w:w="510" w:type="dxa"/>
        </w:tcPr>
        <w:p w:rsidR="00A361CF" w:rsidRPr="00A24443" w:rsidRDefault="00A361CF" w:rsidP="00A361CF">
          <w:pPr>
            <w:pStyle w:val="Footer"/>
            <w:tabs>
              <w:tab w:val="left" w:pos="0"/>
            </w:tabs>
            <w:ind w:right="0"/>
            <w:rPr>
              <w:rStyle w:val="PageNumber"/>
              <w:caps w:val="0"/>
            </w:rPr>
          </w:pPr>
          <w:r w:rsidRPr="00A24443">
            <w:rPr>
              <w:rStyle w:val="PageNumber"/>
              <w:caps w:val="0"/>
            </w:rPr>
            <w:fldChar w:fldCharType="begin"/>
          </w:r>
          <w:r w:rsidRPr="00A24443">
            <w:rPr>
              <w:rStyle w:val="PageNumber"/>
              <w:caps w:val="0"/>
            </w:rPr>
            <w:instrText xml:space="preserve">PAGE  </w:instrText>
          </w:r>
          <w:r w:rsidRPr="00A24443">
            <w:rPr>
              <w:rStyle w:val="PageNumber"/>
              <w:caps w:val="0"/>
            </w:rPr>
            <w:fldChar w:fldCharType="separate"/>
          </w:r>
          <w:r w:rsidR="00F35F9D">
            <w:rPr>
              <w:rStyle w:val="PageNumber"/>
              <w:caps w:val="0"/>
              <w:noProof/>
            </w:rPr>
            <w:t>viii</w:t>
          </w:r>
          <w:r w:rsidRPr="00A24443">
            <w:rPr>
              <w:rStyle w:val="PageNumber"/>
              <w:caps w:val="0"/>
            </w:rPr>
            <w:fldChar w:fldCharType="end"/>
          </w:r>
        </w:p>
      </w:tc>
      <w:tc>
        <w:tcPr>
          <w:tcW w:w="7767" w:type="dxa"/>
        </w:tcPr>
        <w:p w:rsidR="00A361CF" w:rsidRDefault="00290C20" w:rsidP="00A361CF">
          <w:pPr>
            <w:pStyle w:val="Footer"/>
            <w:rPr>
              <w:rFonts w:cs="Arial"/>
            </w:rPr>
          </w:pPr>
          <w:r>
            <w:rPr>
              <w:rFonts w:cs="Arial"/>
            </w:rPr>
            <w:t>Intellectual Property Arrangements</w:t>
          </w:r>
        </w:p>
        <w:p w:rsidR="00630818" w:rsidRPr="0013739A" w:rsidRDefault="00630818" w:rsidP="00630818">
          <w:pPr>
            <w:pStyle w:val="Footer"/>
            <w:spacing w:before="40"/>
            <w:rPr>
              <w:rFonts w:cs="Arial"/>
            </w:rPr>
          </w:pPr>
          <w:r>
            <w:rPr>
              <w:color w:val="808080"/>
            </w:rPr>
            <w:t>DRAFT REPORT</w:t>
          </w:r>
        </w:p>
      </w:tc>
      <w:tc>
        <w:tcPr>
          <w:tcW w:w="510" w:type="dxa"/>
        </w:tcPr>
        <w:p w:rsidR="00A361CF" w:rsidRDefault="00A361CF" w:rsidP="00A361CF">
          <w:pPr>
            <w:pStyle w:val="Footer"/>
          </w:pPr>
        </w:p>
      </w:tc>
    </w:tr>
  </w:tbl>
  <w:p w:rsidR="00A361CF" w:rsidRDefault="00A361CF" w:rsidP="00A361CF">
    <w:pPr>
      <w:pStyle w:val="FooterEnd"/>
    </w:pPr>
  </w:p>
  <w:p w:rsidR="00A361CF" w:rsidRDefault="00A361CF">
    <w:pPr>
      <w:pStyle w:val="FooterEnd"/>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4" w:space="0" w:color="auto"/>
      </w:tblBorders>
      <w:tblLayout w:type="fixed"/>
      <w:tblCellMar>
        <w:left w:w="0" w:type="dxa"/>
        <w:right w:w="0" w:type="dxa"/>
      </w:tblCellMar>
      <w:tblLook w:val="0000" w:firstRow="0" w:lastRow="0" w:firstColumn="0" w:lastColumn="0" w:noHBand="0" w:noVBand="0"/>
    </w:tblPr>
    <w:tblGrid>
      <w:gridCol w:w="510"/>
      <w:gridCol w:w="7767"/>
      <w:gridCol w:w="510"/>
    </w:tblGrid>
    <w:tr w:rsidR="00A361CF" w:rsidTr="00A361CF">
      <w:trPr>
        <w:trHeight w:hRule="exact" w:val="567"/>
      </w:trPr>
      <w:tc>
        <w:tcPr>
          <w:tcW w:w="510" w:type="dxa"/>
        </w:tcPr>
        <w:p w:rsidR="00A361CF" w:rsidRDefault="00A361CF">
          <w:pPr>
            <w:pStyle w:val="Footer"/>
            <w:ind w:right="360" w:firstLine="360"/>
          </w:pPr>
        </w:p>
      </w:tc>
      <w:tc>
        <w:tcPr>
          <w:tcW w:w="7767" w:type="dxa"/>
        </w:tcPr>
        <w:p w:rsidR="00A361CF" w:rsidRDefault="00397C95" w:rsidP="00A361CF">
          <w:pPr>
            <w:pStyle w:val="Footer"/>
            <w:jc w:val="right"/>
            <w:rPr>
              <w:noProof/>
            </w:rPr>
          </w:pPr>
          <w:r>
            <w:rPr>
              <w:noProof/>
            </w:rPr>
            <w:t>contents</w:t>
          </w:r>
        </w:p>
        <w:p w:rsidR="00630818" w:rsidRPr="00A90DAF" w:rsidRDefault="00630818" w:rsidP="00630818">
          <w:pPr>
            <w:pStyle w:val="Footer"/>
            <w:spacing w:before="40"/>
            <w:jc w:val="right"/>
            <w:rPr>
              <w:rFonts w:cs="Arial"/>
            </w:rPr>
          </w:pPr>
          <w:r w:rsidRPr="00290C20">
            <w:rPr>
              <w:color w:val="808080"/>
              <w:lang w:eastAsia="en-AU"/>
            </w:rPr>
            <w:t>Draft Report</w:t>
          </w:r>
        </w:p>
      </w:tc>
      <w:tc>
        <w:tcPr>
          <w:tcW w:w="510" w:type="dxa"/>
        </w:tcPr>
        <w:p w:rsidR="00A361CF" w:rsidRPr="00A24443" w:rsidRDefault="00A361CF">
          <w:pPr>
            <w:pStyle w:val="Footer"/>
            <w:jc w:val="right"/>
            <w:rPr>
              <w:caps w:val="0"/>
            </w:rPr>
          </w:pPr>
          <w:r w:rsidRPr="00A24443">
            <w:rPr>
              <w:rStyle w:val="PageNumber"/>
              <w:caps w:val="0"/>
            </w:rPr>
            <w:fldChar w:fldCharType="begin"/>
          </w:r>
          <w:r w:rsidRPr="00A24443">
            <w:rPr>
              <w:rStyle w:val="PageNumber"/>
              <w:caps w:val="0"/>
            </w:rPr>
            <w:instrText xml:space="preserve">PAGE  </w:instrText>
          </w:r>
          <w:r w:rsidRPr="00A24443">
            <w:rPr>
              <w:rStyle w:val="PageNumber"/>
              <w:caps w:val="0"/>
            </w:rPr>
            <w:fldChar w:fldCharType="separate"/>
          </w:r>
          <w:r w:rsidR="00F35F9D">
            <w:rPr>
              <w:rStyle w:val="PageNumber"/>
              <w:caps w:val="0"/>
              <w:noProof/>
            </w:rPr>
            <w:t>ix</w:t>
          </w:r>
          <w:r w:rsidRPr="00A24443">
            <w:rPr>
              <w:rStyle w:val="PageNumber"/>
              <w:caps w:val="0"/>
            </w:rPr>
            <w:fldChar w:fldCharType="end"/>
          </w:r>
        </w:p>
      </w:tc>
    </w:tr>
  </w:tbl>
  <w:p w:rsidR="00A361CF" w:rsidRDefault="00A361CF">
    <w:pPr>
      <w:pStyle w:val="FooterEnd"/>
    </w:pPr>
  </w:p>
  <w:p w:rsidR="00A361CF" w:rsidRDefault="00A361CF">
    <w:pPr>
      <w:pStyle w:val="FooterEn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61CF" w:rsidRDefault="00A361CF">
      <w:r>
        <w:separator/>
      </w:r>
    </w:p>
    <w:p w:rsidR="00A361CF" w:rsidRDefault="00A361CF"/>
    <w:p w:rsidR="00A361CF" w:rsidRDefault="00A361CF"/>
  </w:footnote>
  <w:footnote w:type="continuationSeparator" w:id="0">
    <w:p w:rsidR="00A361CF" w:rsidRDefault="00A361CF">
      <w:r>
        <w:continuationSeparator/>
      </w:r>
    </w:p>
    <w:p w:rsidR="00A361CF" w:rsidRDefault="00A361CF"/>
    <w:p w:rsidR="00A361CF" w:rsidRDefault="00A361CF"/>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F9D" w:rsidRDefault="00F35F9D">
    <w:pPr>
      <w:pStyle w:val="Header"/>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A361CF" w:rsidTr="005C68FE">
      <w:tc>
        <w:tcPr>
          <w:tcW w:w="2155" w:type="dxa"/>
          <w:tcBorders>
            <w:top w:val="single" w:sz="24" w:space="0" w:color="auto"/>
          </w:tcBorders>
        </w:tcPr>
        <w:p w:rsidR="00A361CF" w:rsidRDefault="00A361CF" w:rsidP="005C68FE">
          <w:pPr>
            <w:pStyle w:val="HeaderEven"/>
          </w:pPr>
        </w:p>
      </w:tc>
      <w:tc>
        <w:tcPr>
          <w:tcW w:w="6634" w:type="dxa"/>
          <w:tcBorders>
            <w:top w:val="single" w:sz="6" w:space="0" w:color="auto"/>
          </w:tcBorders>
        </w:tcPr>
        <w:p w:rsidR="00A361CF" w:rsidRDefault="00F35F9D" w:rsidP="005C68FE">
          <w:pPr>
            <w:pStyle w:val="HeaderEven"/>
          </w:pPr>
          <w:r w:rsidRPr="00F35F9D">
            <w:rPr>
              <w:color w:val="FF0000"/>
              <w:sz w:val="12"/>
              <w:szCs w:val="12"/>
            </w:rPr>
            <w:t>This draft report is no longer open for consultation. For final outcomes of this project refer to the inquiry report.</w:t>
          </w:r>
        </w:p>
      </w:tc>
    </w:tr>
  </w:tbl>
  <w:p w:rsidR="00A361CF" w:rsidRDefault="00A361CF" w:rsidP="00D732FE">
    <w:pPr>
      <w:pStyle w:val="HeaderEnd"/>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A361CF">
      <w:tc>
        <w:tcPr>
          <w:tcW w:w="6634" w:type="dxa"/>
          <w:tcBorders>
            <w:top w:val="single" w:sz="6" w:space="0" w:color="auto"/>
          </w:tcBorders>
        </w:tcPr>
        <w:p w:rsidR="00A361CF" w:rsidRDefault="00F35F9D">
          <w:pPr>
            <w:pStyle w:val="HeaderOdd"/>
          </w:pPr>
          <w:r w:rsidRPr="00F35F9D">
            <w:rPr>
              <w:color w:val="FF0000"/>
              <w:sz w:val="12"/>
              <w:szCs w:val="12"/>
            </w:rPr>
            <w:t>This draft report is no longer open for consultation. For final outcomes of this project refer to the inquiry report.</w:t>
          </w:r>
          <w:bookmarkStart w:id="21" w:name="_GoBack"/>
          <w:bookmarkEnd w:id="21"/>
        </w:p>
      </w:tc>
      <w:tc>
        <w:tcPr>
          <w:tcW w:w="2155" w:type="dxa"/>
          <w:tcBorders>
            <w:top w:val="single" w:sz="24" w:space="0" w:color="auto"/>
          </w:tcBorders>
        </w:tcPr>
        <w:p w:rsidR="00A361CF" w:rsidRDefault="00A361CF">
          <w:pPr>
            <w:pStyle w:val="HeaderOdd"/>
          </w:pPr>
        </w:p>
      </w:tc>
    </w:tr>
  </w:tbl>
  <w:p w:rsidR="00A361CF" w:rsidRDefault="00A361CF" w:rsidP="00B95339">
    <w:pPr>
      <w:pStyle w:val="HeaderEn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F9D" w:rsidRDefault="00F35F9D">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5F9D" w:rsidRDefault="00F35F9D">
    <w:pPr>
      <w:pStyle w:val="Heade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2" w:space="0" w:color="auto"/>
      </w:tblBorders>
      <w:tblLayout w:type="fixed"/>
      <w:tblCellMar>
        <w:left w:w="0" w:type="dxa"/>
        <w:right w:w="0" w:type="dxa"/>
      </w:tblCellMar>
      <w:tblLook w:val="0000" w:firstRow="0" w:lastRow="0" w:firstColumn="0" w:lastColumn="0" w:noHBand="0" w:noVBand="0"/>
    </w:tblPr>
    <w:tblGrid>
      <w:gridCol w:w="2155"/>
      <w:gridCol w:w="6634"/>
    </w:tblGrid>
    <w:tr w:rsidR="00A361CF">
      <w:tc>
        <w:tcPr>
          <w:tcW w:w="2155" w:type="dxa"/>
          <w:tcBorders>
            <w:top w:val="single" w:sz="24" w:space="0" w:color="auto"/>
          </w:tcBorders>
        </w:tcPr>
        <w:p w:rsidR="00A361CF" w:rsidRDefault="00A361CF">
          <w:pPr>
            <w:pStyle w:val="Header"/>
          </w:pPr>
        </w:p>
      </w:tc>
      <w:tc>
        <w:tcPr>
          <w:tcW w:w="6634" w:type="dxa"/>
          <w:tcBorders>
            <w:top w:val="single" w:sz="6" w:space="0" w:color="auto"/>
          </w:tcBorders>
        </w:tcPr>
        <w:p w:rsidR="00A361CF" w:rsidRDefault="00A361CF">
          <w:pPr>
            <w:pStyle w:val="Header"/>
          </w:pPr>
        </w:p>
      </w:tc>
    </w:tr>
  </w:tbl>
  <w:p w:rsidR="00A361CF" w:rsidRDefault="00A361CF">
    <w:pPr>
      <w:pStyle w:val="HeaderEnd"/>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A361CF" w:rsidTr="005C68FE">
      <w:tc>
        <w:tcPr>
          <w:tcW w:w="6634" w:type="dxa"/>
          <w:tcBorders>
            <w:top w:val="single" w:sz="6" w:space="0" w:color="auto"/>
          </w:tcBorders>
        </w:tcPr>
        <w:p w:rsidR="00A361CF" w:rsidRPr="00F35F9D" w:rsidRDefault="00F35F9D" w:rsidP="005C68FE">
          <w:pPr>
            <w:pStyle w:val="HeaderOdd"/>
            <w:rPr>
              <w:sz w:val="12"/>
              <w:szCs w:val="12"/>
            </w:rPr>
          </w:pPr>
          <w:r w:rsidRPr="00F35F9D">
            <w:rPr>
              <w:color w:val="FF0000"/>
              <w:sz w:val="12"/>
              <w:szCs w:val="12"/>
            </w:rPr>
            <w:t>This draft report is no longer open for consultation. For final outcomes of this project refer to the inquiry report.</w:t>
          </w:r>
        </w:p>
      </w:tc>
      <w:tc>
        <w:tcPr>
          <w:tcW w:w="2155" w:type="dxa"/>
          <w:tcBorders>
            <w:top w:val="single" w:sz="24" w:space="0" w:color="auto"/>
          </w:tcBorders>
        </w:tcPr>
        <w:p w:rsidR="00A361CF" w:rsidRDefault="00A361CF" w:rsidP="005C68FE">
          <w:pPr>
            <w:pStyle w:val="HeaderOdd"/>
          </w:pPr>
        </w:p>
      </w:tc>
    </w:tr>
  </w:tbl>
  <w:p w:rsidR="00A361CF" w:rsidRPr="005C68FE" w:rsidRDefault="00A361CF" w:rsidP="005C68FE">
    <w:pPr>
      <w:pStyle w:val="HeaderEnd"/>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2" w:space="0" w:color="auto"/>
      </w:tblBorders>
      <w:tblLayout w:type="fixed"/>
      <w:tblCellMar>
        <w:left w:w="0" w:type="dxa"/>
        <w:right w:w="0" w:type="dxa"/>
      </w:tblCellMar>
      <w:tblLook w:val="0000" w:firstRow="0" w:lastRow="0" w:firstColumn="0" w:lastColumn="0" w:noHBand="0" w:noVBand="0"/>
    </w:tblPr>
    <w:tblGrid>
      <w:gridCol w:w="2155"/>
      <w:gridCol w:w="6634"/>
    </w:tblGrid>
    <w:tr w:rsidR="00A361CF">
      <w:tc>
        <w:tcPr>
          <w:tcW w:w="2155" w:type="dxa"/>
          <w:tcBorders>
            <w:top w:val="single" w:sz="24" w:space="0" w:color="auto"/>
          </w:tcBorders>
        </w:tcPr>
        <w:p w:rsidR="00A361CF" w:rsidRDefault="00A361CF">
          <w:pPr>
            <w:pStyle w:val="Header"/>
          </w:pPr>
        </w:p>
      </w:tc>
      <w:tc>
        <w:tcPr>
          <w:tcW w:w="6634" w:type="dxa"/>
          <w:tcBorders>
            <w:top w:val="single" w:sz="6" w:space="0" w:color="auto"/>
          </w:tcBorders>
        </w:tcPr>
        <w:p w:rsidR="00A361CF" w:rsidRDefault="00F35F9D">
          <w:pPr>
            <w:pStyle w:val="Header"/>
          </w:pPr>
          <w:r w:rsidRPr="00F35F9D">
            <w:rPr>
              <w:color w:val="FF0000"/>
              <w:sz w:val="12"/>
              <w:szCs w:val="12"/>
            </w:rPr>
            <w:t>This draft report is no longer open for consultation. For final outcomes of this project refer to the inquiry report.</w:t>
          </w:r>
        </w:p>
      </w:tc>
    </w:tr>
  </w:tbl>
  <w:p w:rsidR="00A361CF" w:rsidRDefault="00A361CF">
    <w:pPr>
      <w:pStyle w:val="HeaderEnd"/>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A361CF">
      <w:tc>
        <w:tcPr>
          <w:tcW w:w="6634" w:type="dxa"/>
          <w:tcBorders>
            <w:top w:val="single" w:sz="6" w:space="0" w:color="auto"/>
          </w:tcBorders>
        </w:tcPr>
        <w:p w:rsidR="00A361CF" w:rsidRDefault="00F35F9D" w:rsidP="00A361CF">
          <w:pPr>
            <w:pStyle w:val="HeaderOdd"/>
          </w:pPr>
          <w:r w:rsidRPr="00F35F9D">
            <w:rPr>
              <w:color w:val="FF0000"/>
              <w:sz w:val="12"/>
              <w:szCs w:val="12"/>
            </w:rPr>
            <w:t>This draft report is no longer open for consultation. For final outcomes of this project refer to the inquiry report.</w:t>
          </w:r>
        </w:p>
      </w:tc>
      <w:tc>
        <w:tcPr>
          <w:tcW w:w="2155" w:type="dxa"/>
          <w:tcBorders>
            <w:top w:val="single" w:sz="24" w:space="0" w:color="auto"/>
          </w:tcBorders>
        </w:tcPr>
        <w:p w:rsidR="00A361CF" w:rsidRDefault="00A361CF" w:rsidP="00A361CF">
          <w:pPr>
            <w:pStyle w:val="HeaderOdd"/>
          </w:pPr>
        </w:p>
      </w:tc>
    </w:tr>
  </w:tbl>
  <w:p w:rsidR="00A361CF" w:rsidRDefault="00A361CF" w:rsidP="00A361CF">
    <w:pPr>
      <w:pStyle w:val="HeaderEnd"/>
    </w:pPr>
  </w:p>
  <w:p w:rsidR="00A361CF" w:rsidRPr="00D01645" w:rsidRDefault="00A361CF" w:rsidP="00A361CF">
    <w:pPr>
      <w:pStyle w:val="HeaderEnd"/>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2155"/>
      <w:gridCol w:w="6634"/>
    </w:tblGrid>
    <w:tr w:rsidR="00A361CF">
      <w:tc>
        <w:tcPr>
          <w:tcW w:w="2155" w:type="dxa"/>
          <w:tcBorders>
            <w:top w:val="single" w:sz="24" w:space="0" w:color="auto"/>
          </w:tcBorders>
        </w:tcPr>
        <w:p w:rsidR="00A361CF" w:rsidRDefault="00A361CF">
          <w:pPr>
            <w:pStyle w:val="HeaderEven"/>
          </w:pPr>
        </w:p>
      </w:tc>
      <w:tc>
        <w:tcPr>
          <w:tcW w:w="6634" w:type="dxa"/>
          <w:tcBorders>
            <w:top w:val="single" w:sz="6" w:space="0" w:color="auto"/>
          </w:tcBorders>
        </w:tcPr>
        <w:p w:rsidR="00A361CF" w:rsidRDefault="00F35F9D">
          <w:pPr>
            <w:pStyle w:val="HeaderEven"/>
          </w:pPr>
          <w:r w:rsidRPr="00F35F9D">
            <w:rPr>
              <w:color w:val="FF0000"/>
              <w:sz w:val="12"/>
              <w:szCs w:val="12"/>
            </w:rPr>
            <w:t>This draft report is no longer open for consultation. For final outcomes of this project refer to the inquiry report.</w:t>
          </w:r>
        </w:p>
      </w:tc>
    </w:tr>
  </w:tbl>
  <w:p w:rsidR="00A361CF" w:rsidRDefault="00A361CF">
    <w:pPr>
      <w:pStyle w:val="HeaderEnd"/>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Borders>
        <w:top w:val="single" w:sz="6" w:space="0" w:color="auto"/>
      </w:tblBorders>
      <w:tblLayout w:type="fixed"/>
      <w:tblCellMar>
        <w:left w:w="0" w:type="dxa"/>
        <w:right w:w="0" w:type="dxa"/>
      </w:tblCellMar>
      <w:tblLook w:val="0000" w:firstRow="0" w:lastRow="0" w:firstColumn="0" w:lastColumn="0" w:noHBand="0" w:noVBand="0"/>
    </w:tblPr>
    <w:tblGrid>
      <w:gridCol w:w="6634"/>
      <w:gridCol w:w="2155"/>
    </w:tblGrid>
    <w:tr w:rsidR="00A361CF">
      <w:tc>
        <w:tcPr>
          <w:tcW w:w="6634" w:type="dxa"/>
          <w:tcBorders>
            <w:top w:val="single" w:sz="6" w:space="0" w:color="auto"/>
          </w:tcBorders>
        </w:tcPr>
        <w:p w:rsidR="00A361CF" w:rsidRDefault="00F35F9D">
          <w:pPr>
            <w:pStyle w:val="HeaderOdd"/>
          </w:pPr>
          <w:r w:rsidRPr="00F35F9D">
            <w:rPr>
              <w:color w:val="FF0000"/>
              <w:sz w:val="12"/>
              <w:szCs w:val="12"/>
            </w:rPr>
            <w:t>This draft report is no longer open for consultation. For final outcomes of this project refer to the inquiry report.</w:t>
          </w:r>
        </w:p>
      </w:tc>
      <w:tc>
        <w:tcPr>
          <w:tcW w:w="2155" w:type="dxa"/>
          <w:tcBorders>
            <w:top w:val="single" w:sz="24" w:space="0" w:color="auto"/>
            <w:bottom w:val="nil"/>
          </w:tcBorders>
        </w:tcPr>
        <w:p w:rsidR="00A361CF" w:rsidRDefault="00A361CF">
          <w:pPr>
            <w:pStyle w:val="HeaderOdd"/>
          </w:pPr>
        </w:p>
      </w:tc>
    </w:tr>
  </w:tbl>
  <w:p w:rsidR="00A361CF" w:rsidRDefault="00A361CF">
    <w:pPr>
      <w:pStyle w:val="HeaderEnd"/>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E"/>
    <w:multiLevelType w:val="singleLevel"/>
    <w:tmpl w:val="92E4A210"/>
    <w:lvl w:ilvl="0">
      <w:start w:val="1"/>
      <w:numFmt w:val="decimal"/>
      <w:lvlText w:val="%1."/>
      <w:lvlJc w:val="left"/>
      <w:pPr>
        <w:tabs>
          <w:tab w:val="num" w:pos="926"/>
        </w:tabs>
        <w:ind w:left="926" w:hanging="360"/>
      </w:pPr>
    </w:lvl>
  </w:abstractNum>
  <w:abstractNum w:abstractNumId="1">
    <w:nsid w:val="FFFFFF7F"/>
    <w:multiLevelType w:val="singleLevel"/>
    <w:tmpl w:val="A3C2DCF6"/>
    <w:lvl w:ilvl="0">
      <w:start w:val="1"/>
      <w:numFmt w:val="decimal"/>
      <w:lvlText w:val="%1."/>
      <w:lvlJc w:val="left"/>
      <w:pPr>
        <w:tabs>
          <w:tab w:val="num" w:pos="643"/>
        </w:tabs>
        <w:ind w:left="643" w:hanging="360"/>
      </w:pPr>
    </w:lvl>
  </w:abstractNum>
  <w:abstractNum w:abstractNumId="2">
    <w:nsid w:val="FFFFFF82"/>
    <w:multiLevelType w:val="singleLevel"/>
    <w:tmpl w:val="695EB052"/>
    <w:lvl w:ilvl="0">
      <w:start w:val="1"/>
      <w:numFmt w:val="bullet"/>
      <w:lvlText w:val=""/>
      <w:lvlJc w:val="left"/>
      <w:pPr>
        <w:tabs>
          <w:tab w:val="num" w:pos="926"/>
        </w:tabs>
        <w:ind w:left="926" w:hanging="360"/>
      </w:pPr>
      <w:rPr>
        <w:rFonts w:ascii="Symbol" w:hAnsi="Symbol" w:hint="default"/>
      </w:rPr>
    </w:lvl>
  </w:abstractNum>
  <w:abstractNum w:abstractNumId="3">
    <w:nsid w:val="FFFFFF83"/>
    <w:multiLevelType w:val="singleLevel"/>
    <w:tmpl w:val="43DA5D68"/>
    <w:lvl w:ilvl="0">
      <w:start w:val="1"/>
      <w:numFmt w:val="bullet"/>
      <w:lvlText w:val=""/>
      <w:lvlJc w:val="left"/>
      <w:pPr>
        <w:tabs>
          <w:tab w:val="num" w:pos="643"/>
        </w:tabs>
        <w:ind w:left="643" w:hanging="360"/>
      </w:pPr>
      <w:rPr>
        <w:rFonts w:ascii="Symbol" w:hAnsi="Symbol" w:hint="default"/>
      </w:rPr>
    </w:lvl>
  </w:abstractNum>
  <w:abstractNum w:abstractNumId="4">
    <w:nsid w:val="FFFFFF88"/>
    <w:multiLevelType w:val="singleLevel"/>
    <w:tmpl w:val="B58078F8"/>
    <w:lvl w:ilvl="0">
      <w:start w:val="1"/>
      <w:numFmt w:val="decimal"/>
      <w:lvlText w:val="%1."/>
      <w:lvlJc w:val="left"/>
      <w:pPr>
        <w:tabs>
          <w:tab w:val="num" w:pos="360"/>
        </w:tabs>
        <w:ind w:left="360" w:hanging="360"/>
      </w:pPr>
    </w:lvl>
  </w:abstractNum>
  <w:abstractNum w:abstractNumId="5">
    <w:nsid w:val="FFFFFF89"/>
    <w:multiLevelType w:val="singleLevel"/>
    <w:tmpl w:val="6AD25FCC"/>
    <w:lvl w:ilvl="0">
      <w:start w:val="1"/>
      <w:numFmt w:val="bullet"/>
      <w:lvlText w:val=""/>
      <w:lvlJc w:val="left"/>
      <w:pPr>
        <w:tabs>
          <w:tab w:val="num" w:pos="360"/>
        </w:tabs>
        <w:ind w:left="360" w:hanging="360"/>
      </w:pPr>
      <w:rPr>
        <w:rFonts w:ascii="Symbol" w:hAnsi="Symbol" w:hint="default"/>
      </w:rPr>
    </w:lvl>
  </w:abstractNum>
  <w:abstractNum w:abstractNumId="6">
    <w:nsid w:val="FFFFFFFE"/>
    <w:multiLevelType w:val="singleLevel"/>
    <w:tmpl w:val="FFFFFFFF"/>
    <w:lvl w:ilvl="0">
      <w:numFmt w:val="decimal"/>
      <w:lvlText w:val="*"/>
      <w:lvlJc w:val="left"/>
    </w:lvl>
  </w:abstractNum>
  <w:abstractNum w:abstractNumId="7">
    <w:nsid w:val="047A7C39"/>
    <w:multiLevelType w:val="singleLevel"/>
    <w:tmpl w:val="4438961C"/>
    <w:lvl w:ilvl="0">
      <w:numFmt w:val="bullet"/>
      <w:pStyle w:val="ListBullet2"/>
      <w:lvlText w:val="–"/>
      <w:lvlJc w:val="left"/>
      <w:pPr>
        <w:tabs>
          <w:tab w:val="num" w:pos="680"/>
        </w:tabs>
        <w:ind w:left="680" w:hanging="340"/>
      </w:pPr>
      <w:rPr>
        <w:rFonts w:ascii="Times New Roman" w:hAnsi="Times New Roman" w:cs="Times New Roman" w:hint="default"/>
      </w:rPr>
    </w:lvl>
  </w:abstractNum>
  <w:abstractNum w:abstractNumId="8">
    <w:nsid w:val="06214B87"/>
    <w:multiLevelType w:val="singleLevel"/>
    <w:tmpl w:val="AB185BC4"/>
    <w:lvl w:ilvl="0">
      <w:numFmt w:val="bullet"/>
      <w:pStyle w:val="BoxListBullet2"/>
      <w:lvlText w:val="–"/>
      <w:lvlJc w:val="left"/>
      <w:pPr>
        <w:tabs>
          <w:tab w:val="num" w:pos="567"/>
        </w:tabs>
        <w:ind w:left="567" w:hanging="283"/>
      </w:pPr>
      <w:rPr>
        <w:rFonts w:ascii="Times New Roman" w:hAnsi="Times New Roman" w:cs="Times New Roman" w:hint="default"/>
      </w:rPr>
    </w:lvl>
  </w:abstractNum>
  <w:abstractNum w:abstractNumId="9">
    <w:nsid w:val="0E116344"/>
    <w:multiLevelType w:val="multilevel"/>
    <w:tmpl w:val="3B188B36"/>
    <w:lvl w:ilvl="0">
      <w:start w:val="1"/>
      <w:numFmt w:val="decimal"/>
      <w:pStyle w:val="BoxListNumber"/>
      <w:lvlText w:val="%1."/>
      <w:lvlJc w:val="left"/>
      <w:pPr>
        <w:tabs>
          <w:tab w:val="num" w:pos="284"/>
        </w:tabs>
        <w:ind w:left="284" w:hanging="284"/>
      </w:pPr>
      <w:rPr>
        <w:rFonts w:hint="default"/>
      </w:rPr>
    </w:lvl>
    <w:lvl w:ilvl="1">
      <w:start w:val="1"/>
      <w:numFmt w:val="lowerLetter"/>
      <w:pStyle w:val="BoxListNumber2"/>
      <w:lvlText w:val="(%2)"/>
      <w:lvlJc w:val="left"/>
      <w:pPr>
        <w:tabs>
          <w:tab w:val="num" w:pos="680"/>
        </w:tabs>
        <w:ind w:left="680" w:hanging="396"/>
      </w:pPr>
      <w:rPr>
        <w:rFonts w:hint="default"/>
      </w:rPr>
    </w:lvl>
    <w:lvl w:ilvl="2">
      <w:start w:val="1"/>
      <w:numFmt w:val="lowerRoman"/>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
    <w:nsid w:val="0ED95F65"/>
    <w:multiLevelType w:val="multilevel"/>
    <w:tmpl w:val="C444122C"/>
    <w:lvl w:ilvl="0">
      <w:start w:val="1"/>
      <w:numFmt w:val="decimal"/>
      <w:pStyle w:val="ListNumber"/>
      <w:lvlText w:val="%1."/>
      <w:lvlJc w:val="left"/>
      <w:pPr>
        <w:tabs>
          <w:tab w:val="num" w:pos="340"/>
        </w:tabs>
        <w:ind w:left="340" w:hanging="340"/>
      </w:pPr>
      <w:rPr>
        <w:rFonts w:hint="default"/>
      </w:rPr>
    </w:lvl>
    <w:lvl w:ilvl="1">
      <w:start w:val="1"/>
      <w:numFmt w:val="lowerLetter"/>
      <w:pStyle w:val="ListNumber2"/>
      <w:lvlText w:val="(%2)"/>
      <w:lvlJc w:val="left"/>
      <w:pPr>
        <w:tabs>
          <w:tab w:val="num" w:pos="794"/>
        </w:tabs>
        <w:ind w:left="794" w:hanging="454"/>
      </w:pPr>
      <w:rPr>
        <w:rFonts w:hint="default"/>
      </w:rPr>
    </w:lvl>
    <w:lvl w:ilvl="2">
      <w:start w:val="1"/>
      <w:numFmt w:val="lowerRoman"/>
      <w:pStyle w:val="ListNumber3"/>
      <w:lvlText w:val="(%3)"/>
      <w:lvlJc w:val="left"/>
      <w:pPr>
        <w:tabs>
          <w:tab w:val="num" w:pos="1304"/>
        </w:tabs>
        <w:ind w:left="1304" w:hanging="51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
    <w:nsid w:val="11CE45D8"/>
    <w:multiLevelType w:val="singleLevel"/>
    <w:tmpl w:val="650622E4"/>
    <w:lvl w:ilvl="0">
      <w:numFmt w:val="bullet"/>
      <w:pStyle w:val="SideNoteBullet"/>
      <w:lvlText w:val="–"/>
      <w:lvlJc w:val="left"/>
      <w:pPr>
        <w:tabs>
          <w:tab w:val="num" w:pos="360"/>
        </w:tabs>
        <w:ind w:left="227" w:hanging="227"/>
      </w:pPr>
      <w:rPr>
        <w:rFonts w:ascii="Times New Roman" w:hAnsi="Times New Roman" w:hint="default"/>
      </w:rPr>
    </w:lvl>
  </w:abstractNum>
  <w:abstractNum w:abstractNumId="12">
    <w:nsid w:val="1AB25CDE"/>
    <w:multiLevelType w:val="singleLevel"/>
    <w:tmpl w:val="3086CA22"/>
    <w:lvl w:ilvl="0">
      <w:start w:val="1"/>
      <w:numFmt w:val="decimal"/>
      <w:lvlText w:val="%1."/>
      <w:legacy w:legacy="1" w:legacySpace="0" w:legacyIndent="340"/>
      <w:lvlJc w:val="left"/>
      <w:pPr>
        <w:ind w:left="340" w:hanging="340"/>
      </w:pPr>
    </w:lvl>
  </w:abstractNum>
  <w:abstractNum w:abstractNumId="13">
    <w:nsid w:val="23FF358D"/>
    <w:multiLevelType w:val="singleLevel"/>
    <w:tmpl w:val="849CD80E"/>
    <w:lvl w:ilvl="0">
      <w:start w:val="1"/>
      <w:numFmt w:val="bullet"/>
      <w:pStyle w:val="RecBBullet"/>
      <w:lvlText w:val=""/>
      <w:lvlJc w:val="left"/>
      <w:pPr>
        <w:tabs>
          <w:tab w:val="num" w:pos="360"/>
        </w:tabs>
        <w:ind w:left="340" w:hanging="340"/>
      </w:pPr>
      <w:rPr>
        <w:rFonts w:ascii="Symbol" w:hAnsi="Symbol" w:hint="default"/>
        <w:b w:val="0"/>
        <w:i w:val="0"/>
        <w:sz w:val="18"/>
      </w:rPr>
    </w:lvl>
  </w:abstractNum>
  <w:abstractNum w:abstractNumId="14">
    <w:nsid w:val="2B466A13"/>
    <w:multiLevelType w:val="hybridMultilevel"/>
    <w:tmpl w:val="3E0CC5BA"/>
    <w:lvl w:ilvl="0" w:tplc="2B829644">
      <w:numFmt w:val="bullet"/>
      <w:pStyle w:val="BoxQuoteBullet"/>
      <w:lvlText w:val=""/>
      <w:lvlJc w:val="left"/>
      <w:pPr>
        <w:ind w:left="1004" w:hanging="360"/>
      </w:pPr>
      <w:rPr>
        <w:rFonts w:ascii="Symbol" w:hAnsi="Symbol" w:hint="default"/>
        <w:sz w:val="18"/>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15">
    <w:nsid w:val="2F1F7586"/>
    <w:multiLevelType w:val="hybridMultilevel"/>
    <w:tmpl w:val="C956622A"/>
    <w:lvl w:ilvl="0" w:tplc="8D90534E">
      <w:start w:val="1"/>
      <w:numFmt w:val="decimal"/>
      <w:lvlText w:val="%1"/>
      <w:lvlJc w:val="left"/>
      <w:pPr>
        <w:ind w:left="720" w:hanging="360"/>
      </w:pPr>
      <w:rPr>
        <w:rFonts w:hint="default"/>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6">
    <w:nsid w:val="30E90CE4"/>
    <w:multiLevelType w:val="singleLevel"/>
    <w:tmpl w:val="52F61D9A"/>
    <w:lvl w:ilvl="0">
      <w:start w:val="1"/>
      <w:numFmt w:val="bullet"/>
      <w:pStyle w:val="BoxListBullet"/>
      <w:lvlText w:val=""/>
      <w:lvlJc w:val="left"/>
      <w:pPr>
        <w:tabs>
          <w:tab w:val="num" w:pos="284"/>
        </w:tabs>
        <w:ind w:left="284" w:hanging="284"/>
      </w:pPr>
      <w:rPr>
        <w:rFonts w:ascii="Symbol" w:hAnsi="Symbol" w:hint="default"/>
        <w:sz w:val="18"/>
      </w:rPr>
    </w:lvl>
  </w:abstractNum>
  <w:abstractNum w:abstractNumId="17">
    <w:nsid w:val="4C2B5347"/>
    <w:multiLevelType w:val="hybridMultilevel"/>
    <w:tmpl w:val="8B002072"/>
    <w:lvl w:ilvl="0" w:tplc="720CA4D2">
      <w:start w:val="1"/>
      <w:numFmt w:val="bullet"/>
      <w:pStyle w:val="InformationRequestBullet"/>
      <w:lvlText w:val=""/>
      <w:lvlJc w:val="left"/>
      <w:pPr>
        <w:ind w:left="360" w:hanging="360"/>
      </w:pPr>
      <w:rPr>
        <w:rFonts w:ascii="Symbol" w:hAnsi="Symbol" w:hint="default"/>
        <w:sz w:val="18"/>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8">
    <w:nsid w:val="54382D6E"/>
    <w:multiLevelType w:val="singleLevel"/>
    <w:tmpl w:val="315ABD1E"/>
    <w:lvl w:ilvl="0">
      <w:numFmt w:val="bullet"/>
      <w:pStyle w:val="ListBullet"/>
      <w:lvlText w:val=""/>
      <w:lvlJc w:val="left"/>
      <w:pPr>
        <w:tabs>
          <w:tab w:val="num" w:pos="340"/>
        </w:tabs>
        <w:ind w:left="340" w:hanging="340"/>
      </w:pPr>
      <w:rPr>
        <w:rFonts w:ascii="Symbol" w:hAnsi="Symbol" w:hint="default"/>
        <w:sz w:val="18"/>
      </w:rPr>
    </w:lvl>
  </w:abstractNum>
  <w:abstractNum w:abstractNumId="19">
    <w:nsid w:val="543E1FD6"/>
    <w:multiLevelType w:val="singleLevel"/>
    <w:tmpl w:val="039AA380"/>
    <w:lvl w:ilvl="0">
      <w:start w:val="1"/>
      <w:numFmt w:val="bullet"/>
      <w:pStyle w:val="TableBullet"/>
      <w:lvlText w:val=""/>
      <w:lvlJc w:val="left"/>
      <w:pPr>
        <w:tabs>
          <w:tab w:val="num" w:pos="170"/>
        </w:tabs>
        <w:ind w:left="170" w:hanging="170"/>
      </w:pPr>
      <w:rPr>
        <w:rFonts w:ascii="Symbol" w:hAnsi="Symbol" w:hint="default"/>
        <w:b w:val="0"/>
        <w:i w:val="0"/>
        <w:sz w:val="18"/>
      </w:rPr>
    </w:lvl>
  </w:abstractNum>
  <w:abstractNum w:abstractNumId="20">
    <w:nsid w:val="56107838"/>
    <w:multiLevelType w:val="singleLevel"/>
    <w:tmpl w:val="775A3F3A"/>
    <w:lvl w:ilvl="0">
      <w:start w:val="1"/>
      <w:numFmt w:val="bullet"/>
      <w:pStyle w:val="QuoteBullet"/>
      <w:lvlText w:val=""/>
      <w:lvlJc w:val="left"/>
      <w:pPr>
        <w:tabs>
          <w:tab w:val="num" w:pos="680"/>
        </w:tabs>
        <w:ind w:left="680" w:hanging="340"/>
      </w:pPr>
      <w:rPr>
        <w:rFonts w:ascii="Symbol" w:hAnsi="Symbol" w:hint="default"/>
        <w:sz w:val="18"/>
      </w:rPr>
    </w:lvl>
  </w:abstractNum>
  <w:abstractNum w:abstractNumId="21">
    <w:nsid w:val="592D6D4E"/>
    <w:multiLevelType w:val="hybridMultilevel"/>
    <w:tmpl w:val="0C44FF7A"/>
    <w:lvl w:ilvl="0" w:tplc="B4385E08">
      <w:start w:val="1"/>
      <w:numFmt w:val="bullet"/>
      <w:pStyle w:val="BoxListBullet3"/>
      <w:lvlText w:val=""/>
      <w:lvlJc w:val="left"/>
      <w:pPr>
        <w:ind w:left="1287" w:hanging="360"/>
      </w:pPr>
      <w:rPr>
        <w:rFonts w:ascii="MT Extra" w:hAnsi="MT Extra" w:hint="default"/>
        <w:b w:val="0"/>
        <w:i w:val="0"/>
        <w:sz w:val="16"/>
      </w:rPr>
    </w:lvl>
    <w:lvl w:ilvl="1" w:tplc="0C090003" w:tentative="1">
      <w:start w:val="1"/>
      <w:numFmt w:val="bullet"/>
      <w:lvlText w:val="o"/>
      <w:lvlJc w:val="left"/>
      <w:pPr>
        <w:ind w:left="2007" w:hanging="360"/>
      </w:pPr>
      <w:rPr>
        <w:rFonts w:ascii="Courier New" w:hAnsi="Courier New" w:cs="Courier New" w:hint="default"/>
      </w:rPr>
    </w:lvl>
    <w:lvl w:ilvl="2" w:tplc="0C090005" w:tentative="1">
      <w:start w:val="1"/>
      <w:numFmt w:val="bullet"/>
      <w:lvlText w:val=""/>
      <w:lvlJc w:val="left"/>
      <w:pPr>
        <w:ind w:left="2727" w:hanging="360"/>
      </w:pPr>
      <w:rPr>
        <w:rFonts w:ascii="Wingdings" w:hAnsi="Wingdings" w:hint="default"/>
      </w:rPr>
    </w:lvl>
    <w:lvl w:ilvl="3" w:tplc="0C090001" w:tentative="1">
      <w:start w:val="1"/>
      <w:numFmt w:val="bullet"/>
      <w:lvlText w:val=""/>
      <w:lvlJc w:val="left"/>
      <w:pPr>
        <w:ind w:left="3447" w:hanging="360"/>
      </w:pPr>
      <w:rPr>
        <w:rFonts w:ascii="Symbol" w:hAnsi="Symbol" w:hint="default"/>
      </w:rPr>
    </w:lvl>
    <w:lvl w:ilvl="4" w:tplc="0C090003" w:tentative="1">
      <w:start w:val="1"/>
      <w:numFmt w:val="bullet"/>
      <w:lvlText w:val="o"/>
      <w:lvlJc w:val="left"/>
      <w:pPr>
        <w:ind w:left="4167" w:hanging="360"/>
      </w:pPr>
      <w:rPr>
        <w:rFonts w:ascii="Courier New" w:hAnsi="Courier New" w:cs="Courier New" w:hint="default"/>
      </w:rPr>
    </w:lvl>
    <w:lvl w:ilvl="5" w:tplc="0C090005" w:tentative="1">
      <w:start w:val="1"/>
      <w:numFmt w:val="bullet"/>
      <w:lvlText w:val=""/>
      <w:lvlJc w:val="left"/>
      <w:pPr>
        <w:ind w:left="4887" w:hanging="360"/>
      </w:pPr>
      <w:rPr>
        <w:rFonts w:ascii="Wingdings" w:hAnsi="Wingdings" w:hint="default"/>
      </w:rPr>
    </w:lvl>
    <w:lvl w:ilvl="6" w:tplc="0C090001" w:tentative="1">
      <w:start w:val="1"/>
      <w:numFmt w:val="bullet"/>
      <w:lvlText w:val=""/>
      <w:lvlJc w:val="left"/>
      <w:pPr>
        <w:ind w:left="5607" w:hanging="360"/>
      </w:pPr>
      <w:rPr>
        <w:rFonts w:ascii="Symbol" w:hAnsi="Symbol" w:hint="default"/>
      </w:rPr>
    </w:lvl>
    <w:lvl w:ilvl="7" w:tplc="0C090003" w:tentative="1">
      <w:start w:val="1"/>
      <w:numFmt w:val="bullet"/>
      <w:lvlText w:val="o"/>
      <w:lvlJc w:val="left"/>
      <w:pPr>
        <w:ind w:left="6327" w:hanging="360"/>
      </w:pPr>
      <w:rPr>
        <w:rFonts w:ascii="Courier New" w:hAnsi="Courier New" w:cs="Courier New" w:hint="default"/>
      </w:rPr>
    </w:lvl>
    <w:lvl w:ilvl="8" w:tplc="0C090005" w:tentative="1">
      <w:start w:val="1"/>
      <w:numFmt w:val="bullet"/>
      <w:lvlText w:val=""/>
      <w:lvlJc w:val="left"/>
      <w:pPr>
        <w:ind w:left="7047" w:hanging="360"/>
      </w:pPr>
      <w:rPr>
        <w:rFonts w:ascii="Wingdings" w:hAnsi="Wingdings" w:hint="default"/>
      </w:rPr>
    </w:lvl>
  </w:abstractNum>
  <w:abstractNum w:abstractNumId="22">
    <w:nsid w:val="643516F3"/>
    <w:multiLevelType w:val="singleLevel"/>
    <w:tmpl w:val="C05AE1DC"/>
    <w:lvl w:ilvl="0">
      <w:start w:val="1"/>
      <w:numFmt w:val="bullet"/>
      <w:pStyle w:val="ListBullet3"/>
      <w:lvlText w:val=""/>
      <w:lvlJc w:val="left"/>
      <w:pPr>
        <w:tabs>
          <w:tab w:val="num" w:pos="1021"/>
        </w:tabs>
        <w:ind w:left="1021" w:hanging="341"/>
      </w:pPr>
      <w:rPr>
        <w:rFonts w:ascii="MT Extra" w:hAnsi="MT Extra" w:hint="default"/>
        <w:b w:val="0"/>
        <w:i w:val="0"/>
        <w:sz w:val="16"/>
      </w:rPr>
    </w:lvl>
  </w:abstractNum>
  <w:abstractNum w:abstractNumId="23">
    <w:nsid w:val="65FD5A5B"/>
    <w:multiLevelType w:val="multilevel"/>
    <w:tmpl w:val="447226A0"/>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4">
    <w:nsid w:val="6B740744"/>
    <w:multiLevelType w:val="singleLevel"/>
    <w:tmpl w:val="B4744B66"/>
    <w:lvl w:ilvl="0">
      <w:start w:val="1"/>
      <w:numFmt w:val="decimal"/>
      <w:lvlText w:val="%1."/>
      <w:legacy w:legacy="1" w:legacySpace="0" w:legacyIndent="340"/>
      <w:lvlJc w:val="left"/>
      <w:pPr>
        <w:ind w:left="340" w:hanging="340"/>
      </w:pPr>
    </w:lvl>
  </w:abstractNum>
  <w:abstractNum w:abstractNumId="25">
    <w:nsid w:val="7A1373DF"/>
    <w:multiLevelType w:val="singleLevel"/>
    <w:tmpl w:val="66CC34AA"/>
    <w:lvl w:ilvl="0">
      <w:start w:val="1"/>
      <w:numFmt w:val="bullet"/>
      <w:pStyle w:val="FindingBullet"/>
      <w:lvlText w:val=""/>
      <w:lvlJc w:val="left"/>
      <w:pPr>
        <w:tabs>
          <w:tab w:val="num" w:pos="340"/>
        </w:tabs>
        <w:ind w:left="340" w:hanging="340"/>
      </w:pPr>
      <w:rPr>
        <w:rFonts w:ascii="Symbol" w:hAnsi="Symbol" w:hint="default"/>
        <w:b w:val="0"/>
        <w:i w:val="0"/>
        <w:sz w:val="18"/>
      </w:rPr>
    </w:lvl>
  </w:abstractNum>
  <w:abstractNum w:abstractNumId="26">
    <w:nsid w:val="7BFA7D75"/>
    <w:multiLevelType w:val="singleLevel"/>
    <w:tmpl w:val="B4C476FC"/>
    <w:lvl w:ilvl="0">
      <w:start w:val="1"/>
      <w:numFmt w:val="bullet"/>
      <w:pStyle w:val="RecBullet"/>
      <w:lvlText w:val=""/>
      <w:lvlJc w:val="left"/>
      <w:pPr>
        <w:tabs>
          <w:tab w:val="num" w:pos="340"/>
        </w:tabs>
        <w:ind w:left="340" w:hanging="340"/>
      </w:pPr>
      <w:rPr>
        <w:rFonts w:ascii="Symbol" w:hAnsi="Symbol" w:hint="default"/>
        <w:b w:val="0"/>
        <w:i w:val="0"/>
        <w:sz w:val="18"/>
      </w:rPr>
    </w:lvl>
  </w:abstractNum>
  <w:num w:numId="1">
    <w:abstractNumId w:val="5"/>
  </w:num>
  <w:num w:numId="2">
    <w:abstractNumId w:val="3"/>
  </w:num>
  <w:num w:numId="3">
    <w:abstractNumId w:val="2"/>
  </w:num>
  <w:num w:numId="4">
    <w:abstractNumId w:val="4"/>
  </w:num>
  <w:num w:numId="5">
    <w:abstractNumId w:val="1"/>
  </w:num>
  <w:num w:numId="6">
    <w:abstractNumId w:val="0"/>
  </w:num>
  <w:num w:numId="7">
    <w:abstractNumId w:val="6"/>
    <w:lvlOverride w:ilvl="0">
      <w:lvl w:ilvl="0">
        <w:start w:val="1"/>
        <w:numFmt w:val="bullet"/>
        <w:lvlText w:val=""/>
        <w:legacy w:legacy="1" w:legacySpace="0" w:legacyIndent="340"/>
        <w:lvlJc w:val="left"/>
        <w:pPr>
          <w:ind w:left="340" w:hanging="340"/>
        </w:pPr>
        <w:rPr>
          <w:rFonts w:ascii="Symbol" w:hAnsi="Symbol" w:hint="default"/>
          <w:sz w:val="18"/>
        </w:rPr>
      </w:lvl>
    </w:lvlOverride>
  </w:num>
  <w:num w:numId="8">
    <w:abstractNumId w:val="6"/>
    <w:lvlOverride w:ilvl="0">
      <w:lvl w:ilvl="0">
        <w:start w:val="1"/>
        <w:numFmt w:val="bullet"/>
        <w:lvlText w:val=""/>
        <w:legacy w:legacy="1" w:legacySpace="0" w:legacyIndent="340"/>
        <w:lvlJc w:val="left"/>
        <w:pPr>
          <w:ind w:left="680" w:hanging="340"/>
        </w:pPr>
        <w:rPr>
          <w:rFonts w:ascii="Symbol" w:hAnsi="Symbol" w:hint="default"/>
        </w:rPr>
      </w:lvl>
    </w:lvlOverride>
  </w:num>
  <w:num w:numId="9">
    <w:abstractNumId w:val="6"/>
    <w:lvlOverride w:ilvl="0">
      <w:lvl w:ilvl="0">
        <w:start w:val="1"/>
        <w:numFmt w:val="bullet"/>
        <w:lvlText w:val=""/>
        <w:legacy w:legacy="1" w:legacySpace="0" w:legacyIndent="340"/>
        <w:lvlJc w:val="left"/>
        <w:pPr>
          <w:ind w:left="1020" w:hanging="340"/>
        </w:pPr>
        <w:rPr>
          <w:rFonts w:ascii="MT Extra" w:hAnsi="MT Extra" w:hint="default"/>
        </w:rPr>
      </w:lvl>
    </w:lvlOverride>
  </w:num>
  <w:num w:numId="10">
    <w:abstractNumId w:val="6"/>
    <w:lvlOverride w:ilvl="0">
      <w:lvl w:ilvl="0">
        <w:start w:val="1"/>
        <w:numFmt w:val="bullet"/>
        <w:lvlText w:val=""/>
        <w:legacy w:legacy="1" w:legacySpace="0" w:legacyIndent="284"/>
        <w:lvlJc w:val="left"/>
        <w:pPr>
          <w:ind w:left="284" w:hanging="284"/>
        </w:pPr>
        <w:rPr>
          <w:rFonts w:ascii="Symbol" w:hAnsi="Symbol" w:hint="default"/>
          <w:sz w:val="18"/>
        </w:rPr>
      </w:lvl>
    </w:lvlOverride>
  </w:num>
  <w:num w:numId="11">
    <w:abstractNumId w:val="6"/>
    <w:lvlOverride w:ilvl="0">
      <w:lvl w:ilvl="0">
        <w:start w:val="1"/>
        <w:numFmt w:val="bullet"/>
        <w:lvlText w:val=""/>
        <w:legacy w:legacy="1" w:legacySpace="0" w:legacyIndent="283"/>
        <w:lvlJc w:val="left"/>
        <w:pPr>
          <w:ind w:left="283" w:hanging="283"/>
        </w:pPr>
        <w:rPr>
          <w:rFonts w:ascii="Symbol" w:hAnsi="Symbol" w:hint="default"/>
        </w:rPr>
      </w:lvl>
    </w:lvlOverride>
  </w:num>
  <w:num w:numId="12">
    <w:abstractNumId w:val="24"/>
  </w:num>
  <w:num w:numId="13">
    <w:abstractNumId w:val="16"/>
  </w:num>
  <w:num w:numId="14">
    <w:abstractNumId w:val="8"/>
  </w:num>
  <w:num w:numId="15">
    <w:abstractNumId w:val="25"/>
  </w:num>
  <w:num w:numId="16">
    <w:abstractNumId w:val="18"/>
  </w:num>
  <w:num w:numId="17">
    <w:abstractNumId w:val="7"/>
  </w:num>
  <w:num w:numId="18">
    <w:abstractNumId w:val="22"/>
  </w:num>
  <w:num w:numId="19">
    <w:abstractNumId w:val="20"/>
  </w:num>
  <w:num w:numId="20">
    <w:abstractNumId w:val="26"/>
  </w:num>
  <w:num w:numId="21">
    <w:abstractNumId w:val="13"/>
  </w:num>
  <w:num w:numId="22">
    <w:abstractNumId w:val="11"/>
  </w:num>
  <w:num w:numId="23">
    <w:abstractNumId w:val="19"/>
  </w:num>
  <w:num w:numId="24">
    <w:abstractNumId w:val="12"/>
  </w:num>
  <w:num w:numId="25">
    <w:abstractNumId w:val="10"/>
  </w:num>
  <w:num w:numId="26">
    <w:abstractNumId w:val="10"/>
  </w:num>
  <w:num w:numId="27">
    <w:abstractNumId w:val="10"/>
  </w:num>
  <w:num w:numId="28">
    <w:abstractNumId w:val="10"/>
  </w:num>
  <w:num w:numId="29">
    <w:abstractNumId w:val="15"/>
  </w:num>
  <w:num w:numId="30">
    <w:abstractNumId w:val="9"/>
  </w:num>
  <w:num w:numId="31">
    <w:abstractNumId w:val="18"/>
  </w:num>
  <w:num w:numId="32">
    <w:abstractNumId w:val="16"/>
  </w:num>
  <w:num w:numId="33">
    <w:abstractNumId w:val="8"/>
  </w:num>
  <w:num w:numId="34">
    <w:abstractNumId w:val="22"/>
  </w:num>
  <w:num w:numId="35">
    <w:abstractNumId w:val="21"/>
  </w:num>
  <w:num w:numId="36">
    <w:abstractNumId w:val="9"/>
  </w:num>
  <w:num w:numId="37">
    <w:abstractNumId w:val="9"/>
  </w:num>
  <w:num w:numId="38">
    <w:abstractNumId w:val="14"/>
  </w:num>
  <w:num w:numId="39">
    <w:abstractNumId w:val="25"/>
  </w:num>
  <w:num w:numId="40">
    <w:abstractNumId w:val="18"/>
  </w:num>
  <w:num w:numId="41">
    <w:abstractNumId w:val="17"/>
  </w:num>
  <w:num w:numId="42">
    <w:abstractNumId w:val="7"/>
  </w:num>
  <w:num w:numId="43">
    <w:abstractNumId w:val="10"/>
  </w:num>
  <w:num w:numId="44">
    <w:abstractNumId w:val="10"/>
  </w:num>
  <w:num w:numId="45">
    <w:abstractNumId w:val="10"/>
  </w:num>
  <w:num w:numId="46">
    <w:abstractNumId w:val="20"/>
  </w:num>
  <w:num w:numId="47">
    <w:abstractNumId w:val="26"/>
  </w:num>
  <w:num w:numId="48">
    <w:abstractNumId w:val="19"/>
  </w:num>
  <w:num w:numId="4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mirrorMargins/>
  <w:proofState w:spelling="clean"/>
  <w:attachedTemplate r:id="rId1"/>
  <w:stylePaneFormatFilter w:val="2801" w:allStyles="1" w:customStyles="0" w:latentStyles="0" w:stylesInUse="0" w:headingStyles="0" w:numberingStyles="0" w:tableStyles="0" w:directFormattingOnRuns="0" w:directFormattingOnParagraphs="0" w:directFormattingOnNumbering="0" w:directFormattingOnTables="1" w:clearFormatting="0" w:top3HeadingStyles="1" w:visibleStyles="0" w:alternateStyleNames="0"/>
  <w:defaultTabStop w:val="567"/>
  <w:evenAndOddHeaders/>
  <w:displayHorizontalDrawingGridEvery w:val="0"/>
  <w:displayVerticalDrawingGridEvery w:val="0"/>
  <w:doNotUseMarginsForDrawingGridOrigin/>
  <w:noPunctuationKerning/>
  <w:characterSpacingControl w:val="doNotCompress"/>
  <w:hdrShapeDefaults>
    <o:shapedefaults v:ext="edit" spidmax="38913"/>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0133"/>
    <w:rsid w:val="00017AFC"/>
    <w:rsid w:val="00025878"/>
    <w:rsid w:val="00026B38"/>
    <w:rsid w:val="000502D3"/>
    <w:rsid w:val="00052CB2"/>
    <w:rsid w:val="000623BF"/>
    <w:rsid w:val="00064D5B"/>
    <w:rsid w:val="000779EB"/>
    <w:rsid w:val="00095EEA"/>
    <w:rsid w:val="00097C15"/>
    <w:rsid w:val="000A0A0E"/>
    <w:rsid w:val="000A5E12"/>
    <w:rsid w:val="000B416E"/>
    <w:rsid w:val="000F185F"/>
    <w:rsid w:val="000F2F5F"/>
    <w:rsid w:val="00106041"/>
    <w:rsid w:val="0010611E"/>
    <w:rsid w:val="00122FE9"/>
    <w:rsid w:val="00131572"/>
    <w:rsid w:val="00131D4F"/>
    <w:rsid w:val="0013399B"/>
    <w:rsid w:val="00134524"/>
    <w:rsid w:val="00180515"/>
    <w:rsid w:val="00181F4B"/>
    <w:rsid w:val="00186B20"/>
    <w:rsid w:val="00190919"/>
    <w:rsid w:val="0019209C"/>
    <w:rsid w:val="00196FB3"/>
    <w:rsid w:val="001A5071"/>
    <w:rsid w:val="001B4E73"/>
    <w:rsid w:val="001B7F1E"/>
    <w:rsid w:val="001D4B1F"/>
    <w:rsid w:val="001D6629"/>
    <w:rsid w:val="001E3390"/>
    <w:rsid w:val="001F2270"/>
    <w:rsid w:val="00203B40"/>
    <w:rsid w:val="00205A82"/>
    <w:rsid w:val="00211BEE"/>
    <w:rsid w:val="002179C6"/>
    <w:rsid w:val="00261607"/>
    <w:rsid w:val="00263DD1"/>
    <w:rsid w:val="00264D3B"/>
    <w:rsid w:val="00265685"/>
    <w:rsid w:val="00271B0C"/>
    <w:rsid w:val="00281D5F"/>
    <w:rsid w:val="00290C20"/>
    <w:rsid w:val="002923AD"/>
    <w:rsid w:val="00296592"/>
    <w:rsid w:val="002A0A4B"/>
    <w:rsid w:val="002A499E"/>
    <w:rsid w:val="002B636E"/>
    <w:rsid w:val="002B64D6"/>
    <w:rsid w:val="002C12F5"/>
    <w:rsid w:val="002D6FCE"/>
    <w:rsid w:val="002F1D50"/>
    <w:rsid w:val="00340511"/>
    <w:rsid w:val="0038647D"/>
    <w:rsid w:val="00393A49"/>
    <w:rsid w:val="00397C95"/>
    <w:rsid w:val="003A2C6C"/>
    <w:rsid w:val="003B41E0"/>
    <w:rsid w:val="003C3D73"/>
    <w:rsid w:val="003D624D"/>
    <w:rsid w:val="003E7802"/>
    <w:rsid w:val="0042007A"/>
    <w:rsid w:val="00433C81"/>
    <w:rsid w:val="00446D6B"/>
    <w:rsid w:val="004508EC"/>
    <w:rsid w:val="00457B3F"/>
    <w:rsid w:val="00463022"/>
    <w:rsid w:val="00481CF0"/>
    <w:rsid w:val="00496D33"/>
    <w:rsid w:val="004B492A"/>
    <w:rsid w:val="004C0B0C"/>
    <w:rsid w:val="004D3F58"/>
    <w:rsid w:val="004E52E2"/>
    <w:rsid w:val="004E6BB4"/>
    <w:rsid w:val="004E7D3C"/>
    <w:rsid w:val="005053DF"/>
    <w:rsid w:val="00515D43"/>
    <w:rsid w:val="0052544D"/>
    <w:rsid w:val="00526B19"/>
    <w:rsid w:val="005353B0"/>
    <w:rsid w:val="00551FB8"/>
    <w:rsid w:val="005537F6"/>
    <w:rsid w:val="00560F43"/>
    <w:rsid w:val="005654D0"/>
    <w:rsid w:val="00580133"/>
    <w:rsid w:val="00585B3F"/>
    <w:rsid w:val="005B17AB"/>
    <w:rsid w:val="005C68FE"/>
    <w:rsid w:val="005F7D30"/>
    <w:rsid w:val="00602523"/>
    <w:rsid w:val="006040CB"/>
    <w:rsid w:val="00604351"/>
    <w:rsid w:val="00607D8A"/>
    <w:rsid w:val="00611432"/>
    <w:rsid w:val="0061590F"/>
    <w:rsid w:val="00630818"/>
    <w:rsid w:val="00636497"/>
    <w:rsid w:val="00641AE2"/>
    <w:rsid w:val="0064456A"/>
    <w:rsid w:val="00650DDA"/>
    <w:rsid w:val="0065126A"/>
    <w:rsid w:val="00653FA6"/>
    <w:rsid w:val="0067557D"/>
    <w:rsid w:val="006802D4"/>
    <w:rsid w:val="00683849"/>
    <w:rsid w:val="00691AB5"/>
    <w:rsid w:val="006E1E6B"/>
    <w:rsid w:val="006F0EAC"/>
    <w:rsid w:val="006F6A85"/>
    <w:rsid w:val="0070328D"/>
    <w:rsid w:val="00731F96"/>
    <w:rsid w:val="00734127"/>
    <w:rsid w:val="0073478D"/>
    <w:rsid w:val="00735FEA"/>
    <w:rsid w:val="00743460"/>
    <w:rsid w:val="00743A27"/>
    <w:rsid w:val="007448F7"/>
    <w:rsid w:val="0075065D"/>
    <w:rsid w:val="00753DC6"/>
    <w:rsid w:val="0075578C"/>
    <w:rsid w:val="00755EA4"/>
    <w:rsid w:val="00766150"/>
    <w:rsid w:val="00766DFB"/>
    <w:rsid w:val="007734B5"/>
    <w:rsid w:val="007809B8"/>
    <w:rsid w:val="007813A6"/>
    <w:rsid w:val="00791AFA"/>
    <w:rsid w:val="007E7C45"/>
    <w:rsid w:val="00805FD7"/>
    <w:rsid w:val="00806E54"/>
    <w:rsid w:val="008206EE"/>
    <w:rsid w:val="0082086B"/>
    <w:rsid w:val="008214B1"/>
    <w:rsid w:val="008273A9"/>
    <w:rsid w:val="0083116F"/>
    <w:rsid w:val="00836ED7"/>
    <w:rsid w:val="00841FC6"/>
    <w:rsid w:val="0084355E"/>
    <w:rsid w:val="008453AC"/>
    <w:rsid w:val="00860D09"/>
    <w:rsid w:val="00862044"/>
    <w:rsid w:val="0086396F"/>
    <w:rsid w:val="00873D46"/>
    <w:rsid w:val="008741D4"/>
    <w:rsid w:val="00880BF7"/>
    <w:rsid w:val="0089269F"/>
    <w:rsid w:val="008A194B"/>
    <w:rsid w:val="008A2133"/>
    <w:rsid w:val="008A3857"/>
    <w:rsid w:val="008B2205"/>
    <w:rsid w:val="008C08EF"/>
    <w:rsid w:val="008C305F"/>
    <w:rsid w:val="008C3AD2"/>
    <w:rsid w:val="008C7C3D"/>
    <w:rsid w:val="008D6F66"/>
    <w:rsid w:val="008E1BEA"/>
    <w:rsid w:val="008E242D"/>
    <w:rsid w:val="008E43D2"/>
    <w:rsid w:val="008E5248"/>
    <w:rsid w:val="008F04C9"/>
    <w:rsid w:val="008F1525"/>
    <w:rsid w:val="008F7C50"/>
    <w:rsid w:val="008F7DB7"/>
    <w:rsid w:val="00904FC0"/>
    <w:rsid w:val="009064D3"/>
    <w:rsid w:val="00911D82"/>
    <w:rsid w:val="00915300"/>
    <w:rsid w:val="00933B0C"/>
    <w:rsid w:val="00935676"/>
    <w:rsid w:val="00946E08"/>
    <w:rsid w:val="009761B2"/>
    <w:rsid w:val="0098401D"/>
    <w:rsid w:val="009A789F"/>
    <w:rsid w:val="009B12EF"/>
    <w:rsid w:val="009B48F7"/>
    <w:rsid w:val="009B6185"/>
    <w:rsid w:val="009C6C6D"/>
    <w:rsid w:val="009E1E78"/>
    <w:rsid w:val="009E6144"/>
    <w:rsid w:val="00A1597D"/>
    <w:rsid w:val="00A2532C"/>
    <w:rsid w:val="00A361CF"/>
    <w:rsid w:val="00A46989"/>
    <w:rsid w:val="00A469AA"/>
    <w:rsid w:val="00A71CE9"/>
    <w:rsid w:val="00A72A19"/>
    <w:rsid w:val="00A75A30"/>
    <w:rsid w:val="00A82FC4"/>
    <w:rsid w:val="00A93C82"/>
    <w:rsid w:val="00AB2A48"/>
    <w:rsid w:val="00AC3236"/>
    <w:rsid w:val="00AD4874"/>
    <w:rsid w:val="00AE1F8A"/>
    <w:rsid w:val="00B036B2"/>
    <w:rsid w:val="00B04D19"/>
    <w:rsid w:val="00B06FF7"/>
    <w:rsid w:val="00B153C3"/>
    <w:rsid w:val="00B22087"/>
    <w:rsid w:val="00B722F2"/>
    <w:rsid w:val="00B80355"/>
    <w:rsid w:val="00B90958"/>
    <w:rsid w:val="00B95339"/>
    <w:rsid w:val="00BA0B81"/>
    <w:rsid w:val="00BA311E"/>
    <w:rsid w:val="00BB334E"/>
    <w:rsid w:val="00BB5DCF"/>
    <w:rsid w:val="00BC2476"/>
    <w:rsid w:val="00BD77F3"/>
    <w:rsid w:val="00BF59EA"/>
    <w:rsid w:val="00BF79CD"/>
    <w:rsid w:val="00C058AB"/>
    <w:rsid w:val="00C0721B"/>
    <w:rsid w:val="00C34C8C"/>
    <w:rsid w:val="00C50792"/>
    <w:rsid w:val="00C51371"/>
    <w:rsid w:val="00C55A45"/>
    <w:rsid w:val="00C670DE"/>
    <w:rsid w:val="00C765A8"/>
    <w:rsid w:val="00C904D9"/>
    <w:rsid w:val="00C92AAE"/>
    <w:rsid w:val="00C94C06"/>
    <w:rsid w:val="00CA48BF"/>
    <w:rsid w:val="00CB3ACC"/>
    <w:rsid w:val="00CB4745"/>
    <w:rsid w:val="00CD2163"/>
    <w:rsid w:val="00CD4FE7"/>
    <w:rsid w:val="00CD5E6B"/>
    <w:rsid w:val="00CD6DA6"/>
    <w:rsid w:val="00CE4FBC"/>
    <w:rsid w:val="00CE5D96"/>
    <w:rsid w:val="00CE7344"/>
    <w:rsid w:val="00CF26EE"/>
    <w:rsid w:val="00D046A6"/>
    <w:rsid w:val="00D310F0"/>
    <w:rsid w:val="00D32F37"/>
    <w:rsid w:val="00D37AC2"/>
    <w:rsid w:val="00D500A9"/>
    <w:rsid w:val="00D61180"/>
    <w:rsid w:val="00D64121"/>
    <w:rsid w:val="00D67119"/>
    <w:rsid w:val="00D732FE"/>
    <w:rsid w:val="00D74E25"/>
    <w:rsid w:val="00D772E9"/>
    <w:rsid w:val="00D82E10"/>
    <w:rsid w:val="00D969AE"/>
    <w:rsid w:val="00DA31AB"/>
    <w:rsid w:val="00DA3281"/>
    <w:rsid w:val="00DA6D3E"/>
    <w:rsid w:val="00DA7FDA"/>
    <w:rsid w:val="00DC02E8"/>
    <w:rsid w:val="00DC75C7"/>
    <w:rsid w:val="00DC78D3"/>
    <w:rsid w:val="00DD1077"/>
    <w:rsid w:val="00DE1E1C"/>
    <w:rsid w:val="00DE775B"/>
    <w:rsid w:val="00DF00FE"/>
    <w:rsid w:val="00DF4592"/>
    <w:rsid w:val="00E15FDC"/>
    <w:rsid w:val="00E2651B"/>
    <w:rsid w:val="00E30DDB"/>
    <w:rsid w:val="00E317F8"/>
    <w:rsid w:val="00E44F5D"/>
    <w:rsid w:val="00E6632E"/>
    <w:rsid w:val="00E90CF2"/>
    <w:rsid w:val="00EA1ADF"/>
    <w:rsid w:val="00EC1B53"/>
    <w:rsid w:val="00EC38C1"/>
    <w:rsid w:val="00EC628B"/>
    <w:rsid w:val="00ED0F61"/>
    <w:rsid w:val="00ED3A38"/>
    <w:rsid w:val="00ED4AA5"/>
    <w:rsid w:val="00EE3F6D"/>
    <w:rsid w:val="00EE73E1"/>
    <w:rsid w:val="00F011C8"/>
    <w:rsid w:val="00F12107"/>
    <w:rsid w:val="00F13165"/>
    <w:rsid w:val="00F24344"/>
    <w:rsid w:val="00F315F4"/>
    <w:rsid w:val="00F35F9D"/>
    <w:rsid w:val="00F4234E"/>
    <w:rsid w:val="00F61429"/>
    <w:rsid w:val="00F64BC4"/>
    <w:rsid w:val="00F7477E"/>
    <w:rsid w:val="00F85393"/>
    <w:rsid w:val="00FA4A24"/>
    <w:rsid w:val="00FC41B4"/>
    <w:rsid w:val="00FC5A6B"/>
    <w:rsid w:val="00FD06C0"/>
    <w:rsid w:val="00FD4728"/>
    <w:rsid w:val="00FD741A"/>
    <w:rsid w:val="00FF2250"/>
    <w:rsid w:val="00FF67E3"/>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891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Body Text" w:qFormat="1"/>
    <w:lsdException w:name="Subtitle" w:qFormat="1"/>
    <w:lsdException w:name="Strong" w:qFormat="1"/>
    <w:lsdException w:name="Emphasis" w:qFormat="1"/>
    <w:lsdException w:name="HTML Cit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2205"/>
    <w:rPr>
      <w:sz w:val="26"/>
      <w:lang w:eastAsia="en-US"/>
    </w:rPr>
  </w:style>
  <w:style w:type="paragraph" w:styleId="Heading1">
    <w:name w:val="heading 1"/>
    <w:basedOn w:val="Normal"/>
    <w:next w:val="BodyText"/>
    <w:link w:val="Heading1Char"/>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semiHidden/>
    <w:qFormat/>
    <w:pPr>
      <w:spacing w:before="240" w:after="60"/>
      <w:outlineLvl w:val="5"/>
    </w:pPr>
    <w:rPr>
      <w:i/>
      <w:sz w:val="22"/>
    </w:rPr>
  </w:style>
  <w:style w:type="paragraph" w:styleId="Heading7">
    <w:name w:val="heading 7"/>
    <w:basedOn w:val="Normal"/>
    <w:next w:val="Normal"/>
    <w:semiHidden/>
    <w:qFormat/>
    <w:pPr>
      <w:spacing w:before="240" w:after="60"/>
      <w:outlineLvl w:val="6"/>
    </w:pPr>
    <w:rPr>
      <w:rFonts w:ascii="Arial" w:hAnsi="Arial"/>
      <w:sz w:val="20"/>
    </w:rPr>
  </w:style>
  <w:style w:type="paragraph" w:styleId="Heading8">
    <w:name w:val="heading 8"/>
    <w:basedOn w:val="Normal"/>
    <w:next w:val="Normal"/>
    <w:semiHidden/>
    <w:qFormat/>
    <w:pPr>
      <w:spacing w:before="240" w:after="60"/>
      <w:outlineLvl w:val="7"/>
    </w:pPr>
    <w:rPr>
      <w:rFonts w:ascii="Arial" w:hAnsi="Arial"/>
      <w:i/>
      <w:sz w:val="20"/>
    </w:rPr>
  </w:style>
  <w:style w:type="paragraph" w:styleId="Heading9">
    <w:name w:val="heading 9"/>
    <w:basedOn w:val="Normal"/>
    <w:next w:val="Normal"/>
    <w:semiHidden/>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10611E"/>
    <w:pPr>
      <w:spacing w:before="240" w:line="300" w:lineRule="atLeast"/>
      <w:jc w:val="both"/>
    </w:pPr>
    <w:rPr>
      <w:sz w:val="24"/>
    </w:rPr>
  </w:style>
  <w:style w:type="paragraph" w:customStyle="1" w:styleId="Abbreviation">
    <w:name w:val="Abbreviation"/>
    <w:basedOn w:val="BodyText"/>
    <w:pPr>
      <w:spacing w:before="120"/>
      <w:ind w:left="2381" w:hanging="2381"/>
      <w:jc w:val="left"/>
    </w:pPr>
  </w:style>
  <w:style w:type="paragraph" w:customStyle="1" w:styleId="Box">
    <w:name w:val="Box"/>
    <w:basedOn w:val="BodyText"/>
    <w:qFormat/>
    <w:rsid w:val="0010611E"/>
    <w:pPr>
      <w:keepNext/>
      <w:spacing w:before="120" w:line="260" w:lineRule="atLeast"/>
    </w:pPr>
    <w:rPr>
      <w:rFonts w:ascii="Arial" w:hAnsi="Arial"/>
      <w:sz w:val="20"/>
    </w:rPr>
  </w:style>
  <w:style w:type="paragraph" w:customStyle="1" w:styleId="Note">
    <w:name w:val="Note"/>
    <w:basedOn w:val="BodyText"/>
    <w:next w:val="BodyText"/>
    <w:rsid w:val="0010611E"/>
    <w:pPr>
      <w:keepLines/>
      <w:spacing w:before="80" w:line="220" w:lineRule="exact"/>
    </w:pPr>
    <w:rPr>
      <w:rFonts w:ascii="Arial" w:hAnsi="Arial"/>
      <w:sz w:val="18"/>
    </w:rPr>
  </w:style>
  <w:style w:type="paragraph" w:customStyle="1" w:styleId="Source">
    <w:name w:val="Source"/>
    <w:basedOn w:val="Normal"/>
    <w:next w:val="BodyText"/>
    <w:rsid w:val="0010611E"/>
    <w:pPr>
      <w:keepLines/>
      <w:spacing w:before="80" w:line="220" w:lineRule="exact"/>
      <w:jc w:val="both"/>
    </w:pPr>
    <w:rPr>
      <w:rFonts w:ascii="Arial" w:hAnsi="Arial"/>
      <w:sz w:val="18"/>
      <w:lang w:eastAsia="en-AU"/>
    </w:rPr>
  </w:style>
  <w:style w:type="paragraph" w:customStyle="1" w:styleId="BoxSource">
    <w:name w:val="Box Source"/>
    <w:basedOn w:val="Source"/>
    <w:next w:val="BodyText"/>
    <w:rsid w:val="0010611E"/>
    <w:pPr>
      <w:spacing w:before="12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dyText"/>
    <w:next w:val="Box"/>
    <w:rsid w:val="0010611E"/>
    <w:pPr>
      <w:keepNext/>
      <w:spacing w:before="200" w:line="280" w:lineRule="atLeast"/>
    </w:pPr>
    <w:rPr>
      <w:rFonts w:ascii="Arial" w:hAnsi="Arial"/>
      <w:b/>
      <w:sz w:val="22"/>
    </w:rPr>
  </w:style>
  <w:style w:type="paragraph" w:customStyle="1" w:styleId="BoxHeading2">
    <w:name w:val="Box Heading 2"/>
    <w:basedOn w:val="BoxHeading1"/>
    <w:next w:val="Normal"/>
    <w:rsid w:val="0010611E"/>
    <w:rPr>
      <w:b w:val="0"/>
      <w:i/>
    </w:rPr>
  </w:style>
  <w:style w:type="paragraph" w:customStyle="1" w:styleId="BoxListBullet">
    <w:name w:val="Box List Bullet"/>
    <w:basedOn w:val="BodyText"/>
    <w:rsid w:val="0010611E"/>
    <w:pPr>
      <w:keepNext/>
      <w:numPr>
        <w:numId w:val="32"/>
      </w:numPr>
      <w:spacing w:before="100" w:line="260" w:lineRule="atLeast"/>
    </w:pPr>
    <w:rPr>
      <w:rFonts w:ascii="Arial" w:hAnsi="Arial"/>
      <w:sz w:val="20"/>
    </w:rPr>
  </w:style>
  <w:style w:type="paragraph" w:customStyle="1" w:styleId="BoxListBullet2">
    <w:name w:val="Box List Bullet 2"/>
    <w:basedOn w:val="BoxListBullet"/>
    <w:rsid w:val="0010611E"/>
    <w:pPr>
      <w:numPr>
        <w:numId w:val="33"/>
      </w:numPr>
    </w:pPr>
  </w:style>
  <w:style w:type="paragraph" w:customStyle="1" w:styleId="BoxListNumber">
    <w:name w:val="Box List Number"/>
    <w:basedOn w:val="BodyText"/>
    <w:rsid w:val="0010611E"/>
    <w:pPr>
      <w:keepNext/>
      <w:numPr>
        <w:numId w:val="37"/>
      </w:numPr>
      <w:spacing w:before="100" w:line="260" w:lineRule="atLeast"/>
    </w:pPr>
    <w:rPr>
      <w:rFonts w:ascii="Arial" w:hAnsi="Arial"/>
      <w:sz w:val="20"/>
    </w:rPr>
  </w:style>
  <w:style w:type="paragraph" w:customStyle="1" w:styleId="BoxListNumber2">
    <w:name w:val="Box List Number 2"/>
    <w:basedOn w:val="BoxListNumber"/>
    <w:rsid w:val="0010611E"/>
    <w:pPr>
      <w:numPr>
        <w:ilvl w:val="1"/>
      </w:numPr>
    </w:pPr>
  </w:style>
  <w:style w:type="paragraph" w:customStyle="1" w:styleId="BoxQuote">
    <w:name w:val="Box Quote"/>
    <w:basedOn w:val="BodyText"/>
    <w:next w:val="Box"/>
    <w:qFormat/>
    <w:rsid w:val="0010611E"/>
    <w:pPr>
      <w:keepNext/>
      <w:spacing w:before="60" w:line="240" w:lineRule="exact"/>
      <w:ind w:left="284"/>
    </w:pPr>
    <w:rPr>
      <w:rFonts w:ascii="Arial" w:hAnsi="Arial"/>
      <w:sz w:val="18"/>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rsid w:val="0010611E"/>
    <w:pPr>
      <w:spacing w:before="120" w:after="0"/>
    </w:pPr>
    <w:rPr>
      <w:szCs w:val="24"/>
      <w:lang w:eastAsia="en-AU"/>
    </w:rPr>
  </w:style>
  <w:style w:type="paragraph" w:customStyle="1" w:styleId="BoxSubtitle">
    <w:name w:val="Box Subtitle"/>
    <w:basedOn w:val="BoxTitle"/>
    <w:next w:val="Normal"/>
    <w:rsid w:val="0010611E"/>
    <w:pPr>
      <w:spacing w:after="80" w:line="200" w:lineRule="exact"/>
      <w:ind w:firstLine="0"/>
    </w:pPr>
    <w:rPr>
      <w:b w:val="0"/>
      <w:sz w:val="20"/>
    </w:rPr>
  </w:style>
  <w:style w:type="paragraph" w:customStyle="1" w:styleId="Chapter">
    <w:name w:val="Chapter"/>
    <w:basedOn w:val="Heading1"/>
    <w:next w:val="BodyText"/>
    <w:semiHidden/>
    <w:rsid w:val="0010611E"/>
    <w:pPr>
      <w:ind w:left="0" w:firstLine="0"/>
      <w:outlineLvl w:val="9"/>
    </w:pPr>
    <w:rPr>
      <w:kern w:val="0"/>
      <w:lang w:eastAsia="en-AU"/>
    </w:rPr>
  </w:style>
  <w:style w:type="paragraph" w:customStyle="1" w:styleId="ChapterSummary">
    <w:name w:val="Chapter Summary"/>
    <w:basedOn w:val="BodyText"/>
    <w:rsid w:val="0010611E"/>
    <w:pPr>
      <w:spacing w:line="280" w:lineRule="atLeast"/>
      <w:ind w:left="907"/>
    </w:pPr>
    <w:rPr>
      <w:rFonts w:ascii="Arial" w:hAnsi="Arial"/>
      <w:b/>
      <w:sz w:val="20"/>
    </w:rPr>
  </w:style>
  <w:style w:type="character" w:styleId="CommentReference">
    <w:name w:val="annotation reference"/>
    <w:semiHidden/>
    <w:rPr>
      <w:b/>
      <w:vanish/>
      <w:color w:val="FF00FF"/>
      <w:sz w:val="20"/>
    </w:rPr>
  </w:style>
  <w:style w:type="paragraph" w:styleId="CommentText">
    <w:name w:val="annotation text"/>
    <w:basedOn w:val="Normal"/>
    <w:link w:val="CommentTextChar"/>
    <w:semiHidden/>
    <w:pPr>
      <w:spacing w:before="120" w:line="240" w:lineRule="atLeast"/>
      <w:ind w:left="567" w:hanging="567"/>
    </w:pPr>
    <w:rPr>
      <w:sz w:val="20"/>
    </w:rPr>
  </w:style>
  <w:style w:type="paragraph" w:customStyle="1" w:styleId="Continued">
    <w:name w:val="Continued"/>
    <w:basedOn w:val="Normal"/>
    <w:next w:val="BodyText"/>
    <w:rsid w:val="0010611E"/>
    <w:pPr>
      <w:spacing w:before="180" w:line="220" w:lineRule="exact"/>
      <w:jc w:val="right"/>
    </w:pPr>
    <w:rPr>
      <w:rFonts w:ascii="Arial" w:hAnsi="Arial"/>
      <w:sz w:val="18"/>
      <w:lang w:eastAsia="en-AU"/>
    </w:rPr>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link w:val="FooterChar"/>
    <w:rsid w:val="008273A9"/>
    <w:pPr>
      <w:spacing w:before="80" w:line="200" w:lineRule="exact"/>
      <w:ind w:right="6"/>
    </w:pPr>
    <w:rPr>
      <w:rFonts w:ascii="Arial" w:hAnsi="Arial"/>
      <w:caps/>
      <w:spacing w:val="-4"/>
      <w:sz w:val="16"/>
    </w:rPr>
  </w:style>
  <w:style w:type="character" w:customStyle="1" w:styleId="DocumentInfo">
    <w:name w:val="Document Info"/>
    <w:semiHidden/>
    <w:rPr>
      <w:rFonts w:ascii="Arial" w:hAnsi="Arial"/>
      <w:sz w:val="14"/>
    </w:rPr>
  </w:style>
  <w:style w:type="character" w:customStyle="1" w:styleId="DraftingNote">
    <w:name w:val="Drafting Note"/>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rsid w:val="0010611E"/>
    <w:pPr>
      <w:spacing w:before="120"/>
    </w:pPr>
    <w:rPr>
      <w:szCs w:val="24"/>
      <w:lang w:eastAsia="en-AU"/>
    </w:rPr>
  </w:style>
  <w:style w:type="paragraph" w:styleId="Subtitle">
    <w:name w:val="Subtitle"/>
    <w:basedOn w:val="Normal"/>
    <w:next w:val="Normal"/>
    <w:link w:val="SubtitleChar"/>
    <w:qFormat/>
    <w:rsid w:val="0010611E"/>
    <w:pPr>
      <w:numPr>
        <w:ilvl w:val="1"/>
      </w:numPr>
    </w:pPr>
    <w:rPr>
      <w:rFonts w:asciiTheme="majorHAnsi" w:eastAsiaTheme="majorEastAsia" w:hAnsiTheme="majorHAnsi" w:cstheme="majorBidi"/>
      <w:i/>
      <w:iCs/>
      <w:color w:val="78A22F" w:themeColor="accent1"/>
      <w:spacing w:val="15"/>
      <w:sz w:val="24"/>
      <w:szCs w:val="24"/>
    </w:rPr>
  </w:style>
  <w:style w:type="paragraph" w:customStyle="1" w:styleId="Finding">
    <w:name w:val="Finding"/>
    <w:basedOn w:val="BodyText"/>
    <w:rsid w:val="0010611E"/>
    <w:pPr>
      <w:keepLines/>
      <w:spacing w:before="120" w:line="280" w:lineRule="atLeast"/>
    </w:pPr>
    <w:rPr>
      <w:rFonts w:ascii="Arial" w:hAnsi="Arial"/>
      <w:sz w:val="22"/>
    </w:rPr>
  </w:style>
  <w:style w:type="paragraph" w:customStyle="1" w:styleId="FindingBullet">
    <w:name w:val="Finding Bullet"/>
    <w:basedOn w:val="Finding"/>
    <w:rsid w:val="0010611E"/>
    <w:pPr>
      <w:numPr>
        <w:numId w:val="39"/>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qFormat/>
    <w:rsid w:val="0010611E"/>
    <w:pPr>
      <w:keepNext/>
      <w:keepLines/>
      <w:spacing w:line="280" w:lineRule="atLeast"/>
    </w:pPr>
    <w:rPr>
      <w:rFonts w:ascii="Arial" w:hAnsi="Arial"/>
      <w:caps/>
      <w:sz w:val="18"/>
    </w:rPr>
  </w:style>
  <w:style w:type="paragraph" w:customStyle="1" w:styleId="FindingTitle">
    <w:name w:val="Finding Title"/>
    <w:basedOn w:val="RecTitle"/>
    <w:next w:val="Finding"/>
    <w:rsid w:val="0010611E"/>
    <w:pPr>
      <w:framePr w:wrap="notBeside" w:hAnchor="text"/>
    </w:pPr>
  </w:style>
  <w:style w:type="paragraph" w:customStyle="1" w:styleId="FooterEnd">
    <w:name w:val="Footer End"/>
    <w:basedOn w:val="Footer"/>
    <w:pPr>
      <w:spacing w:before="0" w:line="20" w:lineRule="exact"/>
    </w:pPr>
  </w:style>
  <w:style w:type="character" w:styleId="FootnoteReference">
    <w:name w:val="footnote reference"/>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0B416E"/>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rsid w:val="0010611E"/>
    <w:rPr>
      <w:i/>
    </w:rPr>
  </w:style>
  <w:style w:type="paragraph" w:styleId="ListBullet">
    <w:name w:val="List Bullet"/>
    <w:basedOn w:val="BodyText"/>
    <w:rsid w:val="0010611E"/>
    <w:pPr>
      <w:numPr>
        <w:numId w:val="40"/>
      </w:numPr>
      <w:spacing w:before="120"/>
    </w:pPr>
  </w:style>
  <w:style w:type="paragraph" w:styleId="ListBullet2">
    <w:name w:val="List Bullet 2"/>
    <w:basedOn w:val="BodyText"/>
    <w:rsid w:val="0010611E"/>
    <w:pPr>
      <w:numPr>
        <w:numId w:val="42"/>
      </w:numPr>
      <w:spacing w:before="120"/>
    </w:pPr>
  </w:style>
  <w:style w:type="paragraph" w:styleId="ListBullet3">
    <w:name w:val="List Bullet 3"/>
    <w:basedOn w:val="BodyText"/>
    <w:rsid w:val="0010611E"/>
    <w:pPr>
      <w:numPr>
        <w:numId w:val="34"/>
      </w:numPr>
      <w:spacing w:before="120"/>
    </w:pPr>
  </w:style>
  <w:style w:type="paragraph" w:styleId="ListNumber">
    <w:name w:val="List Number"/>
    <w:basedOn w:val="BodyText"/>
    <w:rsid w:val="0010611E"/>
    <w:pPr>
      <w:numPr>
        <w:numId w:val="45"/>
      </w:numPr>
      <w:spacing w:before="120"/>
    </w:pPr>
  </w:style>
  <w:style w:type="paragraph" w:styleId="ListNumber2">
    <w:name w:val="List Number 2"/>
    <w:basedOn w:val="ListNumber"/>
    <w:rsid w:val="0010611E"/>
    <w:pPr>
      <w:numPr>
        <w:ilvl w:val="1"/>
      </w:numPr>
    </w:pPr>
  </w:style>
  <w:style w:type="paragraph" w:styleId="ListNumber3">
    <w:name w:val="List Number 3"/>
    <w:basedOn w:val="ListNumber2"/>
    <w:rsid w:val="0010611E"/>
    <w:pPr>
      <w:numPr>
        <w:ilvl w:val="2"/>
      </w:numPr>
    </w:pPr>
  </w:style>
  <w:style w:type="character" w:customStyle="1" w:styleId="NoteLabel">
    <w:name w:val="Note Label"/>
    <w:basedOn w:val="DefaultParagraphFont"/>
    <w:rsid w:val="0010611E"/>
    <w:rPr>
      <w:rFonts w:ascii="Arial" w:hAnsi="Arial"/>
      <w:b/>
      <w:position w:val="6"/>
      <w:sz w:val="18"/>
    </w:rPr>
  </w:style>
  <w:style w:type="character" w:styleId="PageNumber">
    <w:name w:val="page number"/>
    <w:rsid w:val="008273A9"/>
    <w:rPr>
      <w:rFonts w:ascii="Arial" w:hAnsi="Arial"/>
      <w:b/>
      <w:caps w:val="0"/>
      <w:smallCaps w:val="0"/>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link w:val="QuoteChar"/>
    <w:qFormat/>
    <w:rsid w:val="0010611E"/>
    <w:pPr>
      <w:spacing w:before="120" w:line="280" w:lineRule="exact"/>
      <w:ind w:left="340"/>
    </w:pPr>
    <w:rPr>
      <w:sz w:val="22"/>
    </w:rPr>
  </w:style>
  <w:style w:type="paragraph" w:customStyle="1" w:styleId="Rec">
    <w:name w:val="Rec"/>
    <w:basedOn w:val="BodyText"/>
    <w:qFormat/>
    <w:rsid w:val="0010611E"/>
    <w:pPr>
      <w:keepLines/>
      <w:spacing w:before="120" w:line="280" w:lineRule="atLeast"/>
    </w:pPr>
    <w:rPr>
      <w:rFonts w:ascii="Arial" w:hAnsi="Arial"/>
      <w:sz w:val="22"/>
    </w:rPr>
  </w:style>
  <w:style w:type="paragraph" w:customStyle="1" w:styleId="RecBullet">
    <w:name w:val="Rec Bullet"/>
    <w:basedOn w:val="Rec"/>
    <w:rsid w:val="0010611E"/>
    <w:pPr>
      <w:numPr>
        <w:numId w:val="47"/>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21"/>
      </w:numPr>
      <w:spacing w:before="80"/>
    </w:pPr>
  </w:style>
  <w:style w:type="paragraph" w:customStyle="1" w:styleId="RecBNoTitle">
    <w:name w:val="RecB NoTitle"/>
    <w:basedOn w:val="RecB"/>
    <w:pPr>
      <w:spacing w:before="240"/>
    </w:pPr>
  </w:style>
  <w:style w:type="paragraph" w:customStyle="1" w:styleId="Reference">
    <w:name w:val="Reference"/>
    <w:basedOn w:val="BodyText"/>
    <w:rsid w:val="0010611E"/>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rPr>
  </w:style>
  <w:style w:type="paragraph" w:customStyle="1" w:styleId="SideNoteBullet">
    <w:name w:val="Side Note Bullet"/>
    <w:basedOn w:val="SideNote"/>
    <w:next w:val="BodyText"/>
    <w:pPr>
      <w:framePr w:wrap="around"/>
      <w:numPr>
        <w:numId w:val="2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rsid w:val="0010611E"/>
    <w:pPr>
      <w:keepNext/>
      <w:keepLines/>
      <w:spacing w:before="0" w:after="40" w:line="200" w:lineRule="atLeast"/>
      <w:ind w:left="6" w:right="113"/>
      <w:jc w:val="right"/>
    </w:pPr>
    <w:rPr>
      <w:rFonts w:ascii="Arial" w:hAnsi="Arial"/>
      <w:sz w:val="18"/>
    </w:rPr>
  </w:style>
  <w:style w:type="paragraph" w:customStyle="1" w:styleId="TableBullet">
    <w:name w:val="Table Bullet"/>
    <w:basedOn w:val="TableBodyText"/>
    <w:rsid w:val="0010611E"/>
    <w:pPr>
      <w:numPr>
        <w:numId w:val="48"/>
      </w:numPr>
      <w:jc w:val="left"/>
    </w:pPr>
  </w:style>
  <w:style w:type="paragraph" w:customStyle="1" w:styleId="TableColumnHeading">
    <w:name w:val="Table Column Heading"/>
    <w:basedOn w:val="TableBodyText"/>
    <w:rsid w:val="0010611E"/>
    <w:pPr>
      <w:spacing w:before="80" w:after="80"/>
    </w:pPr>
    <w:rPr>
      <w:i/>
    </w:rPr>
  </w:style>
  <w:style w:type="paragraph" w:styleId="TOC2">
    <w:name w:val="toc 2"/>
    <w:basedOn w:val="TOC1"/>
    <w:uiPriority w:val="39"/>
    <w:rsid w:val="008B2205"/>
    <w:pPr>
      <w:ind w:left="1020"/>
    </w:pPr>
    <w:rPr>
      <w:b w:val="0"/>
    </w:rPr>
  </w:style>
  <w:style w:type="paragraph" w:styleId="TOC3">
    <w:name w:val="toc 3"/>
    <w:basedOn w:val="TOC2"/>
    <w:rsid w:val="00D772E9"/>
    <w:pPr>
      <w:spacing w:before="60"/>
      <w:ind w:left="1190" w:hanging="680"/>
    </w:pPr>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qFormat/>
    <w:rsid w:val="0010611E"/>
    <w:rPr>
      <w:szCs w:val="24"/>
      <w:lang w:eastAsia="en-AU"/>
    </w:rPr>
  </w:style>
  <w:style w:type="paragraph" w:customStyle="1" w:styleId="TableUnitsRow">
    <w:name w:val="Table Units Row"/>
    <w:basedOn w:val="TableBodyText"/>
    <w:rsid w:val="0010611E"/>
    <w:pPr>
      <w:spacing w:before="80" w:after="80"/>
    </w:pPr>
  </w:style>
  <w:style w:type="paragraph" w:styleId="TOC1">
    <w:name w:val="toc 1"/>
    <w:basedOn w:val="Normal"/>
    <w:next w:val="TOC2"/>
    <w:link w:val="TOC1Char"/>
    <w:uiPriority w:val="39"/>
    <w:rsid w:val="00DD1077"/>
    <w:pPr>
      <w:tabs>
        <w:tab w:val="right" w:pos="8789"/>
      </w:tabs>
      <w:spacing w:before="120" w:line="320" w:lineRule="exact"/>
      <w:ind w:left="510" w:right="851" w:hanging="510"/>
    </w:pPr>
    <w:rPr>
      <w:rFonts w:ascii="Arial" w:hAnsi="Arial"/>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rsid w:val="0010611E"/>
    <w:pPr>
      <w:numPr>
        <w:numId w:val="46"/>
      </w:numPr>
    </w:pPr>
  </w:style>
  <w:style w:type="paragraph" w:styleId="BalloonText">
    <w:name w:val="Balloon Text"/>
    <w:basedOn w:val="Normal"/>
    <w:semiHidden/>
    <w:rsid w:val="002B64D6"/>
    <w:rPr>
      <w:rFonts w:ascii="Tahoma" w:hAnsi="Tahoma" w:cs="Tahoma"/>
      <w:sz w:val="16"/>
      <w:szCs w:val="16"/>
    </w:rPr>
  </w:style>
  <w:style w:type="character" w:customStyle="1" w:styleId="BodyTextChar">
    <w:name w:val="Body Text Char"/>
    <w:basedOn w:val="DefaultParagraphFont"/>
    <w:link w:val="BodyText"/>
    <w:locked/>
    <w:rsid w:val="0010611E"/>
    <w:rPr>
      <w:sz w:val="24"/>
    </w:rPr>
  </w:style>
  <w:style w:type="paragraph" w:customStyle="1" w:styleId="Heading1NotTOC">
    <w:name w:val="Heading 1 Not TOC"/>
    <w:basedOn w:val="Heading1"/>
    <w:next w:val="BodyText"/>
    <w:rsid w:val="00F7477E"/>
    <w:rPr>
      <w:szCs w:val="26"/>
    </w:rPr>
  </w:style>
  <w:style w:type="paragraph" w:customStyle="1" w:styleId="PCAddress">
    <w:name w:val="PC Address"/>
    <w:basedOn w:val="Normal"/>
    <w:rsid w:val="008B2205"/>
    <w:pPr>
      <w:tabs>
        <w:tab w:val="left" w:pos="866"/>
      </w:tabs>
      <w:spacing w:after="60"/>
    </w:pPr>
    <w:rPr>
      <w:sz w:val="16"/>
      <w:lang w:eastAsia="en-AU"/>
    </w:rPr>
  </w:style>
  <w:style w:type="paragraph" w:styleId="Salutation">
    <w:name w:val="Salutation"/>
    <w:basedOn w:val="Normal"/>
    <w:next w:val="Normal"/>
    <w:link w:val="SalutationChar"/>
    <w:autoRedefine/>
    <w:rsid w:val="003B41E0"/>
    <w:rPr>
      <w:noProof/>
      <w:sz w:val="24"/>
      <w:lang w:eastAsia="en-AU"/>
    </w:rPr>
  </w:style>
  <w:style w:type="character" w:customStyle="1" w:styleId="SalutationChar">
    <w:name w:val="Salutation Char"/>
    <w:basedOn w:val="DefaultParagraphFont"/>
    <w:link w:val="Salutation"/>
    <w:rsid w:val="003B41E0"/>
    <w:rPr>
      <w:noProof/>
      <w:sz w:val="24"/>
    </w:rPr>
  </w:style>
  <w:style w:type="paragraph" w:customStyle="1" w:styleId="Signoff">
    <w:name w:val="Signoff"/>
    <w:basedOn w:val="Normal"/>
    <w:autoRedefine/>
    <w:rsid w:val="003B41E0"/>
    <w:pPr>
      <w:spacing w:before="480" w:after="1000"/>
    </w:pPr>
    <w:rPr>
      <w:sz w:val="24"/>
      <w:lang w:eastAsia="en-AU"/>
    </w:rPr>
  </w:style>
  <w:style w:type="paragraph" w:customStyle="1" w:styleId="LetterDate">
    <w:name w:val="Letter Date"/>
    <w:basedOn w:val="BodyText"/>
    <w:rsid w:val="003B41E0"/>
    <w:pPr>
      <w:spacing w:before="0" w:after="240" w:line="240" w:lineRule="auto"/>
      <w:ind w:left="-108"/>
      <w:jc w:val="left"/>
    </w:pPr>
  </w:style>
  <w:style w:type="paragraph" w:customStyle="1" w:styleId="LetterAddress">
    <w:name w:val="Letter Address"/>
    <w:basedOn w:val="BodyText"/>
    <w:rsid w:val="003B41E0"/>
    <w:pPr>
      <w:spacing w:before="0" w:line="240" w:lineRule="auto"/>
      <w:jc w:val="left"/>
    </w:pPr>
  </w:style>
  <w:style w:type="paragraph" w:customStyle="1" w:styleId="PCBoxHeading">
    <w:name w:val="PC Box Heading"/>
    <w:basedOn w:val="BodyText"/>
    <w:link w:val="PCBoxHeadingChar"/>
    <w:qFormat/>
    <w:rsid w:val="008A3857"/>
    <w:pPr>
      <w:pBdr>
        <w:top w:val="single" w:sz="4" w:space="5" w:color="auto"/>
        <w:left w:val="single" w:sz="4" w:space="8" w:color="auto"/>
        <w:bottom w:val="single" w:sz="4" w:space="14" w:color="auto"/>
        <w:right w:val="single" w:sz="4" w:space="8" w:color="auto"/>
      </w:pBdr>
      <w:spacing w:before="480" w:line="240" w:lineRule="auto"/>
      <w:ind w:left="284" w:right="284"/>
    </w:pPr>
    <w:rPr>
      <w:rFonts w:ascii="Arial" w:hAnsi="Arial"/>
      <w:b/>
      <w:i/>
      <w:szCs w:val="24"/>
    </w:rPr>
  </w:style>
  <w:style w:type="paragraph" w:customStyle="1" w:styleId="PCBoxtext">
    <w:name w:val="PC Box text"/>
    <w:basedOn w:val="BodyText"/>
    <w:link w:val="PCBoxtextChar"/>
    <w:rsid w:val="00F4234E"/>
    <w:pPr>
      <w:pBdr>
        <w:top w:val="single" w:sz="4" w:space="5" w:color="auto"/>
        <w:left w:val="single" w:sz="4" w:space="8" w:color="auto"/>
        <w:bottom w:val="single" w:sz="4" w:space="14" w:color="auto"/>
        <w:right w:val="single" w:sz="4" w:space="8" w:color="auto"/>
      </w:pBdr>
      <w:spacing w:before="160" w:line="240" w:lineRule="auto"/>
      <w:ind w:left="284" w:right="284"/>
    </w:pPr>
    <w:rPr>
      <w:szCs w:val="24"/>
    </w:rPr>
  </w:style>
  <w:style w:type="character" w:customStyle="1" w:styleId="PCBoxHeadingChar">
    <w:name w:val="PC Box Heading Char"/>
    <w:basedOn w:val="BodyTextChar"/>
    <w:link w:val="PCBoxHeading"/>
    <w:rsid w:val="008A3857"/>
    <w:rPr>
      <w:rFonts w:ascii="Arial" w:hAnsi="Arial"/>
      <w:b/>
      <w:i/>
      <w:sz w:val="24"/>
      <w:szCs w:val="24"/>
    </w:rPr>
  </w:style>
  <w:style w:type="character" w:customStyle="1" w:styleId="PCBoxtextChar">
    <w:name w:val="PC Box text Char"/>
    <w:basedOn w:val="BodyTextChar"/>
    <w:link w:val="PCBoxtext"/>
    <w:rsid w:val="00F4234E"/>
    <w:rPr>
      <w:sz w:val="24"/>
      <w:szCs w:val="24"/>
      <w:lang w:eastAsia="en-US"/>
    </w:rPr>
  </w:style>
  <w:style w:type="character" w:styleId="Hyperlink">
    <w:name w:val="Hyperlink"/>
    <w:basedOn w:val="DefaultParagraphFont"/>
    <w:unhideWhenUsed/>
    <w:rsid w:val="00CD5E6B"/>
    <w:rPr>
      <w:rFonts w:ascii="Times New Roman" w:hAnsi="Times New Roman" w:cs="Times New Roman" w:hint="default"/>
      <w:color w:val="000000"/>
      <w:u w:val="single"/>
    </w:rPr>
  </w:style>
  <w:style w:type="paragraph" w:customStyle="1" w:styleId="Copyrightheading">
    <w:name w:val="Copyright heading"/>
    <w:basedOn w:val="TOC1"/>
    <w:link w:val="CopyrightheadingChar"/>
    <w:qFormat/>
    <w:rsid w:val="00122FE9"/>
    <w:pPr>
      <w:spacing w:line="300" w:lineRule="exact"/>
    </w:pPr>
    <w:rPr>
      <w:sz w:val="22"/>
    </w:rPr>
  </w:style>
  <w:style w:type="character" w:customStyle="1" w:styleId="TOC1Char">
    <w:name w:val="TOC 1 Char"/>
    <w:basedOn w:val="DefaultParagraphFont"/>
    <w:link w:val="TOC1"/>
    <w:rsid w:val="00D969AE"/>
    <w:rPr>
      <w:rFonts w:ascii="Arial" w:hAnsi="Arial"/>
      <w:b/>
      <w:sz w:val="26"/>
      <w:szCs w:val="26"/>
      <w:lang w:eastAsia="en-US"/>
    </w:rPr>
  </w:style>
  <w:style w:type="character" w:customStyle="1" w:styleId="CopyrightheadingChar">
    <w:name w:val="Copyright heading Char"/>
    <w:basedOn w:val="TOC1Char"/>
    <w:link w:val="Copyrightheading"/>
    <w:rsid w:val="00122FE9"/>
    <w:rPr>
      <w:rFonts w:ascii="Arial" w:hAnsi="Arial"/>
      <w:b/>
      <w:sz w:val="22"/>
      <w:szCs w:val="26"/>
      <w:lang w:eastAsia="en-US"/>
    </w:rPr>
  </w:style>
  <w:style w:type="paragraph" w:customStyle="1" w:styleId="Copyrightsubtitle">
    <w:name w:val="Copyright subtitle"/>
    <w:basedOn w:val="BodyText"/>
    <w:rsid w:val="008E242D"/>
    <w:rPr>
      <w:rFonts w:ascii="Arial" w:hAnsi="Arial"/>
      <w:b/>
      <w:sz w:val="22"/>
      <w:szCs w:val="25"/>
    </w:rPr>
  </w:style>
  <w:style w:type="paragraph" w:customStyle="1" w:styleId="BoxSpaceAbove">
    <w:name w:val="Box Space Above"/>
    <w:basedOn w:val="BodyText"/>
    <w:rsid w:val="0010611E"/>
    <w:pPr>
      <w:keepNext/>
      <w:spacing w:before="360" w:line="80" w:lineRule="exact"/>
      <w:jc w:val="left"/>
    </w:pPr>
  </w:style>
  <w:style w:type="paragraph" w:customStyle="1" w:styleId="BoxSpaceBelow">
    <w:name w:val="Box Space Below"/>
    <w:basedOn w:val="Box"/>
    <w:rsid w:val="0010611E"/>
    <w:pPr>
      <w:keepNext w:val="0"/>
      <w:spacing w:before="60" w:after="60" w:line="80" w:lineRule="exact"/>
    </w:pPr>
    <w:rPr>
      <w:sz w:val="14"/>
    </w:rPr>
  </w:style>
  <w:style w:type="paragraph" w:customStyle="1" w:styleId="Space">
    <w:name w:val="Space"/>
    <w:basedOn w:val="Normal"/>
    <w:rsid w:val="009B48F7"/>
    <w:pPr>
      <w:keepNext/>
      <w:spacing w:line="120" w:lineRule="exact"/>
      <w:jc w:val="both"/>
    </w:pPr>
    <w:rPr>
      <w:rFonts w:ascii="Arial" w:hAnsi="Arial"/>
      <w:sz w:val="21"/>
      <w:lang w:eastAsia="en-AU"/>
    </w:rPr>
  </w:style>
  <w:style w:type="paragraph" w:customStyle="1" w:styleId="InformationRequestTitle">
    <w:name w:val="Information Request Title"/>
    <w:basedOn w:val="FindingTitle"/>
    <w:next w:val="InformationRequest"/>
    <w:rsid w:val="0010611E"/>
    <w:pPr>
      <w:framePr w:wrap="auto"/>
    </w:pPr>
    <w:rPr>
      <w:i/>
    </w:rPr>
  </w:style>
  <w:style w:type="paragraph" w:customStyle="1" w:styleId="BoxListBullet3">
    <w:name w:val="Box List Bullet 3"/>
    <w:basedOn w:val="ListBullet3"/>
    <w:rsid w:val="0010611E"/>
    <w:pPr>
      <w:numPr>
        <w:numId w:val="35"/>
      </w:numPr>
      <w:tabs>
        <w:tab w:val="left" w:pos="907"/>
      </w:tabs>
      <w:spacing w:before="60" w:line="260" w:lineRule="atLeast"/>
    </w:pPr>
    <w:rPr>
      <w:rFonts w:ascii="Arial" w:hAnsi="Arial"/>
      <w:sz w:val="20"/>
    </w:rPr>
  </w:style>
  <w:style w:type="paragraph" w:customStyle="1" w:styleId="BoxQuoteBullet">
    <w:name w:val="Box Quote Bullet"/>
    <w:basedOn w:val="BoxQuote"/>
    <w:next w:val="Box"/>
    <w:rsid w:val="0010611E"/>
    <w:pPr>
      <w:numPr>
        <w:numId w:val="38"/>
      </w:numPr>
    </w:pPr>
  </w:style>
  <w:style w:type="paragraph" w:customStyle="1" w:styleId="Figurespace">
    <w:name w:val="Figure space"/>
    <w:basedOn w:val="Box"/>
    <w:rsid w:val="0010611E"/>
    <w:pPr>
      <w:spacing w:before="0" w:line="120" w:lineRule="exact"/>
    </w:pPr>
  </w:style>
  <w:style w:type="paragraph" w:customStyle="1" w:styleId="Heading1nochapterno">
    <w:name w:val="Heading 1 (no chapter no.)"/>
    <w:basedOn w:val="Heading1"/>
    <w:rsid w:val="0010611E"/>
    <w:pPr>
      <w:spacing w:before="0"/>
      <w:ind w:left="0" w:firstLine="0"/>
    </w:pPr>
    <w:rPr>
      <w:kern w:val="0"/>
      <w:lang w:eastAsia="en-AU"/>
    </w:rPr>
  </w:style>
  <w:style w:type="paragraph" w:customStyle="1" w:styleId="Heading2nosectionno">
    <w:name w:val="Heading 2 (no section no.)"/>
    <w:basedOn w:val="Heading2"/>
    <w:rsid w:val="0010611E"/>
    <w:pPr>
      <w:ind w:left="0" w:firstLine="0"/>
    </w:pPr>
  </w:style>
  <w:style w:type="paragraph" w:customStyle="1" w:styleId="InformationRequestBullet">
    <w:name w:val="Information Request Bullet"/>
    <w:basedOn w:val="ListBullet"/>
    <w:next w:val="BodyText"/>
    <w:rsid w:val="0010611E"/>
    <w:pPr>
      <w:numPr>
        <w:numId w:val="41"/>
      </w:numPr>
      <w:spacing w:before="80" w:line="280" w:lineRule="atLeast"/>
    </w:pPr>
    <w:rPr>
      <w:rFonts w:ascii="Arial" w:hAnsi="Arial"/>
      <w:i/>
      <w:sz w:val="22"/>
    </w:rPr>
  </w:style>
  <w:style w:type="paragraph" w:customStyle="1" w:styleId="KeyPointsListBullet">
    <w:name w:val="Key Points List Bullet"/>
    <w:basedOn w:val="Normal"/>
    <w:qFormat/>
    <w:rsid w:val="0010611E"/>
    <w:pPr>
      <w:keepNext/>
      <w:spacing w:before="100" w:line="260" w:lineRule="atLeast"/>
      <w:jc w:val="both"/>
    </w:pPr>
    <w:rPr>
      <w:rFonts w:ascii="Arial" w:hAnsi="Arial"/>
      <w:sz w:val="20"/>
    </w:rPr>
  </w:style>
  <w:style w:type="paragraph" w:customStyle="1" w:styleId="KeyPointsListBullet2">
    <w:name w:val="Key Points List Bullet 2"/>
    <w:basedOn w:val="KeyPointsListBullet"/>
    <w:rsid w:val="0010611E"/>
    <w:pPr>
      <w:spacing w:before="60"/>
    </w:pPr>
  </w:style>
  <w:style w:type="character" w:customStyle="1" w:styleId="QuoteChar">
    <w:name w:val="Quote Char"/>
    <w:basedOn w:val="DefaultParagraphFont"/>
    <w:link w:val="Quote"/>
    <w:rsid w:val="0010611E"/>
    <w:rPr>
      <w:sz w:val="22"/>
    </w:rPr>
  </w:style>
  <w:style w:type="character" w:customStyle="1" w:styleId="SubtitleChar">
    <w:name w:val="Subtitle Char"/>
    <w:basedOn w:val="DefaultParagraphFont"/>
    <w:link w:val="Subtitle"/>
    <w:rsid w:val="0010611E"/>
    <w:rPr>
      <w:rFonts w:asciiTheme="majorHAnsi" w:eastAsiaTheme="majorEastAsia" w:hAnsiTheme="majorHAnsi" w:cstheme="majorBidi"/>
      <w:i/>
      <w:iCs/>
      <w:color w:val="78A22F" w:themeColor="accent1"/>
      <w:spacing w:val="15"/>
      <w:sz w:val="24"/>
      <w:szCs w:val="24"/>
      <w:lang w:eastAsia="en-US"/>
    </w:rPr>
  </w:style>
  <w:style w:type="character" w:customStyle="1" w:styleId="FooterChar">
    <w:name w:val="Footer Char"/>
    <w:basedOn w:val="DefaultParagraphFont"/>
    <w:link w:val="Footer"/>
    <w:rsid w:val="008273A9"/>
    <w:rPr>
      <w:rFonts w:ascii="Arial" w:hAnsi="Arial"/>
      <w:caps/>
      <w:spacing w:val="-4"/>
      <w:sz w:val="16"/>
      <w:lang w:eastAsia="en-US"/>
    </w:rPr>
  </w:style>
  <w:style w:type="paragraph" w:customStyle="1" w:styleId="Copyrightbodytext">
    <w:name w:val="Copyright bodytext"/>
    <w:basedOn w:val="BodyText"/>
    <w:link w:val="CopyrightbodytextChar"/>
    <w:qFormat/>
    <w:rsid w:val="002A499E"/>
    <w:pPr>
      <w:spacing w:before="60"/>
    </w:pPr>
    <w:rPr>
      <w:sz w:val="20"/>
    </w:rPr>
  </w:style>
  <w:style w:type="character" w:customStyle="1" w:styleId="CopyrightbodytextChar">
    <w:name w:val="Copyright bodytext Char"/>
    <w:basedOn w:val="BodyTextChar"/>
    <w:link w:val="Copyrightbodytext"/>
    <w:rsid w:val="002A499E"/>
    <w:rPr>
      <w:sz w:val="24"/>
    </w:rPr>
  </w:style>
  <w:style w:type="table" w:customStyle="1" w:styleId="Style1">
    <w:name w:val="Style1"/>
    <w:basedOn w:val="TableNormal"/>
    <w:uiPriority w:val="99"/>
    <w:rsid w:val="00653FA6"/>
    <w:tblPr>
      <w:tblInd w:w="0" w:type="dxa"/>
      <w:tblCellMar>
        <w:top w:w="0" w:type="dxa"/>
        <w:left w:w="108" w:type="dxa"/>
        <w:bottom w:w="0" w:type="dxa"/>
        <w:right w:w="108" w:type="dxa"/>
      </w:tblCellMar>
    </w:tblPr>
  </w:style>
  <w:style w:type="character" w:styleId="FollowedHyperlink">
    <w:name w:val="FollowedHyperlink"/>
    <w:basedOn w:val="DefaultParagraphFont"/>
    <w:rsid w:val="00BA0B81"/>
    <w:rPr>
      <w:color w:val="387DD2" w:themeColor="followedHyperlink"/>
      <w:u w:val="single"/>
    </w:rPr>
  </w:style>
  <w:style w:type="paragraph" w:customStyle="1" w:styleId="ISSN">
    <w:name w:val="ISSN"/>
    <w:basedOn w:val="BodyText"/>
    <w:qFormat/>
    <w:rsid w:val="00BA0B81"/>
    <w:pPr>
      <w:tabs>
        <w:tab w:val="left" w:pos="851"/>
      </w:tabs>
      <w:spacing w:before="120" w:after="120"/>
      <w:jc w:val="left"/>
    </w:pPr>
    <w:rPr>
      <w:b/>
      <w:sz w:val="20"/>
    </w:rPr>
  </w:style>
  <w:style w:type="character" w:customStyle="1" w:styleId="apple-converted-space">
    <w:name w:val="apple-converted-space"/>
    <w:basedOn w:val="DefaultParagraphFont"/>
    <w:rsid w:val="00203B40"/>
  </w:style>
  <w:style w:type="paragraph" w:customStyle="1" w:styleId="FooterDraftReport">
    <w:name w:val="FooterDraftReport"/>
    <w:basedOn w:val="Footer"/>
    <w:link w:val="FooterDraftReportChar"/>
    <w:rsid w:val="00C51371"/>
    <w:pPr>
      <w:spacing w:before="40"/>
    </w:pPr>
    <w:rPr>
      <w:rFonts w:cs="Arial"/>
      <w:color w:val="808080"/>
      <w14:textFill>
        <w14:solidFill>
          <w14:srgbClr w14:val="808080">
            <w14:lumMod w14:val="50000"/>
            <w14:lumOff w14:val="50000"/>
            <w14:lumMod w14:val="50000"/>
            <w14:lumOff w14:val="50000"/>
            <w14:lumMod w14:val="50000"/>
          </w14:srgbClr>
        </w14:solidFill>
      </w14:textFill>
    </w:rPr>
  </w:style>
  <w:style w:type="character" w:customStyle="1" w:styleId="FooterDraftReportChar">
    <w:name w:val="FooterDraftReport Char"/>
    <w:basedOn w:val="FooterChar"/>
    <w:link w:val="FooterDraftReport"/>
    <w:rsid w:val="00C51371"/>
    <w:rPr>
      <w:rFonts w:ascii="Arial" w:hAnsi="Arial" w:cs="Arial"/>
      <w:caps/>
      <w:color w:val="808080"/>
      <w:spacing w:val="-4"/>
      <w:sz w:val="16"/>
      <w:lang w:eastAsia="en-US"/>
      <w14:textFill>
        <w14:solidFill>
          <w14:srgbClr w14:val="808080">
            <w14:lumMod w14:val="50000"/>
            <w14:lumOff w14:val="50000"/>
            <w14:lumMod w14:val="50000"/>
            <w14:lumOff w14:val="50000"/>
            <w14:lumMod w14:val="50000"/>
          </w14:srgbClr>
        </w14:solidFill>
      </w14:textFill>
    </w:rPr>
  </w:style>
  <w:style w:type="table" w:styleId="TableGrid">
    <w:name w:val="Table Grid"/>
    <w:basedOn w:val="TableNormal"/>
    <w:rsid w:val="005801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580133"/>
    <w:rPr>
      <w:kern w:val="28"/>
      <w:sz w:val="52"/>
      <w:lang w:eastAsia="en-US"/>
    </w:rPr>
  </w:style>
  <w:style w:type="character" w:customStyle="1" w:styleId="Heading3Char">
    <w:name w:val="Heading 3 Char"/>
    <w:basedOn w:val="DefaultParagraphFont"/>
    <w:link w:val="Heading3"/>
    <w:rsid w:val="00580133"/>
    <w:rPr>
      <w:rFonts w:ascii="Arial" w:hAnsi="Arial"/>
      <w:b/>
      <w:sz w:val="26"/>
    </w:rPr>
  </w:style>
  <w:style w:type="character" w:styleId="HTMLCite">
    <w:name w:val="HTML Cite"/>
    <w:basedOn w:val="DefaultParagraphFont"/>
    <w:uiPriority w:val="99"/>
    <w:unhideWhenUsed/>
    <w:rsid w:val="00ED4AA5"/>
    <w:rPr>
      <w:i/>
      <w:iCs/>
    </w:rPr>
  </w:style>
  <w:style w:type="paragraph" w:styleId="CommentSubject">
    <w:name w:val="annotation subject"/>
    <w:basedOn w:val="CommentText"/>
    <w:next w:val="CommentText"/>
    <w:link w:val="CommentSubjectChar"/>
    <w:rsid w:val="00D32F37"/>
    <w:pPr>
      <w:spacing w:before="0" w:line="240" w:lineRule="auto"/>
      <w:ind w:left="0" w:firstLine="0"/>
    </w:pPr>
    <w:rPr>
      <w:b/>
      <w:bCs/>
    </w:rPr>
  </w:style>
  <w:style w:type="character" w:customStyle="1" w:styleId="CommentTextChar">
    <w:name w:val="Comment Text Char"/>
    <w:basedOn w:val="DefaultParagraphFont"/>
    <w:link w:val="CommentText"/>
    <w:semiHidden/>
    <w:rsid w:val="00D32F37"/>
    <w:rPr>
      <w:lang w:eastAsia="en-US"/>
    </w:rPr>
  </w:style>
  <w:style w:type="character" w:customStyle="1" w:styleId="CommentSubjectChar">
    <w:name w:val="Comment Subject Char"/>
    <w:basedOn w:val="CommentTextChar"/>
    <w:link w:val="CommentSubject"/>
    <w:rsid w:val="00D32F37"/>
    <w:rPr>
      <w:b/>
      <w:bCs/>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AU" w:eastAsia="en-A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Title" w:qFormat="1"/>
    <w:lsdException w:name="Body Text" w:qFormat="1"/>
    <w:lsdException w:name="Subtitle" w:qFormat="1"/>
    <w:lsdException w:name="Strong" w:qFormat="1"/>
    <w:lsdException w:name="Emphasis" w:qFormat="1"/>
    <w:lsdException w:name="HTML Cite"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B2205"/>
    <w:rPr>
      <w:sz w:val="26"/>
      <w:lang w:eastAsia="en-US"/>
    </w:rPr>
  </w:style>
  <w:style w:type="paragraph" w:styleId="Heading1">
    <w:name w:val="heading 1"/>
    <w:basedOn w:val="Normal"/>
    <w:next w:val="BodyText"/>
    <w:link w:val="Heading1Char"/>
    <w:qFormat/>
    <w:rsid w:val="00F7477E"/>
    <w:pPr>
      <w:keepNext/>
      <w:spacing w:before="160" w:after="1360" w:line="600" w:lineRule="exact"/>
      <w:ind w:left="907" w:hanging="907"/>
      <w:outlineLvl w:val="0"/>
    </w:pPr>
    <w:rPr>
      <w:kern w:val="28"/>
      <w:sz w:val="52"/>
    </w:rPr>
  </w:style>
  <w:style w:type="paragraph" w:styleId="Heading2">
    <w:name w:val="heading 2"/>
    <w:basedOn w:val="Chapter"/>
    <w:next w:val="BodyText"/>
    <w:qFormat/>
    <w:pPr>
      <w:spacing w:before="600" w:after="0" w:line="400" w:lineRule="exact"/>
      <w:ind w:left="907" w:hanging="907"/>
      <w:outlineLvl w:val="1"/>
    </w:pPr>
    <w:rPr>
      <w:rFonts w:ascii="Arial" w:hAnsi="Arial"/>
      <w:b/>
      <w:sz w:val="32"/>
    </w:rPr>
  </w:style>
  <w:style w:type="paragraph" w:styleId="Heading3">
    <w:name w:val="heading 3"/>
    <w:basedOn w:val="Heading2"/>
    <w:next w:val="BodyText"/>
    <w:link w:val="Heading3Char"/>
    <w:qFormat/>
    <w:pPr>
      <w:spacing w:before="560" w:line="320" w:lineRule="exact"/>
      <w:ind w:left="0" w:firstLine="0"/>
      <w:outlineLvl w:val="2"/>
    </w:pPr>
    <w:rPr>
      <w:sz w:val="26"/>
    </w:rPr>
  </w:style>
  <w:style w:type="paragraph" w:styleId="Heading4">
    <w:name w:val="heading 4"/>
    <w:basedOn w:val="Heading3"/>
    <w:next w:val="BodyText"/>
    <w:qFormat/>
    <w:pPr>
      <w:spacing w:before="480"/>
      <w:outlineLvl w:val="3"/>
    </w:pPr>
    <w:rPr>
      <w:b w:val="0"/>
      <w:i/>
      <w:sz w:val="24"/>
    </w:rPr>
  </w:style>
  <w:style w:type="paragraph" w:styleId="Heading5">
    <w:name w:val="heading 5"/>
    <w:basedOn w:val="Heading4"/>
    <w:next w:val="BodyText"/>
    <w:qFormat/>
    <w:pPr>
      <w:outlineLvl w:val="4"/>
    </w:pPr>
    <w:rPr>
      <w:rFonts w:ascii="Times New Roman" w:hAnsi="Times New Roman"/>
      <w:sz w:val="26"/>
    </w:rPr>
  </w:style>
  <w:style w:type="paragraph" w:styleId="Heading6">
    <w:name w:val="heading 6"/>
    <w:basedOn w:val="Normal"/>
    <w:next w:val="Normal"/>
    <w:semiHidden/>
    <w:qFormat/>
    <w:pPr>
      <w:spacing w:before="240" w:after="60"/>
      <w:outlineLvl w:val="5"/>
    </w:pPr>
    <w:rPr>
      <w:i/>
      <w:sz w:val="22"/>
    </w:rPr>
  </w:style>
  <w:style w:type="paragraph" w:styleId="Heading7">
    <w:name w:val="heading 7"/>
    <w:basedOn w:val="Normal"/>
    <w:next w:val="Normal"/>
    <w:semiHidden/>
    <w:qFormat/>
    <w:pPr>
      <w:spacing w:before="240" w:after="60"/>
      <w:outlineLvl w:val="6"/>
    </w:pPr>
    <w:rPr>
      <w:rFonts w:ascii="Arial" w:hAnsi="Arial"/>
      <w:sz w:val="20"/>
    </w:rPr>
  </w:style>
  <w:style w:type="paragraph" w:styleId="Heading8">
    <w:name w:val="heading 8"/>
    <w:basedOn w:val="Normal"/>
    <w:next w:val="Normal"/>
    <w:semiHidden/>
    <w:qFormat/>
    <w:pPr>
      <w:spacing w:before="240" w:after="60"/>
      <w:outlineLvl w:val="7"/>
    </w:pPr>
    <w:rPr>
      <w:rFonts w:ascii="Arial" w:hAnsi="Arial"/>
      <w:i/>
      <w:sz w:val="20"/>
    </w:rPr>
  </w:style>
  <w:style w:type="paragraph" w:styleId="Heading9">
    <w:name w:val="heading 9"/>
    <w:basedOn w:val="Normal"/>
    <w:next w:val="Normal"/>
    <w:semiHidden/>
    <w:qFormat/>
    <w:p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link w:val="BodyTextChar"/>
    <w:qFormat/>
    <w:rsid w:val="0010611E"/>
    <w:pPr>
      <w:spacing w:before="240" w:line="300" w:lineRule="atLeast"/>
      <w:jc w:val="both"/>
    </w:pPr>
    <w:rPr>
      <w:sz w:val="24"/>
    </w:rPr>
  </w:style>
  <w:style w:type="paragraph" w:customStyle="1" w:styleId="Abbreviation">
    <w:name w:val="Abbreviation"/>
    <w:basedOn w:val="BodyText"/>
    <w:pPr>
      <w:spacing w:before="120"/>
      <w:ind w:left="2381" w:hanging="2381"/>
      <w:jc w:val="left"/>
    </w:pPr>
  </w:style>
  <w:style w:type="paragraph" w:customStyle="1" w:styleId="Box">
    <w:name w:val="Box"/>
    <w:basedOn w:val="BodyText"/>
    <w:qFormat/>
    <w:rsid w:val="0010611E"/>
    <w:pPr>
      <w:keepNext/>
      <w:spacing w:before="120" w:line="260" w:lineRule="atLeast"/>
    </w:pPr>
    <w:rPr>
      <w:rFonts w:ascii="Arial" w:hAnsi="Arial"/>
      <w:sz w:val="20"/>
    </w:rPr>
  </w:style>
  <w:style w:type="paragraph" w:customStyle="1" w:styleId="Note">
    <w:name w:val="Note"/>
    <w:basedOn w:val="BodyText"/>
    <w:next w:val="BodyText"/>
    <w:rsid w:val="0010611E"/>
    <w:pPr>
      <w:keepLines/>
      <w:spacing w:before="80" w:line="220" w:lineRule="exact"/>
    </w:pPr>
    <w:rPr>
      <w:rFonts w:ascii="Arial" w:hAnsi="Arial"/>
      <w:sz w:val="18"/>
    </w:rPr>
  </w:style>
  <w:style w:type="paragraph" w:customStyle="1" w:styleId="Source">
    <w:name w:val="Source"/>
    <w:basedOn w:val="Normal"/>
    <w:next w:val="BodyText"/>
    <w:rsid w:val="0010611E"/>
    <w:pPr>
      <w:keepLines/>
      <w:spacing w:before="80" w:line="220" w:lineRule="exact"/>
      <w:jc w:val="both"/>
    </w:pPr>
    <w:rPr>
      <w:rFonts w:ascii="Arial" w:hAnsi="Arial"/>
      <w:sz w:val="18"/>
      <w:lang w:eastAsia="en-AU"/>
    </w:rPr>
  </w:style>
  <w:style w:type="paragraph" w:customStyle="1" w:styleId="BoxSource">
    <w:name w:val="Box Source"/>
    <w:basedOn w:val="Source"/>
    <w:next w:val="BodyText"/>
    <w:rsid w:val="0010611E"/>
    <w:pPr>
      <w:spacing w:before="120"/>
    </w:pPr>
  </w:style>
  <w:style w:type="paragraph" w:customStyle="1" w:styleId="BoxContinued">
    <w:name w:val="Box Continued"/>
    <w:basedOn w:val="Normal"/>
    <w:next w:val="BodyText"/>
    <w:pPr>
      <w:spacing w:before="180" w:line="220" w:lineRule="exact"/>
      <w:jc w:val="right"/>
    </w:pPr>
    <w:rPr>
      <w:rFonts w:ascii="Arial" w:hAnsi="Arial"/>
      <w:sz w:val="18"/>
    </w:rPr>
  </w:style>
  <w:style w:type="paragraph" w:customStyle="1" w:styleId="BoxHeading1">
    <w:name w:val="Box Heading 1"/>
    <w:basedOn w:val="BodyText"/>
    <w:next w:val="Box"/>
    <w:rsid w:val="0010611E"/>
    <w:pPr>
      <w:keepNext/>
      <w:spacing w:before="200" w:line="280" w:lineRule="atLeast"/>
    </w:pPr>
    <w:rPr>
      <w:rFonts w:ascii="Arial" w:hAnsi="Arial"/>
      <w:b/>
      <w:sz w:val="22"/>
    </w:rPr>
  </w:style>
  <w:style w:type="paragraph" w:customStyle="1" w:styleId="BoxHeading2">
    <w:name w:val="Box Heading 2"/>
    <w:basedOn w:val="BoxHeading1"/>
    <w:next w:val="Normal"/>
    <w:rsid w:val="0010611E"/>
    <w:rPr>
      <w:b w:val="0"/>
      <w:i/>
    </w:rPr>
  </w:style>
  <w:style w:type="paragraph" w:customStyle="1" w:styleId="BoxListBullet">
    <w:name w:val="Box List Bullet"/>
    <w:basedOn w:val="BodyText"/>
    <w:rsid w:val="0010611E"/>
    <w:pPr>
      <w:keepNext/>
      <w:numPr>
        <w:numId w:val="32"/>
      </w:numPr>
      <w:spacing w:before="100" w:line="260" w:lineRule="atLeast"/>
    </w:pPr>
    <w:rPr>
      <w:rFonts w:ascii="Arial" w:hAnsi="Arial"/>
      <w:sz w:val="20"/>
    </w:rPr>
  </w:style>
  <w:style w:type="paragraph" w:customStyle="1" w:styleId="BoxListBullet2">
    <w:name w:val="Box List Bullet 2"/>
    <w:basedOn w:val="BoxListBullet"/>
    <w:rsid w:val="0010611E"/>
    <w:pPr>
      <w:numPr>
        <w:numId w:val="33"/>
      </w:numPr>
    </w:pPr>
  </w:style>
  <w:style w:type="paragraph" w:customStyle="1" w:styleId="BoxListNumber">
    <w:name w:val="Box List Number"/>
    <w:basedOn w:val="BodyText"/>
    <w:rsid w:val="0010611E"/>
    <w:pPr>
      <w:keepNext/>
      <w:numPr>
        <w:numId w:val="37"/>
      </w:numPr>
      <w:spacing w:before="100" w:line="260" w:lineRule="atLeast"/>
    </w:pPr>
    <w:rPr>
      <w:rFonts w:ascii="Arial" w:hAnsi="Arial"/>
      <w:sz w:val="20"/>
    </w:rPr>
  </w:style>
  <w:style w:type="paragraph" w:customStyle="1" w:styleId="BoxListNumber2">
    <w:name w:val="Box List Number 2"/>
    <w:basedOn w:val="BoxListNumber"/>
    <w:rsid w:val="0010611E"/>
    <w:pPr>
      <w:numPr>
        <w:ilvl w:val="1"/>
      </w:numPr>
    </w:pPr>
  </w:style>
  <w:style w:type="paragraph" w:customStyle="1" w:styleId="BoxQuote">
    <w:name w:val="Box Quote"/>
    <w:basedOn w:val="BodyText"/>
    <w:next w:val="Box"/>
    <w:qFormat/>
    <w:rsid w:val="0010611E"/>
    <w:pPr>
      <w:keepNext/>
      <w:spacing w:before="60" w:line="240" w:lineRule="exact"/>
      <w:ind w:left="284"/>
    </w:pPr>
    <w:rPr>
      <w:rFonts w:ascii="Arial" w:hAnsi="Arial"/>
      <w:sz w:val="18"/>
    </w:rPr>
  </w:style>
  <w:style w:type="paragraph" w:customStyle="1" w:styleId="BoxSpace">
    <w:name w:val="Box Space"/>
    <w:basedOn w:val="Normal"/>
    <w:pPr>
      <w:keepNext/>
      <w:spacing w:before="360" w:line="80" w:lineRule="exact"/>
    </w:pPr>
  </w:style>
  <w:style w:type="paragraph" w:styleId="Caption">
    <w:name w:val="caption"/>
    <w:basedOn w:val="Normal"/>
    <w:next w:val="BodyText"/>
    <w:qFormat/>
    <w:pPr>
      <w:keepNext/>
      <w:keepLines/>
      <w:spacing w:before="360" w:after="80" w:line="280" w:lineRule="exact"/>
      <w:ind w:left="1474" w:hanging="1474"/>
    </w:pPr>
    <w:rPr>
      <w:rFonts w:ascii="Arial" w:hAnsi="Arial"/>
      <w:b/>
      <w:sz w:val="24"/>
    </w:rPr>
  </w:style>
  <w:style w:type="paragraph" w:customStyle="1" w:styleId="BoxTitle">
    <w:name w:val="Box Title"/>
    <w:basedOn w:val="Caption"/>
    <w:next w:val="Normal"/>
    <w:rsid w:val="0010611E"/>
    <w:pPr>
      <w:spacing w:before="120" w:after="0"/>
    </w:pPr>
    <w:rPr>
      <w:szCs w:val="24"/>
      <w:lang w:eastAsia="en-AU"/>
    </w:rPr>
  </w:style>
  <w:style w:type="paragraph" w:customStyle="1" w:styleId="BoxSubtitle">
    <w:name w:val="Box Subtitle"/>
    <w:basedOn w:val="BoxTitle"/>
    <w:next w:val="Normal"/>
    <w:rsid w:val="0010611E"/>
    <w:pPr>
      <w:spacing w:after="80" w:line="200" w:lineRule="exact"/>
      <w:ind w:firstLine="0"/>
    </w:pPr>
    <w:rPr>
      <w:b w:val="0"/>
      <w:sz w:val="20"/>
    </w:rPr>
  </w:style>
  <w:style w:type="paragraph" w:customStyle="1" w:styleId="Chapter">
    <w:name w:val="Chapter"/>
    <w:basedOn w:val="Heading1"/>
    <w:next w:val="BodyText"/>
    <w:semiHidden/>
    <w:rsid w:val="0010611E"/>
    <w:pPr>
      <w:ind w:left="0" w:firstLine="0"/>
      <w:outlineLvl w:val="9"/>
    </w:pPr>
    <w:rPr>
      <w:kern w:val="0"/>
      <w:lang w:eastAsia="en-AU"/>
    </w:rPr>
  </w:style>
  <w:style w:type="paragraph" w:customStyle="1" w:styleId="ChapterSummary">
    <w:name w:val="Chapter Summary"/>
    <w:basedOn w:val="BodyText"/>
    <w:rsid w:val="0010611E"/>
    <w:pPr>
      <w:spacing w:line="280" w:lineRule="atLeast"/>
      <w:ind w:left="907"/>
    </w:pPr>
    <w:rPr>
      <w:rFonts w:ascii="Arial" w:hAnsi="Arial"/>
      <w:b/>
      <w:sz w:val="20"/>
    </w:rPr>
  </w:style>
  <w:style w:type="character" w:styleId="CommentReference">
    <w:name w:val="annotation reference"/>
    <w:semiHidden/>
    <w:rPr>
      <w:b/>
      <w:vanish/>
      <w:color w:val="FF00FF"/>
      <w:sz w:val="20"/>
    </w:rPr>
  </w:style>
  <w:style w:type="paragraph" w:styleId="CommentText">
    <w:name w:val="annotation text"/>
    <w:basedOn w:val="Normal"/>
    <w:link w:val="CommentTextChar"/>
    <w:semiHidden/>
    <w:pPr>
      <w:spacing w:before="120" w:line="240" w:lineRule="atLeast"/>
      <w:ind w:left="567" w:hanging="567"/>
    </w:pPr>
    <w:rPr>
      <w:sz w:val="20"/>
    </w:rPr>
  </w:style>
  <w:style w:type="paragraph" w:customStyle="1" w:styleId="Continued">
    <w:name w:val="Continued"/>
    <w:basedOn w:val="Normal"/>
    <w:next w:val="BodyText"/>
    <w:rsid w:val="0010611E"/>
    <w:pPr>
      <w:spacing w:before="180" w:line="220" w:lineRule="exact"/>
      <w:jc w:val="right"/>
    </w:pPr>
    <w:rPr>
      <w:rFonts w:ascii="Arial" w:hAnsi="Arial"/>
      <w:sz w:val="18"/>
      <w:lang w:eastAsia="en-AU"/>
    </w:rPr>
  </w:style>
  <w:style w:type="paragraph" w:customStyle="1" w:styleId="DocInfo">
    <w:name w:val="Doc Info"/>
    <w:basedOn w:val="Normal"/>
    <w:next w:val="Normal"/>
    <w:semiHidden/>
    <w:pPr>
      <w:jc w:val="center"/>
    </w:pPr>
    <w:rPr>
      <w:rFonts w:ascii="Arial" w:hAnsi="Arial"/>
      <w:sz w:val="14"/>
    </w:rPr>
  </w:style>
  <w:style w:type="paragraph" w:styleId="Footer">
    <w:name w:val="footer"/>
    <w:basedOn w:val="Normal"/>
    <w:link w:val="FooterChar"/>
    <w:rsid w:val="008273A9"/>
    <w:pPr>
      <w:spacing w:before="80" w:line="200" w:lineRule="exact"/>
      <w:ind w:right="6"/>
    </w:pPr>
    <w:rPr>
      <w:rFonts w:ascii="Arial" w:hAnsi="Arial"/>
      <w:caps/>
      <w:spacing w:val="-4"/>
      <w:sz w:val="16"/>
    </w:rPr>
  </w:style>
  <w:style w:type="character" w:customStyle="1" w:styleId="DocumentInfo">
    <w:name w:val="Document Info"/>
    <w:semiHidden/>
    <w:rPr>
      <w:rFonts w:ascii="Arial" w:hAnsi="Arial"/>
      <w:sz w:val="14"/>
    </w:rPr>
  </w:style>
  <w:style w:type="character" w:customStyle="1" w:styleId="DraftingNote">
    <w:name w:val="Drafting Note"/>
    <w:rPr>
      <w:b/>
      <w:color w:val="FF0000"/>
      <w:sz w:val="24"/>
      <w:u w:val="dotted"/>
    </w:rPr>
  </w:style>
  <w:style w:type="paragraph" w:customStyle="1" w:styleId="Figure">
    <w:name w:val="Figure"/>
    <w:basedOn w:val="BodyText"/>
    <w:pPr>
      <w:keepNext/>
      <w:spacing w:before="120" w:after="120" w:line="240" w:lineRule="atLeast"/>
      <w:jc w:val="center"/>
    </w:pPr>
  </w:style>
  <w:style w:type="paragraph" w:customStyle="1" w:styleId="FigureTitle">
    <w:name w:val="Figure Title"/>
    <w:basedOn w:val="Caption"/>
    <w:next w:val="Subtitle"/>
    <w:rsid w:val="0010611E"/>
    <w:pPr>
      <w:spacing w:before="120"/>
    </w:pPr>
    <w:rPr>
      <w:szCs w:val="24"/>
      <w:lang w:eastAsia="en-AU"/>
    </w:rPr>
  </w:style>
  <w:style w:type="paragraph" w:styleId="Subtitle">
    <w:name w:val="Subtitle"/>
    <w:basedOn w:val="Normal"/>
    <w:next w:val="Normal"/>
    <w:link w:val="SubtitleChar"/>
    <w:qFormat/>
    <w:rsid w:val="0010611E"/>
    <w:pPr>
      <w:numPr>
        <w:ilvl w:val="1"/>
      </w:numPr>
    </w:pPr>
    <w:rPr>
      <w:rFonts w:asciiTheme="majorHAnsi" w:eastAsiaTheme="majorEastAsia" w:hAnsiTheme="majorHAnsi" w:cstheme="majorBidi"/>
      <w:i/>
      <w:iCs/>
      <w:color w:val="78A22F" w:themeColor="accent1"/>
      <w:spacing w:val="15"/>
      <w:sz w:val="24"/>
      <w:szCs w:val="24"/>
    </w:rPr>
  </w:style>
  <w:style w:type="paragraph" w:customStyle="1" w:styleId="Finding">
    <w:name w:val="Finding"/>
    <w:basedOn w:val="BodyText"/>
    <w:rsid w:val="0010611E"/>
    <w:pPr>
      <w:keepLines/>
      <w:spacing w:before="120" w:line="280" w:lineRule="atLeast"/>
    </w:pPr>
    <w:rPr>
      <w:rFonts w:ascii="Arial" w:hAnsi="Arial"/>
      <w:sz w:val="22"/>
    </w:rPr>
  </w:style>
  <w:style w:type="paragraph" w:customStyle="1" w:styleId="FindingBullet">
    <w:name w:val="Finding Bullet"/>
    <w:basedOn w:val="Finding"/>
    <w:rsid w:val="0010611E"/>
    <w:pPr>
      <w:numPr>
        <w:numId w:val="39"/>
      </w:numPr>
      <w:spacing w:before="80"/>
    </w:pPr>
  </w:style>
  <w:style w:type="paragraph" w:customStyle="1" w:styleId="FindingNoTitle">
    <w:name w:val="Finding NoTitle"/>
    <w:basedOn w:val="Finding"/>
    <w:pPr>
      <w:spacing w:before="240"/>
    </w:pPr>
  </w:style>
  <w:style w:type="paragraph" w:customStyle="1" w:styleId="RecTitle">
    <w:name w:val="Rec Title"/>
    <w:basedOn w:val="BodyText"/>
    <w:next w:val="Normal"/>
    <w:qFormat/>
    <w:rsid w:val="0010611E"/>
    <w:pPr>
      <w:keepNext/>
      <w:keepLines/>
      <w:spacing w:line="280" w:lineRule="atLeast"/>
    </w:pPr>
    <w:rPr>
      <w:rFonts w:ascii="Arial" w:hAnsi="Arial"/>
      <w:caps/>
      <w:sz w:val="18"/>
    </w:rPr>
  </w:style>
  <w:style w:type="paragraph" w:customStyle="1" w:styleId="FindingTitle">
    <w:name w:val="Finding Title"/>
    <w:basedOn w:val="RecTitle"/>
    <w:next w:val="Finding"/>
    <w:rsid w:val="0010611E"/>
    <w:pPr>
      <w:framePr w:wrap="notBeside" w:hAnchor="text"/>
    </w:pPr>
  </w:style>
  <w:style w:type="paragraph" w:customStyle="1" w:styleId="FooterEnd">
    <w:name w:val="Footer End"/>
    <w:basedOn w:val="Footer"/>
    <w:pPr>
      <w:spacing w:before="0" w:line="20" w:lineRule="exact"/>
    </w:pPr>
  </w:style>
  <w:style w:type="character" w:styleId="FootnoteReference">
    <w:name w:val="footnote reference"/>
    <w:semiHidden/>
    <w:rPr>
      <w:rFonts w:ascii="Times New Roman" w:hAnsi="Times New Roman"/>
      <w:position w:val="6"/>
      <w:sz w:val="22"/>
      <w:vertAlign w:val="baseline"/>
    </w:rPr>
  </w:style>
  <w:style w:type="paragraph" w:styleId="FootnoteText">
    <w:name w:val="footnote text"/>
    <w:basedOn w:val="BodyText"/>
    <w:semiHidden/>
    <w:pPr>
      <w:tabs>
        <w:tab w:val="left" w:pos="284"/>
      </w:tabs>
      <w:spacing w:before="80" w:line="260" w:lineRule="exact"/>
      <w:ind w:left="170" w:hanging="170"/>
    </w:pPr>
    <w:rPr>
      <w:sz w:val="22"/>
    </w:rPr>
  </w:style>
  <w:style w:type="paragraph" w:customStyle="1" w:styleId="Heading2NotTOC">
    <w:name w:val="Heading 2 Not TOC"/>
    <w:basedOn w:val="Heading2"/>
    <w:next w:val="BodyText"/>
    <w:rsid w:val="000B416E"/>
  </w:style>
  <w:style w:type="paragraph" w:customStyle="1" w:styleId="HeaderEnd">
    <w:name w:val="Header End"/>
    <w:basedOn w:val="Header"/>
    <w:rsid w:val="005C68FE"/>
    <w:pPr>
      <w:spacing w:line="20" w:lineRule="exact"/>
    </w:pPr>
  </w:style>
  <w:style w:type="paragraph" w:customStyle="1" w:styleId="HeaderEven">
    <w:name w:val="Header Even"/>
    <w:basedOn w:val="Header"/>
  </w:style>
  <w:style w:type="paragraph" w:customStyle="1" w:styleId="HeaderOdd">
    <w:name w:val="Header Odd"/>
    <w:basedOn w:val="Header"/>
    <w:rsid w:val="00181F4B"/>
  </w:style>
  <w:style w:type="paragraph" w:customStyle="1" w:styleId="InformationRequest">
    <w:name w:val="Information Request"/>
    <w:basedOn w:val="Finding"/>
    <w:next w:val="BodyText"/>
    <w:rsid w:val="0010611E"/>
    <w:rPr>
      <w:i/>
    </w:rPr>
  </w:style>
  <w:style w:type="paragraph" w:styleId="ListBullet">
    <w:name w:val="List Bullet"/>
    <w:basedOn w:val="BodyText"/>
    <w:rsid w:val="0010611E"/>
    <w:pPr>
      <w:numPr>
        <w:numId w:val="40"/>
      </w:numPr>
      <w:spacing w:before="120"/>
    </w:pPr>
  </w:style>
  <w:style w:type="paragraph" w:styleId="ListBullet2">
    <w:name w:val="List Bullet 2"/>
    <w:basedOn w:val="BodyText"/>
    <w:rsid w:val="0010611E"/>
    <w:pPr>
      <w:numPr>
        <w:numId w:val="42"/>
      </w:numPr>
      <w:spacing w:before="120"/>
    </w:pPr>
  </w:style>
  <w:style w:type="paragraph" w:styleId="ListBullet3">
    <w:name w:val="List Bullet 3"/>
    <w:basedOn w:val="BodyText"/>
    <w:rsid w:val="0010611E"/>
    <w:pPr>
      <w:numPr>
        <w:numId w:val="34"/>
      </w:numPr>
      <w:spacing w:before="120"/>
    </w:pPr>
  </w:style>
  <w:style w:type="paragraph" w:styleId="ListNumber">
    <w:name w:val="List Number"/>
    <w:basedOn w:val="BodyText"/>
    <w:rsid w:val="0010611E"/>
    <w:pPr>
      <w:numPr>
        <w:numId w:val="45"/>
      </w:numPr>
      <w:spacing w:before="120"/>
    </w:pPr>
  </w:style>
  <w:style w:type="paragraph" w:styleId="ListNumber2">
    <w:name w:val="List Number 2"/>
    <w:basedOn w:val="ListNumber"/>
    <w:rsid w:val="0010611E"/>
    <w:pPr>
      <w:numPr>
        <w:ilvl w:val="1"/>
      </w:numPr>
    </w:pPr>
  </w:style>
  <w:style w:type="paragraph" w:styleId="ListNumber3">
    <w:name w:val="List Number 3"/>
    <w:basedOn w:val="ListNumber2"/>
    <w:rsid w:val="0010611E"/>
    <w:pPr>
      <w:numPr>
        <w:ilvl w:val="2"/>
      </w:numPr>
    </w:pPr>
  </w:style>
  <w:style w:type="character" w:customStyle="1" w:styleId="NoteLabel">
    <w:name w:val="Note Label"/>
    <w:basedOn w:val="DefaultParagraphFont"/>
    <w:rsid w:val="0010611E"/>
    <w:rPr>
      <w:rFonts w:ascii="Arial" w:hAnsi="Arial"/>
      <w:b/>
      <w:position w:val="6"/>
      <w:sz w:val="18"/>
    </w:rPr>
  </w:style>
  <w:style w:type="character" w:styleId="PageNumber">
    <w:name w:val="page number"/>
    <w:rsid w:val="008273A9"/>
    <w:rPr>
      <w:rFonts w:ascii="Arial" w:hAnsi="Arial"/>
      <w:b/>
      <w:caps w:val="0"/>
      <w:smallCaps w:val="0"/>
      <w:sz w:val="16"/>
    </w:rPr>
  </w:style>
  <w:style w:type="paragraph" w:customStyle="1" w:styleId="PartDivider">
    <w:name w:val="Part Divider"/>
    <w:basedOn w:val="Normal"/>
    <w:next w:val="Normal"/>
    <w:pPr>
      <w:spacing w:line="40" w:lineRule="exact"/>
      <w:jc w:val="right"/>
    </w:pPr>
    <w:rPr>
      <w:smallCaps/>
      <w:sz w:val="16"/>
    </w:rPr>
  </w:style>
  <w:style w:type="paragraph" w:customStyle="1" w:styleId="PartNumber">
    <w:name w:val="Part Number"/>
    <w:basedOn w:val="Normal"/>
    <w:next w:val="Normal"/>
    <w:pPr>
      <w:spacing w:before="4000" w:line="320" w:lineRule="exact"/>
      <w:ind w:left="6634"/>
      <w:jc w:val="right"/>
    </w:pPr>
    <w:rPr>
      <w:smallCaps/>
      <w:spacing w:val="60"/>
      <w:sz w:val="32"/>
    </w:rPr>
  </w:style>
  <w:style w:type="paragraph" w:customStyle="1" w:styleId="PartTitle">
    <w:name w:val="Part Title"/>
    <w:basedOn w:val="Normal"/>
    <w:pPr>
      <w:spacing w:before="160" w:after="1360" w:line="520" w:lineRule="exact"/>
      <w:ind w:right="2381"/>
      <w:jc w:val="right"/>
    </w:pPr>
    <w:rPr>
      <w:smallCaps/>
      <w:sz w:val="52"/>
    </w:rPr>
  </w:style>
  <w:style w:type="paragraph" w:styleId="Quote">
    <w:name w:val="Quote"/>
    <w:basedOn w:val="BodyText"/>
    <w:next w:val="BodyText"/>
    <w:link w:val="QuoteChar"/>
    <w:qFormat/>
    <w:rsid w:val="0010611E"/>
    <w:pPr>
      <w:spacing w:before="120" w:line="280" w:lineRule="exact"/>
      <w:ind w:left="340"/>
    </w:pPr>
    <w:rPr>
      <w:sz w:val="22"/>
    </w:rPr>
  </w:style>
  <w:style w:type="paragraph" w:customStyle="1" w:styleId="Rec">
    <w:name w:val="Rec"/>
    <w:basedOn w:val="BodyText"/>
    <w:qFormat/>
    <w:rsid w:val="0010611E"/>
    <w:pPr>
      <w:keepLines/>
      <w:spacing w:before="120" w:line="280" w:lineRule="atLeast"/>
    </w:pPr>
    <w:rPr>
      <w:rFonts w:ascii="Arial" w:hAnsi="Arial"/>
      <w:sz w:val="22"/>
    </w:rPr>
  </w:style>
  <w:style w:type="paragraph" w:customStyle="1" w:styleId="RecBullet">
    <w:name w:val="Rec Bullet"/>
    <w:basedOn w:val="Rec"/>
    <w:rsid w:val="0010611E"/>
    <w:pPr>
      <w:numPr>
        <w:numId w:val="47"/>
      </w:numPr>
      <w:spacing w:before="80"/>
    </w:pPr>
  </w:style>
  <w:style w:type="paragraph" w:customStyle="1" w:styleId="RecB">
    <w:name w:val="RecB"/>
    <w:basedOn w:val="Rec"/>
    <w:pPr>
      <w:pBdr>
        <w:left w:val="single" w:sz="24" w:space="12" w:color="C0C0C0"/>
      </w:pBdr>
    </w:pPr>
  </w:style>
  <w:style w:type="paragraph" w:customStyle="1" w:styleId="RecBBullet">
    <w:name w:val="RecB Bullet"/>
    <w:basedOn w:val="RecB"/>
    <w:pPr>
      <w:numPr>
        <w:numId w:val="21"/>
      </w:numPr>
      <w:spacing w:before="80"/>
    </w:pPr>
  </w:style>
  <w:style w:type="paragraph" w:customStyle="1" w:styleId="RecBNoTitle">
    <w:name w:val="RecB NoTitle"/>
    <w:basedOn w:val="RecB"/>
    <w:pPr>
      <w:spacing w:before="240"/>
    </w:pPr>
  </w:style>
  <w:style w:type="paragraph" w:customStyle="1" w:styleId="Reference">
    <w:name w:val="Reference"/>
    <w:basedOn w:val="BodyText"/>
    <w:rsid w:val="0010611E"/>
    <w:pPr>
      <w:spacing w:before="120"/>
      <w:ind w:left="340" w:hanging="340"/>
    </w:pPr>
  </w:style>
  <w:style w:type="paragraph" w:customStyle="1" w:styleId="SequenceInfo">
    <w:name w:val="Sequence Info"/>
    <w:basedOn w:val="Normal"/>
    <w:rPr>
      <w:vanish/>
      <w:sz w:val="16"/>
    </w:rPr>
  </w:style>
  <w:style w:type="paragraph" w:customStyle="1" w:styleId="SideNote">
    <w:name w:val="Side Note"/>
    <w:basedOn w:val="BodyText"/>
    <w:next w:val="BodyText"/>
    <w:pPr>
      <w:keepNext/>
      <w:keepLines/>
      <w:framePr w:w="2155" w:hSpace="227" w:vSpace="181" w:wrap="around" w:vAnchor="text" w:hAnchor="page" w:xAlign="outside" w:y="1"/>
      <w:jc w:val="left"/>
    </w:pPr>
    <w:rPr>
      <w:i/>
    </w:rPr>
  </w:style>
  <w:style w:type="paragraph" w:customStyle="1" w:styleId="SideNoteBullet">
    <w:name w:val="Side Note Bullet"/>
    <w:basedOn w:val="SideNote"/>
    <w:next w:val="BodyText"/>
    <w:pPr>
      <w:framePr w:wrap="around"/>
      <w:numPr>
        <w:numId w:val="22"/>
      </w:numPr>
      <w:tabs>
        <w:tab w:val="left" w:pos="227"/>
      </w:tabs>
    </w:pPr>
  </w:style>
  <w:style w:type="paragraph" w:customStyle="1" w:styleId="SideNoteGraphic">
    <w:name w:val="Side Note Graphic"/>
    <w:basedOn w:val="SideNote"/>
    <w:next w:val="BodyText"/>
    <w:pPr>
      <w:framePr w:wrap="around"/>
    </w:pPr>
  </w:style>
  <w:style w:type="paragraph" w:customStyle="1" w:styleId="TableBodyText">
    <w:name w:val="Table Body Text"/>
    <w:basedOn w:val="BodyText"/>
    <w:rsid w:val="0010611E"/>
    <w:pPr>
      <w:keepNext/>
      <w:keepLines/>
      <w:spacing w:before="0" w:after="40" w:line="200" w:lineRule="atLeast"/>
      <w:ind w:left="6" w:right="113"/>
      <w:jc w:val="right"/>
    </w:pPr>
    <w:rPr>
      <w:rFonts w:ascii="Arial" w:hAnsi="Arial"/>
      <w:sz w:val="18"/>
    </w:rPr>
  </w:style>
  <w:style w:type="paragraph" w:customStyle="1" w:styleId="TableBullet">
    <w:name w:val="Table Bullet"/>
    <w:basedOn w:val="TableBodyText"/>
    <w:rsid w:val="0010611E"/>
    <w:pPr>
      <w:numPr>
        <w:numId w:val="48"/>
      </w:numPr>
      <w:jc w:val="left"/>
    </w:pPr>
  </w:style>
  <w:style w:type="paragraph" w:customStyle="1" w:styleId="TableColumnHeading">
    <w:name w:val="Table Column Heading"/>
    <w:basedOn w:val="TableBodyText"/>
    <w:rsid w:val="0010611E"/>
    <w:pPr>
      <w:spacing w:before="80" w:after="80"/>
    </w:pPr>
    <w:rPr>
      <w:i/>
    </w:rPr>
  </w:style>
  <w:style w:type="paragraph" w:styleId="TOC2">
    <w:name w:val="toc 2"/>
    <w:basedOn w:val="TOC1"/>
    <w:uiPriority w:val="39"/>
    <w:rsid w:val="008B2205"/>
    <w:pPr>
      <w:ind w:left="1020"/>
    </w:pPr>
    <w:rPr>
      <w:b w:val="0"/>
    </w:rPr>
  </w:style>
  <w:style w:type="paragraph" w:styleId="TOC3">
    <w:name w:val="toc 3"/>
    <w:basedOn w:val="TOC2"/>
    <w:rsid w:val="00D772E9"/>
    <w:pPr>
      <w:spacing w:before="60"/>
      <w:ind w:left="1190" w:hanging="680"/>
    </w:pPr>
  </w:style>
  <w:style w:type="paragraph" w:styleId="TableofFigures">
    <w:name w:val="table of figures"/>
    <w:basedOn w:val="TOC3"/>
    <w:next w:val="BodyText"/>
    <w:rsid w:val="00B722F2"/>
    <w:pPr>
      <w:tabs>
        <w:tab w:val="left" w:pos="1191"/>
      </w:tabs>
      <w:ind w:left="737" w:hanging="737"/>
    </w:pPr>
  </w:style>
  <w:style w:type="paragraph" w:customStyle="1" w:styleId="TableTitle">
    <w:name w:val="Table Title"/>
    <w:basedOn w:val="Caption"/>
    <w:next w:val="Subtitle"/>
    <w:qFormat/>
    <w:rsid w:val="0010611E"/>
    <w:rPr>
      <w:szCs w:val="24"/>
      <w:lang w:eastAsia="en-AU"/>
    </w:rPr>
  </w:style>
  <w:style w:type="paragraph" w:customStyle="1" w:styleId="TableUnitsRow">
    <w:name w:val="Table Units Row"/>
    <w:basedOn w:val="TableBodyText"/>
    <w:rsid w:val="0010611E"/>
    <w:pPr>
      <w:spacing w:before="80" w:after="80"/>
    </w:pPr>
  </w:style>
  <w:style w:type="paragraph" w:styleId="TOC1">
    <w:name w:val="toc 1"/>
    <w:basedOn w:val="Normal"/>
    <w:next w:val="TOC2"/>
    <w:link w:val="TOC1Char"/>
    <w:uiPriority w:val="39"/>
    <w:rsid w:val="00DD1077"/>
    <w:pPr>
      <w:tabs>
        <w:tab w:val="right" w:pos="8789"/>
      </w:tabs>
      <w:spacing w:before="120" w:line="320" w:lineRule="exact"/>
      <w:ind w:left="510" w:right="851" w:hanging="510"/>
    </w:pPr>
    <w:rPr>
      <w:rFonts w:ascii="Arial" w:hAnsi="Arial"/>
      <w:b/>
      <w:szCs w:val="26"/>
    </w:rPr>
  </w:style>
  <w:style w:type="paragraph" w:styleId="TOC4">
    <w:name w:val="toc 4"/>
    <w:basedOn w:val="TOC3"/>
    <w:autoRedefine/>
    <w:semiHidden/>
    <w:rsid w:val="00DA3281"/>
    <w:pPr>
      <w:ind w:left="765" w:firstLine="0"/>
    </w:pPr>
  </w:style>
  <w:style w:type="paragraph" w:styleId="Header">
    <w:name w:val="header"/>
    <w:basedOn w:val="Normal"/>
    <w:rsid w:val="00181F4B"/>
    <w:pPr>
      <w:tabs>
        <w:tab w:val="center" w:pos="4394"/>
        <w:tab w:val="right" w:pos="8789"/>
      </w:tabs>
      <w:spacing w:line="240" w:lineRule="atLeast"/>
    </w:pPr>
    <w:rPr>
      <w:rFonts w:ascii="Arial" w:hAnsi="Arial"/>
      <w:caps/>
      <w:sz w:val="16"/>
    </w:rPr>
  </w:style>
  <w:style w:type="paragraph" w:customStyle="1" w:styleId="QuoteBullet">
    <w:name w:val="Quote Bullet"/>
    <w:basedOn w:val="Quote"/>
    <w:rsid w:val="0010611E"/>
    <w:pPr>
      <w:numPr>
        <w:numId w:val="46"/>
      </w:numPr>
    </w:pPr>
  </w:style>
  <w:style w:type="paragraph" w:styleId="BalloonText">
    <w:name w:val="Balloon Text"/>
    <w:basedOn w:val="Normal"/>
    <w:semiHidden/>
    <w:rsid w:val="002B64D6"/>
    <w:rPr>
      <w:rFonts w:ascii="Tahoma" w:hAnsi="Tahoma" w:cs="Tahoma"/>
      <w:sz w:val="16"/>
      <w:szCs w:val="16"/>
    </w:rPr>
  </w:style>
  <w:style w:type="character" w:customStyle="1" w:styleId="BodyTextChar">
    <w:name w:val="Body Text Char"/>
    <w:basedOn w:val="DefaultParagraphFont"/>
    <w:link w:val="BodyText"/>
    <w:locked/>
    <w:rsid w:val="0010611E"/>
    <w:rPr>
      <w:sz w:val="24"/>
    </w:rPr>
  </w:style>
  <w:style w:type="paragraph" w:customStyle="1" w:styleId="Heading1NotTOC">
    <w:name w:val="Heading 1 Not TOC"/>
    <w:basedOn w:val="Heading1"/>
    <w:next w:val="BodyText"/>
    <w:rsid w:val="00F7477E"/>
    <w:rPr>
      <w:szCs w:val="26"/>
    </w:rPr>
  </w:style>
  <w:style w:type="paragraph" w:customStyle="1" w:styleId="PCAddress">
    <w:name w:val="PC Address"/>
    <w:basedOn w:val="Normal"/>
    <w:rsid w:val="008B2205"/>
    <w:pPr>
      <w:tabs>
        <w:tab w:val="left" w:pos="866"/>
      </w:tabs>
      <w:spacing w:after="60"/>
    </w:pPr>
    <w:rPr>
      <w:sz w:val="16"/>
      <w:lang w:eastAsia="en-AU"/>
    </w:rPr>
  </w:style>
  <w:style w:type="paragraph" w:styleId="Salutation">
    <w:name w:val="Salutation"/>
    <w:basedOn w:val="Normal"/>
    <w:next w:val="Normal"/>
    <w:link w:val="SalutationChar"/>
    <w:autoRedefine/>
    <w:rsid w:val="003B41E0"/>
    <w:rPr>
      <w:noProof/>
      <w:sz w:val="24"/>
      <w:lang w:eastAsia="en-AU"/>
    </w:rPr>
  </w:style>
  <w:style w:type="character" w:customStyle="1" w:styleId="SalutationChar">
    <w:name w:val="Salutation Char"/>
    <w:basedOn w:val="DefaultParagraphFont"/>
    <w:link w:val="Salutation"/>
    <w:rsid w:val="003B41E0"/>
    <w:rPr>
      <w:noProof/>
      <w:sz w:val="24"/>
    </w:rPr>
  </w:style>
  <w:style w:type="paragraph" w:customStyle="1" w:styleId="Signoff">
    <w:name w:val="Signoff"/>
    <w:basedOn w:val="Normal"/>
    <w:autoRedefine/>
    <w:rsid w:val="003B41E0"/>
    <w:pPr>
      <w:spacing w:before="480" w:after="1000"/>
    </w:pPr>
    <w:rPr>
      <w:sz w:val="24"/>
      <w:lang w:eastAsia="en-AU"/>
    </w:rPr>
  </w:style>
  <w:style w:type="paragraph" w:customStyle="1" w:styleId="LetterDate">
    <w:name w:val="Letter Date"/>
    <w:basedOn w:val="BodyText"/>
    <w:rsid w:val="003B41E0"/>
    <w:pPr>
      <w:spacing w:before="0" w:after="240" w:line="240" w:lineRule="auto"/>
      <w:ind w:left="-108"/>
      <w:jc w:val="left"/>
    </w:pPr>
  </w:style>
  <w:style w:type="paragraph" w:customStyle="1" w:styleId="LetterAddress">
    <w:name w:val="Letter Address"/>
    <w:basedOn w:val="BodyText"/>
    <w:rsid w:val="003B41E0"/>
    <w:pPr>
      <w:spacing w:before="0" w:line="240" w:lineRule="auto"/>
      <w:jc w:val="left"/>
    </w:pPr>
  </w:style>
  <w:style w:type="paragraph" w:customStyle="1" w:styleId="PCBoxHeading">
    <w:name w:val="PC Box Heading"/>
    <w:basedOn w:val="BodyText"/>
    <w:link w:val="PCBoxHeadingChar"/>
    <w:qFormat/>
    <w:rsid w:val="008A3857"/>
    <w:pPr>
      <w:pBdr>
        <w:top w:val="single" w:sz="4" w:space="5" w:color="auto"/>
        <w:left w:val="single" w:sz="4" w:space="8" w:color="auto"/>
        <w:bottom w:val="single" w:sz="4" w:space="14" w:color="auto"/>
        <w:right w:val="single" w:sz="4" w:space="8" w:color="auto"/>
      </w:pBdr>
      <w:spacing w:before="480" w:line="240" w:lineRule="auto"/>
      <w:ind w:left="284" w:right="284"/>
    </w:pPr>
    <w:rPr>
      <w:rFonts w:ascii="Arial" w:hAnsi="Arial"/>
      <w:b/>
      <w:i/>
      <w:szCs w:val="24"/>
    </w:rPr>
  </w:style>
  <w:style w:type="paragraph" w:customStyle="1" w:styleId="PCBoxtext">
    <w:name w:val="PC Box text"/>
    <w:basedOn w:val="BodyText"/>
    <w:link w:val="PCBoxtextChar"/>
    <w:rsid w:val="00F4234E"/>
    <w:pPr>
      <w:pBdr>
        <w:top w:val="single" w:sz="4" w:space="5" w:color="auto"/>
        <w:left w:val="single" w:sz="4" w:space="8" w:color="auto"/>
        <w:bottom w:val="single" w:sz="4" w:space="14" w:color="auto"/>
        <w:right w:val="single" w:sz="4" w:space="8" w:color="auto"/>
      </w:pBdr>
      <w:spacing w:before="160" w:line="240" w:lineRule="auto"/>
      <w:ind w:left="284" w:right="284"/>
    </w:pPr>
    <w:rPr>
      <w:szCs w:val="24"/>
    </w:rPr>
  </w:style>
  <w:style w:type="character" w:customStyle="1" w:styleId="PCBoxHeadingChar">
    <w:name w:val="PC Box Heading Char"/>
    <w:basedOn w:val="BodyTextChar"/>
    <w:link w:val="PCBoxHeading"/>
    <w:rsid w:val="008A3857"/>
    <w:rPr>
      <w:rFonts w:ascii="Arial" w:hAnsi="Arial"/>
      <w:b/>
      <w:i/>
      <w:sz w:val="24"/>
      <w:szCs w:val="24"/>
    </w:rPr>
  </w:style>
  <w:style w:type="character" w:customStyle="1" w:styleId="PCBoxtextChar">
    <w:name w:val="PC Box text Char"/>
    <w:basedOn w:val="BodyTextChar"/>
    <w:link w:val="PCBoxtext"/>
    <w:rsid w:val="00F4234E"/>
    <w:rPr>
      <w:sz w:val="24"/>
      <w:szCs w:val="24"/>
      <w:lang w:eastAsia="en-US"/>
    </w:rPr>
  </w:style>
  <w:style w:type="character" w:styleId="Hyperlink">
    <w:name w:val="Hyperlink"/>
    <w:basedOn w:val="DefaultParagraphFont"/>
    <w:unhideWhenUsed/>
    <w:rsid w:val="00CD5E6B"/>
    <w:rPr>
      <w:rFonts w:ascii="Times New Roman" w:hAnsi="Times New Roman" w:cs="Times New Roman" w:hint="default"/>
      <w:color w:val="000000"/>
      <w:u w:val="single"/>
    </w:rPr>
  </w:style>
  <w:style w:type="paragraph" w:customStyle="1" w:styleId="Copyrightheading">
    <w:name w:val="Copyright heading"/>
    <w:basedOn w:val="TOC1"/>
    <w:link w:val="CopyrightheadingChar"/>
    <w:qFormat/>
    <w:rsid w:val="00122FE9"/>
    <w:pPr>
      <w:spacing w:line="300" w:lineRule="exact"/>
    </w:pPr>
    <w:rPr>
      <w:sz w:val="22"/>
    </w:rPr>
  </w:style>
  <w:style w:type="character" w:customStyle="1" w:styleId="TOC1Char">
    <w:name w:val="TOC 1 Char"/>
    <w:basedOn w:val="DefaultParagraphFont"/>
    <w:link w:val="TOC1"/>
    <w:rsid w:val="00D969AE"/>
    <w:rPr>
      <w:rFonts w:ascii="Arial" w:hAnsi="Arial"/>
      <w:b/>
      <w:sz w:val="26"/>
      <w:szCs w:val="26"/>
      <w:lang w:eastAsia="en-US"/>
    </w:rPr>
  </w:style>
  <w:style w:type="character" w:customStyle="1" w:styleId="CopyrightheadingChar">
    <w:name w:val="Copyright heading Char"/>
    <w:basedOn w:val="TOC1Char"/>
    <w:link w:val="Copyrightheading"/>
    <w:rsid w:val="00122FE9"/>
    <w:rPr>
      <w:rFonts w:ascii="Arial" w:hAnsi="Arial"/>
      <w:b/>
      <w:sz w:val="22"/>
      <w:szCs w:val="26"/>
      <w:lang w:eastAsia="en-US"/>
    </w:rPr>
  </w:style>
  <w:style w:type="paragraph" w:customStyle="1" w:styleId="Copyrightsubtitle">
    <w:name w:val="Copyright subtitle"/>
    <w:basedOn w:val="BodyText"/>
    <w:rsid w:val="008E242D"/>
    <w:rPr>
      <w:rFonts w:ascii="Arial" w:hAnsi="Arial"/>
      <w:b/>
      <w:sz w:val="22"/>
      <w:szCs w:val="25"/>
    </w:rPr>
  </w:style>
  <w:style w:type="paragraph" w:customStyle="1" w:styleId="BoxSpaceAbove">
    <w:name w:val="Box Space Above"/>
    <w:basedOn w:val="BodyText"/>
    <w:rsid w:val="0010611E"/>
    <w:pPr>
      <w:keepNext/>
      <w:spacing w:before="360" w:line="80" w:lineRule="exact"/>
      <w:jc w:val="left"/>
    </w:pPr>
  </w:style>
  <w:style w:type="paragraph" w:customStyle="1" w:styleId="BoxSpaceBelow">
    <w:name w:val="Box Space Below"/>
    <w:basedOn w:val="Box"/>
    <w:rsid w:val="0010611E"/>
    <w:pPr>
      <w:keepNext w:val="0"/>
      <w:spacing w:before="60" w:after="60" w:line="80" w:lineRule="exact"/>
    </w:pPr>
    <w:rPr>
      <w:sz w:val="14"/>
    </w:rPr>
  </w:style>
  <w:style w:type="paragraph" w:customStyle="1" w:styleId="Space">
    <w:name w:val="Space"/>
    <w:basedOn w:val="Normal"/>
    <w:rsid w:val="009B48F7"/>
    <w:pPr>
      <w:keepNext/>
      <w:spacing w:line="120" w:lineRule="exact"/>
      <w:jc w:val="both"/>
    </w:pPr>
    <w:rPr>
      <w:rFonts w:ascii="Arial" w:hAnsi="Arial"/>
      <w:sz w:val="21"/>
      <w:lang w:eastAsia="en-AU"/>
    </w:rPr>
  </w:style>
  <w:style w:type="paragraph" w:customStyle="1" w:styleId="InformationRequestTitle">
    <w:name w:val="Information Request Title"/>
    <w:basedOn w:val="FindingTitle"/>
    <w:next w:val="InformationRequest"/>
    <w:rsid w:val="0010611E"/>
    <w:pPr>
      <w:framePr w:wrap="auto"/>
    </w:pPr>
    <w:rPr>
      <w:i/>
    </w:rPr>
  </w:style>
  <w:style w:type="paragraph" w:customStyle="1" w:styleId="BoxListBullet3">
    <w:name w:val="Box List Bullet 3"/>
    <w:basedOn w:val="ListBullet3"/>
    <w:rsid w:val="0010611E"/>
    <w:pPr>
      <w:numPr>
        <w:numId w:val="35"/>
      </w:numPr>
      <w:tabs>
        <w:tab w:val="left" w:pos="907"/>
      </w:tabs>
      <w:spacing w:before="60" w:line="260" w:lineRule="atLeast"/>
    </w:pPr>
    <w:rPr>
      <w:rFonts w:ascii="Arial" w:hAnsi="Arial"/>
      <w:sz w:val="20"/>
    </w:rPr>
  </w:style>
  <w:style w:type="paragraph" w:customStyle="1" w:styleId="BoxQuoteBullet">
    <w:name w:val="Box Quote Bullet"/>
    <w:basedOn w:val="BoxQuote"/>
    <w:next w:val="Box"/>
    <w:rsid w:val="0010611E"/>
    <w:pPr>
      <w:numPr>
        <w:numId w:val="38"/>
      </w:numPr>
    </w:pPr>
  </w:style>
  <w:style w:type="paragraph" w:customStyle="1" w:styleId="Figurespace">
    <w:name w:val="Figure space"/>
    <w:basedOn w:val="Box"/>
    <w:rsid w:val="0010611E"/>
    <w:pPr>
      <w:spacing w:before="0" w:line="120" w:lineRule="exact"/>
    </w:pPr>
  </w:style>
  <w:style w:type="paragraph" w:customStyle="1" w:styleId="Heading1nochapterno">
    <w:name w:val="Heading 1 (no chapter no.)"/>
    <w:basedOn w:val="Heading1"/>
    <w:rsid w:val="0010611E"/>
    <w:pPr>
      <w:spacing w:before="0"/>
      <w:ind w:left="0" w:firstLine="0"/>
    </w:pPr>
    <w:rPr>
      <w:kern w:val="0"/>
      <w:lang w:eastAsia="en-AU"/>
    </w:rPr>
  </w:style>
  <w:style w:type="paragraph" w:customStyle="1" w:styleId="Heading2nosectionno">
    <w:name w:val="Heading 2 (no section no.)"/>
    <w:basedOn w:val="Heading2"/>
    <w:rsid w:val="0010611E"/>
    <w:pPr>
      <w:ind w:left="0" w:firstLine="0"/>
    </w:pPr>
  </w:style>
  <w:style w:type="paragraph" w:customStyle="1" w:styleId="InformationRequestBullet">
    <w:name w:val="Information Request Bullet"/>
    <w:basedOn w:val="ListBullet"/>
    <w:next w:val="BodyText"/>
    <w:rsid w:val="0010611E"/>
    <w:pPr>
      <w:numPr>
        <w:numId w:val="41"/>
      </w:numPr>
      <w:spacing w:before="80" w:line="280" w:lineRule="atLeast"/>
    </w:pPr>
    <w:rPr>
      <w:rFonts w:ascii="Arial" w:hAnsi="Arial"/>
      <w:i/>
      <w:sz w:val="22"/>
    </w:rPr>
  </w:style>
  <w:style w:type="paragraph" w:customStyle="1" w:styleId="KeyPointsListBullet">
    <w:name w:val="Key Points List Bullet"/>
    <w:basedOn w:val="Normal"/>
    <w:qFormat/>
    <w:rsid w:val="0010611E"/>
    <w:pPr>
      <w:keepNext/>
      <w:spacing w:before="100" w:line="260" w:lineRule="atLeast"/>
      <w:jc w:val="both"/>
    </w:pPr>
    <w:rPr>
      <w:rFonts w:ascii="Arial" w:hAnsi="Arial"/>
      <w:sz w:val="20"/>
    </w:rPr>
  </w:style>
  <w:style w:type="paragraph" w:customStyle="1" w:styleId="KeyPointsListBullet2">
    <w:name w:val="Key Points List Bullet 2"/>
    <w:basedOn w:val="KeyPointsListBullet"/>
    <w:rsid w:val="0010611E"/>
    <w:pPr>
      <w:spacing w:before="60"/>
    </w:pPr>
  </w:style>
  <w:style w:type="character" w:customStyle="1" w:styleId="QuoteChar">
    <w:name w:val="Quote Char"/>
    <w:basedOn w:val="DefaultParagraphFont"/>
    <w:link w:val="Quote"/>
    <w:rsid w:val="0010611E"/>
    <w:rPr>
      <w:sz w:val="22"/>
    </w:rPr>
  </w:style>
  <w:style w:type="character" w:customStyle="1" w:styleId="SubtitleChar">
    <w:name w:val="Subtitle Char"/>
    <w:basedOn w:val="DefaultParagraphFont"/>
    <w:link w:val="Subtitle"/>
    <w:rsid w:val="0010611E"/>
    <w:rPr>
      <w:rFonts w:asciiTheme="majorHAnsi" w:eastAsiaTheme="majorEastAsia" w:hAnsiTheme="majorHAnsi" w:cstheme="majorBidi"/>
      <w:i/>
      <w:iCs/>
      <w:color w:val="78A22F" w:themeColor="accent1"/>
      <w:spacing w:val="15"/>
      <w:sz w:val="24"/>
      <w:szCs w:val="24"/>
      <w:lang w:eastAsia="en-US"/>
    </w:rPr>
  </w:style>
  <w:style w:type="character" w:customStyle="1" w:styleId="FooterChar">
    <w:name w:val="Footer Char"/>
    <w:basedOn w:val="DefaultParagraphFont"/>
    <w:link w:val="Footer"/>
    <w:rsid w:val="008273A9"/>
    <w:rPr>
      <w:rFonts w:ascii="Arial" w:hAnsi="Arial"/>
      <w:caps/>
      <w:spacing w:val="-4"/>
      <w:sz w:val="16"/>
      <w:lang w:eastAsia="en-US"/>
    </w:rPr>
  </w:style>
  <w:style w:type="paragraph" w:customStyle="1" w:styleId="Copyrightbodytext">
    <w:name w:val="Copyright bodytext"/>
    <w:basedOn w:val="BodyText"/>
    <w:link w:val="CopyrightbodytextChar"/>
    <w:qFormat/>
    <w:rsid w:val="002A499E"/>
    <w:pPr>
      <w:spacing w:before="60"/>
    </w:pPr>
    <w:rPr>
      <w:sz w:val="20"/>
    </w:rPr>
  </w:style>
  <w:style w:type="character" w:customStyle="1" w:styleId="CopyrightbodytextChar">
    <w:name w:val="Copyright bodytext Char"/>
    <w:basedOn w:val="BodyTextChar"/>
    <w:link w:val="Copyrightbodytext"/>
    <w:rsid w:val="002A499E"/>
    <w:rPr>
      <w:sz w:val="24"/>
    </w:rPr>
  </w:style>
  <w:style w:type="table" w:customStyle="1" w:styleId="Style1">
    <w:name w:val="Style1"/>
    <w:basedOn w:val="TableNormal"/>
    <w:uiPriority w:val="99"/>
    <w:rsid w:val="00653FA6"/>
    <w:tblPr>
      <w:tblInd w:w="0" w:type="dxa"/>
      <w:tblCellMar>
        <w:top w:w="0" w:type="dxa"/>
        <w:left w:w="108" w:type="dxa"/>
        <w:bottom w:w="0" w:type="dxa"/>
        <w:right w:w="108" w:type="dxa"/>
      </w:tblCellMar>
    </w:tblPr>
  </w:style>
  <w:style w:type="character" w:styleId="FollowedHyperlink">
    <w:name w:val="FollowedHyperlink"/>
    <w:basedOn w:val="DefaultParagraphFont"/>
    <w:rsid w:val="00BA0B81"/>
    <w:rPr>
      <w:color w:val="387DD2" w:themeColor="followedHyperlink"/>
      <w:u w:val="single"/>
    </w:rPr>
  </w:style>
  <w:style w:type="paragraph" w:customStyle="1" w:styleId="ISSN">
    <w:name w:val="ISSN"/>
    <w:basedOn w:val="BodyText"/>
    <w:qFormat/>
    <w:rsid w:val="00BA0B81"/>
    <w:pPr>
      <w:tabs>
        <w:tab w:val="left" w:pos="851"/>
      </w:tabs>
      <w:spacing w:before="120" w:after="120"/>
      <w:jc w:val="left"/>
    </w:pPr>
    <w:rPr>
      <w:b/>
      <w:sz w:val="20"/>
    </w:rPr>
  </w:style>
  <w:style w:type="character" w:customStyle="1" w:styleId="apple-converted-space">
    <w:name w:val="apple-converted-space"/>
    <w:basedOn w:val="DefaultParagraphFont"/>
    <w:rsid w:val="00203B40"/>
  </w:style>
  <w:style w:type="paragraph" w:customStyle="1" w:styleId="FooterDraftReport">
    <w:name w:val="FooterDraftReport"/>
    <w:basedOn w:val="Footer"/>
    <w:link w:val="FooterDraftReportChar"/>
    <w:rsid w:val="00C51371"/>
    <w:pPr>
      <w:spacing w:before="40"/>
    </w:pPr>
    <w:rPr>
      <w:rFonts w:cs="Arial"/>
      <w:color w:val="808080"/>
      <w14:textFill>
        <w14:solidFill>
          <w14:srgbClr w14:val="808080">
            <w14:lumMod w14:val="50000"/>
            <w14:lumOff w14:val="50000"/>
            <w14:lumMod w14:val="50000"/>
            <w14:lumOff w14:val="50000"/>
            <w14:lumMod w14:val="50000"/>
          </w14:srgbClr>
        </w14:solidFill>
      </w14:textFill>
    </w:rPr>
  </w:style>
  <w:style w:type="character" w:customStyle="1" w:styleId="FooterDraftReportChar">
    <w:name w:val="FooterDraftReport Char"/>
    <w:basedOn w:val="FooterChar"/>
    <w:link w:val="FooterDraftReport"/>
    <w:rsid w:val="00C51371"/>
    <w:rPr>
      <w:rFonts w:ascii="Arial" w:hAnsi="Arial" w:cs="Arial"/>
      <w:caps/>
      <w:color w:val="808080"/>
      <w:spacing w:val="-4"/>
      <w:sz w:val="16"/>
      <w:lang w:eastAsia="en-US"/>
      <w14:textFill>
        <w14:solidFill>
          <w14:srgbClr w14:val="808080">
            <w14:lumMod w14:val="50000"/>
            <w14:lumOff w14:val="50000"/>
            <w14:lumMod w14:val="50000"/>
            <w14:lumOff w14:val="50000"/>
            <w14:lumMod w14:val="50000"/>
          </w14:srgbClr>
        </w14:solidFill>
      </w14:textFill>
    </w:rPr>
  </w:style>
  <w:style w:type="table" w:styleId="TableGrid">
    <w:name w:val="Table Grid"/>
    <w:basedOn w:val="TableNormal"/>
    <w:rsid w:val="0058013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ing1Char">
    <w:name w:val="Heading 1 Char"/>
    <w:basedOn w:val="DefaultParagraphFont"/>
    <w:link w:val="Heading1"/>
    <w:rsid w:val="00580133"/>
    <w:rPr>
      <w:kern w:val="28"/>
      <w:sz w:val="52"/>
      <w:lang w:eastAsia="en-US"/>
    </w:rPr>
  </w:style>
  <w:style w:type="character" w:customStyle="1" w:styleId="Heading3Char">
    <w:name w:val="Heading 3 Char"/>
    <w:basedOn w:val="DefaultParagraphFont"/>
    <w:link w:val="Heading3"/>
    <w:rsid w:val="00580133"/>
    <w:rPr>
      <w:rFonts w:ascii="Arial" w:hAnsi="Arial"/>
      <w:b/>
      <w:sz w:val="26"/>
    </w:rPr>
  </w:style>
  <w:style w:type="character" w:styleId="HTMLCite">
    <w:name w:val="HTML Cite"/>
    <w:basedOn w:val="DefaultParagraphFont"/>
    <w:uiPriority w:val="99"/>
    <w:unhideWhenUsed/>
    <w:rsid w:val="00ED4AA5"/>
    <w:rPr>
      <w:i/>
      <w:iCs/>
    </w:rPr>
  </w:style>
  <w:style w:type="paragraph" w:styleId="CommentSubject">
    <w:name w:val="annotation subject"/>
    <w:basedOn w:val="CommentText"/>
    <w:next w:val="CommentText"/>
    <w:link w:val="CommentSubjectChar"/>
    <w:rsid w:val="00D32F37"/>
    <w:pPr>
      <w:spacing w:before="0" w:line="240" w:lineRule="auto"/>
      <w:ind w:left="0" w:firstLine="0"/>
    </w:pPr>
    <w:rPr>
      <w:b/>
      <w:bCs/>
    </w:rPr>
  </w:style>
  <w:style w:type="character" w:customStyle="1" w:styleId="CommentTextChar">
    <w:name w:val="Comment Text Char"/>
    <w:basedOn w:val="DefaultParagraphFont"/>
    <w:link w:val="CommentText"/>
    <w:semiHidden/>
    <w:rsid w:val="00D32F37"/>
    <w:rPr>
      <w:lang w:eastAsia="en-US"/>
    </w:rPr>
  </w:style>
  <w:style w:type="character" w:customStyle="1" w:styleId="CommentSubjectChar">
    <w:name w:val="Comment Subject Char"/>
    <w:basedOn w:val="CommentTextChar"/>
    <w:link w:val="CommentSubject"/>
    <w:rsid w:val="00D32F3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78255">
      <w:bodyDiv w:val="1"/>
      <w:marLeft w:val="0"/>
      <w:marRight w:val="0"/>
      <w:marTop w:val="0"/>
      <w:marBottom w:val="0"/>
      <w:divBdr>
        <w:top w:val="none" w:sz="0" w:space="0" w:color="auto"/>
        <w:left w:val="none" w:sz="0" w:space="0" w:color="auto"/>
        <w:bottom w:val="none" w:sz="0" w:space="0" w:color="auto"/>
        <w:right w:val="none" w:sz="0" w:space="0" w:color="auto"/>
      </w:divBdr>
    </w:div>
    <w:div w:id="217712529">
      <w:bodyDiv w:val="1"/>
      <w:marLeft w:val="0"/>
      <w:marRight w:val="0"/>
      <w:marTop w:val="0"/>
      <w:marBottom w:val="0"/>
      <w:divBdr>
        <w:top w:val="none" w:sz="0" w:space="0" w:color="auto"/>
        <w:left w:val="none" w:sz="0" w:space="0" w:color="auto"/>
        <w:bottom w:val="none" w:sz="0" w:space="0" w:color="auto"/>
        <w:right w:val="none" w:sz="0" w:space="0" w:color="auto"/>
      </w:divBdr>
    </w:div>
    <w:div w:id="509029436">
      <w:bodyDiv w:val="1"/>
      <w:marLeft w:val="0"/>
      <w:marRight w:val="0"/>
      <w:marTop w:val="0"/>
      <w:marBottom w:val="0"/>
      <w:divBdr>
        <w:top w:val="none" w:sz="0" w:space="0" w:color="auto"/>
        <w:left w:val="none" w:sz="0" w:space="0" w:color="auto"/>
        <w:bottom w:val="none" w:sz="0" w:space="0" w:color="auto"/>
        <w:right w:val="none" w:sz="0" w:space="0" w:color="auto"/>
      </w:divBdr>
    </w:div>
    <w:div w:id="579291311">
      <w:bodyDiv w:val="1"/>
      <w:marLeft w:val="0"/>
      <w:marRight w:val="0"/>
      <w:marTop w:val="0"/>
      <w:marBottom w:val="0"/>
      <w:divBdr>
        <w:top w:val="none" w:sz="0" w:space="0" w:color="auto"/>
        <w:left w:val="none" w:sz="0" w:space="0" w:color="auto"/>
        <w:bottom w:val="none" w:sz="0" w:space="0" w:color="auto"/>
        <w:right w:val="none" w:sz="0" w:space="0" w:color="auto"/>
      </w:divBdr>
    </w:div>
    <w:div w:id="607851712">
      <w:bodyDiv w:val="1"/>
      <w:marLeft w:val="0"/>
      <w:marRight w:val="0"/>
      <w:marTop w:val="0"/>
      <w:marBottom w:val="0"/>
      <w:divBdr>
        <w:top w:val="none" w:sz="0" w:space="0" w:color="auto"/>
        <w:left w:val="none" w:sz="0" w:space="0" w:color="auto"/>
        <w:bottom w:val="none" w:sz="0" w:space="0" w:color="auto"/>
        <w:right w:val="none" w:sz="0" w:space="0" w:color="auto"/>
      </w:divBdr>
    </w:div>
    <w:div w:id="638152795">
      <w:bodyDiv w:val="1"/>
      <w:marLeft w:val="0"/>
      <w:marRight w:val="0"/>
      <w:marTop w:val="0"/>
      <w:marBottom w:val="0"/>
      <w:divBdr>
        <w:top w:val="none" w:sz="0" w:space="0" w:color="auto"/>
        <w:left w:val="none" w:sz="0" w:space="0" w:color="auto"/>
        <w:bottom w:val="none" w:sz="0" w:space="0" w:color="auto"/>
        <w:right w:val="none" w:sz="0" w:space="0" w:color="auto"/>
      </w:divBdr>
    </w:div>
    <w:div w:id="739518461">
      <w:bodyDiv w:val="1"/>
      <w:marLeft w:val="0"/>
      <w:marRight w:val="0"/>
      <w:marTop w:val="0"/>
      <w:marBottom w:val="0"/>
      <w:divBdr>
        <w:top w:val="none" w:sz="0" w:space="0" w:color="auto"/>
        <w:left w:val="none" w:sz="0" w:space="0" w:color="auto"/>
        <w:bottom w:val="none" w:sz="0" w:space="0" w:color="auto"/>
        <w:right w:val="none" w:sz="0" w:space="0" w:color="auto"/>
      </w:divBdr>
    </w:div>
    <w:div w:id="740367802">
      <w:bodyDiv w:val="1"/>
      <w:marLeft w:val="0"/>
      <w:marRight w:val="0"/>
      <w:marTop w:val="0"/>
      <w:marBottom w:val="0"/>
      <w:divBdr>
        <w:top w:val="none" w:sz="0" w:space="0" w:color="auto"/>
        <w:left w:val="none" w:sz="0" w:space="0" w:color="auto"/>
        <w:bottom w:val="none" w:sz="0" w:space="0" w:color="auto"/>
        <w:right w:val="none" w:sz="0" w:space="0" w:color="auto"/>
      </w:divBdr>
    </w:div>
    <w:div w:id="1193346460">
      <w:bodyDiv w:val="1"/>
      <w:marLeft w:val="0"/>
      <w:marRight w:val="0"/>
      <w:marTop w:val="0"/>
      <w:marBottom w:val="0"/>
      <w:divBdr>
        <w:top w:val="none" w:sz="0" w:space="0" w:color="auto"/>
        <w:left w:val="none" w:sz="0" w:space="0" w:color="auto"/>
        <w:bottom w:val="none" w:sz="0" w:space="0" w:color="auto"/>
        <w:right w:val="none" w:sz="0" w:space="0" w:color="auto"/>
      </w:divBdr>
    </w:div>
    <w:div w:id="1349453715">
      <w:bodyDiv w:val="1"/>
      <w:marLeft w:val="0"/>
      <w:marRight w:val="0"/>
      <w:marTop w:val="0"/>
      <w:marBottom w:val="0"/>
      <w:divBdr>
        <w:top w:val="none" w:sz="0" w:space="0" w:color="auto"/>
        <w:left w:val="none" w:sz="0" w:space="0" w:color="auto"/>
        <w:bottom w:val="none" w:sz="0" w:space="0" w:color="auto"/>
        <w:right w:val="none" w:sz="0" w:space="0" w:color="auto"/>
      </w:divBdr>
    </w:div>
    <w:div w:id="1544831965">
      <w:bodyDiv w:val="1"/>
      <w:marLeft w:val="0"/>
      <w:marRight w:val="0"/>
      <w:marTop w:val="0"/>
      <w:marBottom w:val="0"/>
      <w:divBdr>
        <w:top w:val="none" w:sz="0" w:space="0" w:color="auto"/>
        <w:left w:val="none" w:sz="0" w:space="0" w:color="auto"/>
        <w:bottom w:val="none" w:sz="0" w:space="0" w:color="auto"/>
        <w:right w:val="none" w:sz="0" w:space="0" w:color="auto"/>
      </w:divBdr>
    </w:div>
    <w:div w:id="2049379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tsanhonour.gov.au/coat-arms/index.cfm" TargetMode="External"/><Relationship Id="rId18" Type="http://schemas.openxmlformats.org/officeDocument/2006/relationships/footer" Target="footer1.xml"/><Relationship Id="rId26" Type="http://schemas.openxmlformats.org/officeDocument/2006/relationships/footer" Target="footer5.xml"/><Relationship Id="rId39" Type="http://schemas.openxmlformats.org/officeDocument/2006/relationships/footer" Target="footer12.xml"/><Relationship Id="rId3" Type="http://schemas.openxmlformats.org/officeDocument/2006/relationships/styles" Target="styles.xml"/><Relationship Id="rId21" Type="http://schemas.openxmlformats.org/officeDocument/2006/relationships/footer" Target="footer3.xml"/><Relationship Id="rId34" Type="http://schemas.openxmlformats.org/officeDocument/2006/relationships/footer" Target="footer9.xml"/><Relationship Id="rId7" Type="http://schemas.openxmlformats.org/officeDocument/2006/relationships/footnotes" Target="footnotes.xml"/><Relationship Id="rId12" Type="http://schemas.openxmlformats.org/officeDocument/2006/relationships/hyperlink" Target="http://creativecommons.org/licenses/by/3.0/au" TargetMode="External"/><Relationship Id="rId17" Type="http://schemas.openxmlformats.org/officeDocument/2006/relationships/header" Target="header2.xml"/><Relationship Id="rId25" Type="http://schemas.openxmlformats.org/officeDocument/2006/relationships/footer" Target="footer4.xml"/><Relationship Id="rId33" Type="http://schemas.openxmlformats.org/officeDocument/2006/relationships/footer" Target="footer8.xml"/><Relationship Id="rId38" Type="http://schemas.openxmlformats.org/officeDocument/2006/relationships/footer" Target="footer1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29" Type="http://schemas.openxmlformats.org/officeDocument/2006/relationships/footer" Target="footer6.xm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creativecommons.org/licenses/by/3.0/au" TargetMode="External"/><Relationship Id="rId24" Type="http://schemas.openxmlformats.org/officeDocument/2006/relationships/header" Target="header5.xml"/><Relationship Id="rId32" Type="http://schemas.openxmlformats.org/officeDocument/2006/relationships/header" Target="header9.xml"/><Relationship Id="rId37" Type="http://schemas.openxmlformats.org/officeDocument/2006/relationships/header" Target="header11.xml"/><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www.pc.gov.au/" TargetMode="External"/><Relationship Id="rId23" Type="http://schemas.openxmlformats.org/officeDocument/2006/relationships/header" Target="header4.xml"/><Relationship Id="rId28" Type="http://schemas.openxmlformats.org/officeDocument/2006/relationships/header" Target="header7.xml"/><Relationship Id="rId36" Type="http://schemas.openxmlformats.org/officeDocument/2006/relationships/header" Target="header10.xml"/><Relationship Id="rId10" Type="http://schemas.openxmlformats.org/officeDocument/2006/relationships/image" Target="media/image2.png"/><Relationship Id="rId19" Type="http://schemas.openxmlformats.org/officeDocument/2006/relationships/footer" Target="footer2.xml"/><Relationship Id="rId31" Type="http://schemas.openxmlformats.org/officeDocument/2006/relationships/header" Target="header8.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www.itsanhonour.gov.au" TargetMode="External"/><Relationship Id="rId22" Type="http://schemas.openxmlformats.org/officeDocument/2006/relationships/hyperlink" Target="http://www.pc.gov.au/inquiries/current/intellectual-property/make-submission" TargetMode="External"/><Relationship Id="rId27" Type="http://schemas.openxmlformats.org/officeDocument/2006/relationships/header" Target="header6.xml"/><Relationship Id="rId30" Type="http://schemas.openxmlformats.org/officeDocument/2006/relationships/footer" Target="footer7.xml"/><Relationship Id="rId35" Type="http://schemas.openxmlformats.org/officeDocument/2006/relationships/footer" Target="footer10.xml"/></Relationships>
</file>

<file path=word/_rels/settings.xml.rels><?xml version="1.0" encoding="UTF-8" standalone="yes"?>
<Relationships xmlns="http://schemas.openxmlformats.org/package/2006/relationships"><Relationship Id="rId1" Type="http://schemas.openxmlformats.org/officeDocument/2006/relationships/attachedTemplate" Target="file:///G:\office\template2010\prelims.dotm" TargetMode="External"/></Relationships>
</file>

<file path=word/theme/theme1.xml><?xml version="1.0" encoding="utf-8"?>
<a:theme xmlns:a="http://schemas.openxmlformats.org/drawingml/2006/main" name="ProdCommTheme">
  <a:themeElements>
    <a:clrScheme name="PC colour scheme">
      <a:dk1>
        <a:sysClr val="windowText" lastClr="000000"/>
      </a:dk1>
      <a:lt1>
        <a:sysClr val="window" lastClr="FFFFFF"/>
      </a:lt1>
      <a:dk2>
        <a:srgbClr val="000000"/>
      </a:dk2>
      <a:lt2>
        <a:srgbClr val="C8C8C8"/>
      </a:lt2>
      <a:accent1>
        <a:srgbClr val="78A22F"/>
      </a:accent1>
      <a:accent2>
        <a:srgbClr val="265A9A"/>
      </a:accent2>
      <a:accent3>
        <a:srgbClr val="B2D673"/>
      </a:accent3>
      <a:accent4>
        <a:srgbClr val="000000"/>
      </a:accent4>
      <a:accent5>
        <a:srgbClr val="F2F2F2"/>
      </a:accent5>
      <a:accent6>
        <a:srgbClr val="C00000"/>
      </a:accent6>
      <a:hlink>
        <a:srgbClr val="78A22F"/>
      </a:hlink>
      <a:folHlink>
        <a:srgbClr val="387DD2"/>
      </a:folHlink>
    </a:clrScheme>
    <a:fontScheme name="PC 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HarvardAnglia2008OfficeOnline.xsl" StyleName="Harvard – Anglia 2008"/>
</file>

<file path=customXml/itemProps1.xml><?xml version="1.0" encoding="utf-8"?>
<ds:datastoreItem xmlns:ds="http://schemas.openxmlformats.org/officeDocument/2006/customXml" ds:itemID="{9FBEC626-7D84-4A4D-BB44-AE5DA74439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prelims.dotm</Template>
  <TotalTime>0</TotalTime>
  <Pages>13</Pages>
  <Words>2404</Words>
  <Characters>13708</Characters>
  <Application>Microsoft Office Word</Application>
  <DocSecurity>0</DocSecurity>
  <Lines>114</Lines>
  <Paragraphs>32</Paragraphs>
  <ScaleCrop>false</ScaleCrop>
  <HeadingPairs>
    <vt:vector size="2" baseType="variant">
      <vt:variant>
        <vt:lpstr>Title</vt:lpstr>
      </vt:variant>
      <vt:variant>
        <vt:i4>1</vt:i4>
      </vt:variant>
    </vt:vector>
  </HeadingPairs>
  <TitlesOfParts>
    <vt:vector size="1" baseType="lpstr">
      <vt:lpstr>Intellectual Property Arrangements</vt:lpstr>
    </vt:vector>
  </TitlesOfParts>
  <Company>Productivity Commission</Company>
  <LinksUpToDate>false</LinksUpToDate>
  <CharactersWithSpaces>16080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Intellectual Property Arrangements</dc:title>
  <dc:creator>Productivity Commission</dc:creator>
  <cp:lastModifiedBy>Productivity Commission</cp:lastModifiedBy>
  <cp:revision>2</cp:revision>
  <cp:lastPrinted>2016-04-19T02:27:00Z</cp:lastPrinted>
  <dcterms:created xsi:type="dcterms:W3CDTF">2016-11-24T22:56:00Z</dcterms:created>
  <dcterms:modified xsi:type="dcterms:W3CDTF">2016-11-24T22:56:00Z</dcterms:modified>
</cp:coreProperties>
</file>