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228A" w:rsidRPr="002D0E5B" w:rsidRDefault="002D0E5B" w:rsidP="002D0E5B">
      <w:pPr>
        <w:pStyle w:val="Heading1"/>
        <w:rPr>
          <w:noProof/>
          <w:color w:val="FFFFFF" w:themeColor="background1"/>
          <w:sz w:val="16"/>
          <w:szCs w:val="16"/>
        </w:rPr>
      </w:pPr>
      <w:r w:rsidRPr="002D0E5B">
        <w:rPr>
          <w:noProof/>
          <w:color w:val="FFFFFF" w:themeColor="background1"/>
          <w:sz w:val="16"/>
          <w:szCs w:val="16"/>
        </w:rPr>
        <w:t>Intellectual Property Arrangements</w:t>
      </w:r>
    </w:p>
    <w:p w:rsidR="002D0E5B" w:rsidRPr="002D0E5B" w:rsidRDefault="002D0E5B">
      <w:pPr>
        <w:rPr>
          <w:color w:val="FFFFFF" w:themeColor="background1"/>
          <w:sz w:val="16"/>
          <w:szCs w:val="16"/>
        </w:rPr>
      </w:pPr>
      <w:r w:rsidRPr="002D0E5B">
        <w:rPr>
          <w:noProof/>
          <w:color w:val="FFFFFF" w:themeColor="background1"/>
          <w:sz w:val="16"/>
          <w:szCs w:val="16"/>
        </w:rPr>
        <w:t>Productivity Commission Issues Paper, October 2015</w:t>
      </w:r>
      <w:r>
        <w:rPr>
          <w:noProof/>
          <w:color w:val="FFFFFF" w:themeColor="background1"/>
          <w:sz w:val="16"/>
          <w:szCs w:val="16"/>
        </w:rPr>
        <w:drawing>
          <wp:anchor distT="0" distB="0" distL="114300" distR="114300" simplePos="0" relativeHeight="251658240" behindDoc="0" locked="0" layoutInCell="1" allowOverlap="1">
            <wp:simplePos x="0" y="0"/>
            <wp:positionH relativeFrom="page">
              <wp:align>center</wp:align>
            </wp:positionH>
            <wp:positionV relativeFrom="page">
              <wp:align>center</wp:align>
            </wp:positionV>
            <wp:extent cx="7560493" cy="10692000"/>
            <wp:effectExtent l="0" t="0" r="2540" b="0"/>
            <wp:wrapNone/>
            <wp:docPr id="1" name="Picture 1" descr="Cover for: Intellectual Property Arrangements, Productivity Commission Issues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sues-paper-cover-intellectual-propert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493" cy="10692000"/>
                    </a:xfrm>
                    <a:prstGeom prst="rect">
                      <a:avLst/>
                    </a:prstGeom>
                  </pic:spPr>
                </pic:pic>
              </a:graphicData>
            </a:graphic>
            <wp14:sizeRelH relativeFrom="page">
              <wp14:pctWidth>0</wp14:pctWidth>
            </wp14:sizeRelH>
            <wp14:sizeRelV relativeFrom="page">
              <wp14:pctHeight>0</wp14:pctHeight>
            </wp14:sizeRelV>
          </wp:anchor>
        </w:drawing>
      </w:r>
    </w:p>
    <w:p w:rsidR="00C5228A" w:rsidRDefault="00C5228A" w:rsidP="00C5228A">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4A0" w:firstRow="1" w:lastRow="0" w:firstColumn="1" w:lastColumn="0" w:noHBand="0" w:noVBand="1"/>
      </w:tblPr>
      <w:tblGrid>
        <w:gridCol w:w="8771"/>
      </w:tblGrid>
      <w:tr w:rsidR="00C5228A" w:rsidTr="002D0E5B">
        <w:trPr>
          <w:tblHeader/>
        </w:trPr>
        <w:tc>
          <w:tcPr>
            <w:tcW w:w="8771" w:type="dxa"/>
            <w:tcBorders>
              <w:top w:val="single" w:sz="6" w:space="0" w:color="78A22F"/>
              <w:left w:val="nil"/>
              <w:bottom w:val="nil"/>
              <w:right w:val="nil"/>
            </w:tcBorders>
            <w:shd w:val="clear" w:color="auto" w:fill="F2F2F2" w:themeFill="background1" w:themeFillShade="F2"/>
            <w:hideMark/>
          </w:tcPr>
          <w:p w:rsidR="00C5228A" w:rsidRDefault="00B322C4">
            <w:pPr>
              <w:pStyle w:val="BoxTitle"/>
              <w:rPr>
                <w:lang w:eastAsia="en-US"/>
              </w:rPr>
            </w:pPr>
            <w:r>
              <w:t>The Issues Paper</w:t>
            </w:r>
          </w:p>
        </w:tc>
      </w:tr>
      <w:tr w:rsidR="00C5228A" w:rsidTr="00C5228A">
        <w:trPr>
          <w:cantSplit/>
        </w:trPr>
        <w:tc>
          <w:tcPr>
            <w:tcW w:w="8771" w:type="dxa"/>
            <w:tcBorders>
              <w:top w:val="nil"/>
              <w:left w:val="nil"/>
              <w:bottom w:val="nil"/>
              <w:right w:val="nil"/>
            </w:tcBorders>
            <w:shd w:val="clear" w:color="auto" w:fill="F2F2F2" w:themeFill="background1" w:themeFillShade="F2"/>
            <w:hideMark/>
          </w:tcPr>
          <w:p w:rsidR="00C5228A" w:rsidRDefault="00C5228A">
            <w:pPr>
              <w:pStyle w:val="Box"/>
            </w:pPr>
            <w:r>
              <w:t>This issues paper</w:t>
            </w:r>
            <w:r w:rsidR="00B322C4">
              <w:t xml:space="preserve"> has been </w:t>
            </w:r>
            <w:r>
              <w:t>released by the Commission to assist individuals and organisations to prepare submissions to the inquiry. This paper outlines:</w:t>
            </w:r>
          </w:p>
          <w:p w:rsidR="00C5228A" w:rsidRDefault="00C5228A" w:rsidP="00C5228A">
            <w:pPr>
              <w:pStyle w:val="BoxListBullet"/>
              <w:numPr>
                <w:ilvl w:val="0"/>
                <w:numId w:val="30"/>
              </w:numPr>
            </w:pPr>
            <w:r>
              <w:t>the scope of the inquiry</w:t>
            </w:r>
          </w:p>
          <w:p w:rsidR="001253C2" w:rsidRDefault="001253C2" w:rsidP="00C5228A">
            <w:pPr>
              <w:pStyle w:val="BoxListBullet"/>
              <w:numPr>
                <w:ilvl w:val="0"/>
                <w:numId w:val="30"/>
              </w:numPr>
            </w:pPr>
            <w:r>
              <w:t xml:space="preserve">a proposed framework for considering intellectual property </w:t>
            </w:r>
            <w:r w:rsidR="00DF1C28">
              <w:t>arrangements</w:t>
            </w:r>
          </w:p>
          <w:p w:rsidR="008E2BC9" w:rsidRDefault="00B322C4" w:rsidP="0042649D">
            <w:pPr>
              <w:pStyle w:val="BoxListBullet"/>
              <w:numPr>
                <w:ilvl w:val="0"/>
                <w:numId w:val="30"/>
              </w:numPr>
            </w:pPr>
            <w:r>
              <w:t xml:space="preserve">some </w:t>
            </w:r>
            <w:r w:rsidR="00C5228A">
              <w:t xml:space="preserve">broad questions about the objectives and operation of </w:t>
            </w:r>
            <w:r>
              <w:t>Australia’s intellectual property arrangements, as well as some more specific questions, which relate to particular forms of intellectual property rights</w:t>
            </w:r>
          </w:p>
          <w:p w:rsidR="00C5228A" w:rsidRDefault="00C5228A" w:rsidP="0042649D">
            <w:pPr>
              <w:pStyle w:val="BoxListBullet"/>
              <w:numPr>
                <w:ilvl w:val="0"/>
                <w:numId w:val="30"/>
              </w:numPr>
            </w:pPr>
            <w:r>
              <w:t>how to make a submission</w:t>
            </w:r>
            <w:r w:rsidR="00AF1FD7">
              <w:t>.</w:t>
            </w:r>
          </w:p>
          <w:p w:rsidR="00C5228A" w:rsidRDefault="00C5228A">
            <w:pPr>
              <w:pStyle w:val="Box"/>
            </w:pPr>
            <w:r>
              <w:t xml:space="preserve">Participants should not feel that they are restricted to comment only on matters raised in the issues paper. The Commission wishes to receive information and comment on issues </w:t>
            </w:r>
            <w:r w:rsidR="00F22578">
              <w:t>that</w:t>
            </w:r>
            <w:r>
              <w:t xml:space="preserve"> participants consider relevant to the inquiry’s terms of reference.</w:t>
            </w:r>
          </w:p>
          <w:p w:rsidR="00C5228A" w:rsidRDefault="00C5228A">
            <w:pPr>
              <w:pStyle w:val="BoxHeading1"/>
            </w:pPr>
            <w:r>
              <w:t>Key inquiry dates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22"/>
              <w:gridCol w:w="4950"/>
            </w:tblGrid>
            <w:tr w:rsidR="00C5228A">
              <w:tc>
                <w:tcPr>
                  <w:tcW w:w="3522" w:type="dxa"/>
                  <w:tcMar>
                    <w:top w:w="0" w:type="dxa"/>
                    <w:left w:w="0" w:type="dxa"/>
                    <w:bottom w:w="0" w:type="dxa"/>
                    <w:right w:w="108" w:type="dxa"/>
                  </w:tcMar>
                  <w:hideMark/>
                </w:tcPr>
                <w:p w:rsidR="00C5228A" w:rsidRDefault="00C5228A">
                  <w:pPr>
                    <w:pStyle w:val="Box"/>
                  </w:pPr>
                  <w:r>
                    <w:t>Receipt of terms of reference</w:t>
                  </w:r>
                </w:p>
              </w:tc>
              <w:tc>
                <w:tcPr>
                  <w:tcW w:w="4950" w:type="dxa"/>
                  <w:hideMark/>
                </w:tcPr>
                <w:p w:rsidR="00C5228A" w:rsidRDefault="00C5228A" w:rsidP="00C5228A">
                  <w:pPr>
                    <w:pStyle w:val="Box"/>
                  </w:pPr>
                  <w:r>
                    <w:t>18 August 2015</w:t>
                  </w:r>
                </w:p>
              </w:tc>
            </w:tr>
            <w:tr w:rsidR="00C5228A">
              <w:tc>
                <w:tcPr>
                  <w:tcW w:w="3522" w:type="dxa"/>
                  <w:tcMar>
                    <w:top w:w="0" w:type="dxa"/>
                    <w:left w:w="0" w:type="dxa"/>
                    <w:bottom w:w="0" w:type="dxa"/>
                    <w:right w:w="108" w:type="dxa"/>
                  </w:tcMar>
                  <w:hideMark/>
                </w:tcPr>
                <w:p w:rsidR="00C5228A" w:rsidRDefault="00C5228A">
                  <w:pPr>
                    <w:pStyle w:val="Box"/>
                    <w:spacing w:before="60"/>
                  </w:pPr>
                  <w:r>
                    <w:t xml:space="preserve">Due date for </w:t>
                  </w:r>
                  <w:r w:rsidR="003D25A7">
                    <w:t xml:space="preserve">initial </w:t>
                  </w:r>
                  <w:r>
                    <w:t>submissions</w:t>
                  </w:r>
                </w:p>
              </w:tc>
              <w:tc>
                <w:tcPr>
                  <w:tcW w:w="4950" w:type="dxa"/>
                  <w:hideMark/>
                </w:tcPr>
                <w:p w:rsidR="00C5228A" w:rsidRDefault="00B322C4" w:rsidP="00C5228A">
                  <w:pPr>
                    <w:pStyle w:val="Box"/>
                    <w:spacing w:before="60"/>
                  </w:pPr>
                  <w:r>
                    <w:t>30</w:t>
                  </w:r>
                  <w:r w:rsidR="00C5228A">
                    <w:t> November 2015</w:t>
                  </w:r>
                </w:p>
              </w:tc>
            </w:tr>
            <w:tr w:rsidR="00C5228A">
              <w:tc>
                <w:tcPr>
                  <w:tcW w:w="3522" w:type="dxa"/>
                  <w:tcMar>
                    <w:top w:w="0" w:type="dxa"/>
                    <w:left w:w="0" w:type="dxa"/>
                    <w:bottom w:w="0" w:type="dxa"/>
                    <w:right w:w="108" w:type="dxa"/>
                  </w:tcMar>
                  <w:hideMark/>
                </w:tcPr>
                <w:p w:rsidR="00C5228A" w:rsidRDefault="00C5228A">
                  <w:pPr>
                    <w:pStyle w:val="Box"/>
                    <w:spacing w:before="60"/>
                  </w:pPr>
                  <w:r>
                    <w:t>Release of draft report</w:t>
                  </w:r>
                </w:p>
              </w:tc>
              <w:tc>
                <w:tcPr>
                  <w:tcW w:w="4950" w:type="dxa"/>
                  <w:hideMark/>
                </w:tcPr>
                <w:p w:rsidR="00C5228A" w:rsidRDefault="00C5228A" w:rsidP="00C5228A">
                  <w:pPr>
                    <w:pStyle w:val="Box"/>
                    <w:spacing w:before="60"/>
                  </w:pPr>
                  <w:r>
                    <w:t>March/April 2016</w:t>
                  </w:r>
                </w:p>
              </w:tc>
            </w:tr>
            <w:tr w:rsidR="00C5228A">
              <w:tc>
                <w:tcPr>
                  <w:tcW w:w="3522" w:type="dxa"/>
                  <w:tcMar>
                    <w:top w:w="0" w:type="dxa"/>
                    <w:left w:w="0" w:type="dxa"/>
                    <w:bottom w:w="0" w:type="dxa"/>
                    <w:right w:w="108" w:type="dxa"/>
                  </w:tcMar>
                  <w:hideMark/>
                </w:tcPr>
                <w:p w:rsidR="00C5228A" w:rsidRDefault="00C5228A">
                  <w:pPr>
                    <w:pStyle w:val="Box"/>
                    <w:spacing w:before="60"/>
                  </w:pPr>
                  <w:r>
                    <w:t>Draft report public hearings</w:t>
                  </w:r>
                </w:p>
              </w:tc>
              <w:tc>
                <w:tcPr>
                  <w:tcW w:w="4950" w:type="dxa"/>
                  <w:hideMark/>
                </w:tcPr>
                <w:p w:rsidR="00C5228A" w:rsidRDefault="00E35123" w:rsidP="00E35123">
                  <w:pPr>
                    <w:pStyle w:val="Box"/>
                    <w:spacing w:before="60"/>
                  </w:pPr>
                  <w:r>
                    <w:t>April</w:t>
                  </w:r>
                  <w:r w:rsidR="004C3286">
                    <w:t>/May</w:t>
                  </w:r>
                  <w:r w:rsidR="00B322C4">
                    <w:t> 2016</w:t>
                  </w:r>
                </w:p>
              </w:tc>
            </w:tr>
            <w:tr w:rsidR="00C5228A">
              <w:tc>
                <w:tcPr>
                  <w:tcW w:w="3522" w:type="dxa"/>
                  <w:tcMar>
                    <w:top w:w="0" w:type="dxa"/>
                    <w:left w:w="0" w:type="dxa"/>
                    <w:bottom w:w="0" w:type="dxa"/>
                    <w:right w:w="108" w:type="dxa"/>
                  </w:tcMar>
                  <w:hideMark/>
                </w:tcPr>
                <w:p w:rsidR="00C5228A" w:rsidRDefault="00C5228A">
                  <w:pPr>
                    <w:pStyle w:val="Box"/>
                    <w:spacing w:before="60"/>
                  </w:pPr>
                  <w:r>
                    <w:t>Final report to Government</w:t>
                  </w:r>
                </w:p>
              </w:tc>
              <w:tc>
                <w:tcPr>
                  <w:tcW w:w="4950" w:type="dxa"/>
                  <w:hideMark/>
                </w:tcPr>
                <w:p w:rsidR="00C5228A" w:rsidRDefault="00C5228A" w:rsidP="00C5228A">
                  <w:pPr>
                    <w:pStyle w:val="Box"/>
                    <w:spacing w:before="60"/>
                  </w:pPr>
                  <w:r>
                    <w:t>18 August 2016</w:t>
                  </w:r>
                </w:p>
              </w:tc>
            </w:tr>
          </w:tbl>
          <w:p w:rsidR="00C5228A" w:rsidRDefault="00C5228A">
            <w:pPr>
              <w:pStyle w:val="BoxHeading1"/>
            </w:pPr>
            <w:r>
              <w:t>Submissions can be made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22"/>
              <w:gridCol w:w="4950"/>
            </w:tblGrid>
            <w:tr w:rsidR="00C5228A">
              <w:tc>
                <w:tcPr>
                  <w:tcW w:w="3522" w:type="dxa"/>
                  <w:tcMar>
                    <w:top w:w="0" w:type="dxa"/>
                    <w:left w:w="0" w:type="dxa"/>
                    <w:bottom w:w="0" w:type="dxa"/>
                    <w:right w:w="108" w:type="dxa"/>
                  </w:tcMar>
                  <w:hideMark/>
                </w:tcPr>
                <w:p w:rsidR="00C5228A" w:rsidRDefault="00C5228A">
                  <w:pPr>
                    <w:pStyle w:val="Box"/>
                  </w:pPr>
                  <w:r>
                    <w:t>By email:</w:t>
                  </w:r>
                </w:p>
              </w:tc>
              <w:tc>
                <w:tcPr>
                  <w:tcW w:w="4950" w:type="dxa"/>
                  <w:hideMark/>
                </w:tcPr>
                <w:p w:rsidR="00C5228A" w:rsidRDefault="00B322C4">
                  <w:pPr>
                    <w:pStyle w:val="Box"/>
                  </w:pPr>
                  <w:proofErr w:type="spellStart"/>
                  <w:r w:rsidRPr="00B322C4">
                    <w:t>intellectual.property@pc.gov.au</w:t>
                  </w:r>
                  <w:proofErr w:type="spellEnd"/>
                </w:p>
              </w:tc>
            </w:tr>
            <w:tr w:rsidR="00C5228A">
              <w:tc>
                <w:tcPr>
                  <w:tcW w:w="3522" w:type="dxa"/>
                  <w:tcMar>
                    <w:top w:w="0" w:type="dxa"/>
                    <w:left w:w="0" w:type="dxa"/>
                    <w:bottom w:w="0" w:type="dxa"/>
                    <w:right w:w="108" w:type="dxa"/>
                  </w:tcMar>
                  <w:hideMark/>
                </w:tcPr>
                <w:p w:rsidR="00C5228A" w:rsidRDefault="00C5228A">
                  <w:pPr>
                    <w:pStyle w:val="Box"/>
                    <w:spacing w:before="60"/>
                    <w:jc w:val="left"/>
                  </w:pPr>
                  <w:r>
                    <w:t>By post:</w:t>
                  </w:r>
                </w:p>
              </w:tc>
              <w:tc>
                <w:tcPr>
                  <w:tcW w:w="4950" w:type="dxa"/>
                  <w:hideMark/>
                </w:tcPr>
                <w:p w:rsidR="00C5228A" w:rsidRDefault="00C5228A">
                  <w:pPr>
                    <w:pStyle w:val="Box"/>
                    <w:spacing w:before="60"/>
                    <w:jc w:val="left"/>
                  </w:pPr>
                  <w:r>
                    <w:t>Intellectual Property Arrangements Inquiry</w:t>
                  </w:r>
                  <w:r>
                    <w:br/>
                    <w:t>Productivity Commission</w:t>
                  </w:r>
                  <w:r>
                    <w:br/>
                    <w:t>GPO Box 1428</w:t>
                  </w:r>
                  <w:r>
                    <w:br/>
                    <w:t>CANBERRA CITY 2601</w:t>
                  </w:r>
                </w:p>
              </w:tc>
            </w:tr>
          </w:tbl>
          <w:p w:rsidR="00C5228A" w:rsidRDefault="00C5228A">
            <w:pPr>
              <w:pStyle w:val="BoxHeading1"/>
            </w:pPr>
            <w:r>
              <w:t>Contacts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22"/>
              <w:gridCol w:w="2268"/>
              <w:gridCol w:w="2682"/>
            </w:tblGrid>
            <w:tr w:rsidR="00C5228A">
              <w:tc>
                <w:tcPr>
                  <w:tcW w:w="3522" w:type="dxa"/>
                  <w:tcMar>
                    <w:top w:w="0" w:type="dxa"/>
                    <w:left w:w="0" w:type="dxa"/>
                    <w:bottom w:w="0" w:type="dxa"/>
                    <w:right w:w="108" w:type="dxa"/>
                  </w:tcMar>
                  <w:hideMark/>
                </w:tcPr>
                <w:p w:rsidR="00C5228A" w:rsidRDefault="00C5228A">
                  <w:pPr>
                    <w:pStyle w:val="Box"/>
                  </w:pPr>
                  <w:r>
                    <w:t>Administrative matters:</w:t>
                  </w:r>
                </w:p>
              </w:tc>
              <w:tc>
                <w:tcPr>
                  <w:tcW w:w="2268" w:type="dxa"/>
                  <w:hideMark/>
                </w:tcPr>
                <w:p w:rsidR="00C5228A" w:rsidRDefault="00C5228A" w:rsidP="00C5228A">
                  <w:pPr>
                    <w:pStyle w:val="Box"/>
                  </w:pPr>
                  <w:r>
                    <w:t>Pragya Giri</w:t>
                  </w:r>
                </w:p>
              </w:tc>
              <w:tc>
                <w:tcPr>
                  <w:tcW w:w="2682" w:type="dxa"/>
                  <w:hideMark/>
                </w:tcPr>
                <w:p w:rsidR="00C5228A" w:rsidRDefault="00C5228A" w:rsidP="00B322C4">
                  <w:pPr>
                    <w:pStyle w:val="Box"/>
                  </w:pPr>
                  <w:r>
                    <w:t xml:space="preserve">Ph: 02 6240 </w:t>
                  </w:r>
                  <w:r w:rsidR="00B322C4">
                    <w:t>3250</w:t>
                  </w:r>
                </w:p>
              </w:tc>
            </w:tr>
            <w:tr w:rsidR="00C5228A">
              <w:tc>
                <w:tcPr>
                  <w:tcW w:w="3522" w:type="dxa"/>
                  <w:tcMar>
                    <w:top w:w="0" w:type="dxa"/>
                    <w:left w:w="0" w:type="dxa"/>
                    <w:bottom w:w="0" w:type="dxa"/>
                    <w:right w:w="108" w:type="dxa"/>
                  </w:tcMar>
                  <w:hideMark/>
                </w:tcPr>
                <w:p w:rsidR="00C5228A" w:rsidRDefault="00C5228A">
                  <w:pPr>
                    <w:pStyle w:val="Box"/>
                    <w:spacing w:before="60"/>
                  </w:pPr>
                  <w:r>
                    <w:t>Other matters:</w:t>
                  </w:r>
                </w:p>
              </w:tc>
              <w:tc>
                <w:tcPr>
                  <w:tcW w:w="2268" w:type="dxa"/>
                  <w:hideMark/>
                </w:tcPr>
                <w:p w:rsidR="00B322C4" w:rsidRDefault="00C5228A" w:rsidP="00B322C4">
                  <w:pPr>
                    <w:pStyle w:val="Box"/>
                    <w:spacing w:before="60"/>
                  </w:pPr>
                  <w:r>
                    <w:t>Leo Soames</w:t>
                  </w:r>
                </w:p>
              </w:tc>
              <w:tc>
                <w:tcPr>
                  <w:tcW w:w="2682" w:type="dxa"/>
                  <w:hideMark/>
                </w:tcPr>
                <w:p w:rsidR="00B322C4" w:rsidRDefault="00C5228A" w:rsidP="00B322C4">
                  <w:pPr>
                    <w:pStyle w:val="Box"/>
                    <w:spacing w:before="60"/>
                  </w:pPr>
                  <w:r>
                    <w:t xml:space="preserve">Ph: 02 6240 </w:t>
                  </w:r>
                  <w:r w:rsidR="00B322C4">
                    <w:t>3214</w:t>
                  </w:r>
                </w:p>
              </w:tc>
            </w:tr>
            <w:tr w:rsidR="00C5228A">
              <w:tc>
                <w:tcPr>
                  <w:tcW w:w="3522" w:type="dxa"/>
                  <w:tcMar>
                    <w:top w:w="0" w:type="dxa"/>
                    <w:left w:w="0" w:type="dxa"/>
                    <w:bottom w:w="0" w:type="dxa"/>
                    <w:right w:w="108" w:type="dxa"/>
                  </w:tcMar>
                  <w:hideMark/>
                </w:tcPr>
                <w:p w:rsidR="00C5228A" w:rsidRDefault="00C5228A">
                  <w:pPr>
                    <w:pStyle w:val="Box"/>
                    <w:spacing w:before="60"/>
                  </w:pPr>
                  <w:r>
                    <w:t>Freecall number for regional areas:</w:t>
                  </w:r>
                </w:p>
              </w:tc>
              <w:tc>
                <w:tcPr>
                  <w:tcW w:w="2268" w:type="dxa"/>
                  <w:hideMark/>
                </w:tcPr>
                <w:p w:rsidR="00C5228A" w:rsidRDefault="00C5228A">
                  <w:pPr>
                    <w:pStyle w:val="Box"/>
                    <w:spacing w:before="60"/>
                  </w:pPr>
                  <w:r>
                    <w:t>1800 020 083</w:t>
                  </w:r>
                </w:p>
              </w:tc>
              <w:tc>
                <w:tcPr>
                  <w:tcW w:w="2682" w:type="dxa"/>
                </w:tcPr>
                <w:p w:rsidR="00C5228A" w:rsidRDefault="00C5228A">
                  <w:pPr>
                    <w:pStyle w:val="Box"/>
                    <w:spacing w:before="60"/>
                  </w:pPr>
                </w:p>
              </w:tc>
            </w:tr>
            <w:tr w:rsidR="00C5228A">
              <w:tc>
                <w:tcPr>
                  <w:tcW w:w="3522" w:type="dxa"/>
                  <w:tcMar>
                    <w:top w:w="0" w:type="dxa"/>
                    <w:left w:w="0" w:type="dxa"/>
                    <w:bottom w:w="0" w:type="dxa"/>
                    <w:right w:w="108" w:type="dxa"/>
                  </w:tcMar>
                  <w:hideMark/>
                </w:tcPr>
                <w:p w:rsidR="00C5228A" w:rsidRDefault="00C5228A">
                  <w:pPr>
                    <w:pStyle w:val="Box"/>
                    <w:spacing w:before="60"/>
                  </w:pPr>
                  <w:r>
                    <w:t>Website:</w:t>
                  </w:r>
                </w:p>
              </w:tc>
              <w:tc>
                <w:tcPr>
                  <w:tcW w:w="2268" w:type="dxa"/>
                  <w:hideMark/>
                </w:tcPr>
                <w:p w:rsidR="00C5228A" w:rsidRDefault="00C5228A">
                  <w:pPr>
                    <w:pStyle w:val="Box"/>
                    <w:spacing w:before="60"/>
                    <w:rPr>
                      <w:b/>
                    </w:rPr>
                  </w:pPr>
                  <w:r>
                    <w:rPr>
                      <w:b/>
                    </w:rPr>
                    <w:t>www.pc.gov.au</w:t>
                  </w:r>
                </w:p>
              </w:tc>
              <w:tc>
                <w:tcPr>
                  <w:tcW w:w="2682" w:type="dxa"/>
                </w:tcPr>
                <w:p w:rsidR="00C5228A" w:rsidRDefault="00C5228A">
                  <w:pPr>
                    <w:pStyle w:val="Box"/>
                    <w:spacing w:before="60"/>
                  </w:pPr>
                </w:p>
              </w:tc>
            </w:tr>
          </w:tbl>
          <w:p w:rsidR="00C5228A" w:rsidRDefault="00C5228A">
            <w:pPr>
              <w:pStyle w:val="Box"/>
            </w:pPr>
          </w:p>
        </w:tc>
      </w:tr>
      <w:tr w:rsidR="00C5228A" w:rsidTr="00C5228A">
        <w:trPr>
          <w:cantSplit/>
        </w:trPr>
        <w:tc>
          <w:tcPr>
            <w:tcW w:w="8771" w:type="dxa"/>
            <w:tcBorders>
              <w:top w:val="nil"/>
              <w:left w:val="nil"/>
              <w:bottom w:val="single" w:sz="6" w:space="0" w:color="78A22F"/>
              <w:right w:val="nil"/>
            </w:tcBorders>
            <w:shd w:val="clear" w:color="auto" w:fill="F2F2F2" w:themeFill="background1" w:themeFillShade="F2"/>
          </w:tcPr>
          <w:p w:rsidR="00C5228A" w:rsidRDefault="00C5228A">
            <w:pPr>
              <w:pStyle w:val="Box"/>
              <w:spacing w:before="0" w:line="120" w:lineRule="exact"/>
            </w:pPr>
          </w:p>
        </w:tc>
      </w:tr>
    </w:tbl>
    <w:p w:rsidR="00C5228A" w:rsidRDefault="00C5228A" w:rsidP="00C5228A">
      <w:pPr>
        <w:pStyle w:val="BoxSpaceAbove"/>
        <w:spacing w:before="120"/>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4A0" w:firstRow="1" w:lastRow="0" w:firstColumn="1" w:lastColumn="0" w:noHBand="0" w:noVBand="1"/>
      </w:tblPr>
      <w:tblGrid>
        <w:gridCol w:w="8771"/>
      </w:tblGrid>
      <w:tr w:rsidR="00C5228A" w:rsidTr="002D0E5B">
        <w:trPr>
          <w:tblHeader/>
        </w:trPr>
        <w:tc>
          <w:tcPr>
            <w:tcW w:w="8771" w:type="dxa"/>
            <w:tcBorders>
              <w:top w:val="single" w:sz="6" w:space="0" w:color="78A22F"/>
              <w:left w:val="nil"/>
              <w:bottom w:val="nil"/>
              <w:right w:val="nil"/>
            </w:tcBorders>
            <w:shd w:val="clear" w:color="auto" w:fill="F2F2F2" w:themeFill="background1" w:themeFillShade="F2"/>
            <w:hideMark/>
          </w:tcPr>
          <w:p w:rsidR="00C5228A" w:rsidRDefault="00C5228A">
            <w:pPr>
              <w:pStyle w:val="BoxTitle"/>
              <w:rPr>
                <w:lang w:eastAsia="en-US"/>
              </w:rPr>
            </w:pPr>
            <w:r>
              <w:t>The Productivity Commission</w:t>
            </w:r>
          </w:p>
        </w:tc>
      </w:tr>
      <w:tr w:rsidR="00C5228A" w:rsidTr="00C5228A">
        <w:trPr>
          <w:cantSplit/>
        </w:trPr>
        <w:tc>
          <w:tcPr>
            <w:tcW w:w="8771" w:type="dxa"/>
            <w:tcBorders>
              <w:top w:val="nil"/>
              <w:left w:val="nil"/>
              <w:bottom w:val="nil"/>
              <w:right w:val="nil"/>
            </w:tcBorders>
            <w:shd w:val="clear" w:color="auto" w:fill="F2F2F2" w:themeFill="background1" w:themeFillShade="F2"/>
            <w:hideMark/>
          </w:tcPr>
          <w:p w:rsidR="00C5228A" w:rsidRDefault="00C5228A">
            <w:pPr>
              <w:pStyle w:val="Box"/>
            </w:pPr>
            <w: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rsidR="00C5228A" w:rsidRDefault="00C5228A">
            <w:pPr>
              <w:pStyle w:val="Box"/>
            </w:pPr>
            <w:r>
              <w:t>The Commission’s independence is underpinned by an Act of Parliament. Its processes and outputs are open to public scrutiny and are driven by concern for the wellbeing of the community as a whole.</w:t>
            </w:r>
          </w:p>
          <w:p w:rsidR="00C5228A" w:rsidRDefault="00C5228A">
            <w:pPr>
              <w:pStyle w:val="Box"/>
            </w:pPr>
            <w:r>
              <w:rPr>
                <w:szCs w:val="24"/>
              </w:rPr>
              <w:t>Further information on the Productivity Commission can be obtained from the Commission’s website (www.pc.gov.au).</w:t>
            </w:r>
          </w:p>
        </w:tc>
      </w:tr>
      <w:tr w:rsidR="00C5228A" w:rsidTr="00C5228A">
        <w:trPr>
          <w:cantSplit/>
        </w:trPr>
        <w:tc>
          <w:tcPr>
            <w:tcW w:w="8771" w:type="dxa"/>
            <w:tcBorders>
              <w:top w:val="nil"/>
              <w:left w:val="nil"/>
              <w:bottom w:val="single" w:sz="6" w:space="0" w:color="78A22F"/>
              <w:right w:val="nil"/>
            </w:tcBorders>
            <w:shd w:val="clear" w:color="auto" w:fill="F2F2F2" w:themeFill="background1" w:themeFillShade="F2"/>
          </w:tcPr>
          <w:p w:rsidR="00C5228A" w:rsidRDefault="00C5228A">
            <w:pPr>
              <w:pStyle w:val="Box"/>
              <w:spacing w:before="0" w:line="120" w:lineRule="exact"/>
            </w:pPr>
          </w:p>
        </w:tc>
      </w:tr>
    </w:tbl>
    <w:p w:rsidR="00C5228A" w:rsidRDefault="00C5228A" w:rsidP="00C5228A">
      <w:pPr>
        <w:rPr>
          <w:szCs w:val="20"/>
        </w:rPr>
        <w:sectPr w:rsidR="00C5228A">
          <w:pgSz w:w="11907" w:h="16840"/>
          <w:pgMar w:top="1984" w:right="1304" w:bottom="1247" w:left="1814" w:header="1701" w:footer="397" w:gutter="0"/>
          <w:pgNumType w:fmt="lowerRoman" w:chapSep="period"/>
          <w:cols w:space="720"/>
        </w:sectPr>
      </w:pPr>
    </w:p>
    <w:p w:rsidR="00694354" w:rsidRPr="00FE322D" w:rsidRDefault="00694354" w:rsidP="00FE322D">
      <w:pPr>
        <w:pStyle w:val="BodyText"/>
        <w:spacing w:before="120"/>
        <w:jc w:val="center"/>
        <w:rPr>
          <w:b/>
        </w:rPr>
      </w:pPr>
      <w:r w:rsidRPr="00FE322D">
        <w:rPr>
          <w:b/>
        </w:rPr>
        <w:lastRenderedPageBreak/>
        <w:t>Inquiry into Australia’s Intellectual Property Arrangements</w:t>
      </w:r>
    </w:p>
    <w:p w:rsidR="00694354" w:rsidRPr="00FE322D" w:rsidRDefault="00694354" w:rsidP="00FE322D">
      <w:pPr>
        <w:pStyle w:val="BodyText"/>
        <w:spacing w:before="200"/>
        <w:rPr>
          <w:b/>
        </w:rPr>
      </w:pPr>
      <w:r w:rsidRPr="00FE322D">
        <w:rPr>
          <w:b/>
        </w:rPr>
        <w:t xml:space="preserve">Terms of Reference </w:t>
      </w:r>
    </w:p>
    <w:p w:rsidR="00694354" w:rsidRDefault="00694354" w:rsidP="00FE322D">
      <w:pPr>
        <w:pStyle w:val="BodyText"/>
        <w:spacing w:before="200"/>
        <w:rPr>
          <w:color w:val="000000"/>
        </w:rPr>
      </w:pPr>
      <w:r w:rsidRPr="00DF6DB6">
        <w:rPr>
          <w:color w:val="000000"/>
        </w:rPr>
        <w:t xml:space="preserve">I, </w:t>
      </w:r>
      <w:r>
        <w:rPr>
          <w:color w:val="000000"/>
        </w:rPr>
        <w:t>Joseph Benedict Hockey</w:t>
      </w:r>
      <w:r w:rsidRPr="00DF6DB6">
        <w:rPr>
          <w:color w:val="000000"/>
        </w:rPr>
        <w:t xml:space="preserve">, Treasurer, pursuant to Parts 2 and </w:t>
      </w:r>
      <w:r>
        <w:rPr>
          <w:color w:val="000000"/>
        </w:rPr>
        <w:t>3</w:t>
      </w:r>
      <w:r w:rsidRPr="00DF6DB6">
        <w:rPr>
          <w:color w:val="000000"/>
        </w:rPr>
        <w:t xml:space="preserve"> of the </w:t>
      </w:r>
      <w:r>
        <w:rPr>
          <w:i/>
          <w:iCs/>
          <w:color w:val="000000"/>
        </w:rPr>
        <w:t>Productivity </w:t>
      </w:r>
      <w:r w:rsidRPr="00DF6DB6">
        <w:rPr>
          <w:i/>
          <w:iCs/>
          <w:color w:val="000000"/>
        </w:rPr>
        <w:t>Commission Act 1998</w:t>
      </w:r>
      <w:r w:rsidRPr="00DF6DB6">
        <w:rPr>
          <w:color w:val="000000"/>
        </w:rPr>
        <w:t>, hereby request that the Productivity Commission undertake a</w:t>
      </w:r>
      <w:r>
        <w:rPr>
          <w:color w:val="000000"/>
        </w:rPr>
        <w:t xml:space="preserve">n inquiry </w:t>
      </w:r>
      <w:r w:rsidRPr="00DF6DB6">
        <w:rPr>
          <w:color w:val="000000"/>
        </w:rPr>
        <w:t xml:space="preserve">into </w:t>
      </w:r>
      <w:r>
        <w:rPr>
          <w:color w:val="000000"/>
        </w:rPr>
        <w:t>Australia’s intellectual property arrangements, including their effect on investment, competition, trade, innovation and consumer welfare</w:t>
      </w:r>
      <w:r w:rsidRPr="00DF6DB6">
        <w:rPr>
          <w:color w:val="000000"/>
        </w:rPr>
        <w:t>.</w:t>
      </w:r>
    </w:p>
    <w:p w:rsidR="00694354" w:rsidRPr="00FE322D" w:rsidRDefault="00694354" w:rsidP="00FE322D">
      <w:pPr>
        <w:pStyle w:val="BodyText"/>
        <w:spacing w:before="200"/>
        <w:rPr>
          <w:b/>
          <w:color w:val="000000"/>
        </w:rPr>
      </w:pPr>
      <w:r w:rsidRPr="00FE322D">
        <w:rPr>
          <w:b/>
          <w:color w:val="000000"/>
        </w:rPr>
        <w:t>Background</w:t>
      </w:r>
    </w:p>
    <w:p w:rsidR="00694354" w:rsidRDefault="00694354" w:rsidP="00FE322D">
      <w:pPr>
        <w:pStyle w:val="BodyText"/>
        <w:spacing w:before="200"/>
        <w:rPr>
          <w:bCs/>
          <w:szCs w:val="24"/>
        </w:rPr>
      </w:pPr>
      <w:r>
        <w:rPr>
          <w:szCs w:val="24"/>
        </w:rPr>
        <w:t xml:space="preserve">Australia provides statutory protection for intellectual property through patents, </w:t>
      </w:r>
      <w:proofErr w:type="spellStart"/>
      <w:r>
        <w:rPr>
          <w:szCs w:val="24"/>
        </w:rPr>
        <w:t>trade marks</w:t>
      </w:r>
      <w:proofErr w:type="spellEnd"/>
      <w:r>
        <w:rPr>
          <w:szCs w:val="24"/>
        </w:rPr>
        <w:t>, geographical indications, registered designs, plant breeders’ rights, copyright, moral rights, performers’ rights and circuit layout rights. Current laws are consistent with treaties under the auspices of the World Trade Organization, the World Intellectual Property Organization and the World Health Organization to which Australia has acceded, as well as bilateral and regional trade agreements.</w:t>
      </w:r>
    </w:p>
    <w:p w:rsidR="00694354" w:rsidRPr="002B5C0A" w:rsidRDefault="00694354" w:rsidP="00FE322D">
      <w:pPr>
        <w:pStyle w:val="BodyText"/>
        <w:spacing w:before="200"/>
        <w:rPr>
          <w:bCs/>
          <w:szCs w:val="24"/>
        </w:rPr>
      </w:pPr>
      <w:r>
        <w:rPr>
          <w:szCs w:val="24"/>
        </w:rPr>
        <w:t xml:space="preserve">The global economy and technology are changing and there have been increases in the scope and duration of intellectual property protection. The Australian Government seeks to ensure that the appropriate balance exists </w:t>
      </w:r>
      <w:r w:rsidRPr="002B5C0A">
        <w:rPr>
          <w:szCs w:val="24"/>
        </w:rPr>
        <w:t xml:space="preserve">between incentives for innovation and investment and the interests of both individuals and businesses, including small businesses, in accessing ideas and products. </w:t>
      </w:r>
    </w:p>
    <w:p w:rsidR="00694354" w:rsidRPr="00FE322D" w:rsidRDefault="00694354" w:rsidP="00FE322D">
      <w:pPr>
        <w:pStyle w:val="BodyText"/>
        <w:spacing w:before="200"/>
        <w:rPr>
          <w:b/>
        </w:rPr>
      </w:pPr>
      <w:r w:rsidRPr="00FE322D">
        <w:rPr>
          <w:b/>
        </w:rPr>
        <w:t>Scope of the Inquiry</w:t>
      </w:r>
    </w:p>
    <w:p w:rsidR="00694354" w:rsidRPr="00FE322D" w:rsidRDefault="00694354" w:rsidP="00FE322D">
      <w:pPr>
        <w:pStyle w:val="BodyText"/>
        <w:spacing w:before="200"/>
        <w:rPr>
          <w:spacing w:val="-2"/>
        </w:rPr>
      </w:pPr>
      <w:r w:rsidRPr="00FE322D">
        <w:rPr>
          <w:spacing w:val="-2"/>
        </w:rPr>
        <w:t>The Australian Government wishes to ensure that the intellectual property system provides appropriate incentives for innovation, investment and the production of creative works while ensuring it does not unreasonably impede further innovation, competition, investment and access to goods and services. In undertaking the inquiry the Commission should:</w:t>
      </w:r>
    </w:p>
    <w:p w:rsidR="00694354" w:rsidRPr="002B5C0A" w:rsidRDefault="00694354" w:rsidP="00FE322D">
      <w:pPr>
        <w:pStyle w:val="ListNumber"/>
        <w:spacing w:before="80"/>
      </w:pPr>
      <w:r w:rsidRPr="002B5C0A">
        <w:t>examine the effect of the scope and duration of protection afforded by Australia’s intellectual property system on:</w:t>
      </w:r>
    </w:p>
    <w:p w:rsidR="00694354" w:rsidRPr="002B5C0A" w:rsidRDefault="00694354" w:rsidP="00FE322D">
      <w:pPr>
        <w:pStyle w:val="ListNumber2"/>
      </w:pPr>
      <w:r w:rsidRPr="002B5C0A">
        <w:t>research and innovation, including freedom to build on existing innovation;</w:t>
      </w:r>
    </w:p>
    <w:p w:rsidR="00694354" w:rsidRPr="002B5C0A" w:rsidRDefault="00694354" w:rsidP="00FE322D">
      <w:pPr>
        <w:pStyle w:val="ListNumber2"/>
      </w:pPr>
      <w:r w:rsidRPr="002B5C0A">
        <w:t>access to and cost of goods and services; and</w:t>
      </w:r>
    </w:p>
    <w:p w:rsidR="00694354" w:rsidRPr="002B5C0A" w:rsidRDefault="00694354" w:rsidP="00FE322D">
      <w:pPr>
        <w:pStyle w:val="ListNumber2"/>
      </w:pPr>
      <w:r w:rsidRPr="002B5C0A">
        <w:t>competition, trade and investment.</w:t>
      </w:r>
    </w:p>
    <w:p w:rsidR="00694354" w:rsidRPr="002B5C0A" w:rsidRDefault="00694354" w:rsidP="00FE322D">
      <w:pPr>
        <w:pStyle w:val="ListNumber"/>
        <w:spacing w:before="80"/>
      </w:pPr>
      <w:r w:rsidRPr="002B5C0A">
        <w:t>recommend changes to the current system that would improve the overall wellbeing of Australian society, which take account of Australia’s international trade obligations, including changes that would:</w:t>
      </w:r>
    </w:p>
    <w:p w:rsidR="00694354" w:rsidRPr="00FE322D" w:rsidRDefault="00694354" w:rsidP="00FE322D">
      <w:pPr>
        <w:pStyle w:val="ListNumber2"/>
      </w:pPr>
      <w:r w:rsidRPr="00FE322D">
        <w:t>encourage creativity, investment and new innovation by individuals, businesses and through collaboration while not unduly restricting access to technologies and creative works;</w:t>
      </w:r>
    </w:p>
    <w:p w:rsidR="00694354" w:rsidRPr="002B5C0A" w:rsidRDefault="00694354" w:rsidP="00FE322D">
      <w:pPr>
        <w:pStyle w:val="ListNumber2"/>
      </w:pPr>
      <w:r w:rsidRPr="002B5C0A">
        <w:t>allow access to an increased range of quality and value goods and services;</w:t>
      </w:r>
    </w:p>
    <w:p w:rsidR="00694354" w:rsidRPr="002B5C0A" w:rsidRDefault="00694354" w:rsidP="00FE322D">
      <w:pPr>
        <w:pStyle w:val="ListNumber2"/>
      </w:pPr>
      <w:r w:rsidRPr="002B5C0A">
        <w:t>provide greater certainty to individuals and businesses as to whether they are likely to infringe the intellectual property rights of others; and</w:t>
      </w:r>
    </w:p>
    <w:p w:rsidR="00694354" w:rsidRPr="002B5C0A" w:rsidRDefault="00694354" w:rsidP="00FE322D">
      <w:pPr>
        <w:pStyle w:val="ListNumber2"/>
      </w:pPr>
      <w:r w:rsidRPr="002B5C0A">
        <w:lastRenderedPageBreak/>
        <w:t xml:space="preserve">reduce the compliance and administrative costs associated with intellectual property rules. </w:t>
      </w:r>
    </w:p>
    <w:p w:rsidR="00694354" w:rsidRPr="007D473F" w:rsidRDefault="00694354" w:rsidP="00FE322D">
      <w:pPr>
        <w:pStyle w:val="ListNumber"/>
        <w:spacing w:before="80"/>
      </w:pPr>
      <w:r w:rsidRPr="007D473F">
        <w:t>in undertaking the inquiry and proposing changes, the Commission is to have regard to:</w:t>
      </w:r>
    </w:p>
    <w:p w:rsidR="00694354" w:rsidRPr="007D473F" w:rsidRDefault="00694354" w:rsidP="00FE322D">
      <w:pPr>
        <w:pStyle w:val="ListNumber2"/>
      </w:pPr>
      <w:r w:rsidRPr="007D473F">
        <w:t>Australia’s international arrangements, including obligations accepted under bilateral, multilateral and regional trade agreements to which Australia is a party;</w:t>
      </w:r>
    </w:p>
    <w:p w:rsidR="00694354" w:rsidRPr="002B5C0A" w:rsidRDefault="00694354" w:rsidP="00FE322D">
      <w:pPr>
        <w:pStyle w:val="ListNumber2"/>
      </w:pPr>
      <w:r w:rsidRPr="002B5C0A">
        <w:t xml:space="preserve">the IP arrangements of Australia’s top intellectual property trading partners and the experiences of these and other advanced </w:t>
      </w:r>
      <w:r>
        <w:t>economies in reforming their IP systems to ensure those systems meet the needs of the modern economy;</w:t>
      </w:r>
    </w:p>
    <w:p w:rsidR="00694354" w:rsidRPr="007D473F" w:rsidRDefault="00694354" w:rsidP="00FE322D">
      <w:pPr>
        <w:pStyle w:val="ListNumber2"/>
      </w:pPr>
      <w:r w:rsidRPr="007D473F">
        <w:t>the relative contribution of imported and domestically produced intellectual property to the Australian economy, for example to Australia’s terms of trade and other economic impacts of IP protection, including on inward investment;</w:t>
      </w:r>
    </w:p>
    <w:p w:rsidR="00694354" w:rsidRPr="002B5C0A" w:rsidRDefault="00694354" w:rsidP="00FE322D">
      <w:pPr>
        <w:pStyle w:val="ListNumber2"/>
      </w:pPr>
      <w:r w:rsidRPr="002B5C0A">
        <w:t>the Government’s desire to retain appropriate incentives for innovation and investment, including innovation that builds on existing work, and production of creative works;</w:t>
      </w:r>
    </w:p>
    <w:p w:rsidR="00694354" w:rsidRPr="00FE322D" w:rsidRDefault="00694354" w:rsidP="00FE322D">
      <w:pPr>
        <w:pStyle w:val="ListNumber2"/>
        <w:rPr>
          <w:spacing w:val="-4"/>
        </w:rPr>
      </w:pPr>
      <w:r w:rsidRPr="00FE322D">
        <w:rPr>
          <w:spacing w:val="-4"/>
        </w:rPr>
        <w:t xml:space="preserve">the </w:t>
      </w:r>
      <w:proofErr w:type="spellStart"/>
      <w:r w:rsidRPr="00FE322D">
        <w:rPr>
          <w:spacing w:val="-4"/>
        </w:rPr>
        <w:t>economy-wide</w:t>
      </w:r>
      <w:proofErr w:type="spellEnd"/>
      <w:r w:rsidRPr="00FE322D">
        <w:rPr>
          <w:spacing w:val="-4"/>
        </w:rPr>
        <w:t xml:space="preserve"> and distributional consequences of recommendations on changes to the existing intellectual property system, including on trade and competition; </w:t>
      </w:r>
    </w:p>
    <w:p w:rsidR="00694354" w:rsidRPr="002B5C0A" w:rsidRDefault="00694354" w:rsidP="00FE322D">
      <w:pPr>
        <w:pStyle w:val="ListNumber2"/>
      </w:pPr>
      <w:r w:rsidRPr="002B5C0A">
        <w:t xml:space="preserve">ensuring the intellectual property system will be efficient, effective and robust through time, in light of economic and technological changes; </w:t>
      </w:r>
    </w:p>
    <w:p w:rsidR="00694354" w:rsidRPr="002B5C0A" w:rsidRDefault="00694354" w:rsidP="00FE322D">
      <w:pPr>
        <w:pStyle w:val="ListNumber2"/>
      </w:pPr>
      <w:r w:rsidRPr="002B5C0A">
        <w:t>how proposed changes fit with, or may require changes to, other existing regulation or forms of assistance (such as research subsidies) currently providing incentives for the development of intellectual property;</w:t>
      </w:r>
    </w:p>
    <w:p w:rsidR="00694354" w:rsidRPr="007D473F" w:rsidRDefault="00694354" w:rsidP="00FE322D">
      <w:pPr>
        <w:pStyle w:val="ListNumber2"/>
      </w:pPr>
      <w:r w:rsidRPr="007D473F">
        <w:t xml:space="preserve">the findings and recommendations of the Harper Competition Policy Review in the context of the Australian Government’s response, including recommendations related to parallel import restrictions in the </w:t>
      </w:r>
      <w:r w:rsidRPr="007D473F">
        <w:rPr>
          <w:i/>
        </w:rPr>
        <w:t>Copyright Act 1968</w:t>
      </w:r>
      <w:r w:rsidRPr="007D473F">
        <w:t xml:space="preserve"> and the parallel importation defence under the </w:t>
      </w:r>
      <w:r w:rsidRPr="007D473F">
        <w:rPr>
          <w:i/>
        </w:rPr>
        <w:t>Trade Marks Act 1995</w:t>
      </w:r>
      <w:r w:rsidRPr="007D473F">
        <w:t>; and</w:t>
      </w:r>
    </w:p>
    <w:p w:rsidR="00694354" w:rsidRPr="007D473F" w:rsidRDefault="00694354" w:rsidP="00FE322D">
      <w:pPr>
        <w:pStyle w:val="ListNumber2"/>
      </w:pPr>
      <w:r w:rsidRPr="007D473F">
        <w:t>the findings and recommendations of the Advisory Council on Intellectual Property’s Review of the Innovation Patent System; the Senate Economics References Committee’s inquiry into Australia’s innovation system; and the Australian Law Reform Commission’s Copyright and the Digital Economy report.</w:t>
      </w:r>
    </w:p>
    <w:p w:rsidR="00694354" w:rsidRPr="00FE322D" w:rsidRDefault="00694354" w:rsidP="00FE322D">
      <w:pPr>
        <w:pStyle w:val="BodyText"/>
        <w:rPr>
          <w:b/>
        </w:rPr>
      </w:pPr>
      <w:r w:rsidRPr="00FE322D">
        <w:rPr>
          <w:b/>
        </w:rPr>
        <w:t>Process</w:t>
      </w:r>
    </w:p>
    <w:p w:rsidR="00694354" w:rsidRPr="002B5C0A" w:rsidRDefault="00694354" w:rsidP="00FE322D">
      <w:pPr>
        <w:pStyle w:val="BodyText"/>
        <w:spacing w:before="200"/>
      </w:pPr>
      <w:r w:rsidRPr="002B5C0A">
        <w:t>The Commission is to undertake an appropriate public consultation process, inviting public submissions and releasing a draft report to the public.</w:t>
      </w:r>
      <w:r w:rsidR="002B6A9C">
        <w:t xml:space="preserve"> </w:t>
      </w:r>
    </w:p>
    <w:p w:rsidR="00694354" w:rsidRDefault="00694354" w:rsidP="00FE322D">
      <w:pPr>
        <w:pStyle w:val="BodyText"/>
        <w:spacing w:before="200"/>
      </w:pPr>
      <w:r w:rsidRPr="002B5C0A">
        <w:t>The Final report is to be provided to the Government within</w:t>
      </w:r>
      <w:r>
        <w:t xml:space="preserve"> 12 months of receipt of this Terms of Reference.</w:t>
      </w:r>
    </w:p>
    <w:p w:rsidR="00FE322D" w:rsidRDefault="00694354" w:rsidP="00FE322D">
      <w:pPr>
        <w:pStyle w:val="BodyText"/>
        <w:spacing w:before="200"/>
      </w:pPr>
      <w:r w:rsidRPr="000E64C8">
        <w:t>J. B. HOCKEY</w:t>
      </w:r>
    </w:p>
    <w:p w:rsidR="00694354" w:rsidRDefault="00694354" w:rsidP="00FE322D">
      <w:pPr>
        <w:pStyle w:val="BodyText"/>
        <w:spacing w:before="0"/>
      </w:pPr>
      <w:r>
        <w:t>Treasurer</w:t>
      </w:r>
    </w:p>
    <w:p w:rsidR="00FE322D" w:rsidRDefault="00694354" w:rsidP="00FE322D">
      <w:pPr>
        <w:pStyle w:val="BodyText"/>
        <w:spacing w:before="120"/>
      </w:pPr>
      <w:r>
        <w:t>[Received 18 August 2015]</w:t>
      </w:r>
    </w:p>
    <w:p w:rsidR="00FE322D" w:rsidRDefault="00FE322D" w:rsidP="00FE322D">
      <w:pPr>
        <w:pStyle w:val="BodyText"/>
        <w:sectPr w:rsidR="00FE322D" w:rsidSect="00FE322D">
          <w:headerReference w:type="even" r:id="rId10"/>
          <w:headerReference w:type="default" r:id="rId11"/>
          <w:footerReference w:type="even" r:id="rId12"/>
          <w:footerReference w:type="default" r:id="rId13"/>
          <w:pgSz w:w="11907" w:h="16840" w:code="9"/>
          <w:pgMar w:top="1985" w:right="1304" w:bottom="1247" w:left="1814" w:header="1701" w:footer="397" w:gutter="0"/>
          <w:pgNumType w:fmt="lowerRoman" w:start="3" w:chapSep="period"/>
          <w:cols w:space="720"/>
        </w:sectPr>
      </w:pPr>
    </w:p>
    <w:p w:rsidR="00694354" w:rsidRPr="00694354" w:rsidRDefault="00D54CAA" w:rsidP="006C3AA5">
      <w:pPr>
        <w:pStyle w:val="Heading2"/>
        <w:spacing w:before="240"/>
      </w:pPr>
      <w:r>
        <w:rPr>
          <w:noProof/>
        </w:rPr>
        <w:lastRenderedPageBreak/>
        <w:t>1</w:t>
      </w:r>
      <w:r w:rsidR="00607DEB">
        <w:tab/>
      </w:r>
      <w:r w:rsidR="002718F6">
        <w:t>What has the Commission been asked to do?</w:t>
      </w:r>
    </w:p>
    <w:p w:rsidR="00607DEB" w:rsidRDefault="00607DEB" w:rsidP="00607DEB">
      <w:pPr>
        <w:pStyle w:val="BodyText"/>
      </w:pPr>
      <w:r>
        <w:t xml:space="preserve">The Australian Government has asked the </w:t>
      </w:r>
      <w:r w:rsidR="00E22AFE">
        <w:t xml:space="preserve">Productivity </w:t>
      </w:r>
      <w:r>
        <w:t>Commission to undertake a broad</w:t>
      </w:r>
      <w:r w:rsidR="002B6A9C">
        <w:noBreakHyphen/>
      </w:r>
      <w:r>
        <w:t xml:space="preserve">ranging inquiry into Australia’s intellectual property </w:t>
      </w:r>
      <w:r w:rsidR="00746F59">
        <w:t xml:space="preserve">(IP) </w:t>
      </w:r>
      <w:r w:rsidR="009B04C7">
        <w:t>arrangements</w:t>
      </w:r>
      <w:r w:rsidR="00395429">
        <w:t xml:space="preserve">. </w:t>
      </w:r>
      <w:r>
        <w:t xml:space="preserve">In </w:t>
      </w:r>
      <w:r w:rsidR="00855E40">
        <w:t>doing so, the</w:t>
      </w:r>
      <w:r>
        <w:t xml:space="preserve"> Commission</w:t>
      </w:r>
      <w:r w:rsidR="001253C2">
        <w:t xml:space="preserve"> is</w:t>
      </w:r>
      <w:r>
        <w:t xml:space="preserve"> to consider </w:t>
      </w:r>
      <w:r w:rsidR="00111CC4">
        <w:t xml:space="preserve">whether IP </w:t>
      </w:r>
      <w:r w:rsidR="004C3286">
        <w:t>arrangement</w:t>
      </w:r>
      <w:r w:rsidR="00111CC4">
        <w:t xml:space="preserve">s strike </w:t>
      </w:r>
      <w:r w:rsidR="00E35123">
        <w:t xml:space="preserve">the right </w:t>
      </w:r>
      <w:r w:rsidR="00111CC4">
        <w:t xml:space="preserve">balance </w:t>
      </w:r>
      <w:r w:rsidR="002718F6" w:rsidRPr="002718F6">
        <w:t>between incentives for innovation and investment</w:t>
      </w:r>
      <w:r w:rsidR="001253C2">
        <w:t>,</w:t>
      </w:r>
      <w:r w:rsidR="002718F6" w:rsidRPr="002718F6">
        <w:t xml:space="preserve"> and the interests of </w:t>
      </w:r>
      <w:r w:rsidR="001253C2">
        <w:t>both individuals and businesses</w:t>
      </w:r>
      <w:r w:rsidR="002718F6" w:rsidRPr="002718F6">
        <w:t xml:space="preserve"> in accessing ideas and products.</w:t>
      </w:r>
      <w:r w:rsidR="002718F6">
        <w:t xml:space="preserve"> The Commission has also been </w:t>
      </w:r>
      <w:r w:rsidR="00D26EE8">
        <w:t>asked</w:t>
      </w:r>
      <w:r w:rsidR="002718F6">
        <w:t xml:space="preserve"> </w:t>
      </w:r>
      <w:r w:rsidR="00D26EE8">
        <w:t xml:space="preserve">how best to </w:t>
      </w:r>
      <w:r w:rsidR="002718F6" w:rsidRPr="002718F6">
        <w:t>ensur</w:t>
      </w:r>
      <w:r w:rsidR="002718F6">
        <w:t>e</w:t>
      </w:r>
      <w:r w:rsidR="002718F6" w:rsidRPr="002718F6">
        <w:t xml:space="preserve"> the system will be efficient, effective and robust through time, in light of economic and technological change</w:t>
      </w:r>
      <w:r>
        <w:t>.</w:t>
      </w:r>
    </w:p>
    <w:p w:rsidR="000878D2" w:rsidRDefault="00746F59" w:rsidP="00746F59">
      <w:pPr>
        <w:pStyle w:val="BodyText"/>
      </w:pPr>
      <w:r>
        <w:t xml:space="preserve">The Commission is mindful that various aspects of Australia’s </w:t>
      </w:r>
      <w:r w:rsidR="008F5A8F">
        <w:t>IP </w:t>
      </w:r>
      <w:r>
        <w:t>arrangements have been subject to review in recent years</w:t>
      </w:r>
      <w:r w:rsidR="000878D2">
        <w:t xml:space="preserve">, </w:t>
      </w:r>
      <w:r w:rsidR="00D26EE8">
        <w:t>including</w:t>
      </w:r>
      <w:r w:rsidR="000878D2">
        <w:t>:</w:t>
      </w:r>
    </w:p>
    <w:p w:rsidR="000878D2" w:rsidRDefault="00D26EE8" w:rsidP="000878D2">
      <w:pPr>
        <w:pStyle w:val="ListBullet"/>
      </w:pPr>
      <w:r>
        <w:t xml:space="preserve">the </w:t>
      </w:r>
      <w:r w:rsidRPr="000878D2">
        <w:t>Innovation Patent System</w:t>
      </w:r>
      <w:r w:rsidR="00C10B7E">
        <w:t>, which was</w:t>
      </w:r>
      <w:r>
        <w:t xml:space="preserve"> </w:t>
      </w:r>
      <w:r w:rsidR="00C10B7E">
        <w:t xml:space="preserve">reviewed </w:t>
      </w:r>
      <w:r>
        <w:t xml:space="preserve">by </w:t>
      </w:r>
      <w:r w:rsidR="000878D2" w:rsidRPr="000878D2">
        <w:t xml:space="preserve">the Advisory Council on Intellectual Property </w:t>
      </w:r>
      <w:r w:rsidR="00200976">
        <w:t>and IP Australia</w:t>
      </w:r>
      <w:r w:rsidR="00811EF3">
        <w:t xml:space="preserve"> </w:t>
      </w:r>
      <w:r w:rsidR="00D14987" w:rsidRPr="00D14987">
        <w:rPr>
          <w:szCs w:val="24"/>
        </w:rPr>
        <w:t>(</w:t>
      </w:r>
      <w:proofErr w:type="spellStart"/>
      <w:r w:rsidR="00D14987" w:rsidRPr="00D14987">
        <w:rPr>
          <w:szCs w:val="24"/>
        </w:rPr>
        <w:t>ACIP</w:t>
      </w:r>
      <w:proofErr w:type="spellEnd"/>
      <w:r w:rsidR="00D14987" w:rsidRPr="00D14987">
        <w:rPr>
          <w:szCs w:val="24"/>
        </w:rPr>
        <w:t> </w:t>
      </w:r>
      <w:proofErr w:type="spellStart"/>
      <w:r w:rsidR="00D14987" w:rsidRPr="00D14987">
        <w:rPr>
          <w:szCs w:val="24"/>
        </w:rPr>
        <w:t>2015b</w:t>
      </w:r>
      <w:proofErr w:type="spellEnd"/>
      <w:r w:rsidR="00D14987" w:rsidRPr="00D14987">
        <w:rPr>
          <w:szCs w:val="24"/>
        </w:rPr>
        <w:t>; Johnson et al. </w:t>
      </w:r>
      <w:proofErr w:type="spellStart"/>
      <w:r w:rsidR="00D14987" w:rsidRPr="00D14987">
        <w:rPr>
          <w:szCs w:val="24"/>
        </w:rPr>
        <w:t>nd</w:t>
      </w:r>
      <w:proofErr w:type="spellEnd"/>
      <w:r w:rsidR="00D14987" w:rsidRPr="00D14987">
        <w:rPr>
          <w:szCs w:val="24"/>
        </w:rPr>
        <w:t>)</w:t>
      </w:r>
    </w:p>
    <w:p w:rsidR="00E22AFE" w:rsidRDefault="00E22AFE" w:rsidP="000878D2">
      <w:pPr>
        <w:pStyle w:val="ListBullet"/>
      </w:pPr>
      <w:r>
        <w:t>pharmaceutical patents, which were reviewed by a governm</w:t>
      </w:r>
      <w:r w:rsidR="00811EF3">
        <w:t xml:space="preserve">ent appointed panel </w:t>
      </w:r>
      <w:r w:rsidR="00DB47A3" w:rsidRPr="00DB47A3">
        <w:rPr>
          <w:szCs w:val="24"/>
        </w:rPr>
        <w:t xml:space="preserve">(Harris, Nicol and </w:t>
      </w:r>
      <w:proofErr w:type="spellStart"/>
      <w:r w:rsidR="00DB47A3" w:rsidRPr="00DB47A3">
        <w:rPr>
          <w:szCs w:val="24"/>
        </w:rPr>
        <w:t>Gruen</w:t>
      </w:r>
      <w:proofErr w:type="spellEnd"/>
      <w:r w:rsidR="00DB47A3" w:rsidRPr="00DB47A3">
        <w:rPr>
          <w:szCs w:val="24"/>
        </w:rPr>
        <w:t> 2013)</w:t>
      </w:r>
    </w:p>
    <w:p w:rsidR="000878D2" w:rsidRDefault="00D26EE8" w:rsidP="000878D2">
      <w:pPr>
        <w:pStyle w:val="ListBullet"/>
      </w:pPr>
      <w:r>
        <w:t>the Designs</w:t>
      </w:r>
      <w:r w:rsidRPr="000878D2">
        <w:t xml:space="preserve"> System</w:t>
      </w:r>
      <w:r w:rsidR="00C10B7E">
        <w:t>, which was</w:t>
      </w:r>
      <w:r w:rsidR="00825D15">
        <w:t xml:space="preserve"> </w:t>
      </w:r>
      <w:r w:rsidR="00C10B7E">
        <w:t>r</w:t>
      </w:r>
      <w:r w:rsidR="00C10B7E" w:rsidRPr="000878D2">
        <w:t>eview</w:t>
      </w:r>
      <w:r w:rsidR="00C10B7E">
        <w:t>ed</w:t>
      </w:r>
      <w:r w:rsidR="00C10B7E" w:rsidRPr="000878D2">
        <w:t xml:space="preserve"> </w:t>
      </w:r>
      <w:r>
        <w:t xml:space="preserve">by </w:t>
      </w:r>
      <w:r w:rsidR="00E35123">
        <w:t xml:space="preserve">the </w:t>
      </w:r>
      <w:r w:rsidR="000878D2" w:rsidRPr="000878D2">
        <w:t>Advisory Council on Intellectual Propert</w:t>
      </w:r>
      <w:r w:rsidR="000E3816">
        <w:t>y</w:t>
      </w:r>
      <w:r w:rsidR="000878D2" w:rsidRPr="000878D2">
        <w:t xml:space="preserve"> </w:t>
      </w:r>
      <w:r w:rsidR="00DB47A3" w:rsidRPr="00DB47A3">
        <w:rPr>
          <w:szCs w:val="24"/>
        </w:rPr>
        <w:t>(</w:t>
      </w:r>
      <w:proofErr w:type="spellStart"/>
      <w:r w:rsidR="00DB47A3" w:rsidRPr="00DB47A3">
        <w:rPr>
          <w:szCs w:val="24"/>
        </w:rPr>
        <w:t>ACIP</w:t>
      </w:r>
      <w:proofErr w:type="spellEnd"/>
      <w:r w:rsidR="00DB47A3" w:rsidRPr="00DB47A3">
        <w:rPr>
          <w:szCs w:val="24"/>
        </w:rPr>
        <w:t> </w:t>
      </w:r>
      <w:proofErr w:type="spellStart"/>
      <w:r w:rsidR="00DB47A3" w:rsidRPr="00DB47A3">
        <w:rPr>
          <w:szCs w:val="24"/>
        </w:rPr>
        <w:t>2015a</w:t>
      </w:r>
      <w:proofErr w:type="spellEnd"/>
      <w:r w:rsidR="00DB47A3" w:rsidRPr="00DB47A3">
        <w:rPr>
          <w:szCs w:val="24"/>
        </w:rPr>
        <w:t>)</w:t>
      </w:r>
    </w:p>
    <w:p w:rsidR="000878D2" w:rsidRDefault="00D26EE8" w:rsidP="000878D2">
      <w:pPr>
        <w:pStyle w:val="ListBullet"/>
      </w:pPr>
      <w:r w:rsidRPr="000878D2">
        <w:t>Copyright</w:t>
      </w:r>
      <w:r>
        <w:t xml:space="preserve"> and the Digital Economy</w:t>
      </w:r>
      <w:r w:rsidR="00C10B7E">
        <w:t>, which was reviewed by</w:t>
      </w:r>
      <w:r>
        <w:t xml:space="preserve"> the </w:t>
      </w:r>
      <w:r w:rsidR="000878D2" w:rsidRPr="000878D2">
        <w:t>Aus</w:t>
      </w:r>
      <w:r>
        <w:t>tralian Law Reform Commission</w:t>
      </w:r>
      <w:r w:rsidR="002F6339">
        <w:t xml:space="preserve"> </w:t>
      </w:r>
      <w:r w:rsidR="00DB47A3" w:rsidRPr="00DB47A3">
        <w:rPr>
          <w:szCs w:val="24"/>
        </w:rPr>
        <w:t>(</w:t>
      </w:r>
      <w:proofErr w:type="spellStart"/>
      <w:r w:rsidR="00DB47A3" w:rsidRPr="00DB47A3">
        <w:rPr>
          <w:szCs w:val="24"/>
        </w:rPr>
        <w:t>ALRC</w:t>
      </w:r>
      <w:proofErr w:type="spellEnd"/>
      <w:r w:rsidR="00DB47A3" w:rsidRPr="00DB47A3">
        <w:rPr>
          <w:szCs w:val="24"/>
        </w:rPr>
        <w:t> 2013)</w:t>
      </w:r>
      <w:r w:rsidR="00534AD4">
        <w:t>.</w:t>
      </w:r>
    </w:p>
    <w:p w:rsidR="00E878D4" w:rsidRDefault="000878D2" w:rsidP="00746F59">
      <w:pPr>
        <w:pStyle w:val="BodyText"/>
      </w:pPr>
      <w:r>
        <w:t xml:space="preserve">While the Commission will have regard to </w:t>
      </w:r>
      <w:r w:rsidRPr="000878D2">
        <w:t>the findings and recommendations</w:t>
      </w:r>
      <w:r>
        <w:t xml:space="preserve"> of past </w:t>
      </w:r>
      <w:r w:rsidR="00E22AFE">
        <w:t>reviews</w:t>
      </w:r>
      <w:r>
        <w:t xml:space="preserve">, this </w:t>
      </w:r>
      <w:r w:rsidR="00E35123">
        <w:t xml:space="preserve">inquiry </w:t>
      </w:r>
      <w:r>
        <w:t xml:space="preserve">presents an opportunity </w:t>
      </w:r>
      <w:r w:rsidR="000E3816">
        <w:t xml:space="preserve">for a </w:t>
      </w:r>
      <w:r w:rsidR="00534AD4">
        <w:t xml:space="preserve">high-level and </w:t>
      </w:r>
      <w:r w:rsidR="000E3816">
        <w:t>holistic consideration of</w:t>
      </w:r>
      <w:r>
        <w:t xml:space="preserve"> </w:t>
      </w:r>
      <w:r w:rsidR="00D26EE8">
        <w:t xml:space="preserve">Australia’s </w:t>
      </w:r>
      <w:r w:rsidR="00140AF6">
        <w:t>IP </w:t>
      </w:r>
      <w:r w:rsidR="00D26EE8">
        <w:t>arrangements</w:t>
      </w:r>
      <w:r w:rsidR="000E3816">
        <w:t>,</w:t>
      </w:r>
      <w:r w:rsidR="00D26EE8">
        <w:t xml:space="preserve"> </w:t>
      </w:r>
      <w:r w:rsidR="000E3816">
        <w:t>including</w:t>
      </w:r>
      <w:r w:rsidR="00C10B7E">
        <w:t xml:space="preserve"> </w:t>
      </w:r>
      <w:r w:rsidR="00825D15">
        <w:t xml:space="preserve">as </w:t>
      </w:r>
      <w:r w:rsidR="00F22578">
        <w:t>they</w:t>
      </w:r>
      <w:r w:rsidR="00E35123">
        <w:t xml:space="preserve"> </w:t>
      </w:r>
      <w:r w:rsidR="00825D15">
        <w:t>relate to</w:t>
      </w:r>
      <w:r w:rsidR="00C10B7E">
        <w:t>:</w:t>
      </w:r>
    </w:p>
    <w:p w:rsidR="00E878D4" w:rsidRDefault="00E878D4" w:rsidP="00E878D4">
      <w:pPr>
        <w:pStyle w:val="ListBullet"/>
      </w:pPr>
      <w:r>
        <w:t>the</w:t>
      </w:r>
      <w:r w:rsidR="000E3816">
        <w:t xml:space="preserve"> </w:t>
      </w:r>
      <w:r w:rsidR="000878D2">
        <w:t xml:space="preserve">underlying objectives </w:t>
      </w:r>
      <w:r>
        <w:t xml:space="preserve">of Australia’s </w:t>
      </w:r>
      <w:r w:rsidR="00E35123">
        <w:t>IP system</w:t>
      </w:r>
      <w:r>
        <w:t xml:space="preserve"> and</w:t>
      </w:r>
      <w:r w:rsidR="000878D2">
        <w:t xml:space="preserve"> </w:t>
      </w:r>
      <w:r w:rsidR="000E3816">
        <w:t xml:space="preserve">the </w:t>
      </w:r>
      <w:r w:rsidR="000878D2">
        <w:t xml:space="preserve">principles that should inform </w:t>
      </w:r>
      <w:r w:rsidR="000E3816">
        <w:t xml:space="preserve">and guide policy making </w:t>
      </w:r>
    </w:p>
    <w:p w:rsidR="00B87A01" w:rsidRDefault="00E878D4" w:rsidP="00B87A01">
      <w:pPr>
        <w:pStyle w:val="ListBullet"/>
      </w:pPr>
      <w:r w:rsidRPr="002B5C0A">
        <w:t xml:space="preserve">the </w:t>
      </w:r>
      <w:proofErr w:type="spellStart"/>
      <w:r w:rsidRPr="002B5C0A">
        <w:t>e</w:t>
      </w:r>
      <w:r w:rsidR="00E22AFE">
        <w:t>conomy-wide</w:t>
      </w:r>
      <w:proofErr w:type="spellEnd"/>
      <w:r w:rsidR="00E22AFE">
        <w:t xml:space="preserve"> and distributional impacts</w:t>
      </w:r>
      <w:r>
        <w:t xml:space="preserve"> of afford</w:t>
      </w:r>
      <w:r w:rsidR="00B87A01">
        <w:t xml:space="preserve">ing </w:t>
      </w:r>
      <w:r w:rsidR="00547866">
        <w:t>IP</w:t>
      </w:r>
      <w:r w:rsidR="00B87A01">
        <w:t xml:space="preserve"> rights</w:t>
      </w:r>
      <w:r w:rsidR="00825D15">
        <w:t xml:space="preserve"> and how they differ </w:t>
      </w:r>
      <w:r w:rsidR="00547866">
        <w:t xml:space="preserve">depending on </w:t>
      </w:r>
      <w:r w:rsidR="00DB1EB9">
        <w:t>the nature</w:t>
      </w:r>
      <w:r w:rsidR="001253C2">
        <w:t>, scope</w:t>
      </w:r>
      <w:r w:rsidR="00DB1EB9">
        <w:t xml:space="preserve"> </w:t>
      </w:r>
      <w:r w:rsidR="001253C2">
        <w:t xml:space="preserve">and term </w:t>
      </w:r>
      <w:r w:rsidR="00547866">
        <w:t>of right</w:t>
      </w:r>
      <w:r w:rsidR="00DB1EB9">
        <w:t>s</w:t>
      </w:r>
    </w:p>
    <w:p w:rsidR="00E878D4" w:rsidRDefault="00E878D4" w:rsidP="00E878D4">
      <w:pPr>
        <w:pStyle w:val="ListBullet"/>
      </w:pPr>
      <w:r>
        <w:t>the role that granting exclusivity of rights should play as part of a broader landscape of</w:t>
      </w:r>
      <w:r w:rsidR="000E3816">
        <w:t xml:space="preserve"> policies to encourage</w:t>
      </w:r>
      <w:r w:rsidR="0042649D">
        <w:t xml:space="preserve"> innovation and</w:t>
      </w:r>
      <w:r w:rsidR="000E3816">
        <w:t xml:space="preserve"> </w:t>
      </w:r>
      <w:r>
        <w:t xml:space="preserve">the development of </w:t>
      </w:r>
      <w:r w:rsidR="00E35123">
        <w:t>IP</w:t>
      </w:r>
    </w:p>
    <w:p w:rsidR="00395429" w:rsidRDefault="00E878D4" w:rsidP="00E35123">
      <w:pPr>
        <w:pStyle w:val="ListBullet"/>
        <w:rPr>
          <w:noProof/>
        </w:rPr>
      </w:pPr>
      <w:r>
        <w:t xml:space="preserve">the role that other policies (such as competition </w:t>
      </w:r>
      <w:r w:rsidR="00E35123">
        <w:t xml:space="preserve">and trade </w:t>
      </w:r>
      <w:r>
        <w:t xml:space="preserve">policy) can play in striking a balance between providing </w:t>
      </w:r>
      <w:r w:rsidRPr="002718F6">
        <w:t xml:space="preserve">incentives for innovation and investment </w:t>
      </w:r>
      <w:r w:rsidR="00CF0C4C">
        <w:t>in knowledge</w:t>
      </w:r>
      <w:r w:rsidR="00AF1FD7">
        <w:noBreakHyphen/>
      </w:r>
      <w:r w:rsidR="00CF0C4C">
        <w:t xml:space="preserve">based assets </w:t>
      </w:r>
      <w:r w:rsidRPr="002718F6">
        <w:t xml:space="preserve">and </w:t>
      </w:r>
      <w:r>
        <w:t xml:space="preserve">the ability of parties to </w:t>
      </w:r>
      <w:r w:rsidRPr="002718F6">
        <w:t>access</w:t>
      </w:r>
      <w:r>
        <w:t xml:space="preserve"> </w:t>
      </w:r>
      <w:r w:rsidR="00395429">
        <w:t>ideas and product</w:t>
      </w:r>
      <w:r w:rsidR="008C7F24">
        <w:t>s</w:t>
      </w:r>
    </w:p>
    <w:p w:rsidR="00D314E7" w:rsidRDefault="00DE13EA" w:rsidP="00E35123">
      <w:pPr>
        <w:pStyle w:val="ListBullet"/>
        <w:rPr>
          <w:noProof/>
        </w:rPr>
      </w:pPr>
      <w:r>
        <w:t xml:space="preserve">the way </w:t>
      </w:r>
      <w:r w:rsidR="00F22578">
        <w:t>that</w:t>
      </w:r>
      <w:r>
        <w:t xml:space="preserve"> IP policy is designed, implemented and enforced</w:t>
      </w:r>
    </w:p>
    <w:p w:rsidR="006C3AA5" w:rsidRDefault="00D314E7" w:rsidP="00E35123">
      <w:pPr>
        <w:pStyle w:val="ListBullet"/>
      </w:pPr>
      <w:r>
        <w:t xml:space="preserve">the relevance of international organisations </w:t>
      </w:r>
      <w:r w:rsidR="00D32B13">
        <w:t xml:space="preserve">— </w:t>
      </w:r>
      <w:r>
        <w:t>such as the World Intellectual Property Organization</w:t>
      </w:r>
      <w:r w:rsidR="00952F2D">
        <w:t xml:space="preserve"> (</w:t>
      </w:r>
      <w:proofErr w:type="spellStart"/>
      <w:r w:rsidR="00952F2D">
        <w:t>WIPO</w:t>
      </w:r>
      <w:proofErr w:type="spellEnd"/>
      <w:r w:rsidR="00952F2D">
        <w:t>)</w:t>
      </w:r>
      <w:r w:rsidR="00D32B13">
        <w:t xml:space="preserve"> —</w:t>
      </w:r>
      <w:r>
        <w:t xml:space="preserve"> and other multilateral frameworks</w:t>
      </w:r>
      <w:r w:rsidR="00D32B13">
        <w:t>.</w:t>
      </w:r>
      <w:r w:rsidR="006C3AA5">
        <w:br w:type="page"/>
      </w:r>
    </w:p>
    <w:p w:rsidR="00765BB8" w:rsidRDefault="00D54CAA" w:rsidP="007C73F8">
      <w:pPr>
        <w:pStyle w:val="Heading2"/>
        <w:spacing w:before="720"/>
        <w:rPr>
          <w:noProof/>
        </w:rPr>
      </w:pPr>
      <w:r>
        <w:rPr>
          <w:noProof/>
        </w:rPr>
        <w:lastRenderedPageBreak/>
        <w:t>2</w:t>
      </w:r>
      <w:r w:rsidR="002E5418">
        <w:rPr>
          <w:noProof/>
        </w:rPr>
        <w:tab/>
      </w:r>
      <w:r w:rsidR="008B4935">
        <w:rPr>
          <w:noProof/>
        </w:rPr>
        <w:t xml:space="preserve">What </w:t>
      </w:r>
      <w:r w:rsidR="00140AF6">
        <w:rPr>
          <w:noProof/>
        </w:rPr>
        <w:t>is</w:t>
      </w:r>
      <w:r w:rsidR="008B4935">
        <w:rPr>
          <w:noProof/>
        </w:rPr>
        <w:t xml:space="preserve"> IP and why are </w:t>
      </w:r>
      <w:r w:rsidR="00140AF6">
        <w:rPr>
          <w:noProof/>
        </w:rPr>
        <w:t xml:space="preserve">IP arrangements </w:t>
      </w:r>
      <w:r w:rsidR="008B4935">
        <w:rPr>
          <w:noProof/>
        </w:rPr>
        <w:t>important?</w:t>
      </w:r>
    </w:p>
    <w:p w:rsidR="00326AB7" w:rsidRDefault="001253C2" w:rsidP="001E5807">
      <w:pPr>
        <w:pStyle w:val="BodyText"/>
        <w:spacing w:before="300"/>
      </w:pPr>
      <w:r>
        <w:t>IP</w:t>
      </w:r>
      <w:r w:rsidR="00FF54D7">
        <w:t xml:space="preserve"> </w:t>
      </w:r>
      <w:r w:rsidR="004C3286">
        <w:t>r</w:t>
      </w:r>
      <w:r w:rsidR="00140AF6">
        <w:t>efers</w:t>
      </w:r>
      <w:r w:rsidR="004C3286">
        <w:t xml:space="preserve"> to c</w:t>
      </w:r>
      <w:r w:rsidR="00FD3211">
        <w:t>reations of the mind,</w:t>
      </w:r>
      <w:r w:rsidR="000C1C99">
        <w:t xml:space="preserve"> </w:t>
      </w:r>
      <w:r w:rsidR="00140AF6">
        <w:t>such as i</w:t>
      </w:r>
      <w:r w:rsidR="00504141">
        <w:t>nvention</w:t>
      </w:r>
      <w:r w:rsidR="00140AF6">
        <w:t>s;</w:t>
      </w:r>
      <w:r w:rsidR="000C1C99">
        <w:t xml:space="preserve"> </w:t>
      </w:r>
      <w:r w:rsidR="00140AF6">
        <w:t xml:space="preserve">literary and artistic works; designs; and symbols, names and images used </w:t>
      </w:r>
      <w:r w:rsidR="00FD3211">
        <w:t xml:space="preserve">in business </w:t>
      </w:r>
      <w:r w:rsidR="007C289E" w:rsidRPr="007C289E">
        <w:rPr>
          <w:szCs w:val="24"/>
        </w:rPr>
        <w:t>(</w:t>
      </w:r>
      <w:proofErr w:type="spellStart"/>
      <w:r w:rsidR="007C289E" w:rsidRPr="007C289E">
        <w:rPr>
          <w:szCs w:val="24"/>
        </w:rPr>
        <w:t>WIPO</w:t>
      </w:r>
      <w:proofErr w:type="spellEnd"/>
      <w:r w:rsidR="007C289E" w:rsidRPr="007C289E">
        <w:rPr>
          <w:szCs w:val="24"/>
        </w:rPr>
        <w:t> </w:t>
      </w:r>
      <w:proofErr w:type="spellStart"/>
      <w:r w:rsidR="007C289E" w:rsidRPr="007C289E">
        <w:rPr>
          <w:szCs w:val="24"/>
        </w:rPr>
        <w:t>nd</w:t>
      </w:r>
      <w:proofErr w:type="spellEnd"/>
      <w:r w:rsidR="007C289E" w:rsidRPr="007C289E">
        <w:rPr>
          <w:szCs w:val="24"/>
        </w:rPr>
        <w:t>)</w:t>
      </w:r>
      <w:r w:rsidR="00FD3211">
        <w:t xml:space="preserve">. IP </w:t>
      </w:r>
      <w:r w:rsidR="000C1C99">
        <w:t xml:space="preserve">differs from other forms </w:t>
      </w:r>
      <w:r w:rsidR="00140AF6">
        <w:t xml:space="preserve">of property </w:t>
      </w:r>
      <w:r w:rsidR="00FD3211">
        <w:t xml:space="preserve">in that it embodies thoughts and knowledge created by people </w:t>
      </w:r>
      <w:r w:rsidR="00140AF6">
        <w:t xml:space="preserve">and </w:t>
      </w:r>
      <w:r w:rsidR="007E0EE2">
        <w:t>so is</w:t>
      </w:r>
      <w:r w:rsidR="00140AF6">
        <w:t xml:space="preserve"> intangible</w:t>
      </w:r>
      <w:r w:rsidR="007E0EE2">
        <w:t xml:space="preserve"> in nature</w:t>
      </w:r>
      <w:r w:rsidR="00140AF6">
        <w:t xml:space="preserve"> </w:t>
      </w:r>
      <w:r w:rsidR="008D6BBD" w:rsidRPr="008D6BBD">
        <w:rPr>
          <w:szCs w:val="24"/>
        </w:rPr>
        <w:t>(Aoki and Small 2004)</w:t>
      </w:r>
      <w:r w:rsidR="00FD3211">
        <w:t xml:space="preserve">. </w:t>
      </w:r>
      <w:r w:rsidR="007E0EE2">
        <w:t xml:space="preserve">Governments typically grant creators of </w:t>
      </w:r>
      <w:r w:rsidR="00FD3211">
        <w:t xml:space="preserve">IP </w:t>
      </w:r>
      <w:r w:rsidR="007E0EE2">
        <w:t>with</w:t>
      </w:r>
      <w:r w:rsidR="00FD3211">
        <w:t xml:space="preserve"> </w:t>
      </w:r>
      <w:r w:rsidR="007E0EE2">
        <w:t xml:space="preserve">time-limited </w:t>
      </w:r>
      <w:r w:rsidR="005B5496">
        <w:t xml:space="preserve">exclusive rights </w:t>
      </w:r>
      <w:r w:rsidR="007E0EE2">
        <w:t>over their works or knowledge-based assets</w:t>
      </w:r>
      <w:r w:rsidR="005B5496">
        <w:t>.</w:t>
      </w:r>
      <w:r w:rsidR="00715E70">
        <w:t xml:space="preserve"> </w:t>
      </w:r>
      <w:r w:rsidR="00FD3211">
        <w:t>Rights</w:t>
      </w:r>
      <w:r w:rsidR="00715E70">
        <w:t xml:space="preserve"> can take a variety of forms, including </w:t>
      </w:r>
      <w:r w:rsidR="005B5496" w:rsidRPr="005B5496">
        <w:t xml:space="preserve">patents, copyrights, </w:t>
      </w:r>
      <w:r w:rsidR="002718F6">
        <w:t>registered designs</w:t>
      </w:r>
      <w:r w:rsidR="005B5496" w:rsidRPr="005B5496">
        <w:t xml:space="preserve">, </w:t>
      </w:r>
      <w:proofErr w:type="spellStart"/>
      <w:r w:rsidR="005B5496" w:rsidRPr="005B5496">
        <w:t>trade</w:t>
      </w:r>
      <w:r w:rsidR="00F22578">
        <w:t> </w:t>
      </w:r>
      <w:r w:rsidR="005B5496" w:rsidRPr="005B5496">
        <w:t>marks</w:t>
      </w:r>
      <w:proofErr w:type="spellEnd"/>
      <w:r w:rsidR="005B5496" w:rsidRPr="005B5496">
        <w:t>, and geographical indications</w:t>
      </w:r>
      <w:r w:rsidR="00C36C86">
        <w:t xml:space="preserve"> (box 1</w:t>
      </w:r>
      <w:r w:rsidR="00715E70">
        <w:t>)</w:t>
      </w:r>
      <w:r w:rsidR="005B5496" w:rsidRPr="005B5496">
        <w:t>.</w:t>
      </w:r>
      <w:r w:rsidR="00140AF6" w:rsidRPr="0070145C">
        <w:rPr>
          <w:rStyle w:val="FootnoteReference"/>
        </w:rPr>
        <w:footnoteReference w:id="1"/>
      </w:r>
    </w:p>
    <w:p w:rsidR="005B5496" w:rsidRDefault="005B5496" w:rsidP="001E5807">
      <w:pPr>
        <w:pStyle w:val="BoxSpaceAbove"/>
        <w:spacing w:before="480"/>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5B5496" w:rsidTr="007D4FCE">
        <w:tc>
          <w:tcPr>
            <w:tcW w:w="8771" w:type="dxa"/>
            <w:tcBorders>
              <w:top w:val="single" w:sz="6" w:space="0" w:color="78A22F"/>
              <w:left w:val="nil"/>
              <w:bottom w:val="nil"/>
              <w:right w:val="nil"/>
            </w:tcBorders>
            <w:shd w:val="clear" w:color="auto" w:fill="F2F2F2"/>
          </w:tcPr>
          <w:p w:rsidR="005B5496" w:rsidRDefault="005B5496" w:rsidP="0019061D">
            <w:pPr>
              <w:pStyle w:val="BoxTitle"/>
            </w:pPr>
            <w:r>
              <w:rPr>
                <w:b w:val="0"/>
              </w:rPr>
              <w:t xml:space="preserve">Box </w:t>
            </w:r>
            <w:r w:rsidR="00D54CAA">
              <w:rPr>
                <w:b w:val="0"/>
                <w:noProof/>
              </w:rPr>
              <w:t>1</w:t>
            </w:r>
            <w:r>
              <w:tab/>
              <w:t>I</w:t>
            </w:r>
            <w:r w:rsidR="0019061D">
              <w:t>ntellectual property rights</w:t>
            </w:r>
          </w:p>
        </w:tc>
      </w:tr>
      <w:tr w:rsidR="005B5496" w:rsidTr="007D4FCE">
        <w:trPr>
          <w:cantSplit/>
        </w:trPr>
        <w:tc>
          <w:tcPr>
            <w:tcW w:w="8771" w:type="dxa"/>
            <w:tcBorders>
              <w:top w:val="nil"/>
              <w:left w:val="nil"/>
              <w:bottom w:val="nil"/>
              <w:right w:val="nil"/>
            </w:tcBorders>
            <w:shd w:val="clear" w:color="auto" w:fill="F2F2F2"/>
          </w:tcPr>
          <w:p w:rsidR="00985817" w:rsidRPr="00985817" w:rsidRDefault="00985817" w:rsidP="007C73F8">
            <w:pPr>
              <w:pStyle w:val="Box"/>
              <w:spacing w:before="140"/>
            </w:pPr>
            <w:r>
              <w:t>All IP</w:t>
            </w:r>
            <w:r w:rsidR="001253C2">
              <w:t xml:space="preserve"> right</w:t>
            </w:r>
            <w:r>
              <w:t>s grant their holder a number of time-limited exclusive rights</w:t>
            </w:r>
            <w:r w:rsidR="00DB1EB9">
              <w:t>,</w:t>
            </w:r>
            <w:r>
              <w:t xml:space="preserve"> which generally enable </w:t>
            </w:r>
            <w:r w:rsidR="001253C2">
              <w:t>the</w:t>
            </w:r>
            <w:r>
              <w:t xml:space="preserve"> holder to control industrial production, communication, sale or derivative use of their work. Australia offers a range of IP</w:t>
            </w:r>
            <w:r w:rsidR="00E35123">
              <w:t xml:space="preserve"> rights</w:t>
            </w:r>
            <w:r>
              <w:t>:</w:t>
            </w:r>
          </w:p>
          <w:p w:rsidR="00985817" w:rsidRPr="00985817" w:rsidRDefault="00985817" w:rsidP="007C73F8">
            <w:pPr>
              <w:pStyle w:val="Box"/>
              <w:spacing w:before="140"/>
            </w:pPr>
            <w:r w:rsidRPr="00985817">
              <w:rPr>
                <w:b/>
              </w:rPr>
              <w:t xml:space="preserve">Patents </w:t>
            </w:r>
            <w:r w:rsidRPr="00985817">
              <w:t>protect new inventive or innovative products or processes. In exchange for the exclusive rights provided, patent owners must make technical information about their invention publicly available.</w:t>
            </w:r>
          </w:p>
          <w:p w:rsidR="0034161D" w:rsidRPr="00985817" w:rsidRDefault="00985817" w:rsidP="007C73F8">
            <w:pPr>
              <w:pStyle w:val="Box"/>
              <w:spacing w:before="140"/>
            </w:pPr>
            <w:r w:rsidRPr="00985817">
              <w:rPr>
                <w:b/>
              </w:rPr>
              <w:t>Copyright</w:t>
            </w:r>
            <w:r w:rsidRPr="00985817">
              <w:t xml:space="preserve"> protects the original expression of literary, musical, artistic and dramatic works, as well as their industrial form, such as books, sound recordings, films and broadcasts. Music, paintings, sculptures, computer programs, databases, advertisements, maps and technical drawings can all qualify for copyright protection. Copyright also provides ‘moral’ rights of attribution of performance or authorship.</w:t>
            </w:r>
          </w:p>
          <w:p w:rsidR="001253C2" w:rsidRPr="003446B0" w:rsidRDefault="001253C2" w:rsidP="007C73F8">
            <w:pPr>
              <w:pStyle w:val="Box"/>
              <w:spacing w:before="140"/>
            </w:pPr>
            <w:r w:rsidRPr="003446B0">
              <w:rPr>
                <w:b/>
              </w:rPr>
              <w:t>Plant breeder</w:t>
            </w:r>
            <w:r w:rsidR="00ED4984">
              <w:rPr>
                <w:b/>
              </w:rPr>
              <w:t>’</w:t>
            </w:r>
            <w:r w:rsidRPr="003446B0">
              <w:rPr>
                <w:b/>
              </w:rPr>
              <w:t>s rights</w:t>
            </w:r>
            <w:r>
              <w:rPr>
                <w:b/>
              </w:rPr>
              <w:t xml:space="preserve"> </w:t>
            </w:r>
            <w:r>
              <w:t>provide protection to breeders of new plant varieties by giving them exclusive control over their commercial exploitation.</w:t>
            </w:r>
          </w:p>
          <w:p w:rsidR="001253C2" w:rsidRDefault="001253C2" w:rsidP="007C73F8">
            <w:pPr>
              <w:pStyle w:val="Box"/>
              <w:spacing w:before="140"/>
            </w:pPr>
            <w:r w:rsidRPr="007E45D7">
              <w:rPr>
                <w:b/>
              </w:rPr>
              <w:t>Circuit layout rights</w:t>
            </w:r>
            <w:r>
              <w:t xml:space="preserve"> protect the layout design (three dimensional topography) of integrated circuits (commonly known as semi-conductor chips). These rights are based on copyright but are a separate, unique form of protection.</w:t>
            </w:r>
          </w:p>
          <w:p w:rsidR="00FB19D3" w:rsidRDefault="001253C2" w:rsidP="007C73F8">
            <w:pPr>
              <w:pStyle w:val="Box"/>
              <w:spacing w:before="140"/>
            </w:pPr>
            <w:r w:rsidRPr="001253C2">
              <w:rPr>
                <w:b/>
              </w:rPr>
              <w:t>T</w:t>
            </w:r>
            <w:r w:rsidR="00FB19D3" w:rsidRPr="00FB19D3">
              <w:rPr>
                <w:b/>
                <w:bCs/>
              </w:rPr>
              <w:t>rade</w:t>
            </w:r>
            <w:r w:rsidR="00985817">
              <w:rPr>
                <w:b/>
                <w:bCs/>
              </w:rPr>
              <w:t> </w:t>
            </w:r>
            <w:r w:rsidR="00FB19D3" w:rsidRPr="00FB19D3">
              <w:rPr>
                <w:b/>
                <w:bCs/>
              </w:rPr>
              <w:t>mark</w:t>
            </w:r>
            <w:r w:rsidR="00E35123">
              <w:rPr>
                <w:b/>
                <w:bCs/>
              </w:rPr>
              <w:t>s</w:t>
            </w:r>
            <w:r w:rsidR="00FB19D3" w:rsidRPr="00FB19D3">
              <w:t xml:space="preserve"> distinguish the goods or services of one </w:t>
            </w:r>
            <w:r w:rsidR="00985817">
              <w:t>firm</w:t>
            </w:r>
            <w:r w:rsidR="00FB19D3" w:rsidRPr="00FB19D3">
              <w:t xml:space="preserve"> from those of other enterprises. A trade mark can be a letter, number, word, phrase, smell, shape, logo, picture, and</w:t>
            </w:r>
            <w:r w:rsidR="0086378F">
              <w:t>/or</w:t>
            </w:r>
            <w:r w:rsidR="00FB19D3" w:rsidRPr="00FB19D3">
              <w:t xml:space="preserve"> aspect of packaging</w:t>
            </w:r>
            <w:r w:rsidR="00FB19D3" w:rsidRPr="00FB19D3">
              <w:rPr>
                <w:color w:val="0000FF"/>
              </w:rPr>
              <w:t>.</w:t>
            </w:r>
            <w:r w:rsidR="00FB19D3" w:rsidRPr="00FB19D3">
              <w:t xml:space="preserve"> </w:t>
            </w:r>
          </w:p>
          <w:p w:rsidR="001253C2" w:rsidRDefault="001253C2" w:rsidP="007C73F8">
            <w:pPr>
              <w:pStyle w:val="Box"/>
              <w:spacing w:before="140"/>
            </w:pPr>
            <w:r w:rsidRPr="001253C2">
              <w:rPr>
                <w:b/>
              </w:rPr>
              <w:t>G</w:t>
            </w:r>
            <w:r w:rsidR="00FB19D3" w:rsidRPr="00FB19D3">
              <w:rPr>
                <w:b/>
              </w:rPr>
              <w:t>eographical indication</w:t>
            </w:r>
            <w:r w:rsidR="00E35123">
              <w:rPr>
                <w:b/>
              </w:rPr>
              <w:t>s</w:t>
            </w:r>
            <w:r>
              <w:t xml:space="preserve"> identify</w:t>
            </w:r>
            <w:r w:rsidR="00FB19D3" w:rsidRPr="00FB19D3">
              <w:t xml:space="preserve"> goods as originating in a specific territory, region or locality where a particular quality, reputation or other characteristic is essentially attributable to its geographical origin.</w:t>
            </w:r>
            <w:r>
              <w:t xml:space="preserve"> </w:t>
            </w:r>
          </w:p>
          <w:p w:rsidR="0034161D" w:rsidRDefault="00200976" w:rsidP="007C73F8">
            <w:pPr>
              <w:pStyle w:val="Box"/>
              <w:spacing w:before="140"/>
            </w:pPr>
            <w:r w:rsidRPr="00AD3E0F">
              <w:rPr>
                <w:b/>
              </w:rPr>
              <w:t>Registered designs</w:t>
            </w:r>
            <w:r w:rsidRPr="00200976">
              <w:t xml:space="preserve"> protect the appearance of a product, such as its shape, configuration, pattern and ornamentation</w:t>
            </w:r>
            <w:r w:rsidR="00DE13EA">
              <w:t>.</w:t>
            </w:r>
          </w:p>
        </w:tc>
      </w:tr>
      <w:tr w:rsidR="005B5496" w:rsidTr="007D4FCE">
        <w:trPr>
          <w:cantSplit/>
        </w:trPr>
        <w:tc>
          <w:tcPr>
            <w:tcW w:w="8771" w:type="dxa"/>
            <w:tcBorders>
              <w:top w:val="nil"/>
              <w:left w:val="nil"/>
              <w:bottom w:val="single" w:sz="6" w:space="0" w:color="78A22F"/>
              <w:right w:val="nil"/>
            </w:tcBorders>
            <w:shd w:val="clear" w:color="auto" w:fill="F2F2F2"/>
          </w:tcPr>
          <w:p w:rsidR="005B5496" w:rsidRDefault="005B5496">
            <w:pPr>
              <w:pStyle w:val="Box"/>
              <w:spacing w:before="0" w:line="120" w:lineRule="exact"/>
            </w:pPr>
          </w:p>
        </w:tc>
      </w:tr>
      <w:tr w:rsidR="005B5496" w:rsidRPr="000863A5" w:rsidTr="007D4FCE">
        <w:tc>
          <w:tcPr>
            <w:tcW w:w="8771" w:type="dxa"/>
            <w:tcBorders>
              <w:top w:val="single" w:sz="6" w:space="0" w:color="78A22F"/>
              <w:left w:val="nil"/>
              <w:bottom w:val="nil"/>
              <w:right w:val="nil"/>
            </w:tcBorders>
          </w:tcPr>
          <w:p w:rsidR="005B5496" w:rsidRPr="00626D32" w:rsidRDefault="005B5496" w:rsidP="007D4FCE">
            <w:pPr>
              <w:pStyle w:val="BoxSpaceBelow"/>
            </w:pPr>
          </w:p>
        </w:tc>
      </w:tr>
    </w:tbl>
    <w:p w:rsidR="001E5807" w:rsidRDefault="001E5807">
      <w:pPr>
        <w:rPr>
          <w:szCs w:val="20"/>
        </w:rPr>
      </w:pPr>
      <w:r>
        <w:br w:type="page"/>
      </w:r>
    </w:p>
    <w:p w:rsidR="000414F6" w:rsidRDefault="00765BB8" w:rsidP="00765BB8">
      <w:pPr>
        <w:pStyle w:val="BodyText"/>
      </w:pPr>
      <w:r>
        <w:lastRenderedPageBreak/>
        <w:t>Australian law provides other protections for knowledge-based assets</w:t>
      </w:r>
      <w:r w:rsidR="000414F6">
        <w:t>:</w:t>
      </w:r>
      <w:r>
        <w:t xml:space="preserve"> </w:t>
      </w:r>
    </w:p>
    <w:p w:rsidR="000414F6" w:rsidRDefault="00765BB8" w:rsidP="002F24B4">
      <w:pPr>
        <w:pStyle w:val="ListBullet"/>
        <w:spacing w:before="140"/>
      </w:pPr>
      <w:r>
        <w:t>Cont</w:t>
      </w:r>
      <w:r w:rsidR="00A602FD">
        <w:t>r</w:t>
      </w:r>
      <w:r>
        <w:t xml:space="preserve">act law can allow businesses to specify how their goods are used or adapted by others, as well as non-disclosure of information. </w:t>
      </w:r>
    </w:p>
    <w:p w:rsidR="000414F6" w:rsidRDefault="00765BB8" w:rsidP="002F24B4">
      <w:pPr>
        <w:pStyle w:val="ListBullet"/>
        <w:spacing w:before="140"/>
      </w:pPr>
      <w:r>
        <w:t xml:space="preserve">Common law can be used to protect confidential information and trade secrets, business reputation and goodwill in trade names. </w:t>
      </w:r>
    </w:p>
    <w:p w:rsidR="000414F6" w:rsidRDefault="00DB31CE" w:rsidP="002F24B4">
      <w:pPr>
        <w:pStyle w:val="ListBullet"/>
        <w:spacing w:before="140"/>
      </w:pPr>
      <w:r>
        <w:t>Legislation such as the Therapeutic Goods Act 1989 (Cwlth) and the Agricultural and Veterinary Chemicals Code Act 1994 (Cwlth) provide protections for t</w:t>
      </w:r>
      <w:r w:rsidR="00765BB8">
        <w:t xml:space="preserve">est data submitted for regulatory approval of human and veterinary medicines, and agricultural chemicals. </w:t>
      </w:r>
    </w:p>
    <w:p w:rsidR="00534AD4" w:rsidRDefault="000414F6" w:rsidP="002F24B4">
      <w:pPr>
        <w:pStyle w:val="ListBullet"/>
        <w:spacing w:before="140"/>
      </w:pPr>
      <w:r>
        <w:t>C</w:t>
      </w:r>
      <w:r w:rsidR="00765BB8">
        <w:t xml:space="preserve">onsumer law </w:t>
      </w:r>
      <w:r>
        <w:t xml:space="preserve">can </w:t>
      </w:r>
      <w:r w:rsidR="00765BB8">
        <w:t>protect businesses against misleading and deceptive conduct by competitors.</w:t>
      </w:r>
    </w:p>
    <w:p w:rsidR="00AF1FD7" w:rsidRDefault="009E6343" w:rsidP="002F24B4">
      <w:pPr>
        <w:pStyle w:val="BodyText"/>
        <w:spacing w:before="280"/>
      </w:pPr>
      <w:r>
        <w:t>IP rights form a core component of a broader set of arrangements, which</w:t>
      </w:r>
      <w:r w:rsidR="00AB1F8B" w:rsidRPr="00AB1F8B">
        <w:t xml:space="preserve"> embody a system of assets</w:t>
      </w:r>
      <w:r w:rsidR="00D314E7">
        <w:t>;</w:t>
      </w:r>
      <w:r w:rsidR="00AB1F8B" w:rsidRPr="00AB1F8B">
        <w:t xml:space="preserve"> government</w:t>
      </w:r>
      <w:r w:rsidR="00D314E7">
        <w:t>-</w:t>
      </w:r>
      <w:r w:rsidR="00AB1F8B" w:rsidRPr="00AB1F8B">
        <w:t>afforded rights</w:t>
      </w:r>
      <w:r w:rsidR="00D314E7">
        <w:t>;</w:t>
      </w:r>
      <w:r w:rsidR="00AB1F8B" w:rsidRPr="00AB1F8B">
        <w:t xml:space="preserve"> licensing and trading of those rights</w:t>
      </w:r>
      <w:r w:rsidR="00D32B13">
        <w:t>;</w:t>
      </w:r>
      <w:r w:rsidR="00AB1F8B" w:rsidRPr="00AB1F8B">
        <w:t xml:space="preserve"> </w:t>
      </w:r>
      <w:r w:rsidR="00D32B13">
        <w:t xml:space="preserve">and </w:t>
      </w:r>
      <w:r w:rsidR="00AB1F8B" w:rsidRPr="00AB1F8B">
        <w:t>institutions to assess, recognise, afford and enforce th</w:t>
      </w:r>
      <w:r w:rsidR="00AB1F8B">
        <w:t xml:space="preserve">ose rights and their exchange. </w:t>
      </w:r>
      <w:r w:rsidR="00AB1F8B" w:rsidRPr="00AB1F8B">
        <w:t>Importantly</w:t>
      </w:r>
      <w:r w:rsidR="00AB1F8B">
        <w:t>,</w:t>
      </w:r>
      <w:r w:rsidR="00AB1F8B" w:rsidRPr="00AB1F8B">
        <w:t xml:space="preserve"> the system is extraordinarily dynamic </w:t>
      </w:r>
      <w:r>
        <w:t>—</w:t>
      </w:r>
      <w:r w:rsidR="00AB1F8B" w:rsidRPr="00AB1F8B">
        <w:t xml:space="preserve"> the trade-offs involved are ever moving and subject to m</w:t>
      </w:r>
      <w:r w:rsidR="00F22578">
        <w:t>any</w:t>
      </w:r>
      <w:r w:rsidR="00AB1F8B" w:rsidRPr="00AB1F8B">
        <w:t xml:space="preserve"> exogenous forces such as technolog</w:t>
      </w:r>
      <w:r w:rsidR="00F22578">
        <w:t>ical change</w:t>
      </w:r>
      <w:r w:rsidR="00AB1F8B" w:rsidRPr="00AB1F8B">
        <w:t xml:space="preserve"> and globalisation. For these reasons</w:t>
      </w:r>
      <w:r w:rsidR="00D32B13">
        <w:t>,</w:t>
      </w:r>
      <w:r w:rsidR="00AB1F8B" w:rsidRPr="00AB1F8B">
        <w:t xml:space="preserve"> the governance and accountability of the institutions that are the guardians to these rights and their use matter. </w:t>
      </w:r>
    </w:p>
    <w:p w:rsidR="00B0730D" w:rsidRDefault="0022688E" w:rsidP="002F24B4">
      <w:pPr>
        <w:pStyle w:val="Heading3"/>
        <w:spacing w:before="600"/>
      </w:pPr>
      <w:r>
        <w:t>IP rights are intended to pr</w:t>
      </w:r>
      <w:r w:rsidR="00BE3FAA">
        <w:t>omote innovation and creativity …</w:t>
      </w:r>
    </w:p>
    <w:p w:rsidR="008B6A23" w:rsidRPr="002D0E5B" w:rsidRDefault="008F341E" w:rsidP="002F24B4">
      <w:pPr>
        <w:pStyle w:val="BodyText"/>
        <w:spacing w:before="280"/>
      </w:pPr>
      <w:r w:rsidRPr="002D0E5B">
        <w:t>I</w:t>
      </w:r>
      <w:r w:rsidR="00CA6C3A" w:rsidRPr="002D0E5B">
        <w:t xml:space="preserve">P </w:t>
      </w:r>
      <w:r w:rsidRPr="002D0E5B">
        <w:t xml:space="preserve">is an important contributor to economic growth and community welfare. However, </w:t>
      </w:r>
      <w:r w:rsidR="0017146C" w:rsidRPr="002D0E5B">
        <w:t xml:space="preserve">some </w:t>
      </w:r>
      <w:r w:rsidRPr="002D0E5B">
        <w:t xml:space="preserve">forms of </w:t>
      </w:r>
      <w:r w:rsidR="007E0EE2" w:rsidRPr="002D0E5B">
        <w:t>IP</w:t>
      </w:r>
      <w:r w:rsidR="0017146C" w:rsidRPr="002D0E5B">
        <w:t>,</w:t>
      </w:r>
      <w:r w:rsidR="00BE3FAA" w:rsidRPr="002D0E5B">
        <w:t xml:space="preserve"> </w:t>
      </w:r>
      <w:r w:rsidR="00855E40" w:rsidRPr="002D0E5B">
        <w:t>once known, can</w:t>
      </w:r>
      <w:r w:rsidR="008D5A79" w:rsidRPr="002D0E5B">
        <w:t xml:space="preserve"> be copied at little cost</w:t>
      </w:r>
      <w:r w:rsidR="008B6A23" w:rsidRPr="002D0E5B">
        <w:t>,</w:t>
      </w:r>
      <w:r w:rsidR="008D5A79" w:rsidRPr="002D0E5B">
        <w:t xml:space="preserve"> </w:t>
      </w:r>
      <w:r w:rsidR="00F22578" w:rsidRPr="002D0E5B">
        <w:t>which may in turn lead to under</w:t>
      </w:r>
      <w:r w:rsidR="00F22578" w:rsidRPr="002D0E5B">
        <w:noBreakHyphen/>
      </w:r>
      <w:r w:rsidR="008D5A79" w:rsidRPr="002D0E5B">
        <w:t>investment</w:t>
      </w:r>
      <w:r w:rsidRPr="002D0E5B">
        <w:t xml:space="preserve"> in innovation</w:t>
      </w:r>
      <w:r w:rsidR="008D5A79" w:rsidRPr="002D0E5B">
        <w:t xml:space="preserve">. </w:t>
      </w:r>
      <w:r w:rsidR="008B445A" w:rsidRPr="002D0E5B">
        <w:t xml:space="preserve">The process of granting individuals and organisations with exclusive rights to their inventive and creative output </w:t>
      </w:r>
      <w:r w:rsidR="008B6A23" w:rsidRPr="002D0E5B">
        <w:t>seek</w:t>
      </w:r>
      <w:r w:rsidR="008B445A" w:rsidRPr="002D0E5B">
        <w:t>s</w:t>
      </w:r>
      <w:r w:rsidR="008B6A23" w:rsidRPr="002D0E5B">
        <w:t xml:space="preserve"> to overcome this </w:t>
      </w:r>
      <w:r w:rsidR="00BE3FAA" w:rsidRPr="002D0E5B">
        <w:t xml:space="preserve">and other </w:t>
      </w:r>
      <w:r w:rsidR="001253C2" w:rsidRPr="002D0E5B">
        <w:t>attributes of IP</w:t>
      </w:r>
      <w:r w:rsidR="00BE3FAA" w:rsidRPr="002D0E5B">
        <w:t xml:space="preserve"> </w:t>
      </w:r>
      <w:r w:rsidR="008B445A" w:rsidRPr="002D0E5B">
        <w:t xml:space="preserve">by </w:t>
      </w:r>
      <w:r w:rsidR="008B6A23" w:rsidRPr="002D0E5B">
        <w:t>limiting</w:t>
      </w:r>
      <w:r w:rsidR="008D5A79" w:rsidRPr="002D0E5B">
        <w:t xml:space="preserve"> the extent to which competitors can </w:t>
      </w:r>
      <w:r w:rsidR="00F22578" w:rsidRPr="002D0E5B">
        <w:t>‘</w:t>
      </w:r>
      <w:r w:rsidR="008D5A79" w:rsidRPr="002D0E5B">
        <w:t>free ride</w:t>
      </w:r>
      <w:r w:rsidR="00F22578" w:rsidRPr="002D0E5B">
        <w:t>’</w:t>
      </w:r>
      <w:r w:rsidR="008B445A" w:rsidRPr="002D0E5B">
        <w:t xml:space="preserve"> (box 2)</w:t>
      </w:r>
      <w:r w:rsidR="008B6A23" w:rsidRPr="002D0E5B">
        <w:t>.</w:t>
      </w:r>
    </w:p>
    <w:p w:rsidR="00B60D38" w:rsidRDefault="00B60D38" w:rsidP="002F24B4">
      <w:pPr>
        <w:pStyle w:val="BodyText"/>
        <w:spacing w:before="280"/>
      </w:pPr>
      <w:r>
        <w:t>The nature of the legal entitlement differs across the types of IP rights granted. Most IP rights establish general ‘exclusivity’ for a specified period, which the holder may then use to derive a financial benefit (figure 1).</w:t>
      </w:r>
    </w:p>
    <w:p w:rsidR="0026442A" w:rsidRDefault="0026442A" w:rsidP="002F24B4">
      <w:pPr>
        <w:pStyle w:val="BodyText"/>
        <w:spacing w:before="280"/>
      </w:pPr>
      <w:r>
        <w:t>As with other legal property rights, most IP rights can be bought and sold, or made freely available. Rights holders also have the capacity to license their IP to another party to use their invention on agreed terms. Licensing allows rights holders to unlock the value of their IP by partnering with others who may have a better capacity to commercialise their works.</w:t>
      </w:r>
    </w:p>
    <w:p w:rsidR="00BE3FAA" w:rsidRDefault="00BE3FAA" w:rsidP="00BE3FAA">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BE3FAA" w:rsidTr="007D4FCE">
        <w:tc>
          <w:tcPr>
            <w:tcW w:w="8771" w:type="dxa"/>
            <w:tcBorders>
              <w:top w:val="single" w:sz="6" w:space="0" w:color="78A22F"/>
              <w:left w:val="nil"/>
              <w:bottom w:val="nil"/>
              <w:right w:val="nil"/>
            </w:tcBorders>
            <w:shd w:val="clear" w:color="auto" w:fill="F2F2F2"/>
          </w:tcPr>
          <w:p w:rsidR="00BE3FAA" w:rsidRDefault="00BE3FAA" w:rsidP="00BE3FAA">
            <w:pPr>
              <w:pStyle w:val="BoxTitle"/>
            </w:pPr>
            <w:r>
              <w:rPr>
                <w:b w:val="0"/>
              </w:rPr>
              <w:t xml:space="preserve">Box </w:t>
            </w:r>
            <w:r w:rsidR="00D54CAA">
              <w:rPr>
                <w:b w:val="0"/>
                <w:noProof/>
              </w:rPr>
              <w:t>2</w:t>
            </w:r>
            <w:r>
              <w:tab/>
              <w:t xml:space="preserve">The special characteristics of </w:t>
            </w:r>
            <w:r w:rsidR="00FC776D">
              <w:t>i</w:t>
            </w:r>
            <w:r>
              <w:t xml:space="preserve">ntellectual </w:t>
            </w:r>
            <w:r w:rsidR="00FC776D">
              <w:t>p</w:t>
            </w:r>
            <w:r>
              <w:t>roperty</w:t>
            </w:r>
          </w:p>
        </w:tc>
      </w:tr>
      <w:tr w:rsidR="00BE3FAA" w:rsidTr="007D4FCE">
        <w:trPr>
          <w:cantSplit/>
        </w:trPr>
        <w:tc>
          <w:tcPr>
            <w:tcW w:w="8771" w:type="dxa"/>
            <w:tcBorders>
              <w:top w:val="nil"/>
              <w:left w:val="nil"/>
              <w:bottom w:val="nil"/>
              <w:right w:val="nil"/>
            </w:tcBorders>
            <w:shd w:val="clear" w:color="auto" w:fill="F2F2F2"/>
          </w:tcPr>
          <w:p w:rsidR="00BE3FAA" w:rsidRDefault="00165579" w:rsidP="002F24B4">
            <w:pPr>
              <w:pStyle w:val="Box"/>
              <w:spacing w:before="140"/>
            </w:pPr>
            <w:r>
              <w:t xml:space="preserve">Consumers demand both inventive and creative output, and in a well-functioning market, creators would invest time and cost into developing new knowledge to satisfy this demand. However, the new knowledge created to satisfy consumer demand suffers from a number of attributes that mean creators </w:t>
            </w:r>
            <w:r w:rsidR="008F341E">
              <w:t xml:space="preserve">and innovators </w:t>
            </w:r>
            <w:r>
              <w:t>may not produce as much as consum</w:t>
            </w:r>
            <w:r w:rsidR="005914BC">
              <w:t>ers would be willing to pay for. Knowledge can be:</w:t>
            </w:r>
          </w:p>
          <w:p w:rsidR="00BE3FAA" w:rsidRDefault="001253C2" w:rsidP="002F24B4">
            <w:pPr>
              <w:pStyle w:val="BoxListBullet"/>
              <w:spacing w:before="120"/>
            </w:pPr>
            <w:r>
              <w:t>‘non-</w:t>
            </w:r>
            <w:proofErr w:type="spellStart"/>
            <w:r>
              <w:t>rivalrous</w:t>
            </w:r>
            <w:proofErr w:type="spellEnd"/>
            <w:r>
              <w:t>’ — w</w:t>
            </w:r>
            <w:r w:rsidR="00BE3FAA">
              <w:t>hen someone uses an idea, it does not s</w:t>
            </w:r>
            <w:r w:rsidR="00D55262">
              <w:t>top others from using that idea</w:t>
            </w:r>
            <w:r w:rsidR="00BE3FAA">
              <w:t xml:space="preserve"> </w:t>
            </w:r>
          </w:p>
          <w:p w:rsidR="00BE3FAA" w:rsidRDefault="001253C2" w:rsidP="002F24B4">
            <w:pPr>
              <w:pStyle w:val="BoxListBullet"/>
              <w:spacing w:before="120"/>
            </w:pPr>
            <w:r>
              <w:t>‘non-excludable’ — i</w:t>
            </w:r>
            <w:r w:rsidR="00BE3FAA">
              <w:t xml:space="preserve">t can be difficult to prevent </w:t>
            </w:r>
            <w:r w:rsidR="00FC776D">
              <w:t xml:space="preserve">other </w:t>
            </w:r>
            <w:r w:rsidR="00BE3FAA">
              <w:t xml:space="preserve">people from using </w:t>
            </w:r>
            <w:r w:rsidR="00FC776D">
              <w:t>ideas</w:t>
            </w:r>
            <w:r w:rsidR="00BE3FAA">
              <w:t xml:space="preserve">. </w:t>
            </w:r>
            <w:r>
              <w:t>IP</w:t>
            </w:r>
            <w:r w:rsidR="00BE3FAA">
              <w:t xml:space="preserve"> rights are often designed specifically with this in mind by creating a legal framework that prev</w:t>
            </w:r>
            <w:r w:rsidR="00EC5756">
              <w:t>ent</w:t>
            </w:r>
            <w:r w:rsidR="00FC776D">
              <w:t>s</w:t>
            </w:r>
            <w:r w:rsidR="00EC5756">
              <w:t xml:space="preserve"> people from using </w:t>
            </w:r>
            <w:r w:rsidR="00FC776D">
              <w:t xml:space="preserve">others’ IP without </w:t>
            </w:r>
            <w:r w:rsidR="008F341E">
              <w:t xml:space="preserve">consent and </w:t>
            </w:r>
            <w:r w:rsidR="00FC776D">
              <w:t>adequate compensation</w:t>
            </w:r>
          </w:p>
          <w:p w:rsidR="00BE3FAA" w:rsidRDefault="00FC776D" w:rsidP="002F24B4">
            <w:pPr>
              <w:pStyle w:val="BoxListBullet"/>
              <w:spacing w:before="120"/>
            </w:pPr>
            <w:r>
              <w:t xml:space="preserve">cumulative — </w:t>
            </w:r>
            <w:r w:rsidR="00BE3FAA">
              <w:t>new ideas often build upon old ideas</w:t>
            </w:r>
          </w:p>
          <w:p w:rsidR="00BE3FAA" w:rsidRDefault="00BE3FAA" w:rsidP="00FC776D">
            <w:pPr>
              <w:pStyle w:val="BoxListBullet"/>
            </w:pPr>
            <w:r>
              <w:t xml:space="preserve">subject to ‘network effects’ </w:t>
            </w:r>
            <w:r w:rsidR="00FC776D">
              <w:t>—</w:t>
            </w:r>
            <w:r w:rsidR="00EC5756">
              <w:t xml:space="preserve"> </w:t>
            </w:r>
            <w:r w:rsidR="005914BC">
              <w:t xml:space="preserve">it can be </w:t>
            </w:r>
            <w:r w:rsidR="00EC5756">
              <w:t xml:space="preserve">easier to generate </w:t>
            </w:r>
            <w:r w:rsidR="00101774">
              <w:t>IP</w:t>
            </w:r>
            <w:r>
              <w:t xml:space="preserve"> in a cooperative, rather than competitive environment. This has implications for legal frameworks about collusion, and the overriding general desire for competition in markets for efficient outcomes</w:t>
            </w:r>
            <w:r w:rsidR="00EC5756">
              <w:t>.</w:t>
            </w:r>
          </w:p>
          <w:p w:rsidR="00165579" w:rsidRPr="002F24B4" w:rsidRDefault="00165579" w:rsidP="002F24B4">
            <w:pPr>
              <w:pStyle w:val="Box"/>
              <w:spacing w:before="140"/>
              <w:rPr>
                <w:spacing w:val="6"/>
              </w:rPr>
            </w:pPr>
            <w:r w:rsidRPr="002F24B4">
              <w:rPr>
                <w:spacing w:val="6"/>
              </w:rPr>
              <w:t xml:space="preserve">The costs borne by creators in developing new IP is often considerably higher than the cost of reproducing that knowledge many times over </w:t>
            </w:r>
            <w:r w:rsidR="005914BC" w:rsidRPr="002F24B4">
              <w:rPr>
                <w:spacing w:val="6"/>
              </w:rPr>
              <w:t>—</w:t>
            </w:r>
            <w:r w:rsidRPr="002F24B4">
              <w:rPr>
                <w:spacing w:val="6"/>
              </w:rPr>
              <w:t xml:space="preserve"> IP is </w:t>
            </w:r>
            <w:r w:rsidR="005914BC" w:rsidRPr="002F24B4">
              <w:rPr>
                <w:spacing w:val="6"/>
              </w:rPr>
              <w:t xml:space="preserve">sometimes </w:t>
            </w:r>
            <w:r w:rsidRPr="002F24B4">
              <w:rPr>
                <w:spacing w:val="6"/>
              </w:rPr>
              <w:t xml:space="preserve">characterised by high fixed costs and low marginal costs. </w:t>
            </w:r>
            <w:r w:rsidR="00694354" w:rsidRPr="002F24B4">
              <w:rPr>
                <w:spacing w:val="6"/>
              </w:rPr>
              <w:t>Coupled with the non-excludable nature of IP</w:t>
            </w:r>
            <w:r w:rsidRPr="002F24B4">
              <w:rPr>
                <w:spacing w:val="6"/>
              </w:rPr>
              <w:t xml:space="preserve">, creators who bear the cost of developing new works may </w:t>
            </w:r>
            <w:r w:rsidR="00694354" w:rsidRPr="002F24B4">
              <w:rPr>
                <w:spacing w:val="6"/>
              </w:rPr>
              <w:t>be un</w:t>
            </w:r>
            <w:r w:rsidRPr="002F24B4">
              <w:rPr>
                <w:spacing w:val="6"/>
              </w:rPr>
              <w:t xml:space="preserve">able to </w:t>
            </w:r>
            <w:r w:rsidR="005655B1" w:rsidRPr="002F24B4">
              <w:rPr>
                <w:spacing w:val="6"/>
              </w:rPr>
              <w:t xml:space="preserve">compel </w:t>
            </w:r>
            <w:r w:rsidRPr="002F24B4">
              <w:rPr>
                <w:spacing w:val="6"/>
              </w:rPr>
              <w:t>others who reproduce their work to contribute to the original development costs. Una</w:t>
            </w:r>
            <w:r w:rsidR="00694354" w:rsidRPr="002F24B4">
              <w:rPr>
                <w:spacing w:val="6"/>
              </w:rPr>
              <w:t>ble to earn a sufficient rate of</w:t>
            </w:r>
            <w:r w:rsidRPr="002F24B4">
              <w:rPr>
                <w:spacing w:val="6"/>
              </w:rPr>
              <w:t xml:space="preserve"> return on their investment, creators </w:t>
            </w:r>
            <w:r w:rsidR="008256F2" w:rsidRPr="002F24B4">
              <w:rPr>
                <w:spacing w:val="6"/>
              </w:rPr>
              <w:t xml:space="preserve">might </w:t>
            </w:r>
            <w:r w:rsidRPr="002F24B4">
              <w:rPr>
                <w:spacing w:val="6"/>
              </w:rPr>
              <w:t>instead opt not to produce that new knowledge.</w:t>
            </w:r>
          </w:p>
        </w:tc>
      </w:tr>
      <w:tr w:rsidR="00BE3FAA" w:rsidTr="007D4FCE">
        <w:trPr>
          <w:cantSplit/>
        </w:trPr>
        <w:tc>
          <w:tcPr>
            <w:tcW w:w="8771" w:type="dxa"/>
            <w:tcBorders>
              <w:top w:val="nil"/>
              <w:left w:val="nil"/>
              <w:bottom w:val="single" w:sz="6" w:space="0" w:color="78A22F"/>
              <w:right w:val="nil"/>
            </w:tcBorders>
            <w:shd w:val="clear" w:color="auto" w:fill="F2F2F2"/>
          </w:tcPr>
          <w:p w:rsidR="00BE3FAA" w:rsidRDefault="00BE3FAA" w:rsidP="007D4FCE">
            <w:pPr>
              <w:pStyle w:val="Box"/>
              <w:spacing w:before="0" w:line="120" w:lineRule="exact"/>
            </w:pPr>
          </w:p>
        </w:tc>
      </w:tr>
      <w:tr w:rsidR="00BE3FAA" w:rsidRPr="000863A5" w:rsidTr="007D4FCE">
        <w:tc>
          <w:tcPr>
            <w:tcW w:w="8771" w:type="dxa"/>
            <w:tcBorders>
              <w:top w:val="single" w:sz="6" w:space="0" w:color="78A22F"/>
              <w:left w:val="nil"/>
              <w:bottom w:val="nil"/>
              <w:right w:val="nil"/>
            </w:tcBorders>
          </w:tcPr>
          <w:p w:rsidR="00BE3FAA" w:rsidRPr="00626D32" w:rsidRDefault="00BE3FAA" w:rsidP="007D4FCE">
            <w:pPr>
              <w:pStyle w:val="BoxSpaceBelow"/>
            </w:pPr>
          </w:p>
        </w:tc>
      </w:tr>
    </w:tbl>
    <w:p w:rsidR="00B60D38" w:rsidRDefault="00B60D38" w:rsidP="002F24B4">
      <w:pPr>
        <w:pStyle w:val="BodyText"/>
        <w:spacing w:before="280"/>
      </w:pPr>
      <w:r>
        <w:t xml:space="preserve">While IP rights are intended to provide a window in which rights holders can derive a financial benefit, they are no guarantee of commercial success. Moreover, much creative and inventive work is done with no expectation of remuneration or reward, but is done for the personal benefit or joy it provides creators. Coding software as part of the open software movement, writing a travel blog, and tinkering in the shed to make better farm tools are all forms of creative and inventive work that do not rely on IP rights to take place. And many involved in basic research are motivated more by expanding the stock of human knowledge than by financial reward. </w:t>
      </w:r>
    </w:p>
    <w:p w:rsidR="0026442A" w:rsidRDefault="0026442A" w:rsidP="0026442A">
      <w:pPr>
        <w:pStyle w:val="BodyText"/>
      </w:pPr>
      <w:r>
        <w:t xml:space="preserve">Not all forms of IP rights are intended to promote innovation and creativity, some, such as </w:t>
      </w:r>
      <w:proofErr w:type="spellStart"/>
      <w:r>
        <w:t>trade marks</w:t>
      </w:r>
      <w:proofErr w:type="spellEnd"/>
      <w:r>
        <w:t xml:space="preserve"> and geographic</w:t>
      </w:r>
      <w:r w:rsidR="00CC599C">
        <w:t>al</w:t>
      </w:r>
      <w:r>
        <w:t xml:space="preserve"> indications, relate more to the provision of information and the protection of brand or reputation. These forms of IP (at least in part) are intended to avoid consumer deception and address information asymmetries between producers and consumers, which, if left unaddressed, could potentially impact on the operation of markets, such as on the level and quality of output.</w:t>
      </w:r>
    </w:p>
    <w:p w:rsidR="00D13AE9" w:rsidRDefault="00D13AE9" w:rsidP="00CB0CD3">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D13AE9" w:rsidTr="00CB0CD3">
        <w:tc>
          <w:tcPr>
            <w:tcW w:w="8771" w:type="dxa"/>
            <w:tcBorders>
              <w:top w:val="single" w:sz="6" w:space="0" w:color="78A22F"/>
              <w:left w:val="nil"/>
              <w:bottom w:val="nil"/>
              <w:right w:val="nil"/>
            </w:tcBorders>
            <w:shd w:val="clear" w:color="auto" w:fill="auto"/>
          </w:tcPr>
          <w:p w:rsidR="00D13AE9" w:rsidRPr="00176D3F" w:rsidRDefault="00D13AE9" w:rsidP="00D13AE9">
            <w:pPr>
              <w:pStyle w:val="FigureTitle"/>
            </w:pPr>
            <w:r w:rsidRPr="00784A05">
              <w:rPr>
                <w:b w:val="0"/>
              </w:rPr>
              <w:t xml:space="preserve">Figure </w:t>
            </w:r>
            <w:r w:rsidR="00D54CAA">
              <w:rPr>
                <w:b w:val="0"/>
                <w:noProof/>
              </w:rPr>
              <w:t>1</w:t>
            </w:r>
            <w:r>
              <w:tab/>
              <w:t>Characteristics of different forms of IP rights</w:t>
            </w:r>
          </w:p>
        </w:tc>
      </w:tr>
      <w:tr w:rsidR="00D13AE9" w:rsidTr="00CB0CD3">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D13AE9" w:rsidTr="00CB0CD3">
              <w:trPr>
                <w:jc w:val="center"/>
              </w:trPr>
              <w:tc>
                <w:tcPr>
                  <w:tcW w:w="5000" w:type="pct"/>
                  <w:tcBorders>
                    <w:top w:val="nil"/>
                    <w:bottom w:val="nil"/>
                  </w:tcBorders>
                </w:tcPr>
                <w:p w:rsidR="00D13AE9" w:rsidRDefault="00004096" w:rsidP="00CB0CD3">
                  <w:pPr>
                    <w:pStyle w:val="Figure"/>
                    <w:spacing w:before="60" w:after="60"/>
                  </w:pPr>
                  <w:r>
                    <w:rPr>
                      <w:noProof/>
                    </w:rPr>
                    <w:drawing>
                      <wp:inline distT="0" distB="0" distL="0" distR="0">
                        <wp:extent cx="5347970" cy="5677535"/>
                        <wp:effectExtent l="0" t="0" r="5080" b="0"/>
                        <wp:docPr id="3" name="Picture 3" descr="The figure outlines key characteristics for patents, copyright, designs, plant breeder's rights, circuit layout rights, trade marks and geographical indications. &#10;&#10;Purpose. For patents, copyright, designs, plant breeder’s rights and circuit layout rights overcoming incentives to innovate and create. For trade marks and geographic indications addressing information asymmetries. &#10;&#10;Targets. For patents novel, inventive and useful inventions. For copyright original creative works. For designs, new and distinctive designs. For plant breeder’s rights, new and distinct plant varieties. For circuit layout rights layouts of circuit designs. &#10;&#10;Maximum duration. For patents typically 20 years. For copyright 70 years after creator’s death. For designs 10 years. For plant breeder’s rights 25 years. For circuit layout rights 10 years (table note a). For trade marks indefinite. For geographical indications indefinite (table note b). &#10;&#10;Renewal. For patents annually. For copyright and circuit layout rights no renewal. For designs, five years. For plant breeder’s rights annually. For trade marks 10 years. For geographical indications not applicable. &#10;&#10;Different levels of innovation are afforded different protection. For patents, 8 years for innovation patents (table note c). For plant breeder’s rights 25 years for grapevines and trees, 20 years for all others. For other forms of protection, there are not different levels of protection. &#10;&#10;Safeguards. For patents, compulsory licensing, crown use, research and other exemptions. For copyright, statutory licensing and fair dealing provisions. For designs, prohibitions for emblems and official hallmarks. For plant breeder’s rights exceptions for non-commercial and experimental use. For circuit layout rights exceptions for private research and teaching purposes. For trade marks requirement to use trade marks or lose the rights. Geographical indications not applicable. &#10;&#10;Owner must register and rights are disclosed. Applies to patents, designs, plant breeder’s rights, trade marks and geographical indications. Does not apply to copyright or circuit layout rights.&#10;&#10;Rights are tradeable. Applies to all except geographical indications.&#10;" title="Figure 1. Characteristics of different forms of IP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Intellectual Property\Public Comminication\Issues paper\figures\IP right characteristics updat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7970" cy="5677535"/>
                                </a:xfrm>
                                <a:prstGeom prst="rect">
                                  <a:avLst/>
                                </a:prstGeom>
                                <a:noFill/>
                                <a:ln>
                                  <a:noFill/>
                                </a:ln>
                              </pic:spPr>
                            </pic:pic>
                          </a:graphicData>
                        </a:graphic>
                      </wp:inline>
                    </w:drawing>
                  </w:r>
                </w:p>
              </w:tc>
            </w:tr>
          </w:tbl>
          <w:p w:rsidR="00D13AE9" w:rsidRDefault="00D13AE9" w:rsidP="00CB0CD3">
            <w:pPr>
              <w:pStyle w:val="Figure"/>
            </w:pPr>
          </w:p>
        </w:tc>
      </w:tr>
      <w:tr w:rsidR="00D13AE9" w:rsidRPr="00176D3F" w:rsidTr="00CB0CD3">
        <w:tc>
          <w:tcPr>
            <w:tcW w:w="8771" w:type="dxa"/>
            <w:tcBorders>
              <w:top w:val="nil"/>
              <w:left w:val="nil"/>
              <w:bottom w:val="nil"/>
              <w:right w:val="nil"/>
            </w:tcBorders>
            <w:shd w:val="clear" w:color="auto" w:fill="auto"/>
          </w:tcPr>
          <w:p w:rsidR="00D13AE9" w:rsidRPr="00176D3F" w:rsidRDefault="00D11225" w:rsidP="00ED4BE5">
            <w:pPr>
              <w:pStyle w:val="Note"/>
            </w:pPr>
            <w:r>
              <w:rPr>
                <w:rStyle w:val="NoteLabel"/>
              </w:rPr>
              <w:t xml:space="preserve">a </w:t>
            </w:r>
            <w:r w:rsidRPr="00D11225">
              <w:t>From the first commercial explo</w:t>
            </w:r>
            <w:r w:rsidR="00450476">
              <w:t>itation, rights continue for 10 </w:t>
            </w:r>
            <w:r w:rsidRPr="00D11225">
              <w:t>years. The first commercial exploitation must occur within 10 years o</w:t>
            </w:r>
            <w:r w:rsidR="00450476">
              <w:t>f creation of the layout, or 10 </w:t>
            </w:r>
            <w:r w:rsidRPr="00D11225">
              <w:t>years from when it was made.</w:t>
            </w:r>
            <w:r>
              <w:rPr>
                <w:rStyle w:val="NoteLabel"/>
              </w:rPr>
              <w:t xml:space="preserve"> b</w:t>
            </w:r>
            <w:r w:rsidR="00D13AE9">
              <w:t xml:space="preserve"> Depending on the type of </w:t>
            </w:r>
            <w:r w:rsidR="00F7256E">
              <w:t>geographical indication</w:t>
            </w:r>
            <w:r w:rsidR="00D13AE9">
              <w:t xml:space="preserve"> registered. For those covered by certified </w:t>
            </w:r>
            <w:proofErr w:type="spellStart"/>
            <w:r w:rsidR="00D13AE9">
              <w:t>trade marks</w:t>
            </w:r>
            <w:proofErr w:type="spellEnd"/>
            <w:r w:rsidR="00D13AE9">
              <w:t xml:space="preserve">, there is a period of 10 years, which can be renewed indefinitely. In the case of wine and spirits, there is no term. </w:t>
            </w:r>
            <w:r>
              <w:rPr>
                <w:rStyle w:val="NoteLabel"/>
              </w:rPr>
              <w:t>c</w:t>
            </w:r>
            <w:r w:rsidR="00D13AE9">
              <w:t xml:space="preserve"> </w:t>
            </w:r>
            <w:r w:rsidR="00ED4BE5">
              <w:t>Patents for</w:t>
            </w:r>
            <w:r w:rsidR="00D13AE9">
              <w:t xml:space="preserve"> pharmaceutical</w:t>
            </w:r>
            <w:r w:rsidR="00B46D6D">
              <w:t>s</w:t>
            </w:r>
            <w:r w:rsidR="00D13AE9">
              <w:t xml:space="preserve"> </w:t>
            </w:r>
            <w:r w:rsidR="00ED4BE5">
              <w:t>can be extended by up to 5 years.</w:t>
            </w:r>
          </w:p>
        </w:tc>
      </w:tr>
      <w:tr w:rsidR="00D13AE9" w:rsidTr="00CB0CD3">
        <w:tc>
          <w:tcPr>
            <w:tcW w:w="8771" w:type="dxa"/>
            <w:tcBorders>
              <w:top w:val="nil"/>
              <w:left w:val="nil"/>
              <w:bottom w:val="single" w:sz="6" w:space="0" w:color="78A22F"/>
              <w:right w:val="nil"/>
            </w:tcBorders>
            <w:shd w:val="clear" w:color="auto" w:fill="auto"/>
          </w:tcPr>
          <w:p w:rsidR="00D13AE9" w:rsidRDefault="00D13AE9" w:rsidP="00CB0CD3">
            <w:pPr>
              <w:pStyle w:val="Figurespace"/>
            </w:pPr>
          </w:p>
        </w:tc>
      </w:tr>
      <w:tr w:rsidR="00D13AE9" w:rsidRPr="000863A5" w:rsidTr="00CB0CD3">
        <w:tc>
          <w:tcPr>
            <w:tcW w:w="8771" w:type="dxa"/>
            <w:tcBorders>
              <w:top w:val="single" w:sz="6" w:space="0" w:color="78A22F"/>
              <w:left w:val="nil"/>
              <w:bottom w:val="nil"/>
              <w:right w:val="nil"/>
            </w:tcBorders>
          </w:tcPr>
          <w:p w:rsidR="00D13AE9" w:rsidRPr="00626D32" w:rsidRDefault="00D13AE9" w:rsidP="00CB0CD3">
            <w:pPr>
              <w:pStyle w:val="BoxSpaceBelow"/>
            </w:pPr>
          </w:p>
        </w:tc>
      </w:tr>
    </w:tbl>
    <w:p w:rsidR="0022688E" w:rsidRDefault="00AE6770" w:rsidP="0022688E">
      <w:pPr>
        <w:pStyle w:val="Heading3"/>
      </w:pPr>
      <w:r>
        <w:t xml:space="preserve">… but </w:t>
      </w:r>
      <w:r w:rsidR="00F53D12">
        <w:t xml:space="preserve">granting parties exclusive rights </w:t>
      </w:r>
      <w:r>
        <w:t>can</w:t>
      </w:r>
      <w:r w:rsidR="0022688E">
        <w:t xml:space="preserve"> </w:t>
      </w:r>
      <w:r w:rsidR="001B122A">
        <w:t xml:space="preserve">limit </w:t>
      </w:r>
      <w:r w:rsidR="0022688E">
        <w:t>competition</w:t>
      </w:r>
    </w:p>
    <w:p w:rsidR="007312A7" w:rsidRDefault="00245A79" w:rsidP="002F24B4">
      <w:pPr>
        <w:pStyle w:val="BodyText"/>
        <w:spacing w:before="280"/>
      </w:pPr>
      <w:r>
        <w:t>T</w:t>
      </w:r>
      <w:r w:rsidR="00353D9C">
        <w:t>he exclusive nature of IP rights can</w:t>
      </w:r>
      <w:r w:rsidR="003C0782">
        <w:t xml:space="preserve"> also</w:t>
      </w:r>
      <w:r w:rsidR="00353D9C">
        <w:t xml:space="preserve"> lead to undesirable outcomes. Because IP rights give holders the ability to prevent others from using that IP, there is a risk th</w:t>
      </w:r>
      <w:r w:rsidR="003C0782">
        <w:t xml:space="preserve">e rights allow parties to exercise </w:t>
      </w:r>
      <w:r w:rsidR="00D10283">
        <w:t xml:space="preserve">market </w:t>
      </w:r>
      <w:r w:rsidR="00353D9C">
        <w:t xml:space="preserve">power or </w:t>
      </w:r>
      <w:r w:rsidR="00504141">
        <w:t xml:space="preserve">engage in </w:t>
      </w:r>
      <w:r w:rsidR="00353D9C">
        <w:t xml:space="preserve">other anticompetitive behaviour. This, in </w:t>
      </w:r>
      <w:r w:rsidR="00353D9C">
        <w:lastRenderedPageBreak/>
        <w:t xml:space="preserve">turn, can give rise to a number of problems, such as allowing rights holders to extract excessive licensing royalties, and promote </w:t>
      </w:r>
      <w:r w:rsidR="00B14826">
        <w:t xml:space="preserve">and entrench </w:t>
      </w:r>
      <w:r w:rsidR="00353D9C">
        <w:t>other rent-seeking behaviour</w:t>
      </w:r>
      <w:r>
        <w:t>.</w:t>
      </w:r>
      <w:r w:rsidR="00353D9C">
        <w:t xml:space="preserve"> When this occurs, consumers bear the burden — through higher prices, less choice and lower output </w:t>
      </w:r>
      <w:r w:rsidR="003C32C4" w:rsidRPr="003C32C4">
        <w:rPr>
          <w:szCs w:val="24"/>
        </w:rPr>
        <w:t>(</w:t>
      </w:r>
      <w:proofErr w:type="spellStart"/>
      <w:r w:rsidR="003C32C4" w:rsidRPr="003C32C4">
        <w:rPr>
          <w:szCs w:val="24"/>
        </w:rPr>
        <w:t>WIPO</w:t>
      </w:r>
      <w:proofErr w:type="spellEnd"/>
      <w:r w:rsidR="003C32C4" w:rsidRPr="003C32C4">
        <w:rPr>
          <w:szCs w:val="24"/>
        </w:rPr>
        <w:t> 2011)</w:t>
      </w:r>
      <w:r w:rsidR="00D32B13">
        <w:t xml:space="preserve">. And there can be broader social consequences, such as when </w:t>
      </w:r>
      <w:r w:rsidR="00F663A9">
        <w:t>IP rights</w:t>
      </w:r>
      <w:r w:rsidR="00D32B13">
        <w:t xml:space="preserve"> affect access to affordable medicines</w:t>
      </w:r>
      <w:r w:rsidR="008459A0">
        <w:t xml:space="preserve"> (box 3)</w:t>
      </w:r>
      <w:r w:rsidR="00353D9C">
        <w:t xml:space="preserve">. </w:t>
      </w:r>
      <w:r w:rsidR="007312A7" w:rsidRPr="007312A7">
        <w:t xml:space="preserve">For net importers of </w:t>
      </w:r>
      <w:r w:rsidR="007312A7">
        <w:t>IP</w:t>
      </w:r>
      <w:r w:rsidR="007312A7" w:rsidRPr="007312A7">
        <w:t xml:space="preserve">, such as Australia, </w:t>
      </w:r>
      <w:r w:rsidR="008459A0">
        <w:t xml:space="preserve">welfare </w:t>
      </w:r>
      <w:r w:rsidR="007312A7" w:rsidRPr="007312A7">
        <w:t xml:space="preserve">losses from higher prices and restricted availability are not </w:t>
      </w:r>
      <w:r w:rsidR="00431640">
        <w:t xml:space="preserve">always </w:t>
      </w:r>
      <w:r w:rsidR="007312A7" w:rsidRPr="007312A7">
        <w:t xml:space="preserve">offset by </w:t>
      </w:r>
      <w:r w:rsidR="00431640">
        <w:t>increase</w:t>
      </w:r>
      <w:r w:rsidR="007312A7" w:rsidRPr="007312A7">
        <w:t xml:space="preserve">s in </w:t>
      </w:r>
      <w:r w:rsidR="00F663A9">
        <w:t xml:space="preserve">Australian </w:t>
      </w:r>
      <w:r w:rsidR="007312A7" w:rsidRPr="007312A7">
        <w:t xml:space="preserve">producer profits. </w:t>
      </w:r>
    </w:p>
    <w:p w:rsidR="00353D9C" w:rsidRDefault="00353D9C" w:rsidP="002F24B4">
      <w:pPr>
        <w:pStyle w:val="BodyText"/>
        <w:spacing w:before="280"/>
      </w:pPr>
      <w:r>
        <w:t xml:space="preserve">The extent of market power emanating from IP rights varies. Market power may be limited in cases where companies face competition from similar products or technologies. However, for radical innovations market power can be substantial </w:t>
      </w:r>
      <w:r w:rsidR="003C32C4" w:rsidRPr="003C32C4">
        <w:rPr>
          <w:szCs w:val="24"/>
        </w:rPr>
        <w:t>(</w:t>
      </w:r>
      <w:proofErr w:type="spellStart"/>
      <w:r w:rsidR="003C32C4" w:rsidRPr="003C32C4">
        <w:rPr>
          <w:szCs w:val="24"/>
        </w:rPr>
        <w:t>WIPO</w:t>
      </w:r>
      <w:proofErr w:type="spellEnd"/>
      <w:r w:rsidR="003C32C4" w:rsidRPr="003C32C4">
        <w:rPr>
          <w:szCs w:val="24"/>
        </w:rPr>
        <w:t> 2011)</w:t>
      </w:r>
      <w:r>
        <w:t xml:space="preserve">. </w:t>
      </w:r>
    </w:p>
    <w:p w:rsidR="00F663A9" w:rsidRDefault="00F663A9" w:rsidP="00F663A9">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F663A9" w:rsidTr="00CB0CD3">
        <w:tc>
          <w:tcPr>
            <w:tcW w:w="8771" w:type="dxa"/>
            <w:tcBorders>
              <w:top w:val="single" w:sz="6" w:space="0" w:color="78A22F"/>
              <w:left w:val="nil"/>
              <w:bottom w:val="nil"/>
              <w:right w:val="nil"/>
            </w:tcBorders>
            <w:shd w:val="clear" w:color="auto" w:fill="F2F2F2"/>
          </w:tcPr>
          <w:p w:rsidR="00F663A9" w:rsidRDefault="00F663A9" w:rsidP="00F663A9">
            <w:pPr>
              <w:pStyle w:val="BoxTitle"/>
            </w:pPr>
            <w:r>
              <w:rPr>
                <w:b w:val="0"/>
              </w:rPr>
              <w:t xml:space="preserve">Box </w:t>
            </w:r>
            <w:r w:rsidR="00D54CAA">
              <w:rPr>
                <w:b w:val="0"/>
                <w:noProof/>
              </w:rPr>
              <w:t>3</w:t>
            </w:r>
            <w:r>
              <w:tab/>
              <w:t>Beyond the theory</w:t>
            </w:r>
          </w:p>
        </w:tc>
      </w:tr>
      <w:tr w:rsidR="00F663A9" w:rsidTr="00CB0CD3">
        <w:trPr>
          <w:cantSplit/>
        </w:trPr>
        <w:tc>
          <w:tcPr>
            <w:tcW w:w="8771" w:type="dxa"/>
            <w:tcBorders>
              <w:top w:val="nil"/>
              <w:left w:val="nil"/>
              <w:bottom w:val="nil"/>
              <w:right w:val="nil"/>
            </w:tcBorders>
            <w:shd w:val="clear" w:color="auto" w:fill="F2F2F2"/>
          </w:tcPr>
          <w:p w:rsidR="00F663A9" w:rsidRDefault="00F663A9" w:rsidP="00CB0CD3">
            <w:pPr>
              <w:pStyle w:val="Box"/>
            </w:pPr>
            <w:r>
              <w:t xml:space="preserve">While discussions about IP rights are often theoretical, policy decisions about the balance between creators and consumers matter in real ways. Striking the wrong balance can impact the price and availability of books, music, </w:t>
            </w:r>
            <w:r w:rsidRPr="005C2EB5">
              <w:t xml:space="preserve">cars, phones or even </w:t>
            </w:r>
            <w:r>
              <w:t xml:space="preserve">clothes. </w:t>
            </w:r>
          </w:p>
          <w:p w:rsidR="00F663A9" w:rsidRDefault="00431640" w:rsidP="002A763F">
            <w:pPr>
              <w:pStyle w:val="Box"/>
            </w:pPr>
            <w:r>
              <w:t>T</w:t>
            </w:r>
            <w:r w:rsidR="00F663A9">
              <w:t xml:space="preserve">he balance </w:t>
            </w:r>
            <w:r>
              <w:t xml:space="preserve">is particularly </w:t>
            </w:r>
            <w:r w:rsidR="00F663A9">
              <w:t xml:space="preserve">contentious in pharmaceuticals. Cases exist where patents have allowed pharmaceutical companies to charge what some consider to be unconscionably high prices for life-saving medicines. New compounds and biologic drugs, and their safety and efficacy, are no doubt expensive to develop and test and consumers are often willing to pay almost anything to access them (or the community as a whole through pharmaceutical subsidy schemes). Practices such as patent ‘evergreening’, seeking extended test data exclusivity for biologics, or paying competing firms not to produce generic medicines </w:t>
            </w:r>
            <w:r w:rsidR="002A763F">
              <w:t>makes the balance of IP rights all the more contentious</w:t>
            </w:r>
            <w:r w:rsidR="00F663A9">
              <w:t xml:space="preserve">. </w:t>
            </w:r>
          </w:p>
        </w:tc>
      </w:tr>
      <w:tr w:rsidR="00F663A9" w:rsidTr="00CB0CD3">
        <w:trPr>
          <w:cantSplit/>
        </w:trPr>
        <w:tc>
          <w:tcPr>
            <w:tcW w:w="8771" w:type="dxa"/>
            <w:tcBorders>
              <w:top w:val="nil"/>
              <w:left w:val="nil"/>
              <w:bottom w:val="single" w:sz="6" w:space="0" w:color="78A22F"/>
              <w:right w:val="nil"/>
            </w:tcBorders>
            <w:shd w:val="clear" w:color="auto" w:fill="F2F2F2"/>
          </w:tcPr>
          <w:p w:rsidR="00F663A9" w:rsidRDefault="00F663A9" w:rsidP="00CB0CD3">
            <w:pPr>
              <w:pStyle w:val="Box"/>
              <w:spacing w:before="0" w:line="120" w:lineRule="exact"/>
            </w:pPr>
          </w:p>
        </w:tc>
      </w:tr>
      <w:tr w:rsidR="00F663A9" w:rsidRPr="000863A5" w:rsidTr="00CB0CD3">
        <w:tc>
          <w:tcPr>
            <w:tcW w:w="8771" w:type="dxa"/>
            <w:tcBorders>
              <w:top w:val="single" w:sz="6" w:space="0" w:color="78A22F"/>
              <w:left w:val="nil"/>
              <w:bottom w:val="nil"/>
              <w:right w:val="nil"/>
            </w:tcBorders>
          </w:tcPr>
          <w:p w:rsidR="00F663A9" w:rsidRPr="00626D32" w:rsidRDefault="00F663A9" w:rsidP="00CB0CD3">
            <w:pPr>
              <w:pStyle w:val="BoxSpaceBelow"/>
            </w:pPr>
          </w:p>
        </w:tc>
      </w:tr>
    </w:tbl>
    <w:p w:rsidR="00453508" w:rsidRDefault="00453508" w:rsidP="00453508">
      <w:pPr>
        <w:pStyle w:val="Heading3"/>
      </w:pPr>
      <w:r>
        <w:t xml:space="preserve">… </w:t>
      </w:r>
      <w:r w:rsidR="00141568" w:rsidRPr="00E44232">
        <w:t xml:space="preserve">and restrict the </w:t>
      </w:r>
      <w:r w:rsidRPr="00E44232">
        <w:t xml:space="preserve">diffusion </w:t>
      </w:r>
      <w:r w:rsidR="00141568" w:rsidRPr="00E44232">
        <w:t>of knowledge</w:t>
      </w:r>
    </w:p>
    <w:p w:rsidR="00353D9C" w:rsidRDefault="00353D9C" w:rsidP="002F24B4">
      <w:pPr>
        <w:pStyle w:val="BodyText"/>
        <w:spacing w:before="280"/>
      </w:pPr>
      <w:r>
        <w:t>IP rights can also impede how knowledge and discoveries a</w:t>
      </w:r>
      <w:r w:rsidR="00245A79">
        <w:t>re</w:t>
      </w:r>
      <w:r>
        <w:t xml:space="preserve"> diffused through an economy, </w:t>
      </w:r>
      <w:r w:rsidR="000D708B">
        <w:t>with</w:t>
      </w:r>
      <w:r>
        <w:t xml:space="preserve"> implications for </w:t>
      </w:r>
      <w:r w:rsidR="001B122A">
        <w:t xml:space="preserve">subsequent </w:t>
      </w:r>
      <w:r>
        <w:t>innovation and wellbeing more generally. The exclu</w:t>
      </w:r>
      <w:r w:rsidR="00245A79">
        <w:t>sivity</w:t>
      </w:r>
      <w:r>
        <w:t xml:space="preserve"> of IP rights </w:t>
      </w:r>
      <w:r w:rsidR="000D708B">
        <w:t>can make it difficult for firms to</w:t>
      </w:r>
      <w:r>
        <w:t xml:space="preserve"> </w:t>
      </w:r>
      <w:r w:rsidR="000D708B">
        <w:t>build on the ideas of others</w:t>
      </w:r>
      <w:r>
        <w:t xml:space="preserve">. </w:t>
      </w:r>
      <w:r w:rsidR="000D708B">
        <w:t xml:space="preserve">As </w:t>
      </w:r>
      <w:proofErr w:type="spellStart"/>
      <w:r w:rsidR="000D708B">
        <w:t>Stiglitz</w:t>
      </w:r>
      <w:proofErr w:type="spellEnd"/>
      <w:r w:rsidR="000D708B">
        <w:t xml:space="preserve"> noted, </w:t>
      </w:r>
      <w:r>
        <w:t>IP rights can end up protecting today</w:t>
      </w:r>
      <w:r w:rsidR="00245A79">
        <w:t>’s ideas</w:t>
      </w:r>
      <w:r>
        <w:t xml:space="preserve"> at the expense </w:t>
      </w:r>
      <w:r w:rsidR="00694354">
        <w:t xml:space="preserve">of </w:t>
      </w:r>
      <w:r w:rsidR="00245A79">
        <w:t>future</w:t>
      </w:r>
      <w:r w:rsidR="000D708B">
        <w:t xml:space="preserve"> ideas:</w:t>
      </w:r>
    </w:p>
    <w:p w:rsidR="00353D9C" w:rsidRPr="008574AA" w:rsidRDefault="00353D9C" w:rsidP="008574AA">
      <w:pPr>
        <w:pStyle w:val="Quote"/>
      </w:pPr>
      <w:r w:rsidRPr="008574AA">
        <w:t>… a poorly designed intellectual property regime — one that creates excessively “strong” intellectual property rights — can actually impede innovation. … Knowledge is the most important input into the production of knowledge. Intellectual property restricts this input; indeed, it works by limiting access to knowledge. (</w:t>
      </w:r>
      <w:proofErr w:type="spellStart"/>
      <w:r w:rsidRPr="008574AA">
        <w:t>Stiglitz</w:t>
      </w:r>
      <w:proofErr w:type="spellEnd"/>
      <w:r w:rsidRPr="008574AA">
        <w:t> 2008, p. 1694,1710)</w:t>
      </w:r>
    </w:p>
    <w:p w:rsidR="001E6D2F" w:rsidRDefault="000D708B" w:rsidP="002F24B4">
      <w:pPr>
        <w:pStyle w:val="BodyText"/>
        <w:spacing w:before="280"/>
      </w:pPr>
      <w:r>
        <w:t xml:space="preserve">The impacts of IP rights on </w:t>
      </w:r>
      <w:r w:rsidR="001B122A">
        <w:t xml:space="preserve">the </w:t>
      </w:r>
      <w:r>
        <w:t>diffusion of knowledge ha</w:t>
      </w:r>
      <w:r w:rsidR="00431640">
        <w:t>ve</w:t>
      </w:r>
      <w:r>
        <w:t xml:space="preserve"> become increasingly important</w:t>
      </w:r>
      <w:r w:rsidR="002F2F2A">
        <w:t>. E</w:t>
      </w:r>
      <w:r>
        <w:t xml:space="preserve">vidence suggests that </w:t>
      </w:r>
      <w:r w:rsidR="001E6D2F">
        <w:t xml:space="preserve">the role of </w:t>
      </w:r>
      <w:r>
        <w:t xml:space="preserve">IP </w:t>
      </w:r>
      <w:r w:rsidR="001E6D2F">
        <w:t xml:space="preserve">in the economy has evolved from one where it applied to a handful of industries to one where it affects a wide range of sectors </w:t>
      </w:r>
      <w:r w:rsidR="009B6DC1" w:rsidRPr="008574AA">
        <w:t>(OECD 2015)</w:t>
      </w:r>
      <w:r w:rsidR="009B032A" w:rsidRPr="008574AA">
        <w:t xml:space="preserve">. </w:t>
      </w:r>
      <w:r w:rsidR="009B032A">
        <w:t>IP</w:t>
      </w:r>
      <w:r w:rsidR="002B6A9C">
        <w:t xml:space="preserve"> </w:t>
      </w:r>
      <w:r w:rsidR="002F2F2A">
        <w:t xml:space="preserve">is </w:t>
      </w:r>
      <w:r w:rsidR="009B032A">
        <w:t xml:space="preserve">also </w:t>
      </w:r>
      <w:r w:rsidR="002F2F2A">
        <w:t>increasingly important to global value chains</w:t>
      </w:r>
      <w:r w:rsidR="00431640">
        <w:t>,</w:t>
      </w:r>
      <w:r w:rsidR="002F2F2A">
        <w:t xml:space="preserve"> and by extension, international trade</w:t>
      </w:r>
      <w:r w:rsidR="009B032A">
        <w:t xml:space="preserve"> </w:t>
      </w:r>
      <w:r w:rsidR="00DA353D" w:rsidRPr="00AF7711">
        <w:rPr>
          <w:szCs w:val="24"/>
        </w:rPr>
        <w:t>(OECD, WTO &amp; World Bank Group 2014)</w:t>
      </w:r>
      <w:r w:rsidR="008574AA">
        <w:t>.</w:t>
      </w:r>
    </w:p>
    <w:p w:rsidR="00353D9C" w:rsidRDefault="001E6D2F" w:rsidP="002F24B4">
      <w:pPr>
        <w:pStyle w:val="BodyText"/>
        <w:spacing w:before="280"/>
      </w:pPr>
      <w:r>
        <w:lastRenderedPageBreak/>
        <w:t xml:space="preserve">Features of the IP system recognise this </w:t>
      </w:r>
      <w:r w:rsidR="00353D9C">
        <w:t xml:space="preserve">drawback, and methods such </w:t>
      </w:r>
      <w:r>
        <w:t>as</w:t>
      </w:r>
      <w:r w:rsidR="00353D9C">
        <w:t xml:space="preserve"> </w:t>
      </w:r>
      <w:r>
        <w:t xml:space="preserve">patent </w:t>
      </w:r>
      <w:r w:rsidR="00353D9C">
        <w:t xml:space="preserve">disclosure and </w:t>
      </w:r>
      <w:r>
        <w:t xml:space="preserve">copyright’s </w:t>
      </w:r>
      <w:r w:rsidR="00353D9C">
        <w:t xml:space="preserve">fair </w:t>
      </w:r>
      <w:r w:rsidR="00245A79">
        <w:t>dealing</w:t>
      </w:r>
      <w:r>
        <w:t xml:space="preserve"> exemption</w:t>
      </w:r>
      <w:r w:rsidR="00353D9C">
        <w:t xml:space="preserve"> </w:t>
      </w:r>
      <w:r>
        <w:t xml:space="preserve">seek to mitigate </w:t>
      </w:r>
      <w:r w:rsidR="00353D9C">
        <w:t xml:space="preserve">the </w:t>
      </w:r>
      <w:r>
        <w:t>worst outcomes</w:t>
      </w:r>
      <w:r w:rsidR="00353D9C">
        <w:t xml:space="preserve">. The efficacy of these </w:t>
      </w:r>
      <w:r>
        <w:t>methods</w:t>
      </w:r>
      <w:r w:rsidR="00353D9C">
        <w:t xml:space="preserve"> is all part of the broader balance of costs and benefits </w:t>
      </w:r>
      <w:r>
        <w:t>inherent in Australia’s</w:t>
      </w:r>
      <w:r w:rsidR="00353D9C">
        <w:t xml:space="preserve"> IP system.</w:t>
      </w:r>
    </w:p>
    <w:p w:rsidR="00CE0D84" w:rsidRPr="00C4517D" w:rsidRDefault="00D54CAA" w:rsidP="002F24B4">
      <w:pPr>
        <w:pStyle w:val="Heading2"/>
        <w:spacing w:before="640"/>
      </w:pPr>
      <w:r>
        <w:rPr>
          <w:noProof/>
        </w:rPr>
        <w:t>3</w:t>
      </w:r>
      <w:r w:rsidR="00CE0D84">
        <w:tab/>
        <w:t xml:space="preserve">A framework for assessing IP </w:t>
      </w:r>
      <w:r w:rsidR="001B122A">
        <w:t>arrangements</w:t>
      </w:r>
    </w:p>
    <w:p w:rsidR="00CE0D84" w:rsidRDefault="00CE0D84" w:rsidP="002F24B4">
      <w:pPr>
        <w:pStyle w:val="BodyText"/>
        <w:spacing w:before="280"/>
      </w:pPr>
      <w:r>
        <w:t>The goals of the IP system are articulated in the terms of reference provided to the inquiry:</w:t>
      </w:r>
    </w:p>
    <w:p w:rsidR="00CE0D84" w:rsidRDefault="00CE0D84" w:rsidP="002F24B4">
      <w:pPr>
        <w:pStyle w:val="Quote"/>
        <w:spacing w:before="140"/>
      </w:pPr>
      <w:r>
        <w:t xml:space="preserve">… that </w:t>
      </w:r>
      <w:r w:rsidRPr="00AF3E43">
        <w:t>the intellectual property system provides appropriate incentives for innovation, investment and the production of creative works while ensuring it does not unreasonably impede further innovation, competition, investment and access to goods and services.</w:t>
      </w:r>
      <w:r>
        <w:t xml:space="preserve"> </w:t>
      </w:r>
      <w:r w:rsidR="009B6DC1" w:rsidRPr="009B6DC1">
        <w:rPr>
          <w:szCs w:val="24"/>
        </w:rPr>
        <w:t>(Hockey 2015)</w:t>
      </w:r>
    </w:p>
    <w:p w:rsidR="00CE0D84" w:rsidRDefault="00CE0D84" w:rsidP="002F24B4">
      <w:pPr>
        <w:pStyle w:val="BodyText"/>
        <w:spacing w:before="280"/>
      </w:pPr>
      <w:r>
        <w:t xml:space="preserve">These desired outcomes are complex, interconnected and sometimes at odds with one another. When combined with a broader consideration of making sure that the IP system should serve the long-term interests of the Australian community, it can be very difficult to determine a set of ‘prescriptive’ rules that satisfy all those that are affected by </w:t>
      </w:r>
      <w:r w:rsidR="00DF4494">
        <w:t>the system</w:t>
      </w:r>
      <w:r>
        <w:t xml:space="preserve"> — especially when their incentives do not </w:t>
      </w:r>
      <w:r w:rsidR="005C3B61">
        <w:t>align</w:t>
      </w:r>
      <w:r>
        <w:t xml:space="preserve">. Instead, the Commission proposes to use a set of principles to guide its assessment of the IP system, and as a </w:t>
      </w:r>
      <w:r w:rsidR="00DF4494">
        <w:t xml:space="preserve">basis </w:t>
      </w:r>
      <w:r>
        <w:t xml:space="preserve">to </w:t>
      </w:r>
      <w:r w:rsidR="00431640">
        <w:t>recommend welfare-</w:t>
      </w:r>
      <w:r w:rsidR="00DF4494">
        <w:t>enhancing reforms</w:t>
      </w:r>
      <w:r>
        <w:t xml:space="preserve">. These principles and the ‘economic framework’ </w:t>
      </w:r>
      <w:r w:rsidR="005C3B61">
        <w:t>within which they reside</w:t>
      </w:r>
      <w:r>
        <w:t>, are outlined in figure </w:t>
      </w:r>
      <w:r w:rsidR="00D13AE9">
        <w:t>2</w:t>
      </w:r>
      <w:r>
        <w:t>.</w:t>
      </w:r>
    </w:p>
    <w:p w:rsidR="00ED4BE5" w:rsidRPr="004E3B94" w:rsidRDefault="00ED4BE5" w:rsidP="00ED4BE5">
      <w:pPr>
        <w:pStyle w:val="BoxSpaceAboveElement"/>
        <w:rPr>
          <w:vanish w:val="0"/>
          <w:color w:val="auto"/>
        </w:rPr>
      </w:pPr>
      <w:r>
        <w:t>Do not delete this RETURN as it gives space between the info request and what precedes it.</w:t>
      </w: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0"/>
      </w:tblGrid>
      <w:tr w:rsidR="00ED4BE5" w:rsidTr="00ED4BE5">
        <w:tc>
          <w:tcPr>
            <w:tcW w:w="8770" w:type="dxa"/>
            <w:tcBorders>
              <w:top w:val="single" w:sz="6" w:space="0" w:color="78A22F"/>
              <w:left w:val="nil"/>
              <w:bottom w:val="nil"/>
              <w:right w:val="nil"/>
            </w:tcBorders>
            <w:shd w:val="clear" w:color="auto" w:fill="auto"/>
          </w:tcPr>
          <w:p w:rsidR="00ED4BE5" w:rsidRPr="00CE4C64" w:rsidRDefault="00ED4BE5" w:rsidP="00ED4BE5">
            <w:pPr>
              <w:pStyle w:val="InformationRequest"/>
              <w:spacing w:before="280"/>
            </w:pPr>
            <w:r>
              <w:t xml:space="preserve">The Commission welcomes feedback on the framework it proposes employing to guide its assessment of IP arrangements and for recommending welfare-enhancing reforms. </w:t>
            </w:r>
          </w:p>
        </w:tc>
      </w:tr>
      <w:tr w:rsidR="00ED4BE5" w:rsidTr="00ED4BE5">
        <w:tc>
          <w:tcPr>
            <w:tcW w:w="8770" w:type="dxa"/>
            <w:tcBorders>
              <w:top w:val="nil"/>
              <w:left w:val="nil"/>
              <w:bottom w:val="single" w:sz="6" w:space="0" w:color="78A22F"/>
              <w:right w:val="nil"/>
            </w:tcBorders>
            <w:shd w:val="clear" w:color="auto" w:fill="auto"/>
          </w:tcPr>
          <w:p w:rsidR="00ED4BE5" w:rsidRDefault="00ED4BE5" w:rsidP="00ED4BE5">
            <w:pPr>
              <w:pStyle w:val="Space"/>
              <w:keepNext w:val="0"/>
              <w:keepLines/>
            </w:pPr>
          </w:p>
        </w:tc>
      </w:tr>
      <w:tr w:rsidR="00ED4BE5" w:rsidRPr="000863A5" w:rsidTr="00ED4BE5">
        <w:trPr>
          <w:hidden/>
        </w:trPr>
        <w:tc>
          <w:tcPr>
            <w:tcW w:w="8770" w:type="dxa"/>
            <w:tcBorders>
              <w:top w:val="single" w:sz="6" w:space="0" w:color="78A22F"/>
              <w:left w:val="nil"/>
              <w:bottom w:val="nil"/>
              <w:right w:val="nil"/>
            </w:tcBorders>
          </w:tcPr>
          <w:p w:rsidR="00ED4BE5" w:rsidRPr="00626D32" w:rsidRDefault="00ED4BE5" w:rsidP="00ED4BE5">
            <w:pPr>
              <w:pStyle w:val="BoxSpaceBelow"/>
              <w:keepLines/>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info request</w:t>
            </w:r>
            <w:r w:rsidRPr="00626D32">
              <w:rPr>
                <w:rFonts w:ascii="Times New Roman" w:hAnsi="Times New Roman"/>
                <w:b/>
                <w:vanish/>
                <w:color w:val="FF00FF"/>
              </w:rPr>
              <w:t xml:space="preserve"> and what follows it.</w:t>
            </w:r>
          </w:p>
        </w:tc>
      </w:tr>
    </w:tbl>
    <w:p w:rsidR="009B032A" w:rsidRDefault="009B032A" w:rsidP="002F24B4">
      <w:pPr>
        <w:pStyle w:val="BodyText"/>
        <w:spacing w:before="280"/>
      </w:pPr>
      <w:r w:rsidRPr="008B76AB">
        <w:t xml:space="preserve">How these principles of effectiveness, efficiency, adaptability, and </w:t>
      </w:r>
      <w:r w:rsidR="00A1002F">
        <w:t>accountability</w:t>
      </w:r>
      <w:r w:rsidR="00A1002F" w:rsidRPr="008B76AB">
        <w:t xml:space="preserve"> </w:t>
      </w:r>
      <w:r w:rsidRPr="008B76AB">
        <w:t>relate to policy questions are discussed in more detail, below.</w:t>
      </w:r>
    </w:p>
    <w:p w:rsidR="00C950F1" w:rsidRDefault="00C950F1" w:rsidP="00C950F1">
      <w:pPr>
        <w:pStyle w:val="Heading3"/>
      </w:pPr>
      <w:r>
        <w:t>Effectiveness: do IP rights target additional innovation and creative output?</w:t>
      </w:r>
    </w:p>
    <w:p w:rsidR="00C950F1" w:rsidRDefault="00C950F1" w:rsidP="00C950F1">
      <w:pPr>
        <w:pStyle w:val="BodyText"/>
      </w:pPr>
      <w:r>
        <w:t xml:space="preserve">An IP system is effective if it promotes the creation of genuinely new and valuable IP that in the absence of such a system would not have occurred. This ‘additionality’ is important given that the objective of the IP system is to improve wellbeing by correcting an under provision of IP that may exist in the absence of IP rights. </w:t>
      </w:r>
    </w:p>
    <w:p w:rsidR="00C950F1" w:rsidRPr="00C950F1" w:rsidRDefault="00C950F1" w:rsidP="00C950F1">
      <w:pPr>
        <w:pStyle w:val="BodyText"/>
        <w:rPr>
          <w:spacing w:val="-2"/>
        </w:rPr>
      </w:pPr>
      <w:r w:rsidRPr="00C950F1">
        <w:rPr>
          <w:spacing w:val="-2"/>
        </w:rPr>
        <w:t>Conversely, it is desirable to make sure that IP rights cannot be used to protect things that are not innovative, or would have been generated anyway (‘non additional’). An IP system that only promotes substitution between different types of IP or encourages the use of IP rights for anticompetitive purposes is not desirable as it does not foster additional innovation.</w:t>
      </w:r>
    </w:p>
    <w:p w:rsidR="00ED4BE5" w:rsidRPr="004E3B94" w:rsidRDefault="00ED4BE5" w:rsidP="00ED4BE5">
      <w:pPr>
        <w:pStyle w:val="BoxSpaceAboveElement"/>
        <w:rPr>
          <w:vanish w:val="0"/>
          <w:color w:val="auto"/>
        </w:rPr>
      </w:pPr>
      <w:r>
        <w:lastRenderedPageBreak/>
        <w:t>Do not delete this RETURN as it gives space between the info request and what precedes it.</w:t>
      </w: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0"/>
      </w:tblGrid>
      <w:tr w:rsidR="00ED4BE5" w:rsidTr="00ED4BE5">
        <w:tc>
          <w:tcPr>
            <w:tcW w:w="8770" w:type="dxa"/>
            <w:tcBorders>
              <w:top w:val="single" w:sz="6" w:space="0" w:color="78A22F"/>
              <w:left w:val="nil"/>
              <w:bottom w:val="nil"/>
              <w:right w:val="nil"/>
            </w:tcBorders>
            <w:shd w:val="clear" w:color="auto" w:fill="auto"/>
          </w:tcPr>
          <w:p w:rsidR="00ED4BE5" w:rsidRPr="00CE4C64" w:rsidRDefault="00ED4BE5" w:rsidP="00ED4BE5">
            <w:pPr>
              <w:pStyle w:val="InformationRequest"/>
            </w:pPr>
            <w:r>
              <w:t>Do IP rights encourage genuinely innovative and creative output that would not have otherwise occurred? If not, how could they be designed to do so? Do IP rights avoid rewarding innovation that would have occurred anyway?</w:t>
            </w:r>
            <w:r w:rsidRPr="000B75B8">
              <w:t xml:space="preserve"> </w:t>
            </w:r>
            <w:r>
              <w:t>What evidence and criteria should be used to determine this? Are IP arrangements in other jurisdictions more effective in generating additional creative output?</w:t>
            </w:r>
          </w:p>
        </w:tc>
      </w:tr>
      <w:tr w:rsidR="00ED4BE5" w:rsidTr="00ED4BE5">
        <w:tc>
          <w:tcPr>
            <w:tcW w:w="8770" w:type="dxa"/>
            <w:tcBorders>
              <w:top w:val="nil"/>
              <w:left w:val="nil"/>
              <w:bottom w:val="single" w:sz="6" w:space="0" w:color="78A22F"/>
              <w:right w:val="nil"/>
            </w:tcBorders>
            <w:shd w:val="clear" w:color="auto" w:fill="auto"/>
          </w:tcPr>
          <w:p w:rsidR="00ED4BE5" w:rsidRDefault="00ED4BE5" w:rsidP="00ED4BE5">
            <w:pPr>
              <w:pStyle w:val="Space"/>
              <w:keepNext w:val="0"/>
              <w:keepLines/>
            </w:pPr>
          </w:p>
        </w:tc>
      </w:tr>
      <w:tr w:rsidR="00ED4BE5" w:rsidRPr="000863A5" w:rsidTr="00ED4BE5">
        <w:trPr>
          <w:hidden/>
        </w:trPr>
        <w:tc>
          <w:tcPr>
            <w:tcW w:w="8770" w:type="dxa"/>
            <w:tcBorders>
              <w:top w:val="single" w:sz="6" w:space="0" w:color="78A22F"/>
              <w:left w:val="nil"/>
              <w:bottom w:val="nil"/>
              <w:right w:val="nil"/>
            </w:tcBorders>
          </w:tcPr>
          <w:p w:rsidR="00ED4BE5" w:rsidRPr="00626D32" w:rsidRDefault="00ED4BE5" w:rsidP="00ED4BE5">
            <w:pPr>
              <w:pStyle w:val="BoxSpaceBelow"/>
              <w:keepLines/>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info request</w:t>
            </w:r>
            <w:r w:rsidRPr="00626D32">
              <w:rPr>
                <w:rFonts w:ascii="Times New Roman" w:hAnsi="Times New Roman"/>
                <w:b/>
                <w:vanish/>
                <w:color w:val="FF00FF"/>
              </w:rPr>
              <w:t xml:space="preserve"> and what follows it.</w:t>
            </w:r>
          </w:p>
        </w:tc>
      </w:tr>
    </w:tbl>
    <w:p w:rsidR="00CE0D84" w:rsidRDefault="00CE0D84" w:rsidP="00CE0D84">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CE0D84" w:rsidTr="00CE0FDF">
        <w:tc>
          <w:tcPr>
            <w:tcW w:w="8771" w:type="dxa"/>
            <w:tcBorders>
              <w:top w:val="single" w:sz="6" w:space="0" w:color="78A22F"/>
              <w:left w:val="nil"/>
              <w:bottom w:val="nil"/>
              <w:right w:val="nil"/>
            </w:tcBorders>
            <w:shd w:val="clear" w:color="auto" w:fill="auto"/>
          </w:tcPr>
          <w:p w:rsidR="00CE0D84" w:rsidRPr="00176D3F" w:rsidRDefault="00CE0D84" w:rsidP="00D13AE9">
            <w:pPr>
              <w:pStyle w:val="TableTitle"/>
            </w:pPr>
            <w:r w:rsidRPr="00C91060">
              <w:rPr>
                <w:b w:val="0"/>
              </w:rPr>
              <w:t xml:space="preserve">Figure </w:t>
            </w:r>
            <w:r w:rsidR="00D13AE9">
              <w:rPr>
                <w:b w:val="0"/>
              </w:rPr>
              <w:t>2</w:t>
            </w:r>
            <w:r>
              <w:tab/>
              <w:t>The Commission’s proposed approach</w:t>
            </w:r>
          </w:p>
        </w:tc>
      </w:tr>
      <w:tr w:rsidR="00CE0D84" w:rsidTr="00CE0FDF">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CE0D84" w:rsidTr="00CE0FDF">
              <w:trPr>
                <w:jc w:val="center"/>
              </w:trPr>
              <w:tc>
                <w:tcPr>
                  <w:tcW w:w="5000" w:type="pct"/>
                  <w:tcBorders>
                    <w:top w:val="nil"/>
                    <w:bottom w:val="nil"/>
                  </w:tcBorders>
                </w:tcPr>
                <w:p w:rsidR="00CE0D84" w:rsidRDefault="00D13AE9" w:rsidP="00CE0FDF">
                  <w:pPr>
                    <w:pStyle w:val="Figure"/>
                    <w:spacing w:before="60" w:after="60"/>
                  </w:pPr>
                  <w:r>
                    <w:rPr>
                      <w:noProof/>
                    </w:rPr>
                    <w:drawing>
                      <wp:inline distT="0" distB="0" distL="0" distR="0" wp14:anchorId="6D8552BB" wp14:editId="2EC3AF8B">
                        <wp:extent cx="5400040" cy="4828540"/>
                        <wp:effectExtent l="0" t="0" r="0" b="0"/>
                        <wp:docPr id="6" name="Picture 6" descr="The overarching objective is to maximise the wellbeing of Australians.&#10;&#10;The goal is that the IP system provides appropriate incentives for innovation, investment and the production of creative works while ensuring it does not unreasonably impede further innovation, competition, investment and access to goods and services.&#10;&#10;There are four proposed principles to apply to the IP system to achieve this goal. First, the system should be effective in encouraging additional IP that would not have otherwise occurred, and provide incentives to ensure that IP is actively disseminated through the economy and community. Second, the system should provide incentives for IP to be created at the lowest cost to society. This principle includes consideration of factors such as whether IP rights encourage returns that are proportional to the effort of generating IP; the relative merits of public and private IP generation; and the longer-term effects on competition and innovation from granting IP rights. Third, the system should be adaptive to change, as the impact of rigid incentives could have a strong, negative impact on society. Fourth, the policies and institutions that govern the system, and the way that changes are made to them, need to be evidence- based and transparent.  " title="Figure 2. The Commission's proposed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ed approach.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4828540"/>
                                </a:xfrm>
                                <a:prstGeom prst="rect">
                                  <a:avLst/>
                                </a:prstGeom>
                              </pic:spPr>
                            </pic:pic>
                          </a:graphicData>
                        </a:graphic>
                      </wp:inline>
                    </w:drawing>
                  </w:r>
                </w:p>
              </w:tc>
            </w:tr>
          </w:tbl>
          <w:p w:rsidR="00CE0D84" w:rsidRDefault="00CE0D84" w:rsidP="00CE0FDF">
            <w:pPr>
              <w:pStyle w:val="Figure"/>
            </w:pPr>
          </w:p>
        </w:tc>
      </w:tr>
      <w:tr w:rsidR="00CE0D84" w:rsidTr="00CE0FDF">
        <w:tc>
          <w:tcPr>
            <w:tcW w:w="8771" w:type="dxa"/>
            <w:tcBorders>
              <w:top w:val="nil"/>
              <w:left w:val="nil"/>
              <w:bottom w:val="single" w:sz="6" w:space="0" w:color="78A22F"/>
              <w:right w:val="nil"/>
            </w:tcBorders>
            <w:shd w:val="clear" w:color="auto" w:fill="auto"/>
          </w:tcPr>
          <w:p w:rsidR="00CE0D84" w:rsidRDefault="00CE0D84" w:rsidP="00CE0FDF">
            <w:pPr>
              <w:pStyle w:val="Figurespace"/>
            </w:pPr>
          </w:p>
        </w:tc>
      </w:tr>
      <w:tr w:rsidR="00CE0D84" w:rsidRPr="000863A5" w:rsidTr="00CE0FDF">
        <w:tc>
          <w:tcPr>
            <w:tcW w:w="8771" w:type="dxa"/>
            <w:tcBorders>
              <w:top w:val="single" w:sz="6" w:space="0" w:color="78A22F"/>
              <w:left w:val="nil"/>
              <w:bottom w:val="nil"/>
              <w:right w:val="nil"/>
            </w:tcBorders>
          </w:tcPr>
          <w:p w:rsidR="00CE0D84" w:rsidRPr="00626D32" w:rsidRDefault="00CE0D84" w:rsidP="00CE0FDF">
            <w:pPr>
              <w:pStyle w:val="BoxSpaceBelow"/>
            </w:pPr>
          </w:p>
        </w:tc>
      </w:tr>
    </w:tbl>
    <w:p w:rsidR="00840C1B" w:rsidRDefault="00CE0D84" w:rsidP="00CE0D84">
      <w:pPr>
        <w:pStyle w:val="BodyText"/>
        <w:rPr>
          <w:spacing w:val="-4"/>
        </w:rPr>
      </w:pPr>
      <w:r w:rsidRPr="00C950F1">
        <w:rPr>
          <w:spacing w:val="-4"/>
        </w:rPr>
        <w:t xml:space="preserve">An effective IP system also promotes the dissemination of innovation and ideas. To some extent, there is a more direct tension here between the exclusivity that IP rights confer, and the cumulative nature of much IP. IP systems often include measures to ensure dissemination, such as the disclosure of how patented inventions work, to make them visible to all innovators. </w:t>
      </w:r>
    </w:p>
    <w:p w:rsidR="00840C1B" w:rsidRDefault="00840C1B">
      <w:pPr>
        <w:rPr>
          <w:spacing w:val="-4"/>
          <w:szCs w:val="20"/>
        </w:rPr>
      </w:pPr>
      <w:r>
        <w:rPr>
          <w:spacing w:val="-4"/>
        </w:rPr>
        <w:br w:type="page"/>
      </w:r>
    </w:p>
    <w:p w:rsidR="00ED4BE5" w:rsidRPr="004E3B94" w:rsidRDefault="00ED4BE5" w:rsidP="00ED4BE5">
      <w:pPr>
        <w:pStyle w:val="BoxSpaceAboveElement"/>
        <w:rPr>
          <w:vanish w:val="0"/>
          <w:color w:val="auto"/>
        </w:rPr>
      </w:pPr>
      <w:r>
        <w:lastRenderedPageBreak/>
        <w:t>Do not delete this RETURN as it gives space between the info request and what precedes it.</w:t>
      </w: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0"/>
      </w:tblGrid>
      <w:tr w:rsidR="00ED4BE5" w:rsidTr="00ED4BE5">
        <w:tc>
          <w:tcPr>
            <w:tcW w:w="8770" w:type="dxa"/>
            <w:tcBorders>
              <w:top w:val="single" w:sz="6" w:space="0" w:color="78A22F"/>
              <w:left w:val="nil"/>
              <w:bottom w:val="nil"/>
              <w:right w:val="nil"/>
            </w:tcBorders>
            <w:shd w:val="clear" w:color="auto" w:fill="auto"/>
          </w:tcPr>
          <w:p w:rsidR="00ED4BE5" w:rsidRPr="006C3AA5" w:rsidRDefault="00ED4BE5" w:rsidP="00ED4BE5">
            <w:pPr>
              <w:pStyle w:val="InformationRequest"/>
              <w:spacing w:before="240"/>
              <w:rPr>
                <w:spacing w:val="-2"/>
              </w:rPr>
            </w:pPr>
            <w:r w:rsidRPr="006C3AA5">
              <w:rPr>
                <w:spacing w:val="-2"/>
              </w:rPr>
              <w:t xml:space="preserve">To what extent does the IP system actively disseminate innovation and creative output? Does it do so sufficiently and what evidence is there of this? How could the diffusion of knowledge-based assets be improved, without adversely impacting the incentive to create? </w:t>
            </w:r>
          </w:p>
          <w:p w:rsidR="00ED4BE5" w:rsidRPr="006C3AA5" w:rsidRDefault="00ED4BE5" w:rsidP="00ED4BE5">
            <w:pPr>
              <w:pStyle w:val="InformationRequest"/>
              <w:spacing w:before="240"/>
              <w:rPr>
                <w:spacing w:val="-2"/>
              </w:rPr>
            </w:pPr>
            <w:r w:rsidRPr="006C3AA5">
              <w:rPr>
                <w:spacing w:val="-2"/>
              </w:rPr>
              <w:t>What, if any, evidence is there that parties are acting strategically to limit dissemination?</w:t>
            </w:r>
          </w:p>
        </w:tc>
      </w:tr>
      <w:tr w:rsidR="00ED4BE5" w:rsidTr="00ED4BE5">
        <w:tc>
          <w:tcPr>
            <w:tcW w:w="8770" w:type="dxa"/>
            <w:tcBorders>
              <w:top w:val="nil"/>
              <w:left w:val="nil"/>
              <w:bottom w:val="single" w:sz="6" w:space="0" w:color="78A22F"/>
              <w:right w:val="nil"/>
            </w:tcBorders>
            <w:shd w:val="clear" w:color="auto" w:fill="auto"/>
          </w:tcPr>
          <w:p w:rsidR="00ED4BE5" w:rsidRDefault="00ED4BE5" w:rsidP="00ED4BE5">
            <w:pPr>
              <w:pStyle w:val="Space"/>
              <w:keepNext w:val="0"/>
              <w:keepLines/>
            </w:pPr>
          </w:p>
        </w:tc>
      </w:tr>
      <w:tr w:rsidR="00ED4BE5" w:rsidRPr="000863A5" w:rsidTr="00ED4BE5">
        <w:trPr>
          <w:hidden/>
        </w:trPr>
        <w:tc>
          <w:tcPr>
            <w:tcW w:w="8770" w:type="dxa"/>
            <w:tcBorders>
              <w:top w:val="single" w:sz="6" w:space="0" w:color="78A22F"/>
              <w:left w:val="nil"/>
              <w:bottom w:val="nil"/>
              <w:right w:val="nil"/>
            </w:tcBorders>
          </w:tcPr>
          <w:p w:rsidR="00ED4BE5" w:rsidRPr="00626D32" w:rsidRDefault="00ED4BE5" w:rsidP="00ED4BE5">
            <w:pPr>
              <w:pStyle w:val="BoxSpaceBelow"/>
              <w:keepLines/>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info request</w:t>
            </w:r>
            <w:r w:rsidRPr="00626D32">
              <w:rPr>
                <w:rFonts w:ascii="Times New Roman" w:hAnsi="Times New Roman"/>
                <w:b/>
                <w:vanish/>
                <w:color w:val="FF00FF"/>
              </w:rPr>
              <w:t xml:space="preserve"> and what follows it.</w:t>
            </w:r>
          </w:p>
        </w:tc>
      </w:tr>
    </w:tbl>
    <w:p w:rsidR="00CE0D84" w:rsidRDefault="00CE0D84" w:rsidP="00CE0D84">
      <w:pPr>
        <w:pStyle w:val="Heading3"/>
      </w:pPr>
      <w:r>
        <w:t>Efficiency: getting the balance right</w:t>
      </w:r>
    </w:p>
    <w:p w:rsidR="00CE0D84" w:rsidRPr="00C53502" w:rsidRDefault="00CE0D84" w:rsidP="00CE0D84">
      <w:pPr>
        <w:pStyle w:val="BodyText"/>
      </w:pPr>
      <w:r>
        <w:t>T</w:t>
      </w:r>
      <w:r w:rsidRPr="00C53502">
        <w:t>here is a balancing act when it comes to making sure IP generators have an incentive to innovat</w:t>
      </w:r>
      <w:r>
        <w:t>e</w:t>
      </w:r>
      <w:r w:rsidR="00A8554C">
        <w:t xml:space="preserve"> with</w:t>
      </w:r>
      <w:r w:rsidRPr="00C53502">
        <w:t xml:space="preserve"> the cost of providing these incentives to the rest of the community. </w:t>
      </w:r>
      <w:r>
        <w:t xml:space="preserve">How to strike such a balance is one </w:t>
      </w:r>
      <w:r w:rsidRPr="00F26B10">
        <w:t xml:space="preserve">of the key questions the Commission has been asked to examine in this inquiry. </w:t>
      </w:r>
      <w:r w:rsidRPr="00C53502">
        <w:t xml:space="preserve">From an economic efficiency viewpoint, finding the appropriate degree of IP protection involves balancing: </w:t>
      </w:r>
    </w:p>
    <w:p w:rsidR="00CE0D84" w:rsidRDefault="00CE0D84" w:rsidP="00CE0D84">
      <w:pPr>
        <w:pStyle w:val="ListBullet"/>
      </w:pPr>
      <w:r>
        <w:t xml:space="preserve">the incentives for creators to produce new and additional works that IP rights and protections provide; against </w:t>
      </w:r>
    </w:p>
    <w:p w:rsidR="00CE0D84" w:rsidRDefault="00CE0D84" w:rsidP="00CE0D84">
      <w:pPr>
        <w:pStyle w:val="ListBullet"/>
      </w:pPr>
      <w:r>
        <w:t xml:space="preserve">the costs to users that IP rights and protections cause, by extending market power and restricting innovation elsewhere in the supply chain. </w:t>
      </w:r>
    </w:p>
    <w:p w:rsidR="00CE0D84" w:rsidRDefault="00CE0D84" w:rsidP="00CE0D84">
      <w:pPr>
        <w:pStyle w:val="BodyText"/>
      </w:pPr>
      <w:r>
        <w:t xml:space="preserve">As the Commission </w:t>
      </w:r>
      <w:r w:rsidR="00C1743A">
        <w:t xml:space="preserve">has </w:t>
      </w:r>
      <w:r>
        <w:t>previously noted:</w:t>
      </w:r>
    </w:p>
    <w:p w:rsidR="00CE0D84" w:rsidRDefault="00CE0D84" w:rsidP="00CE0D84">
      <w:pPr>
        <w:pStyle w:val="Quote"/>
      </w:pPr>
      <w:r>
        <w:t>… IP protections that are either too strong or too weak can have adverse economic effects. For individual countries, the optimum design and level of IP rights also depends on the extent to which they are net importers or exporters of different forms of IP material and other considerations, such as their level of economic development and the nature of their legal system.</w:t>
      </w:r>
      <w:r w:rsidR="00A8229C">
        <w:t xml:space="preserve"> </w:t>
      </w:r>
      <w:r w:rsidR="00F43303" w:rsidRPr="00F43303">
        <w:rPr>
          <w:szCs w:val="24"/>
        </w:rPr>
        <w:t>(PC 2010, pp. 257–258)</w:t>
      </w:r>
      <w:r>
        <w:t xml:space="preserve"> </w:t>
      </w:r>
    </w:p>
    <w:p w:rsidR="00CE0D84" w:rsidRDefault="00CE0D84" w:rsidP="00CE0D84">
      <w:pPr>
        <w:pStyle w:val="BodyText"/>
      </w:pPr>
      <w:r>
        <w:t>The principle of efficiency can</w:t>
      </w:r>
      <w:r w:rsidR="00C1743A">
        <w:t xml:space="preserve"> thus</w:t>
      </w:r>
      <w:r>
        <w:t xml:space="preserve"> be thought of as encompassing several dimensions — it makes sure that IP is generated at the lowest cost to society; that IP is traded and made use of by those that can generate the greatest </w:t>
      </w:r>
      <w:r w:rsidR="005C3B61">
        <w:t xml:space="preserve">value </w:t>
      </w:r>
      <w:r>
        <w:t xml:space="preserve">from it; and that the longer-run effects of granting IP rights on competition and innovation are balanced </w:t>
      </w:r>
      <w:r w:rsidR="00C1743A">
        <w:t xml:space="preserve">against their impacts on </w:t>
      </w:r>
      <w:r>
        <w:t>growth and wellbeing.</w:t>
      </w:r>
    </w:p>
    <w:p w:rsidR="00CE0D84" w:rsidRDefault="00CE0D84" w:rsidP="00CE0D84">
      <w:pPr>
        <w:pStyle w:val="Heading4"/>
      </w:pPr>
      <w:r>
        <w:t>An efficient system ensures IP is generated at lowest cost to society</w:t>
      </w:r>
    </w:p>
    <w:p w:rsidR="0085523F" w:rsidRDefault="00CE0D84" w:rsidP="00CE0D84">
      <w:pPr>
        <w:pStyle w:val="BodyText"/>
      </w:pPr>
      <w:r>
        <w:t xml:space="preserve">An efficient IP system should encourage those that can create IP at the lowest cost to do so, while also providing disincentives for those with higher costs from doing so. There are many factors that could be considered when assessing this principle against the </w:t>
      </w:r>
      <w:r w:rsidR="00C1743A">
        <w:t xml:space="preserve">current </w:t>
      </w:r>
      <w:r>
        <w:t>IP</w:t>
      </w:r>
      <w:r w:rsidR="009B032A">
        <w:t> </w:t>
      </w:r>
      <w:r>
        <w:t xml:space="preserve">system. </w:t>
      </w:r>
    </w:p>
    <w:p w:rsidR="0085523F" w:rsidRDefault="0085523F">
      <w:pPr>
        <w:rPr>
          <w:szCs w:val="20"/>
        </w:rPr>
      </w:pPr>
      <w:r>
        <w:br w:type="page"/>
      </w:r>
    </w:p>
    <w:p w:rsidR="00CE0D84" w:rsidRDefault="00CE0D84" w:rsidP="00CE0D84">
      <w:pPr>
        <w:pStyle w:val="BodyText"/>
      </w:pPr>
      <w:r>
        <w:lastRenderedPageBreak/>
        <w:t>For example:</w:t>
      </w:r>
    </w:p>
    <w:p w:rsidR="00CE0D84" w:rsidRPr="00CA70FA" w:rsidRDefault="00CE0D84" w:rsidP="00CE0D84">
      <w:pPr>
        <w:pStyle w:val="ListBullet"/>
        <w:rPr>
          <w:spacing w:val="-2"/>
        </w:rPr>
      </w:pPr>
      <w:r w:rsidRPr="00CA70FA">
        <w:rPr>
          <w:spacing w:val="-2"/>
        </w:rPr>
        <w:t xml:space="preserve">whether the returns from securing an IP right should be </w:t>
      </w:r>
      <w:r w:rsidR="00826C85" w:rsidRPr="00CA70FA">
        <w:rPr>
          <w:spacing w:val="-2"/>
        </w:rPr>
        <w:t xml:space="preserve">(or indeed could ever be) </w:t>
      </w:r>
      <w:r w:rsidRPr="00CA70FA">
        <w:rPr>
          <w:spacing w:val="-2"/>
        </w:rPr>
        <w:t>proportional to the effort of generating that IP — that is, the system should not allow for windfall gains that might encourage inefficient innovators from attempting to generate IP as well (and could provide for ‘windfall losses’ to the community at large as a result)</w:t>
      </w:r>
    </w:p>
    <w:p w:rsidR="00CE0D84" w:rsidRDefault="00CE0D84" w:rsidP="00CE0D84">
      <w:pPr>
        <w:pStyle w:val="ListBullet"/>
      </w:pPr>
      <w:r>
        <w:t xml:space="preserve">how the costs </w:t>
      </w:r>
      <w:r w:rsidR="0043386C">
        <w:t xml:space="preserve">and benefits </w:t>
      </w:r>
      <w:r>
        <w:t>of generating IP vary between the public, private and not</w:t>
      </w:r>
      <w:r w:rsidR="002B6A9C">
        <w:noBreakHyphen/>
      </w:r>
      <w:r>
        <w:t>for</w:t>
      </w:r>
      <w:r w:rsidR="002B6A9C">
        <w:noBreakHyphen/>
      </w:r>
      <w:r>
        <w:t>profit sectors, and how IP generation from these different sectors may serve as complements or substitutes to one another</w:t>
      </w:r>
    </w:p>
    <w:p w:rsidR="00CE0D84" w:rsidRDefault="00CE0D84" w:rsidP="00CE0D84">
      <w:pPr>
        <w:pStyle w:val="ListBullet"/>
      </w:pPr>
      <w:r>
        <w:t xml:space="preserve">how the costs </w:t>
      </w:r>
      <w:r w:rsidR="0043386C">
        <w:t xml:space="preserve">and benefits </w:t>
      </w:r>
      <w:r>
        <w:t>vary between formal IP rights and other methods to secure IP, such as private agreements between firms (box</w:t>
      </w:r>
      <w:r w:rsidR="009E2701">
        <w:t> </w:t>
      </w:r>
      <w:r w:rsidR="00504141">
        <w:t>4</w:t>
      </w:r>
      <w:r>
        <w:t xml:space="preserve">) </w:t>
      </w:r>
    </w:p>
    <w:p w:rsidR="00CE0D84" w:rsidRDefault="00CE0D84" w:rsidP="00CE0D84">
      <w:pPr>
        <w:pStyle w:val="ListBullet"/>
      </w:pPr>
      <w:r>
        <w:t xml:space="preserve">how the costs </w:t>
      </w:r>
      <w:r w:rsidR="0043386C">
        <w:t xml:space="preserve">and benefits </w:t>
      </w:r>
      <w:r>
        <w:t>to secure IP rights (such as the time and charge to register a right) and to defend IP rights (through various enforcement mechanisms) encourage or deter creation of IP (discussed in greater detail in section</w:t>
      </w:r>
      <w:r w:rsidR="009E2701">
        <w:t> </w:t>
      </w:r>
      <w:r>
        <w:t>5, below).</w:t>
      </w:r>
    </w:p>
    <w:p w:rsidR="00CE0D84" w:rsidRDefault="00CE0D84" w:rsidP="00CA70FA">
      <w:pPr>
        <w:pStyle w:val="BoxSpaceAbove"/>
        <w:spacing w:before="240"/>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CE0D84" w:rsidTr="00CE0FDF">
        <w:tc>
          <w:tcPr>
            <w:tcW w:w="8771" w:type="dxa"/>
            <w:tcBorders>
              <w:top w:val="single" w:sz="6" w:space="0" w:color="78A22F"/>
              <w:left w:val="nil"/>
              <w:bottom w:val="nil"/>
              <w:right w:val="nil"/>
            </w:tcBorders>
            <w:shd w:val="clear" w:color="auto" w:fill="F2F2F2"/>
          </w:tcPr>
          <w:p w:rsidR="00CE0D84" w:rsidRDefault="00CE0D84" w:rsidP="00CA70FA">
            <w:pPr>
              <w:pStyle w:val="BoxTitle"/>
              <w:spacing w:before="100"/>
            </w:pPr>
            <w:r>
              <w:rPr>
                <w:b w:val="0"/>
              </w:rPr>
              <w:t xml:space="preserve">Box </w:t>
            </w:r>
            <w:r w:rsidR="00D54CAA">
              <w:rPr>
                <w:b w:val="0"/>
                <w:noProof/>
              </w:rPr>
              <w:t>4</w:t>
            </w:r>
            <w:r>
              <w:tab/>
              <w:t xml:space="preserve">Alternatives to IP rights </w:t>
            </w:r>
          </w:p>
        </w:tc>
      </w:tr>
      <w:tr w:rsidR="00CE0D84" w:rsidTr="00CE0FDF">
        <w:trPr>
          <w:cantSplit/>
        </w:trPr>
        <w:tc>
          <w:tcPr>
            <w:tcW w:w="8771" w:type="dxa"/>
            <w:tcBorders>
              <w:top w:val="nil"/>
              <w:left w:val="nil"/>
              <w:bottom w:val="nil"/>
              <w:right w:val="nil"/>
            </w:tcBorders>
            <w:shd w:val="clear" w:color="auto" w:fill="F2F2F2"/>
          </w:tcPr>
          <w:p w:rsidR="00CE0D84" w:rsidRDefault="00CE0D84" w:rsidP="00CA70FA">
            <w:pPr>
              <w:pStyle w:val="Box"/>
              <w:spacing w:before="100"/>
            </w:pPr>
            <w:r>
              <w:t xml:space="preserve">Government assignment of property rights and subsidies are not necessarily the only way to promote innovation. Indeed, firms use a variety of methods to protect their IP, as </w:t>
            </w:r>
            <w:r w:rsidR="000B520C">
              <w:t xml:space="preserve">shown </w:t>
            </w:r>
            <w:r>
              <w:t>in the figure below.</w:t>
            </w:r>
            <w:proofErr w:type="spellStart"/>
            <w:r w:rsidR="00BF05C0">
              <w:rPr>
                <w:rStyle w:val="NoteLabel"/>
              </w:rPr>
              <w:t>a</w:t>
            </w:r>
            <w:proofErr w:type="spellEnd"/>
            <w:r>
              <w:t xml:space="preserve"> The maintenance of trade secrets is a popular means by which inventors try to protect their IP from unauthorised use, and in doing so, retain sufficient incentives to innovate. Trade secrets can prevent others from copying inventions, and thus can allow firms to recoup the costs of innovating. However, trade secrets can be wasteful from the </w:t>
            </w:r>
            <w:r w:rsidR="000B520C">
              <w:t xml:space="preserve">community </w:t>
            </w:r>
            <w:r>
              <w:t xml:space="preserve">perspective as they may lead to </w:t>
            </w:r>
            <w:r w:rsidR="00826C85">
              <w:t xml:space="preserve">suppression of rapid advancement, </w:t>
            </w:r>
            <w:r w:rsidR="00504141">
              <w:t xml:space="preserve">and </w:t>
            </w:r>
            <w:r>
              <w:t>duplication of research effort</w:t>
            </w:r>
            <w:r w:rsidR="00431640">
              <w:t>,</w:t>
            </w:r>
            <w:r>
              <w:t xml:space="preserve"> and </w:t>
            </w:r>
            <w:r w:rsidR="008459A0">
              <w:t>so</w:t>
            </w:r>
            <w:r w:rsidR="00826C85">
              <w:t xml:space="preserve"> </w:t>
            </w:r>
            <w:r>
              <w:t>hinder cumulative innovation.</w:t>
            </w:r>
          </w:p>
          <w:p w:rsidR="00CE0D84" w:rsidRPr="00C65B6E" w:rsidRDefault="00457FE0" w:rsidP="00CE0FDF">
            <w:pPr>
              <w:pStyle w:val="Box"/>
              <w:jc w:val="center"/>
            </w:pPr>
            <w:r>
              <w:rPr>
                <w:noProof/>
              </w:rPr>
              <w:drawing>
                <wp:inline distT="0" distB="0" distL="0" distR="0" wp14:anchorId="1FA92654" wp14:editId="37301E5C">
                  <wp:extent cx="5401310" cy="2870835"/>
                  <wp:effectExtent l="0" t="0" r="0" b="0"/>
                  <wp:docPr id="11" name="Picture 11" descr="The figure shows that a greater percentage of innovation-active businesses use copyright or trade secrets (around 15 per cent) to protect IP than patents or registered designs (around 4 per cent). Around 30 per cent of innovation-active businesses use at least one method to protect IP.  " title="Per cent of businesses that are innovation-active and per cent of businesses that are non-innovation-active by type of IP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1310" cy="2870835"/>
                          </a:xfrm>
                          <a:prstGeom prst="rect">
                            <a:avLst/>
                          </a:prstGeom>
                          <a:noFill/>
                          <a:ln>
                            <a:noFill/>
                          </a:ln>
                        </pic:spPr>
                      </pic:pic>
                    </a:graphicData>
                  </a:graphic>
                </wp:inline>
              </w:drawing>
            </w:r>
          </w:p>
        </w:tc>
      </w:tr>
      <w:tr w:rsidR="00CE0D84" w:rsidRPr="00176D3F" w:rsidTr="00CE0FDF">
        <w:tc>
          <w:tcPr>
            <w:tcW w:w="8771" w:type="dxa"/>
            <w:tcBorders>
              <w:top w:val="nil"/>
              <w:left w:val="nil"/>
              <w:bottom w:val="nil"/>
              <w:right w:val="nil"/>
            </w:tcBorders>
            <w:shd w:val="clear" w:color="auto" w:fill="F2F2F2" w:themeFill="accent4"/>
          </w:tcPr>
          <w:p w:rsidR="00CE0D84" w:rsidRPr="00176D3F" w:rsidRDefault="00CE0D84" w:rsidP="00CE0FDF">
            <w:pPr>
              <w:pStyle w:val="Note"/>
            </w:pPr>
            <w:r>
              <w:rPr>
                <w:rStyle w:val="NoteLabel"/>
              </w:rPr>
              <w:t>a</w:t>
            </w:r>
            <w:r>
              <w:t xml:space="preserve"> Note that businesses can nominate more than one type of protection.</w:t>
            </w:r>
          </w:p>
        </w:tc>
      </w:tr>
      <w:tr w:rsidR="00CE0D84" w:rsidTr="00CE0FDF">
        <w:trPr>
          <w:cantSplit/>
        </w:trPr>
        <w:tc>
          <w:tcPr>
            <w:tcW w:w="8771" w:type="dxa"/>
            <w:tcBorders>
              <w:top w:val="nil"/>
              <w:left w:val="nil"/>
              <w:bottom w:val="nil"/>
              <w:right w:val="nil"/>
            </w:tcBorders>
            <w:shd w:val="clear" w:color="auto" w:fill="F2F2F2"/>
          </w:tcPr>
          <w:p w:rsidR="00CE0D84" w:rsidRDefault="00CE0D84" w:rsidP="00CA70FA">
            <w:pPr>
              <w:pStyle w:val="BoxSource"/>
              <w:spacing w:before="80"/>
            </w:pPr>
            <w:r>
              <w:rPr>
                <w:i/>
              </w:rPr>
              <w:t>Source</w:t>
            </w:r>
            <w:r w:rsidRPr="00167F06">
              <w:t xml:space="preserve">: </w:t>
            </w:r>
            <w:r>
              <w:t>ABS (</w:t>
            </w:r>
            <w:r>
              <w:rPr>
                <w:i/>
              </w:rPr>
              <w:t>Selected Characteristics of Australian Business, 2012-13</w:t>
            </w:r>
            <w:r>
              <w:t>, Cat. no. 8167.0).</w:t>
            </w:r>
          </w:p>
        </w:tc>
      </w:tr>
      <w:tr w:rsidR="00CE0D84" w:rsidTr="00CE0FDF">
        <w:trPr>
          <w:cantSplit/>
        </w:trPr>
        <w:tc>
          <w:tcPr>
            <w:tcW w:w="8771" w:type="dxa"/>
            <w:tcBorders>
              <w:top w:val="nil"/>
              <w:left w:val="nil"/>
              <w:bottom w:val="single" w:sz="6" w:space="0" w:color="78A22F"/>
              <w:right w:val="nil"/>
            </w:tcBorders>
            <w:shd w:val="clear" w:color="auto" w:fill="F2F2F2"/>
          </w:tcPr>
          <w:p w:rsidR="00CE0D84" w:rsidRDefault="00CE0D84" w:rsidP="00CE0FDF">
            <w:pPr>
              <w:pStyle w:val="Box"/>
              <w:spacing w:before="0" w:line="120" w:lineRule="exact"/>
            </w:pPr>
          </w:p>
        </w:tc>
      </w:tr>
      <w:tr w:rsidR="00CE0D84" w:rsidRPr="000863A5" w:rsidTr="00CE0FDF">
        <w:tc>
          <w:tcPr>
            <w:tcW w:w="8771" w:type="dxa"/>
            <w:tcBorders>
              <w:top w:val="single" w:sz="6" w:space="0" w:color="78A22F"/>
              <w:left w:val="nil"/>
              <w:bottom w:val="nil"/>
              <w:right w:val="nil"/>
            </w:tcBorders>
          </w:tcPr>
          <w:p w:rsidR="00CE0D84" w:rsidRPr="00626D32" w:rsidRDefault="00CE0D84" w:rsidP="00CE0FDF">
            <w:pPr>
              <w:pStyle w:val="BoxSpaceBelow"/>
            </w:pPr>
          </w:p>
        </w:tc>
      </w:tr>
    </w:tbl>
    <w:p w:rsidR="00786683" w:rsidRPr="004E3B94" w:rsidRDefault="00786683" w:rsidP="00786683">
      <w:pPr>
        <w:pStyle w:val="BoxSpaceAboveElement"/>
        <w:rPr>
          <w:vanish w:val="0"/>
          <w:color w:val="auto"/>
        </w:rPr>
      </w:pPr>
      <w:r>
        <w:lastRenderedPageBreak/>
        <w:t>Do not delete this RETURN as it gives space between the info request and what precedes it.</w:t>
      </w: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0"/>
      </w:tblGrid>
      <w:tr w:rsidR="00786683" w:rsidTr="002D0E5B">
        <w:tc>
          <w:tcPr>
            <w:tcW w:w="8770" w:type="dxa"/>
            <w:tcBorders>
              <w:top w:val="single" w:sz="6" w:space="0" w:color="78A22F"/>
              <w:left w:val="nil"/>
              <w:bottom w:val="nil"/>
              <w:right w:val="nil"/>
            </w:tcBorders>
            <w:shd w:val="clear" w:color="auto" w:fill="auto"/>
          </w:tcPr>
          <w:p w:rsidR="00786683" w:rsidRDefault="00786683" w:rsidP="002D0E5B">
            <w:pPr>
              <w:pStyle w:val="InformationRequest"/>
              <w:spacing w:before="220"/>
            </w:pPr>
            <w:r>
              <w:t>Do IP rights provide rewards that are proportional to the effort to generate IP? What evidence is there to show this? How should effort be measured? Is proportionality a desirable feature of an IP system? Are there particular elements of the current IP system that give rise to any disproportionality?</w:t>
            </w:r>
          </w:p>
          <w:p w:rsidR="00786683" w:rsidRDefault="00786683" w:rsidP="002D0E5B">
            <w:pPr>
              <w:pStyle w:val="InformationRequest"/>
              <w:spacing w:before="220"/>
            </w:pPr>
            <w:r>
              <w:t>What are the relative costs and return to society for public, private and not</w:t>
            </w:r>
            <w:r>
              <w:noBreakHyphen/>
              <w:t>for</w:t>
            </w:r>
            <w:r>
              <w:noBreakHyphen/>
              <w:t xml:space="preserve">profit creators of IP? Does the public provision of IP act as a complement or substitute to other IP being generated? Are there any government programs or policies that prevent, raise or lower the costs of generating IP? </w:t>
            </w:r>
          </w:p>
          <w:p w:rsidR="00786683" w:rsidRPr="00CE4C64" w:rsidRDefault="00786683" w:rsidP="002D0E5B">
            <w:pPr>
              <w:pStyle w:val="InformationRequest"/>
            </w:pPr>
            <w:r>
              <w:t>What are the merits and drawbacks of using other methods to secure a return on innovation (such as trade secrets/confidentiality agreements) relative to government afforded IP rights? What considerations do businesses/creators of IP make in order to select between options? How does Australia’s use of methods besides IP rights to protect IP compare to other jurisdictions? Why might such differences arise?</w:t>
            </w:r>
          </w:p>
        </w:tc>
      </w:tr>
      <w:tr w:rsidR="00786683" w:rsidTr="002D0E5B">
        <w:tc>
          <w:tcPr>
            <w:tcW w:w="8770" w:type="dxa"/>
            <w:tcBorders>
              <w:top w:val="nil"/>
              <w:left w:val="nil"/>
              <w:bottom w:val="single" w:sz="6" w:space="0" w:color="78A22F"/>
              <w:right w:val="nil"/>
            </w:tcBorders>
            <w:shd w:val="clear" w:color="auto" w:fill="auto"/>
          </w:tcPr>
          <w:p w:rsidR="00786683" w:rsidRDefault="00786683" w:rsidP="002D0E5B">
            <w:pPr>
              <w:pStyle w:val="Space"/>
              <w:keepNext w:val="0"/>
              <w:keepLines/>
            </w:pPr>
          </w:p>
        </w:tc>
      </w:tr>
      <w:tr w:rsidR="00786683" w:rsidRPr="000863A5" w:rsidTr="002D0E5B">
        <w:trPr>
          <w:hidden/>
        </w:trPr>
        <w:tc>
          <w:tcPr>
            <w:tcW w:w="8770" w:type="dxa"/>
            <w:tcBorders>
              <w:top w:val="single" w:sz="6" w:space="0" w:color="78A22F"/>
              <w:left w:val="nil"/>
              <w:bottom w:val="nil"/>
              <w:right w:val="nil"/>
            </w:tcBorders>
          </w:tcPr>
          <w:p w:rsidR="00786683" w:rsidRPr="00626D32" w:rsidRDefault="00786683" w:rsidP="002D0E5B">
            <w:pPr>
              <w:pStyle w:val="BoxSpaceBelow"/>
              <w:keepLines/>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info request</w:t>
            </w:r>
            <w:r w:rsidRPr="00626D32">
              <w:rPr>
                <w:rFonts w:ascii="Times New Roman" w:hAnsi="Times New Roman"/>
                <w:b/>
                <w:vanish/>
                <w:color w:val="FF00FF"/>
              </w:rPr>
              <w:t xml:space="preserve"> and what follows it.</w:t>
            </w:r>
          </w:p>
        </w:tc>
      </w:tr>
    </w:tbl>
    <w:p w:rsidR="00CE0D84" w:rsidRDefault="00CE0D84" w:rsidP="00CE0D84">
      <w:pPr>
        <w:pStyle w:val="Heading4"/>
      </w:pPr>
      <w:r>
        <w:t>An efficient system ensures that IP rights are trade</w:t>
      </w:r>
      <w:r w:rsidR="000B520C">
        <w:t>able</w:t>
      </w:r>
    </w:p>
    <w:p w:rsidR="00CE0D84" w:rsidRDefault="00CE0D84" w:rsidP="00CE0D84">
      <w:pPr>
        <w:pStyle w:val="BodyText"/>
      </w:pPr>
      <w:r>
        <w:t>An efficient IP system should also facilitate trade in IP rights, so that those that can make the best use of IP have an opportunity to do so. How IP r</w:t>
      </w:r>
      <w:r w:rsidR="0085523F">
        <w:t>ights allow for licensing,</w:t>
      </w:r>
      <w:r>
        <w:t xml:space="preserve"> </w:t>
      </w:r>
      <w:r w:rsidR="0085523F">
        <w:t xml:space="preserve">and </w:t>
      </w:r>
      <w:r>
        <w:t>fair use</w:t>
      </w:r>
      <w:r w:rsidR="0085523F">
        <w:t xml:space="preserve"> and/or fair dealing</w:t>
      </w:r>
      <w:r>
        <w:t xml:space="preserve"> provisions are therefore relevant when it comes to making sure that the most efficient users of IP can gain access to it.</w:t>
      </w:r>
    </w:p>
    <w:p w:rsidR="00ED4BE5" w:rsidRDefault="00CE0D84" w:rsidP="00CE0D84">
      <w:pPr>
        <w:pStyle w:val="BodyText"/>
      </w:pPr>
      <w:r>
        <w:t xml:space="preserve">Where a system of rights discourages trade — for example, </w:t>
      </w:r>
      <w:r w:rsidR="000B520C">
        <w:t>because the</w:t>
      </w:r>
      <w:r>
        <w:t xml:space="preserve"> complexity of </w:t>
      </w:r>
      <w:r w:rsidR="000B520C">
        <w:t xml:space="preserve">the </w:t>
      </w:r>
      <w:r>
        <w:t xml:space="preserve">arrangements </w:t>
      </w:r>
      <w:r w:rsidR="000B520C">
        <w:t xml:space="preserve">raises </w:t>
      </w:r>
      <w:r w:rsidR="008459A0">
        <w:t>disproportionate</w:t>
      </w:r>
      <w:r w:rsidR="00826C85">
        <w:t xml:space="preserve"> </w:t>
      </w:r>
      <w:r>
        <w:t>legal transactions costs or where IP rights holders seek to secure an anticompetitive advantage — then the benefits that stem from IP can be greatly diminished.</w:t>
      </w:r>
    </w:p>
    <w:p w:rsidR="00ED4BE5" w:rsidRPr="004E3B94" w:rsidRDefault="00ED4BE5" w:rsidP="00ED4BE5">
      <w:pPr>
        <w:pStyle w:val="BoxSpaceAboveElement"/>
        <w:rPr>
          <w:vanish w:val="0"/>
          <w:color w:val="auto"/>
        </w:rPr>
      </w:pPr>
      <w:r>
        <w:t>Do not delete this RETURN as it gives space between the info request and what precedes it.</w:t>
      </w: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0"/>
      </w:tblGrid>
      <w:tr w:rsidR="00ED4BE5" w:rsidTr="00ED4BE5">
        <w:tc>
          <w:tcPr>
            <w:tcW w:w="8770" w:type="dxa"/>
            <w:tcBorders>
              <w:top w:val="single" w:sz="6" w:space="0" w:color="78A22F"/>
              <w:left w:val="nil"/>
              <w:bottom w:val="nil"/>
              <w:right w:val="nil"/>
            </w:tcBorders>
            <w:shd w:val="clear" w:color="auto" w:fill="auto"/>
          </w:tcPr>
          <w:p w:rsidR="00ED4BE5" w:rsidRDefault="00ED4BE5" w:rsidP="00ED4BE5">
            <w:pPr>
              <w:pStyle w:val="InformationRequest"/>
            </w:pPr>
            <w:r>
              <w:t>Are there obstacles in the IP system which limit the efficient trade of IP between creators and users? Are there particular areas where trade, licensing and use of IP could be more readily facilitated?</w:t>
            </w:r>
          </w:p>
          <w:p w:rsidR="00ED4BE5" w:rsidRPr="00CE4C64" w:rsidRDefault="00ED4BE5" w:rsidP="00ED4BE5">
            <w:pPr>
              <w:pStyle w:val="InformationRequest"/>
            </w:pPr>
            <w:r>
              <w:t xml:space="preserve">Are there sufficient safeguards to ensure that IP rights do not lead to unduly restrictive market power? Are there ways (including examples employed overseas) to improve the dissemination of IP while preserving incentives to generate IP? Could such methods be adopted or adapted within the Australian IP system? </w:t>
            </w:r>
          </w:p>
        </w:tc>
      </w:tr>
      <w:tr w:rsidR="00ED4BE5" w:rsidTr="00ED4BE5">
        <w:tc>
          <w:tcPr>
            <w:tcW w:w="8770" w:type="dxa"/>
            <w:tcBorders>
              <w:top w:val="nil"/>
              <w:left w:val="nil"/>
              <w:bottom w:val="single" w:sz="6" w:space="0" w:color="78A22F"/>
              <w:right w:val="nil"/>
            </w:tcBorders>
            <w:shd w:val="clear" w:color="auto" w:fill="auto"/>
          </w:tcPr>
          <w:p w:rsidR="00ED4BE5" w:rsidRDefault="00ED4BE5" w:rsidP="00ED4BE5">
            <w:pPr>
              <w:pStyle w:val="Space"/>
              <w:keepNext w:val="0"/>
              <w:keepLines/>
            </w:pPr>
          </w:p>
        </w:tc>
      </w:tr>
      <w:tr w:rsidR="00ED4BE5" w:rsidRPr="000863A5" w:rsidTr="00ED4BE5">
        <w:trPr>
          <w:hidden/>
        </w:trPr>
        <w:tc>
          <w:tcPr>
            <w:tcW w:w="8770" w:type="dxa"/>
            <w:tcBorders>
              <w:top w:val="single" w:sz="6" w:space="0" w:color="78A22F"/>
              <w:left w:val="nil"/>
              <w:bottom w:val="nil"/>
              <w:right w:val="nil"/>
            </w:tcBorders>
          </w:tcPr>
          <w:p w:rsidR="00ED4BE5" w:rsidRPr="00626D32" w:rsidRDefault="00ED4BE5" w:rsidP="00ED4BE5">
            <w:pPr>
              <w:pStyle w:val="BoxSpaceBelow"/>
              <w:keepLines/>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info request</w:t>
            </w:r>
            <w:r w:rsidRPr="00626D32">
              <w:rPr>
                <w:rFonts w:ascii="Times New Roman" w:hAnsi="Times New Roman"/>
                <w:b/>
                <w:vanish/>
                <w:color w:val="FF00FF"/>
              </w:rPr>
              <w:t xml:space="preserve"> and what follows it.</w:t>
            </w:r>
          </w:p>
        </w:tc>
      </w:tr>
    </w:tbl>
    <w:p w:rsidR="00CE0D84" w:rsidRDefault="00CE0D84" w:rsidP="00CE0D84">
      <w:pPr>
        <w:pStyle w:val="Heading4"/>
      </w:pPr>
      <w:r>
        <w:t>An efficient system considers the longer-term effects of IP rights</w:t>
      </w:r>
    </w:p>
    <w:p w:rsidR="00CE0D84" w:rsidRDefault="00CE0D84" w:rsidP="00CE0D84">
      <w:pPr>
        <w:pStyle w:val="BodyText"/>
      </w:pPr>
      <w:r>
        <w:t xml:space="preserve">An efficient IP system also needs to ensure that any </w:t>
      </w:r>
      <w:proofErr w:type="spellStart"/>
      <w:r>
        <w:t>trade off</w:t>
      </w:r>
      <w:proofErr w:type="spellEnd"/>
      <w:r>
        <w:t xml:space="preserve"> between the gain</w:t>
      </w:r>
      <w:r w:rsidR="00B7550C">
        <w:t>s</w:t>
      </w:r>
      <w:r>
        <w:t xml:space="preserve"> to IP rights holders and </w:t>
      </w:r>
      <w:r w:rsidR="00B7550C">
        <w:t xml:space="preserve">the </w:t>
      </w:r>
      <w:r>
        <w:t xml:space="preserve">costs to IP rights users (including consumers) is balanced through time. Put another way, IP rights ‘generate monopoly positions that reduce </w:t>
      </w:r>
      <w:r w:rsidRPr="00C91060">
        <w:rPr>
          <w:i/>
        </w:rPr>
        <w:t>current</w:t>
      </w:r>
      <w:r>
        <w:t xml:space="preserve"> consumer welfare </w:t>
      </w:r>
      <w:r>
        <w:lastRenderedPageBreak/>
        <w:t xml:space="preserve">in return for providing adequate payoffs to innovation, which then raises </w:t>
      </w:r>
      <w:r w:rsidRPr="00C91060">
        <w:rPr>
          <w:i/>
        </w:rPr>
        <w:t>future</w:t>
      </w:r>
      <w:r>
        <w:t xml:space="preserve"> consumer welfare’ </w:t>
      </w:r>
      <w:r w:rsidR="00D14987" w:rsidRPr="00D14987">
        <w:rPr>
          <w:sz w:val="22"/>
          <w:szCs w:val="24"/>
        </w:rPr>
        <w:t>(</w:t>
      </w:r>
      <w:proofErr w:type="spellStart"/>
      <w:r w:rsidR="00D14987" w:rsidRPr="00D14987">
        <w:rPr>
          <w:sz w:val="22"/>
          <w:szCs w:val="24"/>
        </w:rPr>
        <w:t>Maskus</w:t>
      </w:r>
      <w:proofErr w:type="spellEnd"/>
      <w:r w:rsidR="00D14987" w:rsidRPr="00D14987">
        <w:rPr>
          <w:sz w:val="22"/>
          <w:szCs w:val="24"/>
        </w:rPr>
        <w:t> </w:t>
      </w:r>
      <w:r w:rsidR="00C42EF4">
        <w:rPr>
          <w:sz w:val="22"/>
          <w:szCs w:val="24"/>
        </w:rPr>
        <w:t>2000</w:t>
      </w:r>
      <w:r w:rsidR="00D14987" w:rsidRPr="00D14987">
        <w:rPr>
          <w:sz w:val="22"/>
          <w:szCs w:val="24"/>
        </w:rPr>
        <w:t>, p. 6)</w:t>
      </w:r>
      <w:r>
        <w:t xml:space="preserve">. </w:t>
      </w:r>
    </w:p>
    <w:p w:rsidR="00CE0D84" w:rsidRDefault="00CE0D84" w:rsidP="00CE0D84">
      <w:pPr>
        <w:pStyle w:val="BodyText"/>
      </w:pPr>
      <w:r>
        <w:t>IP systems</w:t>
      </w:r>
      <w:r w:rsidR="00B7550C">
        <w:t xml:space="preserve"> thus</w:t>
      </w:r>
      <w:r>
        <w:t xml:space="preserve"> need to consider their effects on IP generation and </w:t>
      </w:r>
      <w:r w:rsidR="00B7550C">
        <w:t xml:space="preserve">the </w:t>
      </w:r>
      <w:r>
        <w:t xml:space="preserve">consequences </w:t>
      </w:r>
      <w:r w:rsidR="00B7550C">
        <w:t xml:space="preserve">for </w:t>
      </w:r>
      <w:r>
        <w:t xml:space="preserve">competition and innovation over a period of time, rather than just at a point in time. For example, if IP rights enable a firm to achieve and maintain a monopoly in a market over a long period of time, then the benefits of that IP are likely to </w:t>
      </w:r>
      <w:r w:rsidR="00B7550C">
        <w:t xml:space="preserve">be </w:t>
      </w:r>
      <w:r>
        <w:t>mitigated by the costs to consumers and other firms. Understanding how and when such outcomes are likely to occur is necessary to craft an IP system that delivers long-term gains for both innovators and consumers.</w:t>
      </w:r>
    </w:p>
    <w:p w:rsidR="00ED4BE5" w:rsidRPr="004E3B94" w:rsidRDefault="00ED4BE5" w:rsidP="00ED4BE5">
      <w:pPr>
        <w:pStyle w:val="BoxSpaceAboveElement"/>
        <w:rPr>
          <w:vanish w:val="0"/>
          <w:color w:val="auto"/>
        </w:rPr>
      </w:pPr>
      <w:r>
        <w:t>Do not delete this RETURN as it gives space between the info request and what precedes it.</w:t>
      </w: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0"/>
      </w:tblGrid>
      <w:tr w:rsidR="00ED4BE5" w:rsidTr="00ED4BE5">
        <w:tc>
          <w:tcPr>
            <w:tcW w:w="8770" w:type="dxa"/>
            <w:tcBorders>
              <w:top w:val="single" w:sz="6" w:space="0" w:color="78A22F"/>
              <w:left w:val="nil"/>
              <w:bottom w:val="nil"/>
              <w:right w:val="nil"/>
            </w:tcBorders>
            <w:shd w:val="clear" w:color="auto" w:fill="auto"/>
          </w:tcPr>
          <w:p w:rsidR="00ED4BE5" w:rsidRPr="00CE4C64" w:rsidRDefault="00ED4BE5" w:rsidP="00E15166">
            <w:pPr>
              <w:pStyle w:val="InformationRequest"/>
            </w:pPr>
            <w:r>
              <w:t>What are the longer term effects of the IP system on competition and innovation? What evidence is there to assess and measure these effects?</w:t>
            </w:r>
          </w:p>
        </w:tc>
      </w:tr>
      <w:tr w:rsidR="00ED4BE5" w:rsidTr="00ED4BE5">
        <w:tc>
          <w:tcPr>
            <w:tcW w:w="8770" w:type="dxa"/>
            <w:tcBorders>
              <w:top w:val="nil"/>
              <w:left w:val="nil"/>
              <w:bottom w:val="single" w:sz="6" w:space="0" w:color="78A22F"/>
              <w:right w:val="nil"/>
            </w:tcBorders>
            <w:shd w:val="clear" w:color="auto" w:fill="auto"/>
          </w:tcPr>
          <w:p w:rsidR="00ED4BE5" w:rsidRDefault="00ED4BE5" w:rsidP="00ED4BE5">
            <w:pPr>
              <w:pStyle w:val="Space"/>
              <w:keepNext w:val="0"/>
              <w:keepLines/>
            </w:pPr>
          </w:p>
        </w:tc>
      </w:tr>
      <w:tr w:rsidR="00ED4BE5" w:rsidRPr="000863A5" w:rsidTr="00ED4BE5">
        <w:trPr>
          <w:hidden/>
        </w:trPr>
        <w:tc>
          <w:tcPr>
            <w:tcW w:w="8770" w:type="dxa"/>
            <w:tcBorders>
              <w:top w:val="single" w:sz="6" w:space="0" w:color="78A22F"/>
              <w:left w:val="nil"/>
              <w:bottom w:val="nil"/>
              <w:right w:val="nil"/>
            </w:tcBorders>
          </w:tcPr>
          <w:p w:rsidR="00ED4BE5" w:rsidRPr="00626D32" w:rsidRDefault="00ED4BE5" w:rsidP="00ED4BE5">
            <w:pPr>
              <w:pStyle w:val="BoxSpaceBelow"/>
              <w:keepLines/>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info request</w:t>
            </w:r>
            <w:r w:rsidRPr="00626D32">
              <w:rPr>
                <w:rFonts w:ascii="Times New Roman" w:hAnsi="Times New Roman"/>
                <w:b/>
                <w:vanish/>
                <w:color w:val="FF00FF"/>
              </w:rPr>
              <w:t xml:space="preserve"> and what follows it.</w:t>
            </w:r>
          </w:p>
        </w:tc>
      </w:tr>
    </w:tbl>
    <w:p w:rsidR="00CE0D84" w:rsidRDefault="00CE0D84" w:rsidP="00CE0D84">
      <w:pPr>
        <w:pStyle w:val="Heading3"/>
      </w:pPr>
      <w:r>
        <w:t>Adaptability: making sure IP rights are apt for the future</w:t>
      </w:r>
    </w:p>
    <w:p w:rsidR="0098189C" w:rsidRDefault="00CE0D84" w:rsidP="00CE0D84">
      <w:pPr>
        <w:pStyle w:val="BodyText"/>
      </w:pPr>
      <w:r>
        <w:t xml:space="preserve">Given that IP rights can affect society considerably over a period of time, it is necessary for an IP system to be adaptable to changing conditions. </w:t>
      </w:r>
      <w:r w:rsidRPr="00987DA6">
        <w:t xml:space="preserve">IP </w:t>
      </w:r>
      <w:r w:rsidR="0098189C">
        <w:t>arrangements</w:t>
      </w:r>
      <w:r w:rsidR="0098189C" w:rsidRPr="00987DA6">
        <w:t xml:space="preserve"> </w:t>
      </w:r>
      <w:r w:rsidRPr="00987DA6">
        <w:t>and stakeholders have been</w:t>
      </w:r>
      <w:r w:rsidR="00431640">
        <w:t>,</w:t>
      </w:r>
      <w:r w:rsidRPr="00987DA6">
        <w:t xml:space="preserve"> and continue to be</w:t>
      </w:r>
      <w:r w:rsidR="00431640">
        <w:t>,</w:t>
      </w:r>
      <w:r w:rsidRPr="00987DA6">
        <w:t xml:space="preserve"> affected by a number of developments, including the rise of cloud computing, the growth of the Internet, digitisation, and globalisation</w:t>
      </w:r>
      <w:r>
        <w:t xml:space="preserve"> </w:t>
      </w:r>
      <w:r w:rsidR="009B6DC1" w:rsidRPr="009B6DC1">
        <w:rPr>
          <w:szCs w:val="24"/>
        </w:rPr>
        <w:t>(OECD 2015)</w:t>
      </w:r>
      <w:r w:rsidRPr="00987DA6">
        <w:t xml:space="preserve">. </w:t>
      </w:r>
      <w:r w:rsidR="00C43430">
        <w:t>T</w:t>
      </w:r>
      <w:r w:rsidR="008459A0" w:rsidRPr="008459A0">
        <w:t xml:space="preserve">he clear boundaries around physical goods that </w:t>
      </w:r>
      <w:r w:rsidR="00431640">
        <w:t xml:space="preserve">once </w:t>
      </w:r>
      <w:r w:rsidR="008459A0" w:rsidRPr="008459A0">
        <w:t xml:space="preserve">made it easy to define IP protection are now becoming </w:t>
      </w:r>
      <w:r w:rsidR="00431640">
        <w:t xml:space="preserve">increasingly </w:t>
      </w:r>
      <w:r w:rsidR="008459A0" w:rsidRPr="008459A0">
        <w:t>blurred</w:t>
      </w:r>
      <w:r w:rsidR="008459A0">
        <w:t>.</w:t>
      </w:r>
    </w:p>
    <w:p w:rsidR="00CE0D84" w:rsidRDefault="00CE0D84" w:rsidP="00CE0D84">
      <w:pPr>
        <w:pStyle w:val="BodyText"/>
      </w:pPr>
      <w:r>
        <w:t>While t</w:t>
      </w:r>
      <w:r w:rsidRPr="00987DA6">
        <w:t xml:space="preserve">hese </w:t>
      </w:r>
      <w:r>
        <w:t>developments have given rise to</w:t>
      </w:r>
      <w:r w:rsidRPr="00987DA6">
        <w:t xml:space="preserve"> new challenges</w:t>
      </w:r>
      <w:r>
        <w:t>,</w:t>
      </w:r>
      <w:r w:rsidRPr="00987DA6">
        <w:t xml:space="preserve"> </w:t>
      </w:r>
      <w:r>
        <w:t>such as the facilitation of piracy</w:t>
      </w:r>
      <w:r w:rsidRPr="00987DA6">
        <w:t xml:space="preserve">, </w:t>
      </w:r>
      <w:r>
        <w:t xml:space="preserve">they have also given rise to </w:t>
      </w:r>
      <w:r w:rsidRPr="00987DA6">
        <w:t>new opportunities</w:t>
      </w:r>
      <w:r>
        <w:t xml:space="preserve"> for diffusion and commercialisation. N</w:t>
      </w:r>
      <w:r w:rsidRPr="00987DA6">
        <w:t>ew business models and research tools</w:t>
      </w:r>
      <w:r>
        <w:t xml:space="preserve"> —</w:t>
      </w:r>
      <w:r w:rsidRPr="00987DA6">
        <w:t xml:space="preserve"> </w:t>
      </w:r>
      <w:r>
        <w:t>such as those based on</w:t>
      </w:r>
      <w:r w:rsidRPr="00987DA6">
        <w:t xml:space="preserve"> text</w:t>
      </w:r>
      <w:r w:rsidR="00C26290">
        <w:t xml:space="preserve"> and </w:t>
      </w:r>
      <w:r w:rsidRPr="00987DA6">
        <w:t xml:space="preserve">data </w:t>
      </w:r>
      <w:r>
        <w:t>mining</w:t>
      </w:r>
      <w:r w:rsidR="00431640">
        <w:t>,</w:t>
      </w:r>
      <w:r>
        <w:t xml:space="preserve"> and open access — have the capacity </w:t>
      </w:r>
      <w:r w:rsidRPr="00987DA6">
        <w:t xml:space="preserve">to </w:t>
      </w:r>
      <w:r>
        <w:t xml:space="preserve">promote </w:t>
      </w:r>
      <w:r w:rsidRPr="00987DA6">
        <w:t xml:space="preserve">inventions and creativity </w:t>
      </w:r>
      <w:r>
        <w:t>and</w:t>
      </w:r>
      <w:r w:rsidRPr="00987DA6">
        <w:t xml:space="preserve"> </w:t>
      </w:r>
      <w:r>
        <w:t xml:space="preserve">provide for greater </w:t>
      </w:r>
      <w:r w:rsidRPr="00987DA6">
        <w:t xml:space="preserve">access to information and creative works. </w:t>
      </w:r>
      <w:r>
        <w:t xml:space="preserve">It is important that Australia’s IP system has sufficient flexibility to accommodate these new technologies and developments. </w:t>
      </w:r>
    </w:p>
    <w:p w:rsidR="00ED4BE5" w:rsidRPr="004E3B94" w:rsidRDefault="00ED4BE5" w:rsidP="00ED4BE5">
      <w:pPr>
        <w:pStyle w:val="BoxSpaceAboveElement"/>
        <w:rPr>
          <w:vanish w:val="0"/>
          <w:color w:val="auto"/>
        </w:rPr>
      </w:pPr>
      <w:r>
        <w:t>Do not delete this RETURN as it gives space between the info request and what precedes it.</w:t>
      </w: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0"/>
      </w:tblGrid>
      <w:tr w:rsidR="00ED4BE5" w:rsidTr="00ED4BE5">
        <w:tc>
          <w:tcPr>
            <w:tcW w:w="8770" w:type="dxa"/>
            <w:tcBorders>
              <w:top w:val="single" w:sz="6" w:space="0" w:color="78A22F"/>
              <w:left w:val="nil"/>
              <w:bottom w:val="nil"/>
              <w:right w:val="nil"/>
            </w:tcBorders>
            <w:shd w:val="clear" w:color="auto" w:fill="auto"/>
          </w:tcPr>
          <w:p w:rsidR="00ED4BE5" w:rsidRDefault="00ED4BE5" w:rsidP="00ED4BE5">
            <w:pPr>
              <w:pStyle w:val="InformationRequest"/>
              <w:spacing w:before="240"/>
            </w:pPr>
            <w:r>
              <w:t>How well has Australia’s IP system adapted to changes in the economic, commercial and technological environment and how well placed is it to adapt to such changes in the future? What factors may make it harder for the IP system to adapt to change? What policy options are there to remedy any difficulties, and why might they be preferable?</w:t>
            </w:r>
          </w:p>
          <w:p w:rsidR="00ED4BE5" w:rsidRPr="00CE4C64" w:rsidRDefault="00ED4BE5" w:rsidP="00786683">
            <w:pPr>
              <w:pStyle w:val="InformationRequest"/>
              <w:spacing w:before="240"/>
            </w:pPr>
            <w:r>
              <w:t>Are there other ways of ensuring the IP system will be efficient, effective and robust through time, in light of structural economic changes and the importance/pervasiveness of IP? Is a principles-based approach preferable to a prescriptive approach in this regard? Are there particular parts of the IP system that should be principles-based or prescriptive?</w:t>
            </w:r>
          </w:p>
        </w:tc>
      </w:tr>
      <w:tr w:rsidR="00ED4BE5" w:rsidTr="00ED4BE5">
        <w:tc>
          <w:tcPr>
            <w:tcW w:w="8770" w:type="dxa"/>
            <w:tcBorders>
              <w:top w:val="nil"/>
              <w:left w:val="nil"/>
              <w:bottom w:val="single" w:sz="6" w:space="0" w:color="78A22F"/>
              <w:right w:val="nil"/>
            </w:tcBorders>
            <w:shd w:val="clear" w:color="auto" w:fill="auto"/>
          </w:tcPr>
          <w:p w:rsidR="00ED4BE5" w:rsidRDefault="00ED4BE5" w:rsidP="00ED4BE5">
            <w:pPr>
              <w:pStyle w:val="Space"/>
              <w:keepNext w:val="0"/>
              <w:keepLines/>
            </w:pPr>
          </w:p>
        </w:tc>
      </w:tr>
      <w:tr w:rsidR="00ED4BE5" w:rsidRPr="000863A5" w:rsidTr="00ED4BE5">
        <w:trPr>
          <w:hidden/>
        </w:trPr>
        <w:tc>
          <w:tcPr>
            <w:tcW w:w="8770" w:type="dxa"/>
            <w:tcBorders>
              <w:top w:val="single" w:sz="6" w:space="0" w:color="78A22F"/>
              <w:left w:val="nil"/>
              <w:bottom w:val="nil"/>
              <w:right w:val="nil"/>
            </w:tcBorders>
          </w:tcPr>
          <w:p w:rsidR="00ED4BE5" w:rsidRPr="00626D32" w:rsidRDefault="00ED4BE5" w:rsidP="00ED4BE5">
            <w:pPr>
              <w:pStyle w:val="BoxSpaceBelow"/>
              <w:keepLines/>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info request</w:t>
            </w:r>
            <w:r w:rsidRPr="00626D32">
              <w:rPr>
                <w:rFonts w:ascii="Times New Roman" w:hAnsi="Times New Roman"/>
                <w:b/>
                <w:vanish/>
                <w:color w:val="FF00FF"/>
              </w:rPr>
              <w:t xml:space="preserve"> and what follows it.</w:t>
            </w:r>
          </w:p>
        </w:tc>
      </w:tr>
    </w:tbl>
    <w:p w:rsidR="00786683" w:rsidRPr="004E3B94" w:rsidRDefault="00786683" w:rsidP="002D0E5B">
      <w:pPr>
        <w:pStyle w:val="BoxSpaceAboveElement"/>
        <w:rPr>
          <w:vanish w:val="0"/>
          <w:color w:val="auto"/>
        </w:rPr>
      </w:pPr>
      <w:r>
        <w:lastRenderedPageBreak/>
        <w:t>Do not delete this RETURN as it gives space between the info request and what precedes it.</w:t>
      </w: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0"/>
      </w:tblGrid>
      <w:tr w:rsidR="00786683" w:rsidTr="002D0E5B">
        <w:tc>
          <w:tcPr>
            <w:tcW w:w="8770" w:type="dxa"/>
            <w:tcBorders>
              <w:top w:val="single" w:sz="6" w:space="0" w:color="78A22F"/>
              <w:left w:val="nil"/>
              <w:bottom w:val="nil"/>
              <w:right w:val="nil"/>
            </w:tcBorders>
            <w:shd w:val="clear" w:color="auto" w:fill="auto"/>
          </w:tcPr>
          <w:p w:rsidR="00786683" w:rsidRPr="00CE4C64" w:rsidRDefault="00786683" w:rsidP="002D0E5B">
            <w:pPr>
              <w:pStyle w:val="InformationRequest"/>
            </w:pPr>
            <w:r>
              <w:t>What additional challenges does technological change and new methods of diffusion, including digitisation, present for the adaptability of the IP system? How should such challenges be approached?</w:t>
            </w:r>
          </w:p>
        </w:tc>
      </w:tr>
      <w:tr w:rsidR="00786683" w:rsidTr="002D0E5B">
        <w:tc>
          <w:tcPr>
            <w:tcW w:w="8770" w:type="dxa"/>
            <w:tcBorders>
              <w:top w:val="nil"/>
              <w:left w:val="nil"/>
              <w:bottom w:val="single" w:sz="6" w:space="0" w:color="78A22F"/>
              <w:right w:val="nil"/>
            </w:tcBorders>
            <w:shd w:val="clear" w:color="auto" w:fill="auto"/>
          </w:tcPr>
          <w:p w:rsidR="00786683" w:rsidRDefault="00786683" w:rsidP="002D0E5B">
            <w:pPr>
              <w:pStyle w:val="Space"/>
              <w:keepNext w:val="0"/>
              <w:keepLines/>
            </w:pPr>
          </w:p>
        </w:tc>
      </w:tr>
      <w:tr w:rsidR="00786683" w:rsidRPr="000863A5" w:rsidTr="002D0E5B">
        <w:trPr>
          <w:hidden/>
        </w:trPr>
        <w:tc>
          <w:tcPr>
            <w:tcW w:w="8770" w:type="dxa"/>
            <w:tcBorders>
              <w:top w:val="single" w:sz="6" w:space="0" w:color="78A22F"/>
              <w:left w:val="nil"/>
              <w:bottom w:val="nil"/>
              <w:right w:val="nil"/>
            </w:tcBorders>
          </w:tcPr>
          <w:p w:rsidR="00786683" w:rsidRPr="00626D32" w:rsidRDefault="00786683" w:rsidP="002D0E5B">
            <w:pPr>
              <w:pStyle w:val="BoxSpaceBelow"/>
              <w:keepLines/>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info request</w:t>
            </w:r>
            <w:r w:rsidRPr="00626D32">
              <w:rPr>
                <w:rFonts w:ascii="Times New Roman" w:hAnsi="Times New Roman"/>
                <w:b/>
                <w:vanish/>
                <w:color w:val="FF00FF"/>
              </w:rPr>
              <w:t xml:space="preserve"> and what follows it.</w:t>
            </w:r>
          </w:p>
        </w:tc>
      </w:tr>
    </w:tbl>
    <w:p w:rsidR="00CE0D84" w:rsidRDefault="00CE0D84" w:rsidP="00CE0D84">
      <w:pPr>
        <w:pStyle w:val="Heading3"/>
      </w:pPr>
      <w:r>
        <w:t>Accountability: a transparent, evidence-based system</w:t>
      </w:r>
    </w:p>
    <w:p w:rsidR="00CE0D84" w:rsidRDefault="00211DBC" w:rsidP="00CE0D84">
      <w:pPr>
        <w:pStyle w:val="BodyText"/>
      </w:pPr>
      <w:r>
        <w:t xml:space="preserve">Building the evidence base </w:t>
      </w:r>
      <w:r w:rsidR="00CE0D84">
        <w:t>to determine the balance between benefits to IP rights holders and benefits to broad</w:t>
      </w:r>
      <w:r w:rsidR="00336944">
        <w:t>er society</w:t>
      </w:r>
      <w:r>
        <w:t xml:space="preserve"> is challenging</w:t>
      </w:r>
      <w:r w:rsidR="00336944">
        <w:t>, and it appears that, in some cases,</w:t>
      </w:r>
      <w:r w:rsidR="00CE0D84">
        <w:t xml:space="preserve"> measures to strengthen rights have proceeded absent a </w:t>
      </w:r>
      <w:r w:rsidR="00FB2286">
        <w:t xml:space="preserve">detailed </w:t>
      </w:r>
      <w:r w:rsidR="00CE0D84">
        <w:t>understanding of the</w:t>
      </w:r>
      <w:r w:rsidR="00336944">
        <w:t>ir</w:t>
      </w:r>
      <w:r w:rsidR="00CE0D84">
        <w:t xml:space="preserve"> </w:t>
      </w:r>
      <w:proofErr w:type="spellStart"/>
      <w:r w:rsidR="00CE0D84">
        <w:t>economy</w:t>
      </w:r>
      <w:r w:rsidR="00F22578">
        <w:t>-</w:t>
      </w:r>
      <w:r w:rsidR="00CE0D84">
        <w:t>wide</w:t>
      </w:r>
      <w:proofErr w:type="spellEnd"/>
      <w:r w:rsidR="00CE0D84">
        <w:t xml:space="preserve"> and distributional effects</w:t>
      </w:r>
      <w:r w:rsidR="00336944">
        <w:t xml:space="preserve">. There also </w:t>
      </w:r>
      <w:r w:rsidR="00CE0D84">
        <w:t xml:space="preserve">appears to have been little effort to assess the impacts of </w:t>
      </w:r>
      <w:r w:rsidR="00DC33D4">
        <w:t xml:space="preserve">such </w:t>
      </w:r>
      <w:r w:rsidR="00CE0D84">
        <w:t>policies</w:t>
      </w:r>
      <w:r>
        <w:t xml:space="preserve"> once in place</w:t>
      </w:r>
      <w:r w:rsidR="00CE0D84">
        <w:t>.</w:t>
      </w:r>
    </w:p>
    <w:p w:rsidR="00ED4BE5" w:rsidRPr="004E3B94" w:rsidRDefault="00ED4BE5" w:rsidP="00ED4BE5">
      <w:pPr>
        <w:pStyle w:val="BoxSpaceAboveElement"/>
        <w:rPr>
          <w:vanish w:val="0"/>
          <w:color w:val="auto"/>
        </w:rPr>
      </w:pPr>
      <w:r>
        <w:t>Do not delete this RETURN as it gives space between the info request and what precedes it.</w:t>
      </w: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0"/>
      </w:tblGrid>
      <w:tr w:rsidR="00ED4BE5" w:rsidTr="00ED4BE5">
        <w:tc>
          <w:tcPr>
            <w:tcW w:w="8770" w:type="dxa"/>
            <w:tcBorders>
              <w:top w:val="single" w:sz="6" w:space="0" w:color="78A22F"/>
              <w:left w:val="nil"/>
              <w:bottom w:val="nil"/>
              <w:right w:val="nil"/>
            </w:tcBorders>
            <w:shd w:val="clear" w:color="auto" w:fill="auto"/>
          </w:tcPr>
          <w:p w:rsidR="00ED4BE5" w:rsidRDefault="00ED4BE5" w:rsidP="00ED4BE5">
            <w:pPr>
              <w:pStyle w:val="InformationRequest"/>
            </w:pPr>
            <w:r>
              <w:t>Ideally, what sort of information is needed to evaluate the IP system? In their absence, what alternative data or proxies are available?</w:t>
            </w:r>
            <w:r w:rsidRPr="00FB2286">
              <w:t xml:space="preserve"> </w:t>
            </w:r>
          </w:p>
          <w:p w:rsidR="00ED4BE5" w:rsidRPr="00CE4C64" w:rsidRDefault="00ED4BE5" w:rsidP="00ED4BE5">
            <w:pPr>
              <w:pStyle w:val="InformationRequest"/>
            </w:pPr>
            <w:r>
              <w:t>What factors have constrained transparent evaluation of IP rights extensions?</w:t>
            </w:r>
          </w:p>
        </w:tc>
      </w:tr>
      <w:tr w:rsidR="00ED4BE5" w:rsidTr="00ED4BE5">
        <w:tc>
          <w:tcPr>
            <w:tcW w:w="8770" w:type="dxa"/>
            <w:tcBorders>
              <w:top w:val="nil"/>
              <w:left w:val="nil"/>
              <w:bottom w:val="single" w:sz="6" w:space="0" w:color="78A22F"/>
              <w:right w:val="nil"/>
            </w:tcBorders>
            <w:shd w:val="clear" w:color="auto" w:fill="auto"/>
          </w:tcPr>
          <w:p w:rsidR="00ED4BE5" w:rsidRDefault="00ED4BE5" w:rsidP="00ED4BE5">
            <w:pPr>
              <w:pStyle w:val="Space"/>
              <w:keepNext w:val="0"/>
              <w:keepLines/>
            </w:pPr>
          </w:p>
        </w:tc>
      </w:tr>
      <w:tr w:rsidR="00ED4BE5" w:rsidRPr="000863A5" w:rsidTr="00ED4BE5">
        <w:trPr>
          <w:hidden/>
        </w:trPr>
        <w:tc>
          <w:tcPr>
            <w:tcW w:w="8770" w:type="dxa"/>
            <w:tcBorders>
              <w:top w:val="single" w:sz="6" w:space="0" w:color="78A22F"/>
              <w:left w:val="nil"/>
              <w:bottom w:val="nil"/>
              <w:right w:val="nil"/>
            </w:tcBorders>
          </w:tcPr>
          <w:p w:rsidR="00ED4BE5" w:rsidRPr="00626D32" w:rsidRDefault="00ED4BE5" w:rsidP="00ED4BE5">
            <w:pPr>
              <w:pStyle w:val="BoxSpaceBelow"/>
              <w:keepLines/>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info request</w:t>
            </w:r>
            <w:r w:rsidRPr="00626D32">
              <w:rPr>
                <w:rFonts w:ascii="Times New Roman" w:hAnsi="Times New Roman"/>
                <w:b/>
                <w:vanish/>
                <w:color w:val="FF00FF"/>
              </w:rPr>
              <w:t xml:space="preserve"> and what follows it.</w:t>
            </w:r>
          </w:p>
        </w:tc>
      </w:tr>
    </w:tbl>
    <w:p w:rsidR="00CE0D84" w:rsidRDefault="00CE0D84" w:rsidP="00CE0D84">
      <w:pPr>
        <w:pStyle w:val="BodyText"/>
      </w:pPr>
      <w:r>
        <w:t xml:space="preserve">Given that IP affects much of the economy and society, the effects of any policy change are likely to be </w:t>
      </w:r>
      <w:r w:rsidR="005C3B61">
        <w:t>systemic</w:t>
      </w:r>
      <w:r>
        <w:t xml:space="preserve">. The need for broad, public consultation and transparency in decision-making is important. Understanding </w:t>
      </w:r>
      <w:r w:rsidR="00694A45">
        <w:t>the nature and scope of public</w:t>
      </w:r>
      <w:r>
        <w:t xml:space="preserve"> consultation in the past may h</w:t>
      </w:r>
      <w:r w:rsidR="00694A45">
        <w:t>elp to</w:t>
      </w:r>
      <w:r>
        <w:t xml:space="preserve"> provide a better understanding of what needs to be redressed to have an evidence-based IP system in the future.</w:t>
      </w:r>
    </w:p>
    <w:p w:rsidR="00ED4BE5" w:rsidRPr="004E3B94" w:rsidRDefault="00ED4BE5" w:rsidP="00ED4BE5">
      <w:pPr>
        <w:pStyle w:val="BoxSpaceAboveElement"/>
        <w:rPr>
          <w:vanish w:val="0"/>
          <w:color w:val="auto"/>
        </w:rPr>
      </w:pPr>
      <w:r>
        <w:t>Do not delete this RETURN as it gives space between the info request and what precedes it.</w:t>
      </w: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0"/>
      </w:tblGrid>
      <w:tr w:rsidR="00ED4BE5" w:rsidTr="00ED4BE5">
        <w:tc>
          <w:tcPr>
            <w:tcW w:w="8770" w:type="dxa"/>
            <w:tcBorders>
              <w:top w:val="single" w:sz="6" w:space="0" w:color="78A22F"/>
              <w:left w:val="nil"/>
              <w:bottom w:val="nil"/>
              <w:right w:val="nil"/>
            </w:tcBorders>
            <w:shd w:val="clear" w:color="auto" w:fill="auto"/>
          </w:tcPr>
          <w:p w:rsidR="00ED4BE5" w:rsidRDefault="00ED4BE5" w:rsidP="00ED4BE5">
            <w:pPr>
              <w:pStyle w:val="InformationRequest"/>
            </w:pPr>
            <w:r>
              <w:t>The Commission seeks submissions about how the parameters of the IP system came to be set, and on the basis of what evidence and analysis.</w:t>
            </w:r>
          </w:p>
          <w:p w:rsidR="00ED4BE5" w:rsidRPr="00CE4C64" w:rsidRDefault="00ED4BE5" w:rsidP="00E15166">
            <w:pPr>
              <w:pStyle w:val="InformationRequest"/>
            </w:pPr>
            <w:r>
              <w:t>How were decisions to extend IP rights in the past (e.g. copyright) assessed? Is an evidence-based approach systematically used to assess changes to the IP system? How transparent have decisions to change the IP system been, including when it comes to legislation and international agreements? Is a stronger evidence base and greater transparency in the public interest, and if so, how should this be accomplished?</w:t>
            </w:r>
          </w:p>
        </w:tc>
      </w:tr>
      <w:tr w:rsidR="00ED4BE5" w:rsidTr="00ED4BE5">
        <w:tc>
          <w:tcPr>
            <w:tcW w:w="8770" w:type="dxa"/>
            <w:tcBorders>
              <w:top w:val="nil"/>
              <w:left w:val="nil"/>
              <w:bottom w:val="single" w:sz="6" w:space="0" w:color="78A22F"/>
              <w:right w:val="nil"/>
            </w:tcBorders>
            <w:shd w:val="clear" w:color="auto" w:fill="auto"/>
          </w:tcPr>
          <w:p w:rsidR="00ED4BE5" w:rsidRDefault="00ED4BE5" w:rsidP="00ED4BE5">
            <w:pPr>
              <w:pStyle w:val="Space"/>
              <w:keepNext w:val="0"/>
              <w:keepLines/>
            </w:pPr>
          </w:p>
        </w:tc>
      </w:tr>
      <w:tr w:rsidR="00ED4BE5" w:rsidRPr="000863A5" w:rsidTr="00ED4BE5">
        <w:trPr>
          <w:hidden/>
        </w:trPr>
        <w:tc>
          <w:tcPr>
            <w:tcW w:w="8770" w:type="dxa"/>
            <w:tcBorders>
              <w:top w:val="single" w:sz="6" w:space="0" w:color="78A22F"/>
              <w:left w:val="nil"/>
              <w:bottom w:val="nil"/>
              <w:right w:val="nil"/>
            </w:tcBorders>
          </w:tcPr>
          <w:p w:rsidR="00ED4BE5" w:rsidRPr="00626D32" w:rsidRDefault="00ED4BE5" w:rsidP="00ED4BE5">
            <w:pPr>
              <w:pStyle w:val="BoxSpaceBelow"/>
              <w:keepLines/>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info request</w:t>
            </w:r>
            <w:r w:rsidRPr="00626D32">
              <w:rPr>
                <w:rFonts w:ascii="Times New Roman" w:hAnsi="Times New Roman"/>
                <w:b/>
                <w:vanish/>
                <w:color w:val="FF00FF"/>
              </w:rPr>
              <w:t xml:space="preserve"> and what follows it.</w:t>
            </w:r>
          </w:p>
        </w:tc>
      </w:tr>
    </w:tbl>
    <w:p w:rsidR="00CE0D84" w:rsidRDefault="00CE0D84" w:rsidP="00CE0D84">
      <w:pPr>
        <w:pStyle w:val="BodyText"/>
      </w:pPr>
      <w:r>
        <w:t xml:space="preserve">The Commission recognises that </w:t>
      </w:r>
      <w:r w:rsidR="00694A45">
        <w:t xml:space="preserve">full </w:t>
      </w:r>
      <w:r>
        <w:t xml:space="preserve">information to make policy </w:t>
      </w:r>
      <w:r w:rsidR="003C3669">
        <w:t xml:space="preserve">is </w:t>
      </w:r>
      <w:r>
        <w:t xml:space="preserve">not always </w:t>
      </w:r>
      <w:r w:rsidR="00EC35BB">
        <w:t>available</w:t>
      </w:r>
      <w:r>
        <w:t xml:space="preserve">, and that the effects of making changes to the IP system may be asymmetric — the </w:t>
      </w:r>
      <w:r w:rsidR="00917EAF">
        <w:t xml:space="preserve">size of the </w:t>
      </w:r>
      <w:r>
        <w:t xml:space="preserve">costs from strengthening </w:t>
      </w:r>
      <w:r w:rsidR="00917EAF">
        <w:t>arrangements could be different from those associated with a</w:t>
      </w:r>
      <w:r>
        <w:t xml:space="preserve"> weakening</w:t>
      </w:r>
      <w:r w:rsidR="00917EAF">
        <w:t xml:space="preserve"> of IP rights</w:t>
      </w:r>
      <w:r>
        <w:t>. Hence, it is necessary to assess the relative risks (and net benefit</w:t>
      </w:r>
      <w:r w:rsidR="007E4685">
        <w:t>s</w:t>
      </w:r>
      <w:r w:rsidR="00E25FAF">
        <w:t>) of over- and under-</w:t>
      </w:r>
      <w:r>
        <w:t xml:space="preserve">protecting IP. </w:t>
      </w:r>
      <w:r w:rsidR="006E4FF8">
        <w:t>Further, t</w:t>
      </w:r>
      <w:r w:rsidR="00E62866">
        <w:t xml:space="preserve">he rules embodied in the IP system can </w:t>
      </w:r>
      <w:r w:rsidR="002A763F">
        <w:t xml:space="preserve">have a long legacy, particularly </w:t>
      </w:r>
      <w:r w:rsidR="00E62866">
        <w:t xml:space="preserve">where IP arrangements are driven by international obligations. </w:t>
      </w:r>
      <w:r>
        <w:t>I</w:t>
      </w:r>
      <w:r w:rsidR="006E4FF8">
        <w:t>n the event that the</w:t>
      </w:r>
      <w:r>
        <w:t xml:space="preserve"> evidence suggest</w:t>
      </w:r>
      <w:r w:rsidR="006E4FF8">
        <w:t>s</w:t>
      </w:r>
      <w:r>
        <w:t xml:space="preserve"> that the costs of overprotection are higher to society</w:t>
      </w:r>
      <w:r w:rsidR="00336944">
        <w:t xml:space="preserve"> and </w:t>
      </w:r>
      <w:r w:rsidR="007E4685">
        <w:t xml:space="preserve">that </w:t>
      </w:r>
      <w:r w:rsidR="00336944">
        <w:t>it is difficult to reverse policies once implemented</w:t>
      </w:r>
      <w:r w:rsidR="002233C4">
        <w:t xml:space="preserve">, then policy </w:t>
      </w:r>
      <w:r>
        <w:t xml:space="preserve">makers </w:t>
      </w:r>
      <w:r w:rsidR="006E4FF8">
        <w:t xml:space="preserve">might reasonably </w:t>
      </w:r>
      <w:r>
        <w:t xml:space="preserve">err on the side of caution and start with less stringent protection as their general </w:t>
      </w:r>
      <w:r>
        <w:lastRenderedPageBreak/>
        <w:t>position. Or put more simply, when the evidence is unclear, a ‘precautionary principle’ applied to IP might be to have less stringent IP rights rather than more.</w:t>
      </w:r>
    </w:p>
    <w:p w:rsidR="00067E9C" w:rsidRPr="004E3B94" w:rsidRDefault="00067E9C" w:rsidP="002D0E5B">
      <w:pPr>
        <w:pStyle w:val="BoxSpaceAboveElement"/>
        <w:rPr>
          <w:vanish w:val="0"/>
          <w:color w:val="auto"/>
        </w:rPr>
      </w:pPr>
      <w:r>
        <w:t>Do not delete this RETURN as it gives space between the info request and what precedes it.</w:t>
      </w: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0"/>
      </w:tblGrid>
      <w:tr w:rsidR="00067E9C" w:rsidTr="002D0E5B">
        <w:tc>
          <w:tcPr>
            <w:tcW w:w="8770" w:type="dxa"/>
            <w:tcBorders>
              <w:top w:val="single" w:sz="6" w:space="0" w:color="78A22F"/>
              <w:left w:val="nil"/>
              <w:bottom w:val="nil"/>
              <w:right w:val="nil"/>
            </w:tcBorders>
            <w:shd w:val="clear" w:color="auto" w:fill="auto"/>
          </w:tcPr>
          <w:p w:rsidR="00067E9C" w:rsidRPr="00CE4C64" w:rsidRDefault="00067E9C" w:rsidP="002D0E5B">
            <w:pPr>
              <w:pStyle w:val="InformationRequest"/>
            </w:pPr>
            <w:r>
              <w:t xml:space="preserve">How should a context of limited information, long legacy tails and IP policy irreversibility bear on the stringency of IP rights? In particular, if a precautionary principle is applied, should it err on the side of the consumers or on the side of the IP rights holder? In a global context, which approach best suits Australia? </w:t>
            </w:r>
          </w:p>
        </w:tc>
      </w:tr>
      <w:tr w:rsidR="00067E9C" w:rsidTr="002D0E5B">
        <w:tc>
          <w:tcPr>
            <w:tcW w:w="8770" w:type="dxa"/>
            <w:tcBorders>
              <w:top w:val="nil"/>
              <w:left w:val="nil"/>
              <w:bottom w:val="single" w:sz="6" w:space="0" w:color="78A22F"/>
              <w:right w:val="nil"/>
            </w:tcBorders>
            <w:shd w:val="clear" w:color="auto" w:fill="auto"/>
          </w:tcPr>
          <w:p w:rsidR="00067E9C" w:rsidRDefault="00067E9C" w:rsidP="002D0E5B">
            <w:pPr>
              <w:pStyle w:val="Space"/>
              <w:keepNext w:val="0"/>
              <w:keepLines/>
            </w:pPr>
          </w:p>
        </w:tc>
      </w:tr>
      <w:tr w:rsidR="00067E9C" w:rsidRPr="000863A5" w:rsidTr="002D0E5B">
        <w:trPr>
          <w:hidden/>
        </w:trPr>
        <w:tc>
          <w:tcPr>
            <w:tcW w:w="8770" w:type="dxa"/>
            <w:tcBorders>
              <w:top w:val="single" w:sz="6" w:space="0" w:color="78A22F"/>
              <w:left w:val="nil"/>
              <w:bottom w:val="nil"/>
              <w:right w:val="nil"/>
            </w:tcBorders>
          </w:tcPr>
          <w:p w:rsidR="00067E9C" w:rsidRPr="00626D32" w:rsidRDefault="00067E9C" w:rsidP="002D0E5B">
            <w:pPr>
              <w:pStyle w:val="BoxSpaceBelow"/>
              <w:keepLines/>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info request</w:t>
            </w:r>
            <w:r w:rsidRPr="00626D32">
              <w:rPr>
                <w:rFonts w:ascii="Times New Roman" w:hAnsi="Times New Roman"/>
                <w:b/>
                <w:vanish/>
                <w:color w:val="FF00FF"/>
              </w:rPr>
              <w:t xml:space="preserve"> and what follows it.</w:t>
            </w:r>
          </w:p>
        </w:tc>
      </w:tr>
    </w:tbl>
    <w:p w:rsidR="00CE0D84" w:rsidRDefault="00CE0D84" w:rsidP="00CE0D84">
      <w:pPr>
        <w:pStyle w:val="Heading3"/>
      </w:pPr>
      <w:r>
        <w:t>Bringing it all together</w:t>
      </w:r>
    </w:p>
    <w:p w:rsidR="00CE0D84" w:rsidRDefault="00CE0D84" w:rsidP="00CE0D84">
      <w:pPr>
        <w:pStyle w:val="BodyText"/>
      </w:pPr>
      <w:r>
        <w:t xml:space="preserve">The Commission’s proposed approach will rely on applying the principles of effectiveness, efficiency, adaptability and accountability in </w:t>
      </w:r>
      <w:r w:rsidR="00CB0A43">
        <w:t xml:space="preserve">assessing and </w:t>
      </w:r>
      <w:r>
        <w:t xml:space="preserve">recommending changes to the IP system. Such an approach is designed to make sure that the ultimate goal of improving </w:t>
      </w:r>
      <w:r w:rsidR="00917EAF">
        <w:t xml:space="preserve">the </w:t>
      </w:r>
      <w:r>
        <w:t xml:space="preserve">wellbeing of Australians — by having a well-functioning IP system — is achieved (figure </w:t>
      </w:r>
      <w:r w:rsidR="00D13AE9">
        <w:t>3</w:t>
      </w:r>
      <w:r>
        <w:t xml:space="preserve">). </w:t>
      </w:r>
    </w:p>
    <w:p w:rsidR="00CE0D84" w:rsidRDefault="00CE0D84" w:rsidP="00CE0D84">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CE0D84" w:rsidTr="00CE0FDF">
        <w:tc>
          <w:tcPr>
            <w:tcW w:w="8771" w:type="dxa"/>
            <w:tcBorders>
              <w:top w:val="single" w:sz="6" w:space="0" w:color="78A22F"/>
              <w:left w:val="nil"/>
              <w:bottom w:val="nil"/>
              <w:right w:val="nil"/>
            </w:tcBorders>
            <w:shd w:val="clear" w:color="auto" w:fill="auto"/>
          </w:tcPr>
          <w:p w:rsidR="00CE0D84" w:rsidRPr="00BB6FEB" w:rsidRDefault="00CE0D84" w:rsidP="00D13AE9">
            <w:pPr>
              <w:pStyle w:val="TableTitle"/>
            </w:pPr>
            <w:r w:rsidRPr="00C91060">
              <w:rPr>
                <w:b w:val="0"/>
              </w:rPr>
              <w:t xml:space="preserve">Figure </w:t>
            </w:r>
            <w:r w:rsidR="00D13AE9">
              <w:rPr>
                <w:b w:val="0"/>
              </w:rPr>
              <w:t>3</w:t>
            </w:r>
            <w:r>
              <w:tab/>
              <w:t>How the proposed principles fulfil the objective</w:t>
            </w:r>
          </w:p>
        </w:tc>
      </w:tr>
      <w:tr w:rsidR="00CE0D84" w:rsidTr="00CE0FDF">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CE0D84" w:rsidTr="00CE0FDF">
              <w:trPr>
                <w:jc w:val="center"/>
              </w:trPr>
              <w:tc>
                <w:tcPr>
                  <w:tcW w:w="5000" w:type="pct"/>
                  <w:tcBorders>
                    <w:top w:val="nil"/>
                    <w:bottom w:val="nil"/>
                  </w:tcBorders>
                </w:tcPr>
                <w:p w:rsidR="00CE0D84" w:rsidRDefault="00D13AE9" w:rsidP="00CE0FDF">
                  <w:pPr>
                    <w:pStyle w:val="Figure"/>
                    <w:spacing w:before="60" w:after="60"/>
                  </w:pPr>
                  <w:r>
                    <w:rPr>
                      <w:noProof/>
                    </w:rPr>
                    <w:drawing>
                      <wp:inline distT="0" distB="0" distL="0" distR="0" wp14:anchorId="032BB8A2" wp14:editId="3F56C810">
                        <wp:extent cx="5400040" cy="4324350"/>
                        <wp:effectExtent l="0" t="0" r="0" b="0"/>
                        <wp:docPr id="7" name="Picture 7" descr="The figure includes some questions that can be asked in assessing whether the IP system meets the four principles of effectiveness, efficiency, adaptability and accountability.&#10;&#10;Effectiveness. Does the IP system lead to additional IP being generated? Is the IP system effective in disseminating IP?&#10;&#10;Efficiency. Is the IP system getting the right balance between encouraging IP creation and costs that rights can cause? Is the IP system ensuring IP is being generated at the lowest cost? Is the IP system ensuring that IP is traded so that those that can use it most efficiently can do so? Is the IP system appropriately balancing the longer-run costs and benefits that stem from the system's effects on competition and innovation?&#10;&#10;Adaptability. Does the IP system adapt as the nature of innovation, competition and broader economic conditions change?&#10;&#10;Accountability. Are the policies and changes made to the IP system evidence-based and transparent?" title="Figure 3. How the proposed principles fulfil the obj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ciples fulfil the objectiv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4324350"/>
                                </a:xfrm>
                                <a:prstGeom prst="rect">
                                  <a:avLst/>
                                </a:prstGeom>
                              </pic:spPr>
                            </pic:pic>
                          </a:graphicData>
                        </a:graphic>
                      </wp:inline>
                    </w:drawing>
                  </w:r>
                </w:p>
              </w:tc>
            </w:tr>
          </w:tbl>
          <w:p w:rsidR="00CE0D84" w:rsidRDefault="00CE0D84" w:rsidP="00CE0FDF">
            <w:pPr>
              <w:pStyle w:val="Figure"/>
            </w:pPr>
          </w:p>
        </w:tc>
      </w:tr>
      <w:tr w:rsidR="00CE0D84" w:rsidTr="00CE0FDF">
        <w:tc>
          <w:tcPr>
            <w:tcW w:w="8771" w:type="dxa"/>
            <w:tcBorders>
              <w:top w:val="nil"/>
              <w:left w:val="nil"/>
              <w:bottom w:val="single" w:sz="6" w:space="0" w:color="78A22F"/>
              <w:right w:val="nil"/>
            </w:tcBorders>
            <w:shd w:val="clear" w:color="auto" w:fill="auto"/>
          </w:tcPr>
          <w:p w:rsidR="00CE0D84" w:rsidRDefault="00CE0D84" w:rsidP="00CE0FDF">
            <w:pPr>
              <w:pStyle w:val="Figurespace"/>
            </w:pPr>
          </w:p>
        </w:tc>
      </w:tr>
      <w:tr w:rsidR="00CE0D84" w:rsidRPr="000863A5" w:rsidTr="00CE0FDF">
        <w:tc>
          <w:tcPr>
            <w:tcW w:w="8771" w:type="dxa"/>
            <w:tcBorders>
              <w:top w:val="single" w:sz="6" w:space="0" w:color="78A22F"/>
              <w:left w:val="nil"/>
              <w:bottom w:val="nil"/>
              <w:right w:val="nil"/>
            </w:tcBorders>
          </w:tcPr>
          <w:p w:rsidR="00CE0D84" w:rsidRPr="00626D32" w:rsidRDefault="00CE0D84" w:rsidP="00CE0FDF">
            <w:pPr>
              <w:pStyle w:val="BoxSpaceBelow"/>
            </w:pPr>
          </w:p>
        </w:tc>
      </w:tr>
    </w:tbl>
    <w:p w:rsidR="00786683" w:rsidRPr="004E3B94" w:rsidRDefault="00786683" w:rsidP="00786683">
      <w:pPr>
        <w:pStyle w:val="BoxSpaceAboveElement"/>
        <w:rPr>
          <w:vanish w:val="0"/>
          <w:color w:val="auto"/>
        </w:rPr>
      </w:pPr>
      <w:r>
        <w:lastRenderedPageBreak/>
        <w:t>Do not delete this RETURN as it gives space between the info request and what precedes it.</w:t>
      </w: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0"/>
      </w:tblGrid>
      <w:tr w:rsidR="00786683" w:rsidTr="002D0E5B">
        <w:tc>
          <w:tcPr>
            <w:tcW w:w="8770" w:type="dxa"/>
            <w:tcBorders>
              <w:top w:val="single" w:sz="6" w:space="0" w:color="78A22F"/>
              <w:left w:val="nil"/>
              <w:bottom w:val="nil"/>
              <w:right w:val="nil"/>
            </w:tcBorders>
            <w:shd w:val="clear" w:color="auto" w:fill="auto"/>
          </w:tcPr>
          <w:p w:rsidR="00786683" w:rsidRPr="00CE4C64" w:rsidRDefault="00786683" w:rsidP="002D0E5B">
            <w:pPr>
              <w:pStyle w:val="InformationRequest"/>
            </w:pPr>
            <w:r>
              <w:t>Are there other principles that should be considered when assessing the IP rights system? Are there other factors relating to efficiency, effectiveness, adaptability and accountability that the Commission should consider as part of its inquiry?</w:t>
            </w:r>
          </w:p>
        </w:tc>
      </w:tr>
      <w:tr w:rsidR="00786683" w:rsidTr="002D0E5B">
        <w:tc>
          <w:tcPr>
            <w:tcW w:w="8770" w:type="dxa"/>
            <w:tcBorders>
              <w:top w:val="nil"/>
              <w:left w:val="nil"/>
              <w:bottom w:val="single" w:sz="6" w:space="0" w:color="78A22F"/>
              <w:right w:val="nil"/>
            </w:tcBorders>
            <w:shd w:val="clear" w:color="auto" w:fill="auto"/>
          </w:tcPr>
          <w:p w:rsidR="00786683" w:rsidRDefault="00786683" w:rsidP="002D0E5B">
            <w:pPr>
              <w:pStyle w:val="Space"/>
              <w:keepNext w:val="0"/>
              <w:keepLines/>
            </w:pPr>
          </w:p>
        </w:tc>
      </w:tr>
      <w:tr w:rsidR="00786683" w:rsidRPr="000863A5" w:rsidTr="002D0E5B">
        <w:trPr>
          <w:hidden/>
        </w:trPr>
        <w:tc>
          <w:tcPr>
            <w:tcW w:w="8770" w:type="dxa"/>
            <w:tcBorders>
              <w:top w:val="single" w:sz="6" w:space="0" w:color="78A22F"/>
              <w:left w:val="nil"/>
              <w:bottom w:val="nil"/>
              <w:right w:val="nil"/>
            </w:tcBorders>
          </w:tcPr>
          <w:p w:rsidR="00786683" w:rsidRPr="00626D32" w:rsidRDefault="00786683" w:rsidP="002D0E5B">
            <w:pPr>
              <w:pStyle w:val="BoxSpaceBelow"/>
              <w:keepLines/>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info request</w:t>
            </w:r>
            <w:r w:rsidRPr="00626D32">
              <w:rPr>
                <w:rFonts w:ascii="Times New Roman" w:hAnsi="Times New Roman"/>
                <w:b/>
                <w:vanish/>
                <w:color w:val="FF00FF"/>
              </w:rPr>
              <w:t xml:space="preserve"> and what follows it.</w:t>
            </w:r>
          </w:p>
        </w:tc>
      </w:tr>
    </w:tbl>
    <w:p w:rsidR="00786683" w:rsidRPr="00CA70FA" w:rsidRDefault="00786683" w:rsidP="00786683">
      <w:pPr>
        <w:pStyle w:val="BodyText"/>
      </w:pPr>
      <w:r>
        <w:t xml:space="preserve">The application of the framework is likely to vary between different parts of the IP system. For example, the law governing one sort of IP right may not be as ‘efficient’ as the law pertaining to another right. This means that the principles embodied in the Commission’s proposed framework have to be applied holistically — and flexibly — to each part of the system. The next section explains how this approach would work for different types of IP rights. </w:t>
      </w:r>
    </w:p>
    <w:p w:rsidR="00244AE3" w:rsidRDefault="00D54CAA" w:rsidP="00244AE3">
      <w:pPr>
        <w:pStyle w:val="Heading2"/>
      </w:pPr>
      <w:r>
        <w:rPr>
          <w:noProof/>
        </w:rPr>
        <w:t>4</w:t>
      </w:r>
      <w:r w:rsidR="00244AE3">
        <w:tab/>
        <w:t xml:space="preserve">Improving arrangements for specific forms of IP </w:t>
      </w:r>
    </w:p>
    <w:p w:rsidR="00244AE3" w:rsidRDefault="00244AE3" w:rsidP="00244AE3">
      <w:pPr>
        <w:pStyle w:val="BodyText"/>
      </w:pPr>
      <w:r>
        <w:t>The nature of the balance between IP creators and users varies across the different forms of IP, and is affected by a range of policy levers such as the nature, scope and duration of protection, the presence of exceptions and limitations, and options for enforcement (</w:t>
      </w:r>
      <w:r w:rsidR="00D13AE9">
        <w:t>figure</w:t>
      </w:r>
      <w:r w:rsidR="00F663A9">
        <w:t> </w:t>
      </w:r>
      <w:r w:rsidR="00D13AE9">
        <w:t>4</w:t>
      </w:r>
      <w:r>
        <w:t>).</w:t>
      </w:r>
    </w:p>
    <w:p w:rsidR="00244AE3" w:rsidRDefault="00244AE3" w:rsidP="00244AE3">
      <w:pPr>
        <w:pStyle w:val="BodyText"/>
      </w:pPr>
      <w:r>
        <w:t xml:space="preserve">IP rights </w:t>
      </w:r>
      <w:r w:rsidR="00675C81">
        <w:t>also vary in their ability to adapt to change.</w:t>
      </w:r>
      <w:r>
        <w:t xml:space="preserve"> The apparent inability of some aspects of the system to </w:t>
      </w:r>
      <w:r w:rsidR="00675C81">
        <w:t xml:space="preserve">effectively </w:t>
      </w:r>
      <w:r>
        <w:t>deal with new circumstances has prompted the emergence</w:t>
      </w:r>
      <w:r w:rsidR="007E4685">
        <w:t xml:space="preserve"> of new, specific </w:t>
      </w:r>
      <w:r>
        <w:t>rights. In other cases,</w:t>
      </w:r>
      <w:r w:rsidRPr="00D159D1">
        <w:t xml:space="preserve"> individuals and businesses </w:t>
      </w:r>
      <w:r w:rsidR="007B330E">
        <w:t>can be</w:t>
      </w:r>
      <w:r>
        <w:t xml:space="preserve"> uncertain </w:t>
      </w:r>
      <w:r w:rsidRPr="00D159D1">
        <w:t xml:space="preserve">as to whether they are likely to infringe the </w:t>
      </w:r>
      <w:r w:rsidR="007B330E">
        <w:t>IP </w:t>
      </w:r>
      <w:r w:rsidRPr="00D159D1">
        <w:t>rights of others</w:t>
      </w:r>
      <w:r>
        <w:t>.</w:t>
      </w:r>
    </w:p>
    <w:p w:rsidR="00675C81" w:rsidRDefault="007E4685" w:rsidP="00244AE3">
      <w:pPr>
        <w:pStyle w:val="BodyText"/>
      </w:pPr>
      <w:r>
        <w:t>The rest of this issues p</w:t>
      </w:r>
      <w:r w:rsidR="00675C81">
        <w:t xml:space="preserve">aper </w:t>
      </w:r>
      <w:r w:rsidR="00190749">
        <w:t>covers</w:t>
      </w:r>
      <w:r w:rsidR="00675C81">
        <w:t xml:space="preserve"> issues and questions in relation to Australia’s specific </w:t>
      </w:r>
      <w:r w:rsidR="00190749">
        <w:t xml:space="preserve">forms of </w:t>
      </w:r>
      <w:r w:rsidR="00675C81">
        <w:t>IP.</w:t>
      </w:r>
    </w:p>
    <w:p w:rsidR="00D13AE9" w:rsidRDefault="00D13AE9" w:rsidP="00CB0CD3">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D13AE9" w:rsidTr="00CB0CD3">
        <w:tc>
          <w:tcPr>
            <w:tcW w:w="8771" w:type="dxa"/>
            <w:tcBorders>
              <w:top w:val="single" w:sz="6" w:space="0" w:color="78A22F"/>
              <w:left w:val="nil"/>
              <w:bottom w:val="nil"/>
              <w:right w:val="nil"/>
            </w:tcBorders>
            <w:shd w:val="clear" w:color="auto" w:fill="auto"/>
          </w:tcPr>
          <w:p w:rsidR="00D13AE9" w:rsidRPr="00176D3F" w:rsidRDefault="00D13AE9" w:rsidP="00D13AE9">
            <w:pPr>
              <w:pStyle w:val="FigureTitle"/>
            </w:pPr>
            <w:r w:rsidRPr="00784A05">
              <w:rPr>
                <w:b w:val="0"/>
              </w:rPr>
              <w:t xml:space="preserve">Figure </w:t>
            </w:r>
            <w:r>
              <w:rPr>
                <w:b w:val="0"/>
              </w:rPr>
              <w:t>4</w:t>
            </w:r>
            <w:r>
              <w:tab/>
              <w:t>Applying the framework to IP arrangements</w:t>
            </w:r>
          </w:p>
        </w:tc>
      </w:tr>
      <w:tr w:rsidR="00D13AE9" w:rsidTr="00CB0CD3">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D13AE9" w:rsidTr="00CB0CD3">
              <w:trPr>
                <w:jc w:val="center"/>
              </w:trPr>
              <w:tc>
                <w:tcPr>
                  <w:tcW w:w="5000" w:type="pct"/>
                  <w:tcBorders>
                    <w:top w:val="nil"/>
                    <w:bottom w:val="nil"/>
                  </w:tcBorders>
                </w:tcPr>
                <w:p w:rsidR="00D13AE9" w:rsidRDefault="00D13AE9" w:rsidP="00CB0CD3">
                  <w:pPr>
                    <w:pStyle w:val="Figure"/>
                    <w:spacing w:before="60" w:after="60"/>
                  </w:pPr>
                  <w:r>
                    <w:rPr>
                      <w:noProof/>
                    </w:rPr>
                    <w:drawing>
                      <wp:inline distT="0" distB="0" distL="0" distR="0" wp14:anchorId="3D116890" wp14:editId="5FE53B05">
                        <wp:extent cx="5344668" cy="7565136"/>
                        <wp:effectExtent l="0" t="0" r="8890" b="0"/>
                        <wp:docPr id="8" name="Picture 8" descr="For each principle the figure lists overriding principles and system goals, and for each of these goals the relevant policy questions, examples of potential indicators and some potential policy levers. &#10;&#10;For effectiveness there are two overriding principles and system goals. ‘Targets additionality’ and ‘disseminates innovation and creative output’. For ‘targets additionality’ the relevant policy questions are: “Do IP rights encourage genuinely innovative and creative output that would not have otherwise occurred while avoiding rewarding innovation that would have occurred anyway?” Examples of potential indicators are “Economic value of ‘additional’ IP created, Use of other protections such as trade secrets or first mover advantages, and Use of other policy measures designed to encourage IP”. Some potential policy levers are “Criteria for granting IPRs, Administrative fees, and Provision of legal system to enforce contracts and agreements”. For ‘disseminates innovation and creative output’, relevant policy questions are “To what extent are innovations and creations being disseminated?”. Examples of potential indicators are “Adaptation and derivative works, Presence of orphan works, and Use of resources like creative commons.” Potential policy levers are “Fair use and fair dealing provisions, Orphan works rules and or registers, and Licensing tools.” &#10;&#10;For efficiency there are three overriding principles and system goals. ‘Does not unduly impede follow-on innovation’, ‘does not unduly restrict competition’ and ‘is the most efficient option’. For ‘does not unduly impede follow-on innovation’ one policy question is “To what extent do IP rights facilitate other inventions?” Examples of potential indicators for this policy question are “Extent of ‘cumulative’ innovation, and Creation of derivative works”. Potential policy levers for this policy question are “Criteria for granting IPRs, Administrative fees, Disclosure and safeguard requirements, and Price regulation.” Another policy question is ‘do arrangements allow rights to flow to those who value them most?’. An example of a potential indicator for this question is ‘trade in IP rights’. Potential policy levers for this question are Tradeability provisions, and Licencing arrangements. For ‘does not unduly restrict competition’, one set of policy questions are ‘To what extent do IP rights distort market outcomes? Are the rewards to creators proportional to their efforts?’. Potential indicators for this question are Market outcomes such as price and availability of goods and services. Potential policy levers for this question are Criteria for granting IPRs, Competition policy, and Price regulation. Another policy question is ‘What are the costs for participants in the IP system?’. Potential indicators for this question are Administrative costs, and Transactional costs. Potential policy levers for this question are Administrative rules, and Governance and enforcement arrangements. For ‘is the most efficient option’, relevant policy questions are ‘What are the costs and benefits of alternative policies for encouraging innovation?’. Potential indicators are Effectiveness and efficiency of alternative measures. Potential policy levers are R&amp;D funding, and Tax concessions. &#10;&#10;For adaptability there is one overriding principle and system goal: ‘can accommodate change’. One policy question is ‘Is there an underlying and robust framework and principles to guide policy?’. Potential indicators for this question are Administrative and legal decisions made with reference to appropriate and consistent framework. Potential policy levers for this question are Objects’ clauses and other forms of policy guidance, and Governance arrangements. Another policy question is ‘Can the system adjust to changes in technology and accommodate structural economic change?’. Potential indicators for this question are Legislative review and change, Sui generis approaches, and User confidence on whether they violate IP rights. Potential policy levers for this question are Principles based provisions, Technological neutrality of provisions, and Exceptions and limitations. &#10;&#10;For accountability there is one overriding principle and system goal: ‘transparent use of evidence in policy development’. The policy question is ‘Is policy development transparent and evidence-based?’. Potential indicators are Policy development ‘ draws on independent and objective analysis, and Stakeholders affected by policy change are consulted. Potential policy levers are Governance arrangements around policy development.&#10;" title="Figure 4. Applying the framework to IP arrang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ying the framework to IP arrangement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44668" cy="7565136"/>
                                </a:xfrm>
                                <a:prstGeom prst="rect">
                                  <a:avLst/>
                                </a:prstGeom>
                              </pic:spPr>
                            </pic:pic>
                          </a:graphicData>
                        </a:graphic>
                      </wp:inline>
                    </w:drawing>
                  </w:r>
                </w:p>
              </w:tc>
            </w:tr>
          </w:tbl>
          <w:p w:rsidR="00D13AE9" w:rsidRDefault="00D13AE9" w:rsidP="00CB0CD3">
            <w:pPr>
              <w:pStyle w:val="Figure"/>
            </w:pPr>
          </w:p>
        </w:tc>
      </w:tr>
      <w:tr w:rsidR="00D13AE9" w:rsidTr="00CB0CD3">
        <w:tc>
          <w:tcPr>
            <w:tcW w:w="8771" w:type="dxa"/>
            <w:tcBorders>
              <w:top w:val="nil"/>
              <w:left w:val="nil"/>
              <w:bottom w:val="single" w:sz="6" w:space="0" w:color="78A22F"/>
              <w:right w:val="nil"/>
            </w:tcBorders>
            <w:shd w:val="clear" w:color="auto" w:fill="auto"/>
          </w:tcPr>
          <w:p w:rsidR="00D13AE9" w:rsidRDefault="00D13AE9" w:rsidP="00CB0CD3">
            <w:pPr>
              <w:pStyle w:val="Figurespace"/>
            </w:pPr>
          </w:p>
        </w:tc>
      </w:tr>
      <w:tr w:rsidR="00D13AE9" w:rsidRPr="000863A5" w:rsidTr="00CB0CD3">
        <w:tc>
          <w:tcPr>
            <w:tcW w:w="8771" w:type="dxa"/>
            <w:tcBorders>
              <w:top w:val="single" w:sz="6" w:space="0" w:color="78A22F"/>
              <w:left w:val="nil"/>
              <w:bottom w:val="nil"/>
              <w:right w:val="nil"/>
            </w:tcBorders>
          </w:tcPr>
          <w:p w:rsidR="00D13AE9" w:rsidRPr="00626D32" w:rsidRDefault="00D13AE9" w:rsidP="00CB0CD3">
            <w:pPr>
              <w:pStyle w:val="BoxSpaceBelow"/>
            </w:pPr>
          </w:p>
        </w:tc>
      </w:tr>
    </w:tbl>
    <w:p w:rsidR="00CA70FA" w:rsidRDefault="00CA70FA" w:rsidP="00CA70FA">
      <w:pPr>
        <w:pStyle w:val="Heading3"/>
      </w:pPr>
      <w:r>
        <w:lastRenderedPageBreak/>
        <w:t>Patents</w:t>
      </w:r>
    </w:p>
    <w:p w:rsidR="00CA70FA" w:rsidRDefault="00CA70FA" w:rsidP="00CA70FA">
      <w:pPr>
        <w:pStyle w:val="BodyText"/>
        <w:rPr>
          <w:spacing w:val="-2"/>
        </w:rPr>
      </w:pPr>
      <w:r w:rsidRPr="008B6E02">
        <w:rPr>
          <w:spacing w:val="-2"/>
        </w:rPr>
        <w:t xml:space="preserve">Australia’s patent system aims to promote innovation by providing firms with exclusive rights to commercially exploit their inventions. </w:t>
      </w:r>
      <w:r>
        <w:rPr>
          <w:spacing w:val="-2"/>
        </w:rPr>
        <w:t xml:space="preserve">Patents are used in a wide range of industries — from medical technology and pharmaceuticals through to electrical machinery and apparatus. ‘Standard patents’ are granted for inventions deemed novel, inventive and useful compared with current knowledge. Most standard patents can last up to 20 years (pharmaceutical patents can last 25 years). ‘Innovation patents’ have a lower inventive threshold than standard patents, with the tradeoff being a lower maximum term of 8 years. </w:t>
      </w:r>
    </w:p>
    <w:p w:rsidR="00CA70FA" w:rsidRDefault="00CA70FA" w:rsidP="00CA70FA">
      <w:pPr>
        <w:pStyle w:val="BodyText"/>
        <w:rPr>
          <w:spacing w:val="-2"/>
        </w:rPr>
      </w:pPr>
      <w:r>
        <w:rPr>
          <w:spacing w:val="-2"/>
        </w:rPr>
        <w:t>Multiple</w:t>
      </w:r>
      <w:r w:rsidRPr="008B6E02">
        <w:rPr>
          <w:spacing w:val="-2"/>
        </w:rPr>
        <w:t xml:space="preserve"> features of the patent system influence outcomes for the community, including the scope and length of patent protection, administrative rules and processes</w:t>
      </w:r>
      <w:r>
        <w:rPr>
          <w:spacing w:val="-2"/>
        </w:rPr>
        <w:t xml:space="preserve"> for granting patents</w:t>
      </w:r>
      <w:r w:rsidRPr="008B6E02">
        <w:rPr>
          <w:spacing w:val="-2"/>
        </w:rPr>
        <w:t xml:space="preserve">, </w:t>
      </w:r>
      <w:r>
        <w:rPr>
          <w:spacing w:val="-2"/>
        </w:rPr>
        <w:t xml:space="preserve">and </w:t>
      </w:r>
      <w:r w:rsidRPr="008B6E02">
        <w:rPr>
          <w:spacing w:val="-2"/>
        </w:rPr>
        <w:t xml:space="preserve">legal remedies for protecting patent rights. </w:t>
      </w:r>
      <w:r>
        <w:rPr>
          <w:spacing w:val="-2"/>
        </w:rPr>
        <w:t xml:space="preserve">Policy makers may also design patent systems to address equity and ethical objectives. </w:t>
      </w:r>
    </w:p>
    <w:p w:rsidR="00CA70FA" w:rsidRDefault="00CA70FA" w:rsidP="00CA70FA">
      <w:pPr>
        <w:pStyle w:val="BodyText"/>
      </w:pPr>
      <w:r>
        <w:rPr>
          <w:spacing w:val="-2"/>
        </w:rPr>
        <w:t>Partial</w:t>
      </w:r>
      <w:r w:rsidRPr="001902AC">
        <w:rPr>
          <w:spacing w:val="-2"/>
        </w:rPr>
        <w:t xml:space="preserve"> evidence on the effects of patent protection on i</w:t>
      </w:r>
      <w:r>
        <w:rPr>
          <w:spacing w:val="-2"/>
        </w:rPr>
        <w:t>nnovation and community welfare</w:t>
      </w:r>
      <w:r w:rsidRPr="001902AC">
        <w:rPr>
          <w:spacing w:val="-2"/>
        </w:rPr>
        <w:t xml:space="preserve"> </w:t>
      </w:r>
      <w:r>
        <w:rPr>
          <w:spacing w:val="-2"/>
        </w:rPr>
        <w:t>makes d</w:t>
      </w:r>
      <w:r w:rsidRPr="001902AC">
        <w:rPr>
          <w:spacing w:val="-2"/>
        </w:rPr>
        <w:t xml:space="preserve">esigning an </w:t>
      </w:r>
      <w:r>
        <w:rPr>
          <w:spacing w:val="-2"/>
        </w:rPr>
        <w:t>effective and efficient patent system</w:t>
      </w:r>
      <w:r w:rsidRPr="001902AC">
        <w:rPr>
          <w:spacing w:val="-2"/>
        </w:rPr>
        <w:t xml:space="preserve"> </w:t>
      </w:r>
      <w:r>
        <w:rPr>
          <w:spacing w:val="-2"/>
        </w:rPr>
        <w:t>challenging. Debate exists about whether the benefits of patent protection outweigh the costs;</w:t>
      </w:r>
      <w:r w:rsidRPr="00A00F6D">
        <w:rPr>
          <w:spacing w:val="-2"/>
        </w:rPr>
        <w:t xml:space="preserve"> </w:t>
      </w:r>
      <w:r>
        <w:rPr>
          <w:spacing w:val="-2"/>
        </w:rPr>
        <w:t>for example, whether</w:t>
      </w:r>
      <w:r w:rsidRPr="00A00F6D">
        <w:rPr>
          <w:spacing w:val="-2"/>
        </w:rPr>
        <w:t xml:space="preserve"> patents impede ‘follow-on</w:t>
      </w:r>
      <w:r>
        <w:rPr>
          <w:spacing w:val="-2"/>
        </w:rPr>
        <w:t>’</w:t>
      </w:r>
      <w:r w:rsidRPr="00A00F6D">
        <w:rPr>
          <w:spacing w:val="-2"/>
        </w:rPr>
        <w:t xml:space="preserve"> innovations that build on patented inventions. While the empirical evidence sheds some light on the various tradeoffs at play, the evidence varies across sectors of the economy. </w:t>
      </w:r>
    </w:p>
    <w:p w:rsidR="007E4685" w:rsidRPr="00A00F6D" w:rsidRDefault="007E4685" w:rsidP="007E4685">
      <w:pPr>
        <w:pStyle w:val="BodyText"/>
        <w:rPr>
          <w:spacing w:val="-2"/>
        </w:rPr>
      </w:pPr>
      <w:r>
        <w:rPr>
          <w:spacing w:val="-2"/>
        </w:rPr>
        <w:t xml:space="preserve">A survey of recent research concluded that if there is an increase in innovation due to patents, it is likely to be concentrated in a subset of industries, including pharmaceuticals, biotechnology and medical instruments </w:t>
      </w:r>
      <w:r w:rsidR="00C42EF4">
        <w:rPr>
          <w:szCs w:val="24"/>
        </w:rPr>
        <w:t xml:space="preserve">(Hall and </w:t>
      </w:r>
      <w:proofErr w:type="spellStart"/>
      <w:r w:rsidR="00C42EF4">
        <w:rPr>
          <w:szCs w:val="24"/>
        </w:rPr>
        <w:t>Harhoff</w:t>
      </w:r>
      <w:proofErr w:type="spellEnd"/>
      <w:r w:rsidR="00C42EF4">
        <w:rPr>
          <w:szCs w:val="24"/>
        </w:rPr>
        <w:t> 2012</w:t>
      </w:r>
      <w:r w:rsidR="00D14987" w:rsidRPr="00D14987">
        <w:rPr>
          <w:szCs w:val="24"/>
        </w:rPr>
        <w:t>)</w:t>
      </w:r>
      <w:r>
        <w:rPr>
          <w:spacing w:val="-2"/>
        </w:rPr>
        <w:t>. The research suggests that outside of these fields, there are other, more important, means to appropriate returns to innovation.</w:t>
      </w:r>
    </w:p>
    <w:p w:rsidR="007E4685" w:rsidRDefault="007E4685" w:rsidP="007E4685">
      <w:pPr>
        <w:pStyle w:val="BodyText"/>
        <w:rPr>
          <w:spacing w:val="-2"/>
        </w:rPr>
      </w:pPr>
      <w:r>
        <w:rPr>
          <w:spacing w:val="-2"/>
        </w:rPr>
        <w:t>D</w:t>
      </w:r>
      <w:r w:rsidRPr="008B6E02">
        <w:rPr>
          <w:spacing w:val="-2"/>
        </w:rPr>
        <w:t xml:space="preserve">igital technologies and the way firms innovate </w:t>
      </w:r>
      <w:r>
        <w:rPr>
          <w:spacing w:val="-2"/>
        </w:rPr>
        <w:t>add to the</w:t>
      </w:r>
      <w:r w:rsidRPr="008B6E02">
        <w:rPr>
          <w:spacing w:val="-2"/>
        </w:rPr>
        <w:t xml:space="preserve"> challenges of designing an </w:t>
      </w:r>
      <w:r>
        <w:rPr>
          <w:spacing w:val="-2"/>
        </w:rPr>
        <w:t xml:space="preserve">effective and </w:t>
      </w:r>
      <w:r w:rsidRPr="008B6E02">
        <w:rPr>
          <w:spacing w:val="-2"/>
        </w:rPr>
        <w:t xml:space="preserve">efficient patent system. Australia’s patent system has expanded to cover </w:t>
      </w:r>
      <w:r>
        <w:rPr>
          <w:spacing w:val="-2"/>
        </w:rPr>
        <w:t>new</w:t>
      </w:r>
      <w:r w:rsidRPr="008B6E02">
        <w:rPr>
          <w:spacing w:val="-2"/>
        </w:rPr>
        <w:t xml:space="preserve"> sectors and innovations</w:t>
      </w:r>
      <w:r>
        <w:rPr>
          <w:spacing w:val="-2"/>
        </w:rPr>
        <w:t xml:space="preserve"> —</w:t>
      </w:r>
      <w:r w:rsidRPr="008B6E02">
        <w:rPr>
          <w:spacing w:val="-2"/>
        </w:rPr>
        <w:t xml:space="preserve"> such as software and business methods</w:t>
      </w:r>
      <w:r>
        <w:rPr>
          <w:spacing w:val="-2"/>
        </w:rPr>
        <w:t xml:space="preserve"> — and t</w:t>
      </w:r>
      <w:r w:rsidRPr="008B6E02">
        <w:rPr>
          <w:spacing w:val="-2"/>
        </w:rPr>
        <w:t xml:space="preserve">he growing importance of cumulative research in areas such as </w:t>
      </w:r>
      <w:r>
        <w:rPr>
          <w:spacing w:val="-2"/>
        </w:rPr>
        <w:t>information technology</w:t>
      </w:r>
      <w:r w:rsidRPr="008B6E02">
        <w:rPr>
          <w:spacing w:val="-2"/>
        </w:rPr>
        <w:t xml:space="preserve"> and medical instruments has increased the risk of the patent system impeding follow-on innovation. </w:t>
      </w:r>
      <w:r>
        <w:rPr>
          <w:spacing w:val="-2"/>
        </w:rPr>
        <w:t xml:space="preserve">At the same time the patent system has had to accommodate technological and other changes, </w:t>
      </w:r>
      <w:r w:rsidRPr="008B6E02">
        <w:rPr>
          <w:spacing w:val="-2"/>
        </w:rPr>
        <w:t xml:space="preserve">global frameworks and bilateral and regional trade agreements </w:t>
      </w:r>
      <w:r>
        <w:rPr>
          <w:spacing w:val="-2"/>
        </w:rPr>
        <w:t>are a constraint on IP policy flexibility.</w:t>
      </w:r>
    </w:p>
    <w:p w:rsidR="00914390" w:rsidRDefault="00496CA6" w:rsidP="00914390">
      <w:pPr>
        <w:pStyle w:val="BodyText"/>
        <w:rPr>
          <w:spacing w:val="-2"/>
        </w:rPr>
      </w:pPr>
      <w:r>
        <w:rPr>
          <w:spacing w:val="-2"/>
        </w:rPr>
        <w:t xml:space="preserve">Reflecting </w:t>
      </w:r>
      <w:r w:rsidR="00DD6C27">
        <w:rPr>
          <w:spacing w:val="-2"/>
        </w:rPr>
        <w:t xml:space="preserve">some of </w:t>
      </w:r>
      <w:r>
        <w:rPr>
          <w:spacing w:val="-2"/>
        </w:rPr>
        <w:t>these difficulties</w:t>
      </w:r>
      <w:r w:rsidR="00914390" w:rsidRPr="005E43D5">
        <w:rPr>
          <w:spacing w:val="-2"/>
        </w:rPr>
        <w:t xml:space="preserve">, IP policy in Australia has been the subject of recent reviews and reforms. The </w:t>
      </w:r>
      <w:r w:rsidR="00914390" w:rsidRPr="005E43D5">
        <w:rPr>
          <w:i/>
          <w:spacing w:val="-2"/>
        </w:rPr>
        <w:t>Intellectual Property Laws Amendment (Raising the Bar) Act</w:t>
      </w:r>
      <w:r w:rsidR="00914390" w:rsidRPr="005E43D5">
        <w:rPr>
          <w:spacing w:val="-2"/>
        </w:rPr>
        <w:t xml:space="preserve"> </w:t>
      </w:r>
      <w:r w:rsidR="00914390" w:rsidRPr="005E43D5">
        <w:rPr>
          <w:i/>
          <w:spacing w:val="-2"/>
        </w:rPr>
        <w:t>2012</w:t>
      </w:r>
      <w:r w:rsidR="00914390" w:rsidRPr="005E43D5">
        <w:rPr>
          <w:spacing w:val="-2"/>
        </w:rPr>
        <w:t xml:space="preserve"> (Cwlth) raised the inventive step and standard of proof required for an invention to be granted patent protection. A review into pharmaceutical patents recommended </w:t>
      </w:r>
      <w:r w:rsidR="00914390">
        <w:rPr>
          <w:spacing w:val="-2"/>
        </w:rPr>
        <w:t>reducing</w:t>
      </w:r>
      <w:r w:rsidR="00914390" w:rsidRPr="005E43D5">
        <w:rPr>
          <w:spacing w:val="-2"/>
        </w:rPr>
        <w:t xml:space="preserve"> the</w:t>
      </w:r>
      <w:r w:rsidR="00914390">
        <w:rPr>
          <w:spacing w:val="-2"/>
        </w:rPr>
        <w:t xml:space="preserve"> maximum</w:t>
      </w:r>
      <w:r w:rsidR="00914390" w:rsidRPr="005E43D5">
        <w:rPr>
          <w:spacing w:val="-2"/>
        </w:rPr>
        <w:t xml:space="preserve"> effective life of pharmaceutical patents</w:t>
      </w:r>
      <w:r w:rsidR="00914390">
        <w:rPr>
          <w:spacing w:val="-2"/>
        </w:rPr>
        <w:t xml:space="preserve"> that receive an extension of term </w:t>
      </w:r>
      <w:r w:rsidR="00064901">
        <w:rPr>
          <w:spacing w:val="-2"/>
        </w:rPr>
        <w:t>by between 3 and 5 </w:t>
      </w:r>
      <w:r w:rsidR="00914390" w:rsidRPr="005E43D5">
        <w:rPr>
          <w:spacing w:val="-2"/>
        </w:rPr>
        <w:t>years</w:t>
      </w:r>
      <w:r w:rsidR="00A175D9">
        <w:rPr>
          <w:spacing w:val="-2"/>
        </w:rPr>
        <w:t xml:space="preserve"> </w:t>
      </w:r>
      <w:r w:rsidR="009B6DC1" w:rsidRPr="009B6DC1">
        <w:rPr>
          <w:szCs w:val="24"/>
        </w:rPr>
        <w:t xml:space="preserve">(Harris, Nicol and </w:t>
      </w:r>
      <w:proofErr w:type="spellStart"/>
      <w:r w:rsidR="009B6DC1" w:rsidRPr="009B6DC1">
        <w:rPr>
          <w:szCs w:val="24"/>
        </w:rPr>
        <w:t>Gruen</w:t>
      </w:r>
      <w:proofErr w:type="spellEnd"/>
      <w:r w:rsidR="009B6DC1" w:rsidRPr="009B6DC1">
        <w:rPr>
          <w:szCs w:val="24"/>
        </w:rPr>
        <w:t> 2013)</w:t>
      </w:r>
      <w:r w:rsidR="00914390" w:rsidRPr="005E43D5">
        <w:rPr>
          <w:spacing w:val="-2"/>
        </w:rPr>
        <w:t>.</w:t>
      </w:r>
      <w:r w:rsidR="00914390">
        <w:rPr>
          <w:spacing w:val="-2"/>
        </w:rPr>
        <w:t xml:space="preserve"> </w:t>
      </w:r>
      <w:r w:rsidR="00914390" w:rsidRPr="005E43D5">
        <w:rPr>
          <w:spacing w:val="-2"/>
        </w:rPr>
        <w:t>Following recent reviews into the innovation patent sys</w:t>
      </w:r>
      <w:r>
        <w:rPr>
          <w:spacing w:val="-2"/>
        </w:rPr>
        <w:t>tem, IP </w:t>
      </w:r>
      <w:r w:rsidR="00914390" w:rsidRPr="005E43D5">
        <w:rPr>
          <w:spacing w:val="-2"/>
        </w:rPr>
        <w:t>Australia is currently consulting with stakeholders on whether the system should be abolished.</w:t>
      </w:r>
    </w:p>
    <w:p w:rsidR="00914390" w:rsidRDefault="00914390" w:rsidP="00914390">
      <w:pPr>
        <w:pStyle w:val="BodyText"/>
      </w:pPr>
      <w:r>
        <w:lastRenderedPageBreak/>
        <w:t xml:space="preserve">This inquiry provides an opportunity for the Commission to assess recent reforms to the patent system and whether further reform would provide net benefits to the community. </w:t>
      </w:r>
    </w:p>
    <w:p w:rsidR="00ED4BE5" w:rsidRPr="004E3B94" w:rsidRDefault="00ED4BE5" w:rsidP="00ED4BE5">
      <w:pPr>
        <w:pStyle w:val="BoxSpaceAboveElement"/>
        <w:rPr>
          <w:vanish w:val="0"/>
          <w:color w:val="auto"/>
        </w:rPr>
      </w:pPr>
      <w:r>
        <w:t>Do not delete this RETURN as it gives space between the info request and what precedes it.</w:t>
      </w: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0"/>
      </w:tblGrid>
      <w:tr w:rsidR="00ED4BE5" w:rsidTr="00ED4BE5">
        <w:tc>
          <w:tcPr>
            <w:tcW w:w="8770" w:type="dxa"/>
            <w:tcBorders>
              <w:top w:val="single" w:sz="6" w:space="0" w:color="78A22F"/>
              <w:left w:val="nil"/>
              <w:bottom w:val="nil"/>
              <w:right w:val="nil"/>
            </w:tcBorders>
            <w:shd w:val="clear" w:color="auto" w:fill="auto"/>
          </w:tcPr>
          <w:p w:rsidR="00ED4BE5" w:rsidRDefault="00ED4BE5" w:rsidP="00ED4BE5">
            <w:pPr>
              <w:pStyle w:val="InformationRequest"/>
              <w:spacing w:before="240"/>
            </w:pPr>
            <w:r>
              <w:t xml:space="preserve">What evidence is there that patents have facilitated innovations that would not have otherwise occurred, or have imposed costs on the community, including by impeding follow-on innovation? </w:t>
            </w:r>
          </w:p>
          <w:p w:rsidR="00ED4BE5" w:rsidRDefault="00ED4BE5" w:rsidP="00ED4BE5">
            <w:pPr>
              <w:pStyle w:val="InformationRequest"/>
              <w:spacing w:before="240"/>
            </w:pPr>
            <w:r>
              <w:t>Are there aspects of Australia’s patent system that act as a barrier to innovation and growth? If so, how could these barriers be addressed?</w:t>
            </w:r>
          </w:p>
          <w:p w:rsidR="00ED4BE5" w:rsidRDefault="00ED4BE5" w:rsidP="00ED4BE5">
            <w:pPr>
              <w:pStyle w:val="InformationRequest"/>
              <w:spacing w:before="240"/>
            </w:pPr>
            <w:r>
              <w:t>Do patents provide rewards that are proportional to the effort to generate IP? What evidence is there to show this? How should effort be measured? How does the balance of costs and benefits from patent protection compare across sectors and innovations?</w:t>
            </w:r>
          </w:p>
          <w:p w:rsidR="00ED4BE5" w:rsidRDefault="00ED4BE5" w:rsidP="00ED4BE5">
            <w:pPr>
              <w:pStyle w:val="InformationRequest"/>
              <w:spacing w:before="240"/>
            </w:pPr>
            <w:r>
              <w:t xml:space="preserve">What scope is there to better </w:t>
            </w:r>
            <w:r w:rsidRPr="005B5496">
              <w:t xml:space="preserve">leverage the economic benefits of patents, </w:t>
            </w:r>
            <w:r>
              <w:t xml:space="preserve">by </w:t>
            </w:r>
            <w:r w:rsidRPr="005B5496">
              <w:t>tak</w:t>
            </w:r>
            <w:r>
              <w:t>ing</w:t>
            </w:r>
            <w:r w:rsidRPr="005B5496">
              <w:t xml:space="preserve"> steps to improve the diffusion of patent information</w:t>
            </w:r>
            <w:r>
              <w:t>?</w:t>
            </w:r>
          </w:p>
          <w:p w:rsidR="00ED4BE5" w:rsidRDefault="00ED4BE5" w:rsidP="00ED4BE5">
            <w:pPr>
              <w:pStyle w:val="InformationRequest"/>
              <w:spacing w:before="240"/>
            </w:pPr>
            <w:r w:rsidRPr="0048008E">
              <w:t>Is the patent system sufficiently flexible to accommodate changes in technology and business practices?</w:t>
            </w:r>
          </w:p>
          <w:p w:rsidR="00ED4BE5" w:rsidRPr="00984155" w:rsidRDefault="00ED4BE5" w:rsidP="00ED4BE5">
            <w:pPr>
              <w:pStyle w:val="InformationRequest"/>
              <w:spacing w:before="240"/>
            </w:pPr>
            <w:r>
              <w:t>Do the criteria for patentability in the Patents Act 1990 (Cwlth) help the patent system to meet its objectives? Would introducing economic criteria for patentability and/or gradually reducing the duration of patent protection substantially improve the efficiency and effectiveness of the patent system?</w:t>
            </w:r>
          </w:p>
          <w:p w:rsidR="00ED4BE5" w:rsidRDefault="00ED4BE5" w:rsidP="00ED4BE5">
            <w:pPr>
              <w:pStyle w:val="InformationRequest"/>
              <w:spacing w:before="240"/>
            </w:pPr>
            <w:r>
              <w:t>Is the existing coverage of patents optimal? Are there areas of innovation that should be included/excluded? Should the duration of patent protection take into account how the development of IP was funded?</w:t>
            </w:r>
          </w:p>
          <w:p w:rsidR="00ED4BE5" w:rsidRPr="00CE4C64" w:rsidRDefault="00ED4BE5" w:rsidP="00837A02">
            <w:pPr>
              <w:pStyle w:val="InformationRequest"/>
              <w:spacing w:before="240"/>
            </w:pPr>
            <w:r w:rsidRPr="00AB29FE">
              <w:t>Are there any issues with the administrative arrangements of IP Australia for assessing and granting patents?</w:t>
            </w:r>
          </w:p>
        </w:tc>
      </w:tr>
      <w:tr w:rsidR="00ED4BE5" w:rsidTr="00ED4BE5">
        <w:tc>
          <w:tcPr>
            <w:tcW w:w="8770" w:type="dxa"/>
            <w:tcBorders>
              <w:top w:val="nil"/>
              <w:left w:val="nil"/>
              <w:bottom w:val="single" w:sz="6" w:space="0" w:color="78A22F"/>
              <w:right w:val="nil"/>
            </w:tcBorders>
            <w:shd w:val="clear" w:color="auto" w:fill="auto"/>
          </w:tcPr>
          <w:p w:rsidR="00ED4BE5" w:rsidRDefault="00ED4BE5" w:rsidP="00ED4BE5">
            <w:pPr>
              <w:pStyle w:val="Space"/>
              <w:keepNext w:val="0"/>
              <w:keepLines/>
            </w:pPr>
          </w:p>
        </w:tc>
      </w:tr>
      <w:tr w:rsidR="00ED4BE5" w:rsidRPr="000863A5" w:rsidTr="00ED4BE5">
        <w:trPr>
          <w:hidden/>
        </w:trPr>
        <w:tc>
          <w:tcPr>
            <w:tcW w:w="8770" w:type="dxa"/>
            <w:tcBorders>
              <w:top w:val="single" w:sz="6" w:space="0" w:color="78A22F"/>
              <w:left w:val="nil"/>
              <w:bottom w:val="nil"/>
              <w:right w:val="nil"/>
            </w:tcBorders>
          </w:tcPr>
          <w:p w:rsidR="00ED4BE5" w:rsidRPr="00626D32" w:rsidRDefault="00ED4BE5" w:rsidP="00ED4BE5">
            <w:pPr>
              <w:pStyle w:val="BoxSpaceBelow"/>
              <w:keepLines/>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info request</w:t>
            </w:r>
            <w:r w:rsidRPr="00626D32">
              <w:rPr>
                <w:rFonts w:ascii="Times New Roman" w:hAnsi="Times New Roman"/>
                <w:b/>
                <w:vanish/>
                <w:color w:val="FF00FF"/>
              </w:rPr>
              <w:t xml:space="preserve"> and what follows it.</w:t>
            </w:r>
          </w:p>
        </w:tc>
      </w:tr>
    </w:tbl>
    <w:p w:rsidR="002A2EDB" w:rsidRDefault="002A2EDB" w:rsidP="00CB4F4B">
      <w:pPr>
        <w:pStyle w:val="Heading4"/>
      </w:pPr>
      <w:r>
        <w:t>Data protection</w:t>
      </w:r>
    </w:p>
    <w:p w:rsidR="002A2EDB" w:rsidRDefault="002A2EDB" w:rsidP="002A2EDB">
      <w:pPr>
        <w:pStyle w:val="BodyText"/>
      </w:pPr>
      <w:r>
        <w:t xml:space="preserve">Data protection operates separately but often in parallel to the patent system. </w:t>
      </w:r>
      <w:r w:rsidR="00B355BF" w:rsidRPr="00B355BF">
        <w:t>It prevents unauthorised use of test data used to apply for regulatory approval of products such as therapeutic goods and agricultural products.</w:t>
      </w:r>
      <w:r>
        <w:t xml:space="preserve"> The protection of data has become a source of debate, particularly in relation to biologics, with some arguing that the scope and length of data protection (currently five years) should be extended to match the length offered in other jurisdictions such as the </w:t>
      </w:r>
      <w:r w:rsidR="002B63DC">
        <w:t>United States</w:t>
      </w:r>
      <w:r>
        <w:t xml:space="preserve">, </w:t>
      </w:r>
      <w:r w:rsidR="002B63DC">
        <w:t>European Union</w:t>
      </w:r>
      <w:r>
        <w:t xml:space="preserve"> and Japan. </w:t>
      </w:r>
      <w:r w:rsidRPr="00CB4F4B">
        <w:t xml:space="preserve">Others argue that extending data protection provides only limited benefits </w:t>
      </w:r>
      <w:r w:rsidR="00B355BF" w:rsidRPr="00CB4F4B">
        <w:t xml:space="preserve">for the manufacturers of original pharmaceutical products </w:t>
      </w:r>
      <w:r w:rsidRPr="00CB4F4B">
        <w:t xml:space="preserve">and has little impact on the level of pharmaceutical investment </w:t>
      </w:r>
      <w:r w:rsidR="009B6DC1" w:rsidRPr="009B6DC1">
        <w:rPr>
          <w:szCs w:val="24"/>
        </w:rPr>
        <w:t xml:space="preserve">(Harris, Nicol and </w:t>
      </w:r>
      <w:proofErr w:type="spellStart"/>
      <w:r w:rsidR="009B6DC1" w:rsidRPr="009B6DC1">
        <w:rPr>
          <w:szCs w:val="24"/>
        </w:rPr>
        <w:t>Gruen</w:t>
      </w:r>
      <w:proofErr w:type="spellEnd"/>
      <w:r w:rsidR="009B6DC1" w:rsidRPr="009B6DC1">
        <w:rPr>
          <w:szCs w:val="24"/>
        </w:rPr>
        <w:t> 2013)</w:t>
      </w:r>
      <w:r w:rsidRPr="00CB4F4B">
        <w:t>.</w:t>
      </w:r>
    </w:p>
    <w:p w:rsidR="00ED4BE5" w:rsidRPr="004E3B94" w:rsidRDefault="00ED4BE5" w:rsidP="00ED4BE5">
      <w:pPr>
        <w:pStyle w:val="BoxSpaceAboveElement"/>
        <w:rPr>
          <w:vanish w:val="0"/>
          <w:color w:val="auto"/>
        </w:rPr>
      </w:pPr>
      <w:r>
        <w:lastRenderedPageBreak/>
        <w:t>Do not delete this RETURN as it gives space between the info request and what precedes it.</w:t>
      </w: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0"/>
      </w:tblGrid>
      <w:tr w:rsidR="00ED4BE5" w:rsidTr="00ED4BE5">
        <w:tc>
          <w:tcPr>
            <w:tcW w:w="8770" w:type="dxa"/>
            <w:tcBorders>
              <w:top w:val="single" w:sz="6" w:space="0" w:color="78A22F"/>
              <w:left w:val="nil"/>
              <w:bottom w:val="nil"/>
              <w:right w:val="nil"/>
            </w:tcBorders>
            <w:shd w:val="clear" w:color="auto" w:fill="auto"/>
          </w:tcPr>
          <w:p w:rsidR="00E15166" w:rsidRDefault="00ED4BE5" w:rsidP="00837A02">
            <w:pPr>
              <w:pStyle w:val="BodyText"/>
              <w:rPr>
                <w:rFonts w:ascii="Arial" w:hAnsi="Arial"/>
                <w:i/>
                <w:sz w:val="22"/>
              </w:rPr>
            </w:pPr>
            <w:r w:rsidRPr="00CB4F4B">
              <w:rPr>
                <w:rFonts w:ascii="Arial" w:hAnsi="Arial"/>
                <w:i/>
                <w:sz w:val="22"/>
              </w:rPr>
              <w:t xml:space="preserve">How does Australia’s current protection of regulatory test data affect innovation and the diffusion of new products? </w:t>
            </w:r>
          </w:p>
          <w:p w:rsidR="00E15166" w:rsidRDefault="00ED4BE5" w:rsidP="00837A02">
            <w:pPr>
              <w:pStyle w:val="BodyText"/>
              <w:rPr>
                <w:rFonts w:ascii="Arial" w:hAnsi="Arial"/>
                <w:i/>
                <w:sz w:val="22"/>
              </w:rPr>
            </w:pPr>
            <w:r>
              <w:rPr>
                <w:rFonts w:ascii="Arial" w:hAnsi="Arial"/>
                <w:i/>
                <w:sz w:val="22"/>
              </w:rPr>
              <w:t xml:space="preserve">Do data protection arrangements limit the ability of parties to understand breakthroughs and build on innovation? </w:t>
            </w:r>
          </w:p>
          <w:p w:rsidR="00ED4BE5" w:rsidRPr="00CE4C64" w:rsidRDefault="00ED4BE5" w:rsidP="00837A02">
            <w:pPr>
              <w:pStyle w:val="BodyText"/>
            </w:pPr>
            <w:r w:rsidRPr="00CB4F4B">
              <w:rPr>
                <w:rFonts w:ascii="Arial" w:hAnsi="Arial"/>
                <w:i/>
                <w:sz w:val="22"/>
              </w:rPr>
              <w:t>Could Australia’s arrangements for the protection of test data be improved?</w:t>
            </w:r>
          </w:p>
        </w:tc>
      </w:tr>
      <w:tr w:rsidR="00ED4BE5" w:rsidTr="00ED4BE5">
        <w:tc>
          <w:tcPr>
            <w:tcW w:w="8770" w:type="dxa"/>
            <w:tcBorders>
              <w:top w:val="nil"/>
              <w:left w:val="nil"/>
              <w:bottom w:val="single" w:sz="6" w:space="0" w:color="78A22F"/>
              <w:right w:val="nil"/>
            </w:tcBorders>
            <w:shd w:val="clear" w:color="auto" w:fill="auto"/>
          </w:tcPr>
          <w:p w:rsidR="00ED4BE5" w:rsidRDefault="00ED4BE5" w:rsidP="00ED4BE5">
            <w:pPr>
              <w:pStyle w:val="Space"/>
              <w:keepNext w:val="0"/>
              <w:keepLines/>
            </w:pPr>
          </w:p>
        </w:tc>
      </w:tr>
      <w:tr w:rsidR="00ED4BE5" w:rsidRPr="000863A5" w:rsidTr="00ED4BE5">
        <w:trPr>
          <w:hidden/>
        </w:trPr>
        <w:tc>
          <w:tcPr>
            <w:tcW w:w="8770" w:type="dxa"/>
            <w:tcBorders>
              <w:top w:val="single" w:sz="6" w:space="0" w:color="78A22F"/>
              <w:left w:val="nil"/>
              <w:bottom w:val="nil"/>
              <w:right w:val="nil"/>
            </w:tcBorders>
          </w:tcPr>
          <w:p w:rsidR="00ED4BE5" w:rsidRPr="00626D32" w:rsidRDefault="00ED4BE5" w:rsidP="00ED4BE5">
            <w:pPr>
              <w:pStyle w:val="BoxSpaceBelow"/>
              <w:keepLines/>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info request</w:t>
            </w:r>
            <w:r w:rsidRPr="00626D32">
              <w:rPr>
                <w:rFonts w:ascii="Times New Roman" w:hAnsi="Times New Roman"/>
                <w:b/>
                <w:vanish/>
                <w:color w:val="FF00FF"/>
              </w:rPr>
              <w:t xml:space="preserve"> and what follows it.</w:t>
            </w:r>
          </w:p>
        </w:tc>
      </w:tr>
    </w:tbl>
    <w:p w:rsidR="004C2370" w:rsidRDefault="004C2370" w:rsidP="00CB4F4B">
      <w:pPr>
        <w:pStyle w:val="Heading3"/>
      </w:pPr>
      <w:r>
        <w:t>Copyright</w:t>
      </w:r>
    </w:p>
    <w:p w:rsidR="004C2370" w:rsidRDefault="004C2370" w:rsidP="004C2370">
      <w:pPr>
        <w:pStyle w:val="BodyText"/>
      </w:pPr>
      <w:r>
        <w:t>C</w:t>
      </w:r>
      <w:r w:rsidRPr="007E45D7">
        <w:t xml:space="preserve">opyright </w:t>
      </w:r>
      <w:r>
        <w:t xml:space="preserve">protects </w:t>
      </w:r>
      <w:r w:rsidRPr="007E45D7">
        <w:t>the original expression</w:t>
      </w:r>
      <w:r>
        <w:t>, in a material form,</w:t>
      </w:r>
      <w:r w:rsidRPr="007E45D7">
        <w:t xml:space="preserve"> of ideas or information.</w:t>
      </w:r>
      <w:r>
        <w:t xml:space="preserve"> Literary, musical, artistic and dramatic works can all qualify for copyright protection. Copyright also separately protects sound recordings, films, television and radio broadcasts, and books. </w:t>
      </w:r>
    </w:p>
    <w:p w:rsidR="004C2370" w:rsidRPr="002D0E5B" w:rsidRDefault="004C2370" w:rsidP="004C2370">
      <w:pPr>
        <w:pStyle w:val="BodyText"/>
        <w:rPr>
          <w:spacing w:val="-2"/>
        </w:rPr>
      </w:pPr>
      <w:r w:rsidRPr="002D0E5B">
        <w:rPr>
          <w:spacing w:val="-2"/>
        </w:rPr>
        <w:t>Similar to other IP laws, copyright seeks to encourage creative output by granting ‘exclusive rights’ to creators to enable them to deal commercially with their works. Creators commonly licence their work to intermediaries, such as publishers,</w:t>
      </w:r>
      <w:r w:rsidR="00A037D2" w:rsidRPr="002D0E5B">
        <w:rPr>
          <w:spacing w:val="-2"/>
        </w:rPr>
        <w:t xml:space="preserve"> record companies, film studios, </w:t>
      </w:r>
      <w:r w:rsidRPr="002D0E5B">
        <w:rPr>
          <w:spacing w:val="-2"/>
        </w:rPr>
        <w:t xml:space="preserve">broadcasters, </w:t>
      </w:r>
      <w:r w:rsidR="00A037D2" w:rsidRPr="002D0E5B">
        <w:rPr>
          <w:spacing w:val="-2"/>
        </w:rPr>
        <w:t xml:space="preserve">and copyright collecting agencies </w:t>
      </w:r>
      <w:r w:rsidRPr="002D0E5B">
        <w:rPr>
          <w:spacing w:val="-2"/>
        </w:rPr>
        <w:t>to bring their creations to market.</w:t>
      </w:r>
      <w:r w:rsidR="00A037D2" w:rsidRPr="002D0E5B">
        <w:rPr>
          <w:spacing w:val="-2"/>
        </w:rPr>
        <w:t xml:space="preserve"> A</w:t>
      </w:r>
      <w:r w:rsidRPr="002D0E5B">
        <w:rPr>
          <w:spacing w:val="-2"/>
        </w:rPr>
        <w:t xml:space="preserve"> range of exceptions allow people to use copyright material</w:t>
      </w:r>
      <w:r w:rsidR="00A175D9" w:rsidRPr="002D0E5B">
        <w:rPr>
          <w:spacing w:val="-2"/>
        </w:rPr>
        <w:t xml:space="preserve"> without penalty</w:t>
      </w:r>
      <w:r w:rsidRPr="002D0E5B">
        <w:rPr>
          <w:spacing w:val="-2"/>
        </w:rPr>
        <w:t>.</w:t>
      </w:r>
      <w:r w:rsidR="00A037D2" w:rsidRPr="002D0E5B">
        <w:rPr>
          <w:spacing w:val="-2"/>
        </w:rPr>
        <w:t xml:space="preserve"> </w:t>
      </w:r>
    </w:p>
    <w:p w:rsidR="004C2370" w:rsidRPr="002D0E5B" w:rsidRDefault="004C2370" w:rsidP="004C2370">
      <w:pPr>
        <w:pStyle w:val="BodyText"/>
        <w:rPr>
          <w:spacing w:val="-2"/>
        </w:rPr>
      </w:pPr>
      <w:r w:rsidRPr="002D0E5B">
        <w:rPr>
          <w:spacing w:val="-2"/>
        </w:rPr>
        <w:t xml:space="preserve">Unlike patents, copyright applies at a very low threshold to works that are merely ‘original’ rather than innovative or useful. And unlike patents, which offer variable degrees of protection to inventors through the provision of innovation and standard patents, copyright applies uniformly to </w:t>
      </w:r>
      <w:r w:rsidR="00D14855" w:rsidRPr="002D0E5B">
        <w:rPr>
          <w:spacing w:val="-2"/>
        </w:rPr>
        <w:t xml:space="preserve">all </w:t>
      </w:r>
      <w:r w:rsidRPr="002D0E5B">
        <w:rPr>
          <w:spacing w:val="-2"/>
        </w:rPr>
        <w:t xml:space="preserve">new works, offering a standard scope and period of protection. </w:t>
      </w:r>
    </w:p>
    <w:p w:rsidR="004C2370" w:rsidRDefault="004C2370" w:rsidP="004C2370">
      <w:pPr>
        <w:pStyle w:val="BodyText"/>
      </w:pPr>
      <w:r>
        <w:t>Copyright law also grants creators ‘moral rights’, protecting a creator’s claim of authorship and preventing their work from derogatory treatment. Moral rights are a recent addition to the Australian copyright system, having been introduced in 2000 and extended in 2004. Debate exists about the purpose and effect of moral rights, and whether they are primarily personal rights or have economic effects similar to the underlying copyright in a work.</w:t>
      </w:r>
    </w:p>
    <w:p w:rsidR="004C2370" w:rsidRDefault="004C2370" w:rsidP="004C2370">
      <w:pPr>
        <w:pStyle w:val="BodyText"/>
      </w:pPr>
      <w:r>
        <w:t xml:space="preserve">The scope and duration of copyright fundamentally impacts the tradeoff between creators and users. Both have been subject to recent change, </w:t>
      </w:r>
      <w:r w:rsidR="00EC35BB">
        <w:t xml:space="preserve">predominantly </w:t>
      </w:r>
      <w:r>
        <w:t xml:space="preserve">as a result </w:t>
      </w:r>
      <w:r w:rsidR="00EC35BB">
        <w:t xml:space="preserve">of </w:t>
      </w:r>
      <w:r>
        <w:t xml:space="preserve">the Australia-United States Free Trade Agreement. The term of copyright protection has been extended, new rights have been created (such as the right to communicate a work to the public), measures introduced to prevent circumventing technological protections, and exceptions made to allow consumers to time- and format-shift content for greater convenience. </w:t>
      </w:r>
    </w:p>
    <w:p w:rsidR="004C2370" w:rsidRDefault="004C2370" w:rsidP="004C2370">
      <w:pPr>
        <w:pStyle w:val="BodyText"/>
      </w:pPr>
      <w:r>
        <w:t xml:space="preserve">Debate on changes to copyright focuses on the benefits and costs imposed on Australians, both as consumers and producers of creative works. Empirical assessment of the costs and </w:t>
      </w:r>
      <w:r>
        <w:lastRenderedPageBreak/>
        <w:t>benefits is difficult, both in assessing the impact of those agreements Australia has already joined, and for assessing</w:t>
      </w:r>
      <w:r w:rsidRPr="009562BB">
        <w:t xml:space="preserve"> </w:t>
      </w:r>
      <w:r>
        <w:t>the prospective impacts of any new agreement.</w:t>
      </w:r>
    </w:p>
    <w:p w:rsidR="004C2370" w:rsidRPr="0064079A" w:rsidRDefault="004C2370" w:rsidP="004C2370">
      <w:pPr>
        <w:pStyle w:val="Heading4"/>
      </w:pPr>
      <w:r w:rsidRPr="0064079A">
        <w:t>Modern pressures on an old system</w:t>
      </w:r>
    </w:p>
    <w:p w:rsidR="004C2370" w:rsidRDefault="004C2370" w:rsidP="004C2370">
      <w:pPr>
        <w:pStyle w:val="BodyText"/>
      </w:pPr>
      <w:r>
        <w:t xml:space="preserve">Copyright protection for creative works has existed for centuries, and Australia passed its first national copyright law in 1905. But copyright — perhaps more than other IP rights — is facing significant challenges in the modern, digital era. The rapid growth of </w:t>
      </w:r>
      <w:proofErr w:type="spellStart"/>
      <w:r>
        <w:t>internet</w:t>
      </w:r>
      <w:proofErr w:type="spellEnd"/>
      <w:r>
        <w:t xml:space="preserve"> use in Australia offers both enormous benefits and costs for creators, and ‘digital natives’ — those who have grown up since mass adoption of the </w:t>
      </w:r>
      <w:proofErr w:type="spellStart"/>
      <w:r>
        <w:t>internet</w:t>
      </w:r>
      <w:proofErr w:type="spellEnd"/>
      <w:r>
        <w:t xml:space="preserve"> — are challenging many of the long-held precepts of copyright law. </w:t>
      </w:r>
    </w:p>
    <w:p w:rsidR="004C2370" w:rsidRDefault="00D10283" w:rsidP="004C2370">
      <w:pPr>
        <w:pStyle w:val="ListBullet"/>
      </w:pPr>
      <w:r>
        <w:t>T</w:t>
      </w:r>
      <w:r w:rsidR="004C2370">
        <w:t xml:space="preserve">he </w:t>
      </w:r>
      <w:proofErr w:type="spellStart"/>
      <w:r w:rsidR="004C2370">
        <w:t>internet</w:t>
      </w:r>
      <w:proofErr w:type="spellEnd"/>
      <w:r w:rsidR="004C2370">
        <w:t xml:space="preserve"> allows creators to market and sell their works</w:t>
      </w:r>
      <w:r w:rsidR="00E12C63">
        <w:t xml:space="preserve"> to consumers directly,</w:t>
      </w:r>
      <w:r w:rsidR="004C2370">
        <w:t xml:space="preserve"> both in Australia and </w:t>
      </w:r>
      <w:r w:rsidR="00E12C63">
        <w:t>overseas, reducing the need for (and returns to) intermediaries. D</w:t>
      </w:r>
      <w:r w:rsidR="004C2370">
        <w:t>iscovery and derivative use of copyright works easier</w:t>
      </w:r>
      <w:r w:rsidR="00E12C63">
        <w:t xml:space="preserve">, but has also made </w:t>
      </w:r>
      <w:r w:rsidR="004C2370">
        <w:t>copyright infringement easier and cheaper.</w:t>
      </w:r>
    </w:p>
    <w:p w:rsidR="004C2370" w:rsidRDefault="004C2370" w:rsidP="004C2370">
      <w:pPr>
        <w:pStyle w:val="ListBullet"/>
      </w:pPr>
      <w:r>
        <w:t xml:space="preserve">Rights holders have increasingly demanded </w:t>
      </w:r>
      <w:proofErr w:type="spellStart"/>
      <w:r>
        <w:t>internet</w:t>
      </w:r>
      <w:proofErr w:type="spellEnd"/>
      <w:r>
        <w:t xml:space="preserve"> service providers </w:t>
      </w:r>
      <w:r w:rsidR="007B330E">
        <w:t xml:space="preserve">(ISPs) </w:t>
      </w:r>
      <w:r>
        <w:t>take responsibility for copyright infringement on their networks, and in some instances have demanded customer details be handed over, at a time when consumers are increasingly concerned about privacy.</w:t>
      </w:r>
    </w:p>
    <w:p w:rsidR="00ED4BE5" w:rsidRDefault="004C2370" w:rsidP="00ED4BE5">
      <w:pPr>
        <w:pStyle w:val="ListBullet"/>
      </w:pPr>
      <w:r>
        <w:t xml:space="preserve">Technology rapidly changes. Smart phones are still relatively new. Applications capable of live-streaming television broadcasts and online subscriptions to music catalogues </w:t>
      </w:r>
      <w:r w:rsidR="00170735">
        <w:t>did not</w:t>
      </w:r>
      <w:r>
        <w:t xml:space="preserve"> exist even five years ago. Archiving and accessing data has become increasingly important. Yet copyright protections and exceptions are very prescriptive and, many argue, are insufficiently flexible to cope with rapid change.</w:t>
      </w:r>
    </w:p>
    <w:p w:rsidR="00ED4BE5" w:rsidRPr="004E3B94" w:rsidRDefault="00ED4BE5" w:rsidP="00ED4BE5">
      <w:pPr>
        <w:pStyle w:val="BoxSpaceAboveElement"/>
        <w:rPr>
          <w:vanish w:val="0"/>
          <w:color w:val="auto"/>
        </w:rPr>
      </w:pPr>
      <w:r>
        <w:t>Do not delete this RETURN as it gives space between the info request and what precedes it.</w:t>
      </w: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0"/>
      </w:tblGrid>
      <w:tr w:rsidR="00ED4BE5" w:rsidTr="00ED4BE5">
        <w:tc>
          <w:tcPr>
            <w:tcW w:w="8770" w:type="dxa"/>
            <w:tcBorders>
              <w:top w:val="single" w:sz="6" w:space="0" w:color="78A22F"/>
              <w:left w:val="nil"/>
              <w:bottom w:val="nil"/>
              <w:right w:val="nil"/>
            </w:tcBorders>
            <w:shd w:val="clear" w:color="auto" w:fill="auto"/>
          </w:tcPr>
          <w:p w:rsidR="00ED4BE5" w:rsidRDefault="00ED4BE5" w:rsidP="00ED4BE5">
            <w:pPr>
              <w:pStyle w:val="BodyText"/>
              <w:rPr>
                <w:rFonts w:ascii="Arial" w:hAnsi="Arial"/>
                <w:i/>
                <w:sz w:val="22"/>
              </w:rPr>
            </w:pPr>
            <w:r w:rsidRPr="008F5A8F">
              <w:rPr>
                <w:rFonts w:ascii="Arial" w:hAnsi="Arial"/>
                <w:i/>
                <w:sz w:val="22"/>
              </w:rPr>
              <w:t>To what extent does copyright encourage additional creative works, and does the current law remain ‘fit for purpose’? Does the ‘one size fits all’ approach to copyright risk poorly targeting the creation of additional works the system is designed to incentivise?</w:t>
            </w:r>
            <w:r>
              <w:rPr>
                <w:rFonts w:ascii="Arial" w:hAnsi="Arial"/>
                <w:i/>
                <w:sz w:val="22"/>
              </w:rPr>
              <w:t xml:space="preserve"> </w:t>
            </w:r>
          </w:p>
          <w:p w:rsidR="00ED4BE5" w:rsidRPr="008F5A8F" w:rsidRDefault="00ED4BE5" w:rsidP="00ED4BE5">
            <w:pPr>
              <w:pStyle w:val="BodyText"/>
              <w:rPr>
                <w:rFonts w:ascii="Arial" w:hAnsi="Arial"/>
                <w:i/>
                <w:sz w:val="22"/>
              </w:rPr>
            </w:pPr>
            <w:r>
              <w:rPr>
                <w:rFonts w:ascii="Arial" w:hAnsi="Arial"/>
                <w:i/>
                <w:sz w:val="22"/>
              </w:rPr>
              <w:t xml:space="preserve">Are the protections afforded under copyright proportional to the efforts of creators? </w:t>
            </w:r>
            <w:r w:rsidRPr="008F5A8F">
              <w:rPr>
                <w:rFonts w:ascii="Arial" w:hAnsi="Arial"/>
                <w:i/>
                <w:sz w:val="22"/>
              </w:rPr>
              <w:t>Are there options for a ‘graduated’ approach to copyright that better targets the creation of additional works?</w:t>
            </w:r>
          </w:p>
          <w:p w:rsidR="00ED4BE5" w:rsidRPr="00786683" w:rsidRDefault="00ED4BE5" w:rsidP="00E15166">
            <w:pPr>
              <w:pStyle w:val="BodyText"/>
              <w:rPr>
                <w:rFonts w:ascii="Arial" w:hAnsi="Arial"/>
                <w:i/>
                <w:sz w:val="22"/>
              </w:rPr>
            </w:pPr>
            <w:r w:rsidRPr="008F5A8F">
              <w:rPr>
                <w:rFonts w:ascii="Arial" w:hAnsi="Arial"/>
                <w:i/>
                <w:sz w:val="22"/>
              </w:rPr>
              <w:t>Is licen</w:t>
            </w:r>
            <w:r>
              <w:rPr>
                <w:rFonts w:ascii="Arial" w:hAnsi="Arial"/>
                <w:i/>
                <w:sz w:val="22"/>
              </w:rPr>
              <w:t>s</w:t>
            </w:r>
            <w:r w:rsidRPr="008F5A8F">
              <w:rPr>
                <w:rFonts w:ascii="Arial" w:hAnsi="Arial"/>
                <w:i/>
                <w:sz w:val="22"/>
              </w:rPr>
              <w:t xml:space="preserve">ing copyright-protected works too difficult and/or costly? What role can/do copyright collecting agencies </w:t>
            </w:r>
            <w:r>
              <w:rPr>
                <w:rFonts w:ascii="Arial" w:hAnsi="Arial"/>
                <w:i/>
                <w:sz w:val="22"/>
              </w:rPr>
              <w:t xml:space="preserve">play </w:t>
            </w:r>
            <w:r w:rsidRPr="008F5A8F">
              <w:rPr>
                <w:rFonts w:ascii="Arial" w:hAnsi="Arial"/>
                <w:i/>
                <w:sz w:val="22"/>
              </w:rPr>
              <w:t xml:space="preserve">in reducing transaction costs? How effective are new approaches, such as the </w:t>
            </w:r>
            <w:r>
              <w:rPr>
                <w:rFonts w:ascii="Arial" w:hAnsi="Arial"/>
                <w:i/>
                <w:sz w:val="22"/>
              </w:rPr>
              <w:t>United Kingdom’s</w:t>
            </w:r>
            <w:r w:rsidRPr="008F5A8F">
              <w:rPr>
                <w:rFonts w:ascii="Arial" w:hAnsi="Arial"/>
                <w:i/>
                <w:sz w:val="22"/>
              </w:rPr>
              <w:t xml:space="preserve"> Copyright Hub in enabling value realisation to copyright hold</w:t>
            </w:r>
            <w:r w:rsidR="00786683">
              <w:rPr>
                <w:rFonts w:ascii="Arial" w:hAnsi="Arial"/>
                <w:i/>
                <w:sz w:val="22"/>
              </w:rPr>
              <w:t>ers?</w:t>
            </w:r>
          </w:p>
        </w:tc>
      </w:tr>
      <w:tr w:rsidR="00ED4BE5" w:rsidTr="00ED4BE5">
        <w:tc>
          <w:tcPr>
            <w:tcW w:w="8770" w:type="dxa"/>
            <w:tcBorders>
              <w:top w:val="nil"/>
              <w:left w:val="nil"/>
              <w:bottom w:val="single" w:sz="6" w:space="0" w:color="78A22F"/>
              <w:right w:val="nil"/>
            </w:tcBorders>
            <w:shd w:val="clear" w:color="auto" w:fill="auto"/>
          </w:tcPr>
          <w:p w:rsidR="00ED4BE5" w:rsidRDefault="00ED4BE5" w:rsidP="00ED4BE5">
            <w:pPr>
              <w:pStyle w:val="Space"/>
              <w:keepNext w:val="0"/>
              <w:keepLines/>
            </w:pPr>
          </w:p>
        </w:tc>
      </w:tr>
      <w:tr w:rsidR="00ED4BE5" w:rsidRPr="000863A5" w:rsidTr="00ED4BE5">
        <w:trPr>
          <w:hidden/>
        </w:trPr>
        <w:tc>
          <w:tcPr>
            <w:tcW w:w="8770" w:type="dxa"/>
            <w:tcBorders>
              <w:top w:val="single" w:sz="6" w:space="0" w:color="78A22F"/>
              <w:left w:val="nil"/>
              <w:bottom w:val="nil"/>
              <w:right w:val="nil"/>
            </w:tcBorders>
          </w:tcPr>
          <w:p w:rsidR="00ED4BE5" w:rsidRPr="00626D32" w:rsidRDefault="00ED4BE5" w:rsidP="00ED4BE5">
            <w:pPr>
              <w:pStyle w:val="BoxSpaceBelow"/>
              <w:keepLines/>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info request</w:t>
            </w:r>
            <w:r w:rsidRPr="00626D32">
              <w:rPr>
                <w:rFonts w:ascii="Times New Roman" w:hAnsi="Times New Roman"/>
                <w:b/>
                <w:vanish/>
                <w:color w:val="FF00FF"/>
              </w:rPr>
              <w:t xml:space="preserve"> and what follows it.</w:t>
            </w:r>
          </w:p>
        </w:tc>
      </w:tr>
    </w:tbl>
    <w:p w:rsidR="007F5B15" w:rsidRDefault="007F5B15" w:rsidP="002D0E5B">
      <w:pPr>
        <w:pStyle w:val="BoxSpaceAboveElement"/>
        <w:rPr>
          <w:vanish w:val="0"/>
          <w:color w:val="auto"/>
        </w:rPr>
      </w:pPr>
      <w:r>
        <w:rPr>
          <w:vanish w:val="0"/>
          <w:color w:val="auto"/>
        </w:rPr>
        <w:br w:type="page"/>
      </w:r>
    </w:p>
    <w:p w:rsidR="00786683" w:rsidRPr="004E3B94" w:rsidRDefault="00786683" w:rsidP="002D0E5B">
      <w:pPr>
        <w:pStyle w:val="BoxSpaceAboveElement"/>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0"/>
      </w:tblGrid>
      <w:tr w:rsidR="00786683" w:rsidTr="002D0E5B">
        <w:tc>
          <w:tcPr>
            <w:tcW w:w="8770" w:type="dxa"/>
            <w:tcBorders>
              <w:top w:val="single" w:sz="6" w:space="0" w:color="78A22F"/>
              <w:left w:val="nil"/>
              <w:bottom w:val="nil"/>
              <w:right w:val="nil"/>
            </w:tcBorders>
            <w:shd w:val="clear" w:color="auto" w:fill="auto"/>
          </w:tcPr>
          <w:p w:rsidR="00786683" w:rsidRPr="008F5A8F" w:rsidRDefault="00786683" w:rsidP="00786683">
            <w:pPr>
              <w:pStyle w:val="BodyText"/>
              <w:rPr>
                <w:rFonts w:ascii="Arial" w:hAnsi="Arial"/>
                <w:i/>
                <w:sz w:val="22"/>
              </w:rPr>
            </w:pPr>
            <w:r w:rsidRPr="008F5A8F">
              <w:rPr>
                <w:rFonts w:ascii="Arial" w:hAnsi="Arial"/>
                <w:i/>
                <w:sz w:val="22"/>
              </w:rPr>
              <w:t>Are moral rights necessary, or do they duplicate protections already provided elsewhere (such as in prohibitions on misleading and deceptive conduct)? What is the economic impact of providing moral rights?</w:t>
            </w:r>
          </w:p>
          <w:p w:rsidR="00786683" w:rsidRPr="008F5A8F" w:rsidRDefault="00786683" w:rsidP="00786683">
            <w:pPr>
              <w:pStyle w:val="BodyText"/>
              <w:rPr>
                <w:rFonts w:ascii="Arial" w:hAnsi="Arial"/>
                <w:i/>
                <w:sz w:val="22"/>
              </w:rPr>
            </w:pPr>
            <w:r w:rsidRPr="008F5A8F">
              <w:rPr>
                <w:rFonts w:ascii="Arial" w:hAnsi="Arial"/>
                <w:i/>
                <w:sz w:val="22"/>
              </w:rPr>
              <w:t>What have been the impacts of the recent changes to Australia’s copyright regime? Is there evidence to suggest Australia’s copyright system is now efficient and effective?</w:t>
            </w:r>
          </w:p>
          <w:p w:rsidR="00786683" w:rsidRPr="008F5A8F" w:rsidRDefault="00786683" w:rsidP="00786683">
            <w:pPr>
              <w:pStyle w:val="BodyText"/>
              <w:rPr>
                <w:rFonts w:ascii="Arial" w:hAnsi="Arial"/>
                <w:i/>
                <w:sz w:val="22"/>
              </w:rPr>
            </w:pPr>
            <w:r w:rsidRPr="008F5A8F">
              <w:rPr>
                <w:rFonts w:ascii="Arial" w:hAnsi="Arial"/>
                <w:i/>
                <w:sz w:val="22"/>
              </w:rPr>
              <w:t>What should be considered when assessing prospective changes to copyright, and what data can be drawn on to make such an assessment?</w:t>
            </w:r>
          </w:p>
          <w:p w:rsidR="00786683" w:rsidRDefault="00786683" w:rsidP="00786683">
            <w:pPr>
              <w:pStyle w:val="BodyText"/>
              <w:rPr>
                <w:rFonts w:ascii="Arial" w:hAnsi="Arial"/>
                <w:i/>
                <w:sz w:val="22"/>
              </w:rPr>
            </w:pPr>
            <w:r w:rsidRPr="00E12C63">
              <w:rPr>
                <w:rFonts w:ascii="Arial" w:hAnsi="Arial"/>
                <w:i/>
                <w:sz w:val="22"/>
              </w:rPr>
              <w:t>How should the balance be struck between creators and consumers in the digital era?</w:t>
            </w:r>
            <w:r>
              <w:rPr>
                <w:rFonts w:ascii="Arial" w:hAnsi="Arial"/>
                <w:i/>
                <w:sz w:val="22"/>
              </w:rPr>
              <w:t xml:space="preserve"> What role can fair dealing and/or fair use provisions play in striking a better balance?</w:t>
            </w:r>
          </w:p>
          <w:p w:rsidR="00786683" w:rsidRDefault="00786683" w:rsidP="00786683">
            <w:pPr>
              <w:pStyle w:val="BodyText"/>
              <w:rPr>
                <w:rFonts w:ascii="Arial" w:hAnsi="Arial"/>
                <w:i/>
                <w:sz w:val="22"/>
              </w:rPr>
            </w:pPr>
            <w:r>
              <w:rPr>
                <w:rFonts w:ascii="Arial" w:hAnsi="Arial"/>
                <w:i/>
                <w:sz w:val="22"/>
              </w:rPr>
              <w:t>Are copyright exemptions sufficiently clear to give users certainty about whether they are likely to infringe the rights of creators? Does the degree of certainty vary for businesses relative to individual users?</w:t>
            </w:r>
          </w:p>
          <w:p w:rsidR="00786683" w:rsidRDefault="00786683" w:rsidP="00786683">
            <w:pPr>
              <w:pStyle w:val="BodyText"/>
              <w:rPr>
                <w:rFonts w:ascii="Arial" w:hAnsi="Arial"/>
                <w:i/>
                <w:sz w:val="22"/>
              </w:rPr>
            </w:pPr>
            <w:r>
              <w:rPr>
                <w:rFonts w:ascii="Arial" w:hAnsi="Arial"/>
                <w:i/>
                <w:sz w:val="22"/>
              </w:rPr>
              <w:t xml:space="preserve">Do existing restriction on parallel imports still fulfil their intended goals in the digital era? </w:t>
            </w:r>
          </w:p>
          <w:p w:rsidR="00786683" w:rsidRPr="00CE4C64" w:rsidRDefault="00786683" w:rsidP="00786683">
            <w:pPr>
              <w:pStyle w:val="InformationRequest"/>
            </w:pPr>
            <w:r w:rsidRPr="00E12C63">
              <w:rPr>
                <w:i w:val="0"/>
              </w:rPr>
              <w:t>To be efficient and effective in the modern era, what (if any) changes should be made to Australia’s copyright regime?</w:t>
            </w:r>
          </w:p>
        </w:tc>
      </w:tr>
      <w:tr w:rsidR="00786683" w:rsidTr="002D0E5B">
        <w:tc>
          <w:tcPr>
            <w:tcW w:w="8770" w:type="dxa"/>
            <w:tcBorders>
              <w:top w:val="nil"/>
              <w:left w:val="nil"/>
              <w:bottom w:val="single" w:sz="6" w:space="0" w:color="78A22F"/>
              <w:right w:val="nil"/>
            </w:tcBorders>
            <w:shd w:val="clear" w:color="auto" w:fill="auto"/>
          </w:tcPr>
          <w:p w:rsidR="00786683" w:rsidRDefault="00786683" w:rsidP="002D0E5B">
            <w:pPr>
              <w:pStyle w:val="Space"/>
              <w:keepNext w:val="0"/>
              <w:keepLines/>
            </w:pPr>
          </w:p>
        </w:tc>
      </w:tr>
      <w:tr w:rsidR="00786683" w:rsidRPr="000863A5" w:rsidTr="002D0E5B">
        <w:trPr>
          <w:hidden/>
        </w:trPr>
        <w:tc>
          <w:tcPr>
            <w:tcW w:w="8770" w:type="dxa"/>
            <w:tcBorders>
              <w:top w:val="single" w:sz="6" w:space="0" w:color="78A22F"/>
              <w:left w:val="nil"/>
              <w:bottom w:val="nil"/>
              <w:right w:val="nil"/>
            </w:tcBorders>
          </w:tcPr>
          <w:p w:rsidR="00786683" w:rsidRPr="00626D32" w:rsidRDefault="00786683" w:rsidP="002D0E5B">
            <w:pPr>
              <w:pStyle w:val="BoxSpaceBelow"/>
              <w:keepLines/>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info request</w:t>
            </w:r>
            <w:r w:rsidRPr="00626D32">
              <w:rPr>
                <w:rFonts w:ascii="Times New Roman" w:hAnsi="Times New Roman"/>
                <w:b/>
                <w:vanish/>
                <w:color w:val="FF00FF"/>
              </w:rPr>
              <w:t xml:space="preserve"> and what follows it.</w:t>
            </w:r>
          </w:p>
        </w:tc>
      </w:tr>
    </w:tbl>
    <w:p w:rsidR="001B785D" w:rsidRDefault="00622032" w:rsidP="00F86547">
      <w:pPr>
        <w:pStyle w:val="Heading3"/>
      </w:pPr>
      <w:r>
        <w:t>D</w:t>
      </w:r>
      <w:r w:rsidR="001B785D">
        <w:t>esigns</w:t>
      </w:r>
    </w:p>
    <w:p w:rsidR="003002AC" w:rsidRDefault="003002AC" w:rsidP="003002AC">
      <w:pPr>
        <w:pStyle w:val="BodyText"/>
      </w:pPr>
      <w:r>
        <w:t xml:space="preserve">The appearance of products, such as their shape, configuration, pattern and ornamentation can be protected under the </w:t>
      </w:r>
      <w:r w:rsidRPr="00B0251C">
        <w:rPr>
          <w:i/>
        </w:rPr>
        <w:t>Designs Act 2003</w:t>
      </w:r>
      <w:r w:rsidR="00177F56">
        <w:rPr>
          <w:i/>
        </w:rPr>
        <w:t xml:space="preserve"> </w:t>
      </w:r>
      <w:r w:rsidR="00177F56">
        <w:t>(Cwlth)</w:t>
      </w:r>
      <w:r>
        <w:t xml:space="preserve">. Examples of designs include garments, tools, electronics </w:t>
      </w:r>
      <w:r w:rsidR="00177F56">
        <w:t xml:space="preserve">and </w:t>
      </w:r>
      <w:r>
        <w:t xml:space="preserve">packaging. Design </w:t>
      </w:r>
      <w:r w:rsidR="00177F56">
        <w:t xml:space="preserve">rights </w:t>
      </w:r>
      <w:r>
        <w:t xml:space="preserve">represent a small share of </w:t>
      </w:r>
      <w:r w:rsidR="00177F56">
        <w:t>IP</w:t>
      </w:r>
      <w:r w:rsidR="00A74479">
        <w:t> </w:t>
      </w:r>
      <w:r w:rsidR="00177F56">
        <w:t xml:space="preserve">rights </w:t>
      </w:r>
      <w:r>
        <w:t>activity in Australia</w:t>
      </w:r>
      <w:r w:rsidR="005A490B">
        <w:t>.</w:t>
      </w:r>
    </w:p>
    <w:p w:rsidR="003002AC" w:rsidRDefault="003002AC" w:rsidP="003002AC">
      <w:pPr>
        <w:pStyle w:val="BodyText"/>
      </w:pPr>
      <w:r>
        <w:t xml:space="preserve">Registering a design protects </w:t>
      </w:r>
      <w:r w:rsidR="005A490B">
        <w:t>a</w:t>
      </w:r>
      <w:r>
        <w:t xml:space="preserve"> product’s appearance, but not it</w:t>
      </w:r>
      <w:r w:rsidR="00694354">
        <w:t>s</w:t>
      </w:r>
      <w:r>
        <w:t xml:space="preserve"> function or operation, which is the purview of patents. Some designs may also be protected by copyright law, typically one-off works such as pictures or artistic objects, as opposed to designs that are ‘industrially applied’ (that is, reproduced and sold).</w:t>
      </w:r>
      <w:r w:rsidRPr="001E1CE2">
        <w:t xml:space="preserve"> </w:t>
      </w:r>
    </w:p>
    <w:p w:rsidR="007F15C4" w:rsidRDefault="007F15C4" w:rsidP="007F15C4">
      <w:pPr>
        <w:pStyle w:val="BodyText"/>
      </w:pPr>
      <w:r>
        <w:t>Protection of designs under the Designs Act occurs over two stages — registration and certification. Registration is automatic, provided that filing formalities are met.</w:t>
      </w:r>
      <w:r w:rsidRPr="00B0251C">
        <w:t xml:space="preserve"> </w:t>
      </w:r>
      <w:r>
        <w:t xml:space="preserve">Around 5000 to 7000 designs are registered in Australia annually. A registered owner has </w:t>
      </w:r>
      <w:r w:rsidR="00177F56">
        <w:t xml:space="preserve">an </w:t>
      </w:r>
      <w:r>
        <w:t xml:space="preserve">exclusive right to use, and authorise others to use, their design. This protection lasts for a maximum of 10 years, with renewal required after five years. Less than 20 per cent of designs are renewed after five years </w:t>
      </w:r>
      <w:r w:rsidR="009B6DC1" w:rsidRPr="009B6DC1">
        <w:rPr>
          <w:szCs w:val="24"/>
        </w:rPr>
        <w:t>(</w:t>
      </w:r>
      <w:proofErr w:type="spellStart"/>
      <w:r w:rsidR="009B6DC1" w:rsidRPr="009B6DC1">
        <w:rPr>
          <w:szCs w:val="24"/>
        </w:rPr>
        <w:t>ACIP</w:t>
      </w:r>
      <w:proofErr w:type="spellEnd"/>
      <w:r w:rsidR="009B6DC1" w:rsidRPr="009B6DC1">
        <w:rPr>
          <w:szCs w:val="24"/>
        </w:rPr>
        <w:t> </w:t>
      </w:r>
      <w:proofErr w:type="spellStart"/>
      <w:r w:rsidR="009B6DC1" w:rsidRPr="009B6DC1">
        <w:rPr>
          <w:szCs w:val="24"/>
        </w:rPr>
        <w:t>2015a</w:t>
      </w:r>
      <w:proofErr w:type="spellEnd"/>
      <w:r w:rsidR="009B6DC1" w:rsidRPr="009B6DC1">
        <w:rPr>
          <w:szCs w:val="24"/>
        </w:rPr>
        <w:t>)</w:t>
      </w:r>
      <w:r>
        <w:t>.</w:t>
      </w:r>
    </w:p>
    <w:p w:rsidR="003002AC" w:rsidRDefault="007F15C4" w:rsidP="003002AC">
      <w:pPr>
        <w:pStyle w:val="BodyText"/>
      </w:pPr>
      <w:r>
        <w:t>However, t</w:t>
      </w:r>
      <w:r w:rsidR="003002AC">
        <w:t xml:space="preserve">he rights on a registered design are only enforceable once it has been examined and certified to confirm it is ‘new and distinctive’. This incurs an extra cost to the </w:t>
      </w:r>
      <w:r w:rsidR="003002AC">
        <w:lastRenderedPageBreak/>
        <w:t xml:space="preserve">registered owner. Only around one in eight registered designs are examined and certified </w:t>
      </w:r>
      <w:r w:rsidR="009B6DC1" w:rsidRPr="009B6DC1">
        <w:rPr>
          <w:szCs w:val="24"/>
        </w:rPr>
        <w:t>(Bowman and Lloyd 2011)</w:t>
      </w:r>
      <w:r w:rsidR="003002AC">
        <w:t>. This low certification rate reflects the fact that design rights only need to be enforced in a small number of cases.</w:t>
      </w:r>
      <w:r w:rsidR="003002AC" w:rsidRPr="008A27F0">
        <w:t xml:space="preserve"> </w:t>
      </w:r>
      <w:r w:rsidR="003002AC">
        <w:t xml:space="preserve">Indeed, registration on its own may prevent others copying a design in the first place. </w:t>
      </w:r>
    </w:p>
    <w:p w:rsidR="003002AC" w:rsidRDefault="003002AC" w:rsidP="003002AC">
      <w:pPr>
        <w:pStyle w:val="BodyText"/>
      </w:pPr>
      <w:r>
        <w:t xml:space="preserve">The </w:t>
      </w:r>
      <w:r w:rsidRPr="00A13BD4">
        <w:t xml:space="preserve">Designs Act </w:t>
      </w:r>
      <w:r w:rsidR="005A490B">
        <w:t xml:space="preserve">was updated in 2003 </w:t>
      </w:r>
      <w:r w:rsidR="00721A45">
        <w:t xml:space="preserve">in </w:t>
      </w:r>
      <w:r w:rsidR="005A490B">
        <w:t xml:space="preserve">response to concerns that </w:t>
      </w:r>
      <w:r>
        <w:t>creators f</w:t>
      </w:r>
      <w:r w:rsidR="005A490B">
        <w:t>ound</w:t>
      </w:r>
      <w:r>
        <w:t xml:space="preserve"> </w:t>
      </w:r>
      <w:r w:rsidR="00003F29">
        <w:t xml:space="preserve">it </w:t>
      </w:r>
      <w:r>
        <w:t>difficult to enforce</w:t>
      </w:r>
      <w:r w:rsidR="00003F29">
        <w:t xml:space="preserve"> their rights</w:t>
      </w:r>
      <w:r>
        <w:t xml:space="preserve"> </w:t>
      </w:r>
      <w:r w:rsidR="009B6DC1" w:rsidRPr="009B6DC1">
        <w:rPr>
          <w:szCs w:val="24"/>
        </w:rPr>
        <w:t>(</w:t>
      </w:r>
      <w:proofErr w:type="spellStart"/>
      <w:r w:rsidR="009B6DC1" w:rsidRPr="009B6DC1">
        <w:rPr>
          <w:szCs w:val="24"/>
        </w:rPr>
        <w:t>ALRC</w:t>
      </w:r>
      <w:proofErr w:type="spellEnd"/>
      <w:r w:rsidR="009B6DC1" w:rsidRPr="009B6DC1">
        <w:rPr>
          <w:szCs w:val="24"/>
        </w:rPr>
        <w:t> 1995)</w:t>
      </w:r>
      <w:r>
        <w:t xml:space="preserve">. </w:t>
      </w:r>
      <w:r w:rsidR="005A490B">
        <w:t xml:space="preserve">While </w:t>
      </w:r>
      <w:r>
        <w:t>the new Act reduced the</w:t>
      </w:r>
      <w:r w:rsidR="00694354">
        <w:t xml:space="preserve"> burden </w:t>
      </w:r>
      <w:r w:rsidR="005A490B">
        <w:t xml:space="preserve">for creators to </w:t>
      </w:r>
      <w:r w:rsidR="00694354">
        <w:t>prov</w:t>
      </w:r>
      <w:r w:rsidR="005A490B">
        <w:t>e</w:t>
      </w:r>
      <w:r w:rsidR="00694354">
        <w:t xml:space="preserve"> </w:t>
      </w:r>
      <w:r w:rsidR="005A490B">
        <w:t>an infringement, t</w:t>
      </w:r>
      <w:r>
        <w:t xml:space="preserve">his was balanced by raising the eligibility threshold and reducing the period of protection </w:t>
      </w:r>
      <w:r w:rsidR="005A490B">
        <w:t>from 16 to 10</w:t>
      </w:r>
      <w:r w:rsidR="00003F29">
        <w:t> </w:t>
      </w:r>
      <w:r w:rsidR="005A490B">
        <w:t>years</w:t>
      </w:r>
      <w:r>
        <w:t>.</w:t>
      </w:r>
    </w:p>
    <w:p w:rsidR="00F86547" w:rsidRDefault="003002AC" w:rsidP="003002AC">
      <w:pPr>
        <w:pStyle w:val="BodyText"/>
      </w:pPr>
      <w:r>
        <w:t xml:space="preserve">The effectiveness </w:t>
      </w:r>
      <w:r w:rsidR="007F15C4">
        <w:t xml:space="preserve">and efficiency </w:t>
      </w:r>
      <w:r>
        <w:t xml:space="preserve">of the new Act in stimulating innovation and its impacts on economic growth were examined by </w:t>
      </w:r>
      <w:r w:rsidR="00332C0E">
        <w:t>the Advisory Council on Intellectual Property (</w:t>
      </w:r>
      <w:proofErr w:type="spellStart"/>
      <w:r>
        <w:t>ACIP</w:t>
      </w:r>
      <w:proofErr w:type="spellEnd"/>
      <w:r w:rsidR="00332C0E">
        <w:t>)</w:t>
      </w:r>
      <w:r>
        <w:t xml:space="preserve"> in the </w:t>
      </w:r>
      <w:r w:rsidRPr="0066512E">
        <w:rPr>
          <w:i/>
        </w:rPr>
        <w:t>Review of the Designs System</w:t>
      </w:r>
      <w:r w:rsidR="00003F29">
        <w:rPr>
          <w:i/>
        </w:rPr>
        <w:t>,</w:t>
      </w:r>
      <w:r>
        <w:t xml:space="preserve"> which was completed in March 2015. In making its recommendations, </w:t>
      </w:r>
      <w:proofErr w:type="spellStart"/>
      <w:r>
        <w:t>ACIP</w:t>
      </w:r>
      <w:proofErr w:type="spellEnd"/>
      <w:r>
        <w:t xml:space="preserve"> noted that the current system ‘is expensive for what it offers, and is, as a result, neglected by designers who find it does not offer the rights they need’ </w:t>
      </w:r>
      <w:r w:rsidR="009B6DC1" w:rsidRPr="009B6DC1">
        <w:rPr>
          <w:szCs w:val="24"/>
        </w:rPr>
        <w:t>(</w:t>
      </w:r>
      <w:proofErr w:type="spellStart"/>
      <w:r w:rsidR="009B6DC1" w:rsidRPr="009B6DC1">
        <w:rPr>
          <w:szCs w:val="24"/>
        </w:rPr>
        <w:t>ACIP</w:t>
      </w:r>
      <w:proofErr w:type="spellEnd"/>
      <w:r w:rsidR="009B6DC1" w:rsidRPr="009B6DC1">
        <w:rPr>
          <w:szCs w:val="24"/>
        </w:rPr>
        <w:t> </w:t>
      </w:r>
      <w:proofErr w:type="spellStart"/>
      <w:r w:rsidR="009B6DC1" w:rsidRPr="009B6DC1">
        <w:rPr>
          <w:szCs w:val="24"/>
        </w:rPr>
        <w:t>2015a</w:t>
      </w:r>
      <w:proofErr w:type="spellEnd"/>
      <w:r w:rsidR="009B6DC1" w:rsidRPr="009B6DC1">
        <w:rPr>
          <w:szCs w:val="24"/>
        </w:rPr>
        <w:t>, p. 41)</w:t>
      </w:r>
      <w:r>
        <w:t xml:space="preserve">. This was consistent with the survey findings of Lim et al. </w:t>
      </w:r>
      <w:r w:rsidR="009B6DC1" w:rsidRPr="009B6DC1">
        <w:t>(2014)</w:t>
      </w:r>
      <w:r>
        <w:t xml:space="preserve"> that applying for IP</w:t>
      </w:r>
      <w:r w:rsidR="00F22578">
        <w:t xml:space="preserve"> right</w:t>
      </w:r>
      <w:r>
        <w:t>s on designs was not seen as a valuable use of time compared with efforts to get to market first. Moreover, they found IP</w:t>
      </w:r>
      <w:r w:rsidR="00F22578">
        <w:t xml:space="preserve"> right</w:t>
      </w:r>
      <w:r>
        <w:t>s were not actively considered during the design process</w:t>
      </w:r>
      <w:r w:rsidR="00F86547">
        <w:t>.</w:t>
      </w:r>
      <w:r>
        <w:t xml:space="preserve"> </w:t>
      </w:r>
    </w:p>
    <w:p w:rsidR="00ED4BE5" w:rsidRPr="004E3B94" w:rsidRDefault="00ED4BE5" w:rsidP="00ED4BE5">
      <w:pPr>
        <w:pStyle w:val="BoxSpaceAboveElement"/>
        <w:rPr>
          <w:vanish w:val="0"/>
          <w:color w:val="auto"/>
        </w:rPr>
      </w:pPr>
      <w:r>
        <w:t>Do not delete this RETURN as it gives space between the info request and what precedes it.</w:t>
      </w: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0"/>
      </w:tblGrid>
      <w:tr w:rsidR="00ED4BE5" w:rsidTr="00ED4BE5">
        <w:tc>
          <w:tcPr>
            <w:tcW w:w="8770" w:type="dxa"/>
            <w:tcBorders>
              <w:top w:val="single" w:sz="6" w:space="0" w:color="78A22F"/>
              <w:left w:val="nil"/>
              <w:bottom w:val="nil"/>
              <w:right w:val="nil"/>
            </w:tcBorders>
            <w:shd w:val="clear" w:color="auto" w:fill="auto"/>
          </w:tcPr>
          <w:p w:rsidR="00ED4BE5" w:rsidRPr="00015D95" w:rsidRDefault="00ED4BE5" w:rsidP="00ED4BE5">
            <w:pPr>
              <w:pStyle w:val="BodyText"/>
              <w:rPr>
                <w:rFonts w:ascii="Arial" w:hAnsi="Arial"/>
                <w:i/>
                <w:sz w:val="22"/>
              </w:rPr>
            </w:pPr>
            <w:r w:rsidRPr="00015D95">
              <w:rPr>
                <w:rFonts w:ascii="Arial" w:hAnsi="Arial"/>
                <w:i/>
                <w:sz w:val="22"/>
              </w:rPr>
              <w:t xml:space="preserve">What role do design rights play in </w:t>
            </w:r>
            <w:r>
              <w:rPr>
                <w:rFonts w:ascii="Arial" w:hAnsi="Arial"/>
                <w:i/>
                <w:sz w:val="22"/>
              </w:rPr>
              <w:t>fostering</w:t>
            </w:r>
            <w:r w:rsidRPr="00015D95">
              <w:rPr>
                <w:rFonts w:ascii="Arial" w:hAnsi="Arial"/>
                <w:i/>
                <w:sz w:val="22"/>
              </w:rPr>
              <w:t xml:space="preserve"> innovation? </w:t>
            </w:r>
            <w:r w:rsidRPr="00026BAE">
              <w:rPr>
                <w:rFonts w:ascii="Arial" w:hAnsi="Arial"/>
                <w:i/>
                <w:sz w:val="22"/>
              </w:rPr>
              <w:t xml:space="preserve">To what extent </w:t>
            </w:r>
            <w:r>
              <w:rPr>
                <w:rFonts w:ascii="Arial" w:hAnsi="Arial"/>
                <w:i/>
                <w:sz w:val="22"/>
              </w:rPr>
              <w:t>do design rights</w:t>
            </w:r>
            <w:r w:rsidRPr="00026BAE">
              <w:rPr>
                <w:rFonts w:ascii="Arial" w:hAnsi="Arial"/>
                <w:i/>
                <w:sz w:val="22"/>
              </w:rPr>
              <w:t xml:space="preserve"> encourage additional </w:t>
            </w:r>
            <w:r>
              <w:rPr>
                <w:rFonts w:ascii="Arial" w:hAnsi="Arial"/>
                <w:i/>
                <w:sz w:val="22"/>
              </w:rPr>
              <w:t>innovation?</w:t>
            </w:r>
          </w:p>
          <w:p w:rsidR="00ED4BE5" w:rsidRPr="00015D95" w:rsidRDefault="00ED4BE5" w:rsidP="00ED4BE5">
            <w:pPr>
              <w:pStyle w:val="BodyText"/>
              <w:rPr>
                <w:rFonts w:ascii="Arial" w:hAnsi="Arial"/>
                <w:i/>
                <w:sz w:val="22"/>
              </w:rPr>
            </w:pPr>
            <w:r>
              <w:rPr>
                <w:rFonts w:ascii="Arial" w:hAnsi="Arial"/>
                <w:i/>
                <w:sz w:val="22"/>
              </w:rPr>
              <w:t>Are there continuing issues with the overlap between design rights and copyright or other forms of protection</w:t>
            </w:r>
            <w:r w:rsidRPr="00015D95">
              <w:rPr>
                <w:rFonts w:ascii="Arial" w:hAnsi="Arial"/>
                <w:i/>
                <w:sz w:val="22"/>
              </w:rPr>
              <w:t>?</w:t>
            </w:r>
            <w:r>
              <w:rPr>
                <w:rFonts w:ascii="Arial" w:hAnsi="Arial"/>
                <w:i/>
                <w:sz w:val="22"/>
              </w:rPr>
              <w:t xml:space="preserve"> </w:t>
            </w:r>
          </w:p>
          <w:p w:rsidR="00ED4BE5" w:rsidRPr="00CE4C64" w:rsidRDefault="00ED4BE5" w:rsidP="00ED4BE5">
            <w:pPr>
              <w:pStyle w:val="InformationRequest"/>
            </w:pPr>
            <w:r>
              <w:rPr>
                <w:i w:val="0"/>
              </w:rPr>
              <w:t xml:space="preserve">Are the protections afforded under design rights proportional to the efforts of innovators? </w:t>
            </w:r>
            <w:r w:rsidRPr="00015D95">
              <w:rPr>
                <w:i w:val="0"/>
              </w:rPr>
              <w:t>Is the design rights system cost effective for users?</w:t>
            </w:r>
          </w:p>
        </w:tc>
      </w:tr>
      <w:tr w:rsidR="00ED4BE5" w:rsidTr="00ED4BE5">
        <w:tc>
          <w:tcPr>
            <w:tcW w:w="8770" w:type="dxa"/>
            <w:tcBorders>
              <w:top w:val="nil"/>
              <w:left w:val="nil"/>
              <w:bottom w:val="single" w:sz="6" w:space="0" w:color="78A22F"/>
              <w:right w:val="nil"/>
            </w:tcBorders>
            <w:shd w:val="clear" w:color="auto" w:fill="auto"/>
          </w:tcPr>
          <w:p w:rsidR="00ED4BE5" w:rsidRDefault="00ED4BE5" w:rsidP="00ED4BE5">
            <w:pPr>
              <w:pStyle w:val="Space"/>
              <w:keepNext w:val="0"/>
              <w:keepLines/>
            </w:pPr>
          </w:p>
        </w:tc>
      </w:tr>
      <w:tr w:rsidR="00ED4BE5" w:rsidRPr="000863A5" w:rsidTr="00ED4BE5">
        <w:trPr>
          <w:hidden/>
        </w:trPr>
        <w:tc>
          <w:tcPr>
            <w:tcW w:w="8770" w:type="dxa"/>
            <w:tcBorders>
              <w:top w:val="single" w:sz="6" w:space="0" w:color="78A22F"/>
              <w:left w:val="nil"/>
              <w:bottom w:val="nil"/>
              <w:right w:val="nil"/>
            </w:tcBorders>
          </w:tcPr>
          <w:p w:rsidR="00ED4BE5" w:rsidRPr="00626D32" w:rsidRDefault="00ED4BE5" w:rsidP="00ED4BE5">
            <w:pPr>
              <w:pStyle w:val="BoxSpaceBelow"/>
              <w:keepLines/>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info request</w:t>
            </w:r>
            <w:r w:rsidRPr="00626D32">
              <w:rPr>
                <w:rFonts w:ascii="Times New Roman" w:hAnsi="Times New Roman"/>
                <w:b/>
                <w:vanish/>
                <w:color w:val="FF00FF"/>
              </w:rPr>
              <w:t xml:space="preserve"> and what follows it.</w:t>
            </w:r>
          </w:p>
        </w:tc>
      </w:tr>
    </w:tbl>
    <w:p w:rsidR="00C639E4" w:rsidRDefault="00C639E4" w:rsidP="00C639E4">
      <w:pPr>
        <w:pStyle w:val="Heading3"/>
      </w:pPr>
      <w:r>
        <w:t>Trade marks</w:t>
      </w:r>
    </w:p>
    <w:p w:rsidR="00C639E4" w:rsidRDefault="00C639E4" w:rsidP="00C639E4">
      <w:pPr>
        <w:pStyle w:val="BodyText"/>
      </w:pPr>
      <w:r>
        <w:t xml:space="preserve">Trade marks allow firms to differentiate themselves in the market, providing an incentive to improve the quality of their goods and maintain a positive reputation. At face value, </w:t>
      </w:r>
      <w:proofErr w:type="spellStart"/>
      <w:r>
        <w:t>trade marks</w:t>
      </w:r>
      <w:proofErr w:type="spellEnd"/>
      <w:r>
        <w:t xml:space="preserve"> assist consumers by reducing the search and transaction costs they might otherwise incur in distinguishing between products. </w:t>
      </w:r>
    </w:p>
    <w:p w:rsidR="000A528A" w:rsidRDefault="00C639E4" w:rsidP="00C639E4">
      <w:pPr>
        <w:pStyle w:val="BodyText"/>
      </w:pPr>
      <w:r>
        <w:t xml:space="preserve">Trade marks can be granted over a wide range of elements including </w:t>
      </w:r>
      <w:r w:rsidR="000A528A">
        <w:t>letters, numbers, words, phrases, sounds, smells, shapes, logos, pictures and/or aspect</w:t>
      </w:r>
      <w:r w:rsidR="00237E47">
        <w:t>s</w:t>
      </w:r>
      <w:r w:rsidR="000A528A">
        <w:t xml:space="preserve"> of packaging </w:t>
      </w:r>
      <w:r w:rsidR="000A528A">
        <w:rPr>
          <w:szCs w:val="24"/>
        </w:rPr>
        <w:t>(IP </w:t>
      </w:r>
      <w:r w:rsidR="000A528A" w:rsidRPr="000914CD">
        <w:rPr>
          <w:szCs w:val="24"/>
        </w:rPr>
        <w:t>Australia </w:t>
      </w:r>
      <w:proofErr w:type="spellStart"/>
      <w:r w:rsidR="000A528A" w:rsidRPr="000914CD">
        <w:rPr>
          <w:szCs w:val="24"/>
        </w:rPr>
        <w:t>2015b</w:t>
      </w:r>
      <w:proofErr w:type="spellEnd"/>
      <w:r w:rsidR="000A528A" w:rsidRPr="000914CD">
        <w:rPr>
          <w:szCs w:val="24"/>
        </w:rPr>
        <w:t>)</w:t>
      </w:r>
      <w:r w:rsidR="000A528A">
        <w:t>. Registering a trade mark grants a 10 year period of exclusive use, and can be repeatedly renewed.</w:t>
      </w:r>
      <w:r w:rsidR="000A528A" w:rsidRPr="00FA75ED">
        <w:t xml:space="preserve"> </w:t>
      </w:r>
      <w:proofErr w:type="spellStart"/>
      <w:r w:rsidR="000A528A">
        <w:t>Trade marks</w:t>
      </w:r>
      <w:proofErr w:type="spellEnd"/>
      <w:r w:rsidR="000A528A">
        <w:t xml:space="preserve"> </w:t>
      </w:r>
      <w:r w:rsidR="000A528A" w:rsidRPr="0053121B">
        <w:t xml:space="preserve">are </w:t>
      </w:r>
      <w:r w:rsidR="000A528A">
        <w:t xml:space="preserve">a </w:t>
      </w:r>
      <w:r w:rsidR="000A528A" w:rsidRPr="0053121B">
        <w:t>popular form</w:t>
      </w:r>
      <w:r w:rsidR="000A528A">
        <w:t xml:space="preserve"> of IP protection. More than 64 000 trade mark applications were filed with IP Australia in 2014 (compared with 25 974 patent applications and 6596 applications for registered designs in the same year) </w:t>
      </w:r>
      <w:r w:rsidR="000A528A" w:rsidRPr="000914CD">
        <w:rPr>
          <w:szCs w:val="24"/>
        </w:rPr>
        <w:t>(IP Australia </w:t>
      </w:r>
      <w:proofErr w:type="spellStart"/>
      <w:r w:rsidR="000A528A" w:rsidRPr="000914CD">
        <w:rPr>
          <w:szCs w:val="24"/>
        </w:rPr>
        <w:t>2015a</w:t>
      </w:r>
      <w:proofErr w:type="spellEnd"/>
      <w:r w:rsidR="000A528A" w:rsidRPr="000914CD">
        <w:rPr>
          <w:szCs w:val="24"/>
        </w:rPr>
        <w:t>, p. 8,12,15)</w:t>
      </w:r>
      <w:r w:rsidR="000A528A">
        <w:t xml:space="preserve">. </w:t>
      </w:r>
    </w:p>
    <w:p w:rsidR="000A528A" w:rsidRDefault="000A528A" w:rsidP="000A528A">
      <w:pPr>
        <w:pStyle w:val="BodyText"/>
      </w:pPr>
      <w:r>
        <w:lastRenderedPageBreak/>
        <w:t xml:space="preserve">In some ways, </w:t>
      </w:r>
      <w:r w:rsidR="00C979FB">
        <w:t xml:space="preserve">trade mark law </w:t>
      </w:r>
      <w:r>
        <w:t>play</w:t>
      </w:r>
      <w:r w:rsidR="00C979FB">
        <w:t>s</w:t>
      </w:r>
      <w:r>
        <w:t xml:space="preserve"> a similar role to </w:t>
      </w:r>
      <w:r w:rsidR="00C979FB">
        <w:t>the tort of ‘passing off’ — where it is unlawful to misappropriate another’s reputation —</w:t>
      </w:r>
      <w:r>
        <w:t xml:space="preserve"> as both provide incentives for investment in </w:t>
      </w:r>
      <w:r w:rsidR="00C979FB">
        <w:t xml:space="preserve">product </w:t>
      </w:r>
      <w:r>
        <w:t xml:space="preserve">quality and reputation </w:t>
      </w:r>
      <w:r w:rsidRPr="00725DF2">
        <w:rPr>
          <w:szCs w:val="24"/>
        </w:rPr>
        <w:t>(Intellectual Property and Competition Review Committee 2000, p. 187)</w:t>
      </w:r>
      <w:r>
        <w:t xml:space="preserve">. There are also protections in the </w:t>
      </w:r>
      <w:r>
        <w:rPr>
          <w:i/>
        </w:rPr>
        <w:t xml:space="preserve">Competition and Consumer Act 2010 </w:t>
      </w:r>
      <w:r>
        <w:t xml:space="preserve">(Cwlth) </w:t>
      </w:r>
      <w:r w:rsidRPr="004875B8">
        <w:t>and f</w:t>
      </w:r>
      <w:r>
        <w:t xml:space="preserve">air trading laws at the state and territory level, which make it unlawful to mislead or deceive consumers. </w:t>
      </w:r>
    </w:p>
    <w:p w:rsidR="000A528A" w:rsidRPr="00160893" w:rsidRDefault="00C979FB" w:rsidP="000A528A">
      <w:pPr>
        <w:pStyle w:val="BodyText"/>
        <w:rPr>
          <w:shd w:val="clear" w:color="auto" w:fill="FFFFFF"/>
        </w:rPr>
      </w:pPr>
      <w:r>
        <w:t>F</w:t>
      </w:r>
      <w:r w:rsidR="000A528A">
        <w:t xml:space="preserve">irms need not register </w:t>
      </w:r>
      <w:r>
        <w:t>brands as</w:t>
      </w:r>
      <w:r w:rsidR="000A528A">
        <w:t xml:space="preserve"> </w:t>
      </w:r>
      <w:proofErr w:type="spellStart"/>
      <w:r w:rsidR="000A528A">
        <w:t>trade marks</w:t>
      </w:r>
      <w:proofErr w:type="spellEnd"/>
      <w:r>
        <w:t>, but</w:t>
      </w:r>
      <w:r w:rsidR="000A528A">
        <w:t xml:space="preserve"> there are benefits in doing so. If a registered trade mark is infringed, a firm need only prove that an infringement has occurred, whereas firms with unregistered </w:t>
      </w:r>
      <w:proofErr w:type="spellStart"/>
      <w:r w:rsidR="000A528A">
        <w:t>trade marks</w:t>
      </w:r>
      <w:proofErr w:type="spellEnd"/>
      <w:r w:rsidR="000A528A">
        <w:t xml:space="preserve"> must also prove that the disputed mark is associated with its products.</w:t>
      </w:r>
      <w:r>
        <w:t xml:space="preserve"> P</w:t>
      </w:r>
      <w:r w:rsidR="000A528A">
        <w:t xml:space="preserve">arties who counterfeit or infringe registered </w:t>
      </w:r>
      <w:proofErr w:type="spellStart"/>
      <w:r w:rsidR="000A528A">
        <w:t>trade</w:t>
      </w:r>
      <w:r w:rsidR="00F22578">
        <w:t> </w:t>
      </w:r>
      <w:r w:rsidR="000A528A">
        <w:t>marks</w:t>
      </w:r>
      <w:proofErr w:type="spellEnd"/>
      <w:r w:rsidR="000A528A">
        <w:t xml:space="preserve"> are subject to penalties under the </w:t>
      </w:r>
      <w:r w:rsidR="000A528A">
        <w:rPr>
          <w:i/>
        </w:rPr>
        <w:t>Trade Marks Act 1995</w:t>
      </w:r>
      <w:r w:rsidR="007E4685">
        <w:rPr>
          <w:i/>
        </w:rPr>
        <w:t xml:space="preserve"> (Cwlth)</w:t>
      </w:r>
      <w:r w:rsidR="007E4685">
        <w:t xml:space="preserve">. While </w:t>
      </w:r>
      <w:proofErr w:type="spellStart"/>
      <w:r w:rsidR="007E4685">
        <w:t>trade </w:t>
      </w:r>
      <w:r w:rsidR="000A528A">
        <w:t>marks</w:t>
      </w:r>
      <w:proofErr w:type="spellEnd"/>
      <w:r w:rsidR="000A528A">
        <w:t xml:space="preserve"> can be used to help protect a brand, there have been some attempts by firms to ‘push the boundaries’ by being deliberately broad in terms of what they try to register. Examples include attempts by some firms to trade mark particular colours. This can make it difficult for new and existing businesses to secure their branding and reputation — and potentially lead to a reduction in competition.</w:t>
      </w:r>
    </w:p>
    <w:p w:rsidR="000A528A" w:rsidRDefault="000A528A" w:rsidP="000A528A">
      <w:pPr>
        <w:pStyle w:val="BodyText"/>
      </w:pPr>
      <w:r>
        <w:t xml:space="preserve">Another way in which trade marks potentially impact on competition relates to parallel imports. A firm that has licensed a trade mark for use in Australia may be able to prevent others from importing and selling goods with the same trade mark. While the </w:t>
      </w:r>
      <w:r w:rsidRPr="00684028">
        <w:rPr>
          <w:i/>
        </w:rPr>
        <w:t>Trade Marks Act 1995</w:t>
      </w:r>
      <w:r>
        <w:t xml:space="preserve"> (Cwlth) does contain provisions about when parallel imports may be allowed, there is uncertainty about the costs and benefits of allowing such parallel imports to occur and whether recent findings have ‘muddied the waters’ to the point where firms are unsure whether they are able to import or not.</w:t>
      </w:r>
    </w:p>
    <w:p w:rsidR="00ED4BE5" w:rsidRPr="004E3B94" w:rsidRDefault="00ED4BE5" w:rsidP="00ED4BE5">
      <w:pPr>
        <w:pStyle w:val="BoxSpaceAboveElement"/>
        <w:rPr>
          <w:vanish w:val="0"/>
          <w:color w:val="auto"/>
        </w:rPr>
      </w:pPr>
      <w:r>
        <w:t>Do not delete this RETURN as it gives space between the info request and what precedes it.</w:t>
      </w: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0"/>
      </w:tblGrid>
      <w:tr w:rsidR="00ED4BE5" w:rsidTr="00ED4BE5">
        <w:tc>
          <w:tcPr>
            <w:tcW w:w="8770" w:type="dxa"/>
            <w:tcBorders>
              <w:top w:val="single" w:sz="6" w:space="0" w:color="78A22F"/>
              <w:left w:val="nil"/>
              <w:bottom w:val="nil"/>
              <w:right w:val="nil"/>
            </w:tcBorders>
            <w:shd w:val="clear" w:color="auto" w:fill="auto"/>
          </w:tcPr>
          <w:p w:rsidR="00ED4BE5" w:rsidRDefault="00ED4BE5" w:rsidP="00ED4BE5">
            <w:pPr>
              <w:pStyle w:val="InformationRequest"/>
            </w:pPr>
            <w:r>
              <w:t xml:space="preserve">Are </w:t>
            </w:r>
            <w:proofErr w:type="spellStart"/>
            <w:r>
              <w:t>trade marks</w:t>
            </w:r>
            <w:proofErr w:type="spellEnd"/>
            <w:r>
              <w:t xml:space="preserve"> operating as an effective and efficient method for firms to protect their brand and reputation? Is the cost of preparing an objection or defending a trade mark infringement reasonable? How could the system for registering and using </w:t>
            </w:r>
            <w:proofErr w:type="spellStart"/>
            <w:r>
              <w:t>trade marks</w:t>
            </w:r>
            <w:proofErr w:type="spellEnd"/>
            <w:r>
              <w:t xml:space="preserve"> be improved?</w:t>
            </w:r>
          </w:p>
          <w:p w:rsidR="00ED4BE5" w:rsidRDefault="00ED4BE5" w:rsidP="00ED4BE5">
            <w:pPr>
              <w:pStyle w:val="InformationRequest"/>
            </w:pPr>
            <w:r w:rsidRPr="00AD3C48">
              <w:t>Where should the line be drawn between defending a firm’s branding through trade marks to the benefit of both consumers and producers and attempts to use trade marks to inhibit competition? What sort of tests could be used to</w:t>
            </w:r>
            <w:r w:rsidR="00786683">
              <w:t xml:space="preserve"> identify when </w:t>
            </w:r>
            <w:proofErr w:type="spellStart"/>
            <w:r w:rsidR="00786683">
              <w:t>trade </w:t>
            </w:r>
            <w:r>
              <w:t>marks</w:t>
            </w:r>
            <w:proofErr w:type="spellEnd"/>
            <w:r>
              <w:t xml:space="preserve"> are being used in anticompetitive ways?</w:t>
            </w:r>
          </w:p>
          <w:p w:rsidR="00ED4BE5" w:rsidRDefault="00ED4BE5" w:rsidP="00ED4BE5">
            <w:pPr>
              <w:pStyle w:val="InformationRequest"/>
            </w:pPr>
            <w:r w:rsidRPr="00E53934">
              <w:t xml:space="preserve">Are trade marks working effectively and fairly when it comes to competing claims to similar or identical branding? Are there changes that could improve how </w:t>
            </w:r>
            <w:proofErr w:type="spellStart"/>
            <w:r w:rsidRPr="00E53934">
              <w:t>trade marks</w:t>
            </w:r>
            <w:proofErr w:type="spellEnd"/>
            <w:r w:rsidRPr="00E53934">
              <w:t xml:space="preserve"> operate in this regard?</w:t>
            </w:r>
          </w:p>
          <w:p w:rsidR="00ED4BE5" w:rsidRPr="00CE4C64" w:rsidRDefault="00ED4BE5" w:rsidP="00ED4BE5">
            <w:pPr>
              <w:pStyle w:val="InformationRequest"/>
            </w:pPr>
            <w:r w:rsidRPr="00A13571">
              <w:t xml:space="preserve">The Commission welcomes submissions in relation to the costs and benefits of changing the way that </w:t>
            </w:r>
            <w:proofErr w:type="spellStart"/>
            <w:r w:rsidRPr="00A13571">
              <w:t>trade marks</w:t>
            </w:r>
            <w:proofErr w:type="spellEnd"/>
            <w:r w:rsidRPr="00A13571">
              <w:t xml:space="preserve"> are administered to allow for parallel importation.</w:t>
            </w:r>
          </w:p>
        </w:tc>
      </w:tr>
      <w:tr w:rsidR="00ED4BE5" w:rsidTr="00ED4BE5">
        <w:tc>
          <w:tcPr>
            <w:tcW w:w="8770" w:type="dxa"/>
            <w:tcBorders>
              <w:top w:val="nil"/>
              <w:left w:val="nil"/>
              <w:bottom w:val="single" w:sz="6" w:space="0" w:color="78A22F"/>
              <w:right w:val="nil"/>
            </w:tcBorders>
            <w:shd w:val="clear" w:color="auto" w:fill="auto"/>
          </w:tcPr>
          <w:p w:rsidR="00ED4BE5" w:rsidRDefault="00ED4BE5" w:rsidP="00ED4BE5">
            <w:pPr>
              <w:pStyle w:val="Space"/>
              <w:keepNext w:val="0"/>
              <w:keepLines/>
            </w:pPr>
          </w:p>
        </w:tc>
      </w:tr>
      <w:tr w:rsidR="00ED4BE5" w:rsidRPr="000863A5" w:rsidTr="00ED4BE5">
        <w:trPr>
          <w:hidden/>
        </w:trPr>
        <w:tc>
          <w:tcPr>
            <w:tcW w:w="8770" w:type="dxa"/>
            <w:tcBorders>
              <w:top w:val="single" w:sz="6" w:space="0" w:color="78A22F"/>
              <w:left w:val="nil"/>
              <w:bottom w:val="nil"/>
              <w:right w:val="nil"/>
            </w:tcBorders>
          </w:tcPr>
          <w:p w:rsidR="00ED4BE5" w:rsidRPr="00626D32" w:rsidRDefault="00ED4BE5" w:rsidP="00ED4BE5">
            <w:pPr>
              <w:pStyle w:val="BoxSpaceBelow"/>
              <w:keepLines/>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info request</w:t>
            </w:r>
            <w:r w:rsidRPr="00626D32">
              <w:rPr>
                <w:rFonts w:ascii="Times New Roman" w:hAnsi="Times New Roman"/>
                <w:b/>
                <w:vanish/>
                <w:color w:val="FF00FF"/>
              </w:rPr>
              <w:t xml:space="preserve"> and what follows it.</w:t>
            </w:r>
          </w:p>
        </w:tc>
      </w:tr>
    </w:tbl>
    <w:p w:rsidR="000D6DA2" w:rsidRDefault="000D6DA2" w:rsidP="000D6DA2">
      <w:pPr>
        <w:pStyle w:val="Heading3"/>
      </w:pPr>
      <w:r>
        <w:lastRenderedPageBreak/>
        <w:t>Plant breeder</w:t>
      </w:r>
      <w:r w:rsidR="00177F56">
        <w:t>’</w:t>
      </w:r>
      <w:r>
        <w:t>s rights</w:t>
      </w:r>
    </w:p>
    <w:p w:rsidR="00DE0742" w:rsidRDefault="000D6DA2" w:rsidP="000D6DA2">
      <w:pPr>
        <w:pStyle w:val="BodyText"/>
      </w:pPr>
      <w:r w:rsidRPr="00270415">
        <w:t>Plant breeder’s right</w:t>
      </w:r>
      <w:r>
        <w:t>s</w:t>
      </w:r>
      <w:r w:rsidRPr="00270415">
        <w:t xml:space="preserve"> (</w:t>
      </w:r>
      <w:proofErr w:type="spellStart"/>
      <w:r w:rsidRPr="00270415">
        <w:t>PBR</w:t>
      </w:r>
      <w:proofErr w:type="spellEnd"/>
      <w:r>
        <w:t>)</w:t>
      </w:r>
      <w:r w:rsidRPr="00270415">
        <w:t xml:space="preserve"> </w:t>
      </w:r>
      <w:r>
        <w:t xml:space="preserve">are a </w:t>
      </w:r>
      <w:r w:rsidRPr="00270415">
        <w:t xml:space="preserve">form of </w:t>
      </w:r>
      <w:r w:rsidR="00003F29">
        <w:t>IP</w:t>
      </w:r>
      <w:r w:rsidRPr="00270415">
        <w:t xml:space="preserve"> granted to breeders </w:t>
      </w:r>
      <w:r>
        <w:t>of new plant varieties</w:t>
      </w:r>
      <w:r w:rsidR="00DE0742">
        <w:t xml:space="preserve"> and </w:t>
      </w:r>
      <w:r>
        <w:t xml:space="preserve">were introduced </w:t>
      </w:r>
      <w:r w:rsidR="00425BCF">
        <w:t xml:space="preserve">with a view </w:t>
      </w:r>
      <w:r>
        <w:t>to stimulat</w:t>
      </w:r>
      <w:r w:rsidR="00425BCF">
        <w:t>ing</w:t>
      </w:r>
      <w:r>
        <w:t xml:space="preserve"> plant breeding efforts in Australia and to encourage the development of new varieties of plants for dome</w:t>
      </w:r>
      <w:r w:rsidR="00425BCF">
        <w:t>stic industries and for export. I</w:t>
      </w:r>
      <w:r w:rsidR="00FF696D">
        <w:t>t</w:t>
      </w:r>
      <w:r w:rsidR="00425BCF">
        <w:t xml:space="preserve"> was expected that the introduction of </w:t>
      </w:r>
      <w:proofErr w:type="spellStart"/>
      <w:r w:rsidR="00425BCF">
        <w:t>PBRs</w:t>
      </w:r>
      <w:proofErr w:type="spellEnd"/>
      <w:r w:rsidR="00425BCF">
        <w:t xml:space="preserve"> would </w:t>
      </w:r>
      <w:r w:rsidR="006F1F03">
        <w:t xml:space="preserve">also </w:t>
      </w:r>
      <w:r w:rsidR="00425BCF">
        <w:t>improve access by</w:t>
      </w:r>
      <w:r>
        <w:t xml:space="preserve"> Australian farmers and horticulturists to new varieties from overseas.</w:t>
      </w:r>
      <w:r w:rsidR="00DE0742" w:rsidRPr="00DE0742">
        <w:t xml:space="preserve"> </w:t>
      </w:r>
    </w:p>
    <w:p w:rsidR="00DE0742" w:rsidRDefault="00DE0742" w:rsidP="00DE0742">
      <w:pPr>
        <w:pStyle w:val="BodyText"/>
      </w:pPr>
      <w:proofErr w:type="spellStart"/>
      <w:r>
        <w:t>PBRs</w:t>
      </w:r>
      <w:proofErr w:type="spellEnd"/>
      <w:r w:rsidRPr="00270415">
        <w:t xml:space="preserve"> allow for the exclusive right to commercially exploit the registered plant variety. In general, </w:t>
      </w:r>
      <w:proofErr w:type="spellStart"/>
      <w:r w:rsidRPr="00270415">
        <w:t>PBR</w:t>
      </w:r>
      <w:proofErr w:type="spellEnd"/>
      <w:r w:rsidRPr="00270415">
        <w:t xml:space="preserve"> protection applies for 25 years for grapevines and trees, and 20 years for all other plant species</w:t>
      </w:r>
      <w:r w:rsidR="00003F29">
        <w:t>.</w:t>
      </w:r>
    </w:p>
    <w:p w:rsidR="00C53C61" w:rsidRDefault="00C53C61" w:rsidP="00C53C61">
      <w:pPr>
        <w:pStyle w:val="BodyText"/>
      </w:pPr>
      <w:proofErr w:type="spellStart"/>
      <w:r>
        <w:t>PBRs</w:t>
      </w:r>
      <w:proofErr w:type="spellEnd"/>
      <w:r>
        <w:t xml:space="preserve"> are a relatively recent phenomenon. Even so, concerns are emerging that technological changes (such as molecular plant breeding techniques) are altering the focus of plant breeding activity and potentially making </w:t>
      </w:r>
      <w:proofErr w:type="spellStart"/>
      <w:r>
        <w:t>PBRs</w:t>
      </w:r>
      <w:proofErr w:type="spellEnd"/>
      <w:r>
        <w:t xml:space="preserve"> </w:t>
      </w:r>
      <w:r w:rsidR="000A528A">
        <w:t xml:space="preserve">(which are based on differences </w:t>
      </w:r>
      <w:r w:rsidR="007C6C73">
        <w:t xml:space="preserve">such as </w:t>
      </w:r>
      <w:r w:rsidR="000A528A">
        <w:t>morphological</w:t>
      </w:r>
      <w:r w:rsidR="007C6C73">
        <w:t xml:space="preserve"> characteristics</w:t>
      </w:r>
      <w:r w:rsidR="000A528A">
        <w:t xml:space="preserve">) </w:t>
      </w:r>
      <w:r>
        <w:t>an uncertain and unsuitable form of protection.</w:t>
      </w:r>
    </w:p>
    <w:p w:rsidR="00ED4BE5" w:rsidRPr="004E3B94" w:rsidRDefault="00ED4BE5" w:rsidP="00ED4BE5">
      <w:pPr>
        <w:pStyle w:val="BoxSpaceAboveElement"/>
        <w:rPr>
          <w:vanish w:val="0"/>
          <w:color w:val="auto"/>
        </w:rPr>
      </w:pPr>
      <w:r>
        <w:t>Do not delete this RETURN as it gives space between the info request and what precedes it.</w:t>
      </w: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0"/>
      </w:tblGrid>
      <w:tr w:rsidR="00ED4BE5" w:rsidTr="00ED4BE5">
        <w:tc>
          <w:tcPr>
            <w:tcW w:w="8770" w:type="dxa"/>
            <w:tcBorders>
              <w:top w:val="single" w:sz="6" w:space="0" w:color="78A22F"/>
              <w:left w:val="nil"/>
              <w:bottom w:val="nil"/>
              <w:right w:val="nil"/>
            </w:tcBorders>
            <w:shd w:val="clear" w:color="auto" w:fill="auto"/>
          </w:tcPr>
          <w:p w:rsidR="00ED4BE5" w:rsidRDefault="00ED4BE5" w:rsidP="00ED4BE5">
            <w:pPr>
              <w:pStyle w:val="BodyText"/>
              <w:rPr>
                <w:rFonts w:ascii="Arial" w:hAnsi="Arial"/>
                <w:i/>
                <w:sz w:val="22"/>
              </w:rPr>
            </w:pPr>
            <w:r w:rsidRPr="00694EE9">
              <w:rPr>
                <w:rFonts w:ascii="Arial" w:hAnsi="Arial"/>
                <w:i/>
                <w:sz w:val="22"/>
              </w:rPr>
              <w:t xml:space="preserve">The Commission seeks evidence from plant breeders and other stakeholders (particularly farmers and farmer representatives) on whether the introduction of </w:t>
            </w:r>
            <w:proofErr w:type="spellStart"/>
            <w:r w:rsidRPr="00694EE9">
              <w:rPr>
                <w:rFonts w:ascii="Arial" w:hAnsi="Arial"/>
                <w:i/>
                <w:sz w:val="22"/>
              </w:rPr>
              <w:t>PBRs</w:t>
            </w:r>
            <w:proofErr w:type="spellEnd"/>
            <w:r w:rsidRPr="00694EE9">
              <w:rPr>
                <w:rFonts w:ascii="Arial" w:hAnsi="Arial"/>
                <w:i/>
                <w:sz w:val="22"/>
              </w:rPr>
              <w:t xml:space="preserve"> has led to a more productive and profitable agriculture sector in Australia than would have been the case under general IP protections. </w:t>
            </w:r>
          </w:p>
          <w:p w:rsidR="00ED4BE5" w:rsidRDefault="00ED4BE5" w:rsidP="00ED4BE5">
            <w:pPr>
              <w:pStyle w:val="BodyText"/>
              <w:rPr>
                <w:rFonts w:ascii="Arial" w:hAnsi="Arial"/>
                <w:i/>
                <w:sz w:val="22"/>
              </w:rPr>
            </w:pPr>
            <w:r w:rsidRPr="00694EE9">
              <w:rPr>
                <w:rFonts w:ascii="Arial" w:hAnsi="Arial"/>
                <w:i/>
                <w:sz w:val="22"/>
              </w:rPr>
              <w:t xml:space="preserve">Is there quantitative evidence to show that the introduction of </w:t>
            </w:r>
            <w:proofErr w:type="spellStart"/>
            <w:r w:rsidRPr="00694EE9">
              <w:rPr>
                <w:rFonts w:ascii="Arial" w:hAnsi="Arial"/>
                <w:i/>
                <w:sz w:val="22"/>
              </w:rPr>
              <w:t>PBRs</w:t>
            </w:r>
            <w:proofErr w:type="spellEnd"/>
            <w:r w:rsidRPr="00694EE9">
              <w:rPr>
                <w:rFonts w:ascii="Arial" w:hAnsi="Arial"/>
                <w:i/>
                <w:sz w:val="22"/>
              </w:rPr>
              <w:t xml:space="preserve"> led to an increase in the quality and quantity of new plant varieties, and an increase in the role of the private sector in plant breeding? </w:t>
            </w:r>
          </w:p>
          <w:p w:rsidR="00ED4BE5" w:rsidRPr="00694EE9" w:rsidRDefault="00ED4BE5" w:rsidP="00ED4BE5">
            <w:pPr>
              <w:pStyle w:val="BodyText"/>
              <w:rPr>
                <w:rFonts w:ascii="Arial" w:hAnsi="Arial"/>
                <w:i/>
                <w:sz w:val="22"/>
              </w:rPr>
            </w:pPr>
            <w:r>
              <w:rPr>
                <w:rFonts w:ascii="Arial" w:hAnsi="Arial"/>
                <w:i/>
                <w:sz w:val="22"/>
              </w:rPr>
              <w:t xml:space="preserve">Are the protections afforded under </w:t>
            </w:r>
            <w:proofErr w:type="spellStart"/>
            <w:r>
              <w:rPr>
                <w:rFonts w:ascii="Arial" w:hAnsi="Arial"/>
                <w:i/>
                <w:sz w:val="22"/>
              </w:rPr>
              <w:t>PBRs</w:t>
            </w:r>
            <w:proofErr w:type="spellEnd"/>
            <w:r>
              <w:rPr>
                <w:rFonts w:ascii="Arial" w:hAnsi="Arial"/>
                <w:i/>
                <w:sz w:val="22"/>
              </w:rPr>
              <w:t xml:space="preserve"> proportional to the efforts of breeders?</w:t>
            </w:r>
          </w:p>
          <w:p w:rsidR="00ED4BE5" w:rsidRPr="00694EE9" w:rsidRDefault="00ED4BE5" w:rsidP="00ED4BE5">
            <w:pPr>
              <w:pStyle w:val="BodyText"/>
              <w:rPr>
                <w:rFonts w:ascii="Arial" w:hAnsi="Arial"/>
                <w:i/>
                <w:sz w:val="22"/>
              </w:rPr>
            </w:pPr>
            <w:r w:rsidRPr="00694EE9">
              <w:rPr>
                <w:rFonts w:ascii="Arial" w:hAnsi="Arial"/>
                <w:i/>
                <w:sz w:val="22"/>
              </w:rPr>
              <w:t xml:space="preserve">Is there evidence the introduction of </w:t>
            </w:r>
            <w:proofErr w:type="spellStart"/>
            <w:r w:rsidRPr="00694EE9">
              <w:rPr>
                <w:rFonts w:ascii="Arial" w:hAnsi="Arial"/>
                <w:i/>
                <w:sz w:val="22"/>
              </w:rPr>
              <w:t>PBRs</w:t>
            </w:r>
            <w:proofErr w:type="spellEnd"/>
            <w:r w:rsidRPr="00694EE9">
              <w:rPr>
                <w:rFonts w:ascii="Arial" w:hAnsi="Arial"/>
                <w:i/>
                <w:sz w:val="22"/>
              </w:rPr>
              <w:t xml:space="preserve"> has contributed to the development of Australia’s seed export industry? Is this </w:t>
            </w:r>
            <w:r>
              <w:rPr>
                <w:rFonts w:ascii="Arial" w:hAnsi="Arial"/>
                <w:i/>
                <w:sz w:val="22"/>
              </w:rPr>
              <w:t>a suitable</w:t>
            </w:r>
            <w:r w:rsidRPr="00694EE9">
              <w:rPr>
                <w:rFonts w:ascii="Arial" w:hAnsi="Arial"/>
                <w:i/>
                <w:sz w:val="22"/>
              </w:rPr>
              <w:t xml:space="preserve"> role for IP policy?</w:t>
            </w:r>
          </w:p>
          <w:p w:rsidR="00ED4BE5" w:rsidRPr="00CE4C64" w:rsidRDefault="00ED4BE5" w:rsidP="00837A02">
            <w:pPr>
              <w:pStyle w:val="BodyText"/>
            </w:pPr>
            <w:r w:rsidRPr="00694EE9">
              <w:rPr>
                <w:rFonts w:ascii="Arial" w:hAnsi="Arial"/>
                <w:i/>
                <w:sz w:val="22"/>
              </w:rPr>
              <w:t xml:space="preserve">How adaptable is the system of </w:t>
            </w:r>
            <w:proofErr w:type="spellStart"/>
            <w:r>
              <w:rPr>
                <w:rFonts w:ascii="Arial" w:hAnsi="Arial"/>
                <w:i/>
                <w:sz w:val="22"/>
              </w:rPr>
              <w:t>PBRs</w:t>
            </w:r>
            <w:proofErr w:type="spellEnd"/>
            <w:r w:rsidRPr="00694EE9">
              <w:rPr>
                <w:rFonts w:ascii="Arial" w:hAnsi="Arial"/>
                <w:i/>
                <w:sz w:val="22"/>
              </w:rPr>
              <w:t xml:space="preserve"> to technological change? Should </w:t>
            </w:r>
            <w:proofErr w:type="spellStart"/>
            <w:r w:rsidRPr="00694EE9">
              <w:rPr>
                <w:rFonts w:ascii="Arial" w:hAnsi="Arial"/>
                <w:i/>
                <w:sz w:val="22"/>
              </w:rPr>
              <w:t>PBR</w:t>
            </w:r>
            <w:proofErr w:type="spellEnd"/>
            <w:r w:rsidRPr="00694EE9">
              <w:rPr>
                <w:rFonts w:ascii="Arial" w:hAnsi="Arial"/>
                <w:i/>
                <w:sz w:val="22"/>
              </w:rPr>
              <w:t xml:space="preserve"> legislation be amended in light of technological developments, or can new high-value plant varieties (however they are developed) be adequately supported by patent laws?</w:t>
            </w:r>
          </w:p>
        </w:tc>
      </w:tr>
      <w:tr w:rsidR="00ED4BE5" w:rsidTr="00ED4BE5">
        <w:tc>
          <w:tcPr>
            <w:tcW w:w="8770" w:type="dxa"/>
            <w:tcBorders>
              <w:top w:val="nil"/>
              <w:left w:val="nil"/>
              <w:bottom w:val="single" w:sz="6" w:space="0" w:color="78A22F"/>
              <w:right w:val="nil"/>
            </w:tcBorders>
            <w:shd w:val="clear" w:color="auto" w:fill="auto"/>
          </w:tcPr>
          <w:p w:rsidR="00ED4BE5" w:rsidRDefault="00ED4BE5" w:rsidP="00ED4BE5">
            <w:pPr>
              <w:pStyle w:val="Space"/>
              <w:keepNext w:val="0"/>
              <w:keepLines/>
            </w:pPr>
          </w:p>
        </w:tc>
      </w:tr>
      <w:tr w:rsidR="00ED4BE5" w:rsidRPr="000863A5" w:rsidTr="00ED4BE5">
        <w:trPr>
          <w:hidden/>
        </w:trPr>
        <w:tc>
          <w:tcPr>
            <w:tcW w:w="8770" w:type="dxa"/>
            <w:tcBorders>
              <w:top w:val="single" w:sz="6" w:space="0" w:color="78A22F"/>
              <w:left w:val="nil"/>
              <w:bottom w:val="nil"/>
              <w:right w:val="nil"/>
            </w:tcBorders>
          </w:tcPr>
          <w:p w:rsidR="00ED4BE5" w:rsidRPr="00626D32" w:rsidRDefault="00ED4BE5" w:rsidP="00ED4BE5">
            <w:pPr>
              <w:pStyle w:val="BoxSpaceBelow"/>
              <w:keepLines/>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info request</w:t>
            </w:r>
            <w:r w:rsidRPr="00626D32">
              <w:rPr>
                <w:rFonts w:ascii="Times New Roman" w:hAnsi="Times New Roman"/>
                <w:b/>
                <w:vanish/>
                <w:color w:val="FF00FF"/>
              </w:rPr>
              <w:t xml:space="preserve"> and what follows it.</w:t>
            </w:r>
          </w:p>
        </w:tc>
      </w:tr>
    </w:tbl>
    <w:p w:rsidR="001707BC" w:rsidRDefault="001707BC" w:rsidP="001707BC">
      <w:pPr>
        <w:pStyle w:val="Heading3"/>
      </w:pPr>
      <w:r>
        <w:t>Circuit layout rights</w:t>
      </w:r>
    </w:p>
    <w:p w:rsidR="007E55B5" w:rsidRDefault="00FF696D" w:rsidP="001707BC">
      <w:pPr>
        <w:pStyle w:val="BodyText"/>
      </w:pPr>
      <w:r>
        <w:t xml:space="preserve">Circuit layout rights </w:t>
      </w:r>
      <w:r w:rsidR="001707BC">
        <w:t>cover the topography and layout of integrated circuits, and provide creators with certain exclusive but time-limited rights. These include the right to copy the layout and to commercially exploi</w:t>
      </w:r>
      <w:r>
        <w:t>t the layout for a period of 10 </w:t>
      </w:r>
      <w:r w:rsidR="001707BC">
        <w:t xml:space="preserve">years. As with copyright law, Australian developers of integrated circuits do not need to register their layouts. </w:t>
      </w:r>
    </w:p>
    <w:p w:rsidR="001707BC" w:rsidRDefault="007E55B5" w:rsidP="001707BC">
      <w:pPr>
        <w:pStyle w:val="BodyText"/>
      </w:pPr>
      <w:r>
        <w:lastRenderedPageBreak/>
        <w:t xml:space="preserve">Circuit layout rights were introduced in Australia in 1989 in </w:t>
      </w:r>
      <w:r w:rsidR="00A175D9">
        <w:t>anticipation of</w:t>
      </w:r>
      <w:r>
        <w:t xml:space="preserve"> </w:t>
      </w:r>
      <w:r w:rsidR="007C6C73">
        <w:t xml:space="preserve">the </w:t>
      </w:r>
      <w:r>
        <w:t>Washington Treaty on Intellectual Property in respect of Integrated Circuits.</w:t>
      </w:r>
      <w:r w:rsidRPr="007E55B5">
        <w:t xml:space="preserve"> </w:t>
      </w:r>
      <w:r>
        <w:t>The introduction of circuit layout rights came about in response to growing industry concerns in the United States regarding piracy.</w:t>
      </w:r>
    </w:p>
    <w:p w:rsidR="00ED4BE5" w:rsidRPr="004E3B94" w:rsidRDefault="00ED4BE5" w:rsidP="00ED4BE5">
      <w:pPr>
        <w:pStyle w:val="BoxSpaceAboveElement"/>
        <w:rPr>
          <w:vanish w:val="0"/>
          <w:color w:val="auto"/>
        </w:rPr>
      </w:pPr>
      <w:r>
        <w:t>Do not delete this RETURN as it gives space between the info request and what precedes it.</w:t>
      </w: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0"/>
      </w:tblGrid>
      <w:tr w:rsidR="00ED4BE5" w:rsidTr="00ED4BE5">
        <w:tc>
          <w:tcPr>
            <w:tcW w:w="8770" w:type="dxa"/>
            <w:tcBorders>
              <w:top w:val="single" w:sz="6" w:space="0" w:color="78A22F"/>
              <w:left w:val="nil"/>
              <w:bottom w:val="nil"/>
              <w:right w:val="nil"/>
            </w:tcBorders>
            <w:shd w:val="clear" w:color="auto" w:fill="auto"/>
          </w:tcPr>
          <w:p w:rsidR="00ED4BE5" w:rsidRDefault="00ED4BE5" w:rsidP="00ED4BE5">
            <w:pPr>
              <w:pStyle w:val="InformationRequest"/>
            </w:pPr>
            <w:r>
              <w:t>What is the economic justification for a specific system of rights covering circuit layouts? In particular, the Commission seeks evidence from integrated circuit developers and other stakeholders in Australia regarding:</w:t>
            </w:r>
          </w:p>
          <w:p w:rsidR="00ED4BE5" w:rsidRPr="00CB4F4B" w:rsidRDefault="00ED4BE5" w:rsidP="00ED4BE5">
            <w:pPr>
              <w:pStyle w:val="ListBullet"/>
              <w:rPr>
                <w:rFonts w:asciiTheme="minorHAnsi" w:hAnsiTheme="minorHAnsi" w:cstheme="minorHAnsi"/>
                <w:szCs w:val="22"/>
              </w:rPr>
            </w:pPr>
            <w:r w:rsidRPr="00CB4F4B">
              <w:rPr>
                <w:rFonts w:asciiTheme="minorHAnsi" w:hAnsiTheme="minorHAnsi" w:cstheme="minorHAnsi"/>
                <w:i/>
                <w:sz w:val="22"/>
                <w:szCs w:val="22"/>
              </w:rPr>
              <w:t>the extent to which circuit layout rights are utilised in Australia</w:t>
            </w:r>
          </w:p>
          <w:p w:rsidR="00ED4BE5" w:rsidRPr="00DD6C27" w:rsidRDefault="00ED4BE5" w:rsidP="00ED4BE5">
            <w:pPr>
              <w:pStyle w:val="ListBullet"/>
              <w:rPr>
                <w:rFonts w:asciiTheme="minorHAnsi" w:hAnsiTheme="minorHAnsi" w:cstheme="minorHAnsi"/>
                <w:szCs w:val="22"/>
              </w:rPr>
            </w:pPr>
            <w:r w:rsidRPr="00CB4F4B">
              <w:rPr>
                <w:rFonts w:asciiTheme="minorHAnsi" w:hAnsiTheme="minorHAnsi" w:cstheme="minorHAnsi"/>
                <w:i/>
                <w:sz w:val="22"/>
                <w:szCs w:val="22"/>
              </w:rPr>
              <w:t>the efficiency and effectiveness of circuit layout rights (as opposed to other related protections, such as patents or trade secrets or being first to market) in reducing piracy and encouraging innovation</w:t>
            </w:r>
            <w:r>
              <w:rPr>
                <w:rFonts w:asciiTheme="minorHAnsi" w:hAnsiTheme="minorHAnsi" w:cstheme="minorHAnsi"/>
                <w:i/>
                <w:sz w:val="22"/>
                <w:szCs w:val="22"/>
              </w:rPr>
              <w:t>.</w:t>
            </w:r>
          </w:p>
          <w:p w:rsidR="00ED4BE5" w:rsidRPr="00CE4C64" w:rsidRDefault="00ED4BE5" w:rsidP="00ED4BE5">
            <w:pPr>
              <w:pStyle w:val="InformationRequest"/>
            </w:pPr>
            <w:r>
              <w:t>What costs would be incurred if such rights were abolished?</w:t>
            </w:r>
          </w:p>
        </w:tc>
      </w:tr>
      <w:tr w:rsidR="00ED4BE5" w:rsidTr="00ED4BE5">
        <w:tc>
          <w:tcPr>
            <w:tcW w:w="8770" w:type="dxa"/>
            <w:tcBorders>
              <w:top w:val="nil"/>
              <w:left w:val="nil"/>
              <w:bottom w:val="single" w:sz="6" w:space="0" w:color="78A22F"/>
              <w:right w:val="nil"/>
            </w:tcBorders>
            <w:shd w:val="clear" w:color="auto" w:fill="auto"/>
          </w:tcPr>
          <w:p w:rsidR="00ED4BE5" w:rsidRDefault="00ED4BE5" w:rsidP="00ED4BE5">
            <w:pPr>
              <w:pStyle w:val="Space"/>
              <w:keepNext w:val="0"/>
              <w:keepLines/>
            </w:pPr>
          </w:p>
        </w:tc>
      </w:tr>
      <w:tr w:rsidR="00ED4BE5" w:rsidRPr="000863A5" w:rsidTr="00ED4BE5">
        <w:trPr>
          <w:hidden/>
        </w:trPr>
        <w:tc>
          <w:tcPr>
            <w:tcW w:w="8770" w:type="dxa"/>
            <w:tcBorders>
              <w:top w:val="single" w:sz="6" w:space="0" w:color="78A22F"/>
              <w:left w:val="nil"/>
              <w:bottom w:val="nil"/>
              <w:right w:val="nil"/>
            </w:tcBorders>
          </w:tcPr>
          <w:p w:rsidR="00ED4BE5" w:rsidRPr="00626D32" w:rsidRDefault="00ED4BE5" w:rsidP="00ED4BE5">
            <w:pPr>
              <w:pStyle w:val="BoxSpaceBelow"/>
              <w:keepLines/>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info request</w:t>
            </w:r>
            <w:r w:rsidRPr="00626D32">
              <w:rPr>
                <w:rFonts w:ascii="Times New Roman" w:hAnsi="Times New Roman"/>
                <w:b/>
                <w:vanish/>
                <w:color w:val="FF00FF"/>
              </w:rPr>
              <w:t xml:space="preserve"> and what follows it.</w:t>
            </w:r>
          </w:p>
        </w:tc>
      </w:tr>
    </w:tbl>
    <w:p w:rsidR="00263237" w:rsidRDefault="00263237" w:rsidP="00263237">
      <w:pPr>
        <w:pStyle w:val="Heading3"/>
      </w:pPr>
      <w:r>
        <w:t>Geographic</w:t>
      </w:r>
      <w:r w:rsidR="00694354">
        <w:t>al</w:t>
      </w:r>
      <w:r>
        <w:t xml:space="preserve"> </w:t>
      </w:r>
      <w:r w:rsidR="00C53C61">
        <w:t>I</w:t>
      </w:r>
      <w:r>
        <w:t>ndications</w:t>
      </w:r>
    </w:p>
    <w:p w:rsidR="009A5562" w:rsidRDefault="009A5562" w:rsidP="009A5562">
      <w:pPr>
        <w:pStyle w:val="BodyText"/>
      </w:pPr>
      <w:r>
        <w:t xml:space="preserve">A Geographical Indication identifies goods as originating in a specific territory, region or locality where a particular quality, reputation or other characteristic is essentially attributable to its geographical origin </w:t>
      </w:r>
      <w:r w:rsidR="009B6DC1" w:rsidRPr="009B6DC1">
        <w:rPr>
          <w:szCs w:val="24"/>
        </w:rPr>
        <w:t>(IP Australia 2013)</w:t>
      </w:r>
      <w:r>
        <w:t xml:space="preserve">. As such, it plays a similar role to </w:t>
      </w:r>
      <w:proofErr w:type="spellStart"/>
      <w:r>
        <w:t>trade</w:t>
      </w:r>
      <w:r w:rsidR="00F22578">
        <w:t> </w:t>
      </w:r>
      <w:r>
        <w:t>marks</w:t>
      </w:r>
      <w:proofErr w:type="spellEnd"/>
      <w:r>
        <w:t>: providing better information to consumers of goods while providing an incentive for producers to invest and build their reputation. For most goods, a Geographical Indication can be secured through a form of trade mark, or by the same protections in civil law that prevent ‘passing-off’. There are also specific provisions for Geographical Indications when it comes to wine and spirits that result from some of Australia’s international trade and treaty obligations.</w:t>
      </w:r>
    </w:p>
    <w:p w:rsidR="00E15166" w:rsidRPr="004E3B94" w:rsidRDefault="00E15166" w:rsidP="00840C1B">
      <w:pPr>
        <w:pStyle w:val="BoxSpaceAboveElement"/>
        <w:rPr>
          <w:vanish w:val="0"/>
          <w:color w:val="auto"/>
        </w:rPr>
      </w:pPr>
      <w:r>
        <w:t>Do not delete this RETURN as it gives space between the info request and what precedes it.</w:t>
      </w: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0"/>
      </w:tblGrid>
      <w:tr w:rsidR="00E15166" w:rsidTr="00840C1B">
        <w:tc>
          <w:tcPr>
            <w:tcW w:w="8770" w:type="dxa"/>
            <w:tcBorders>
              <w:top w:val="single" w:sz="6" w:space="0" w:color="78A22F"/>
              <w:left w:val="nil"/>
              <w:bottom w:val="nil"/>
              <w:right w:val="nil"/>
            </w:tcBorders>
            <w:shd w:val="clear" w:color="auto" w:fill="auto"/>
          </w:tcPr>
          <w:p w:rsidR="00E15166" w:rsidRPr="00CE4C64" w:rsidRDefault="00E15166" w:rsidP="00840C1B">
            <w:pPr>
              <w:pStyle w:val="InformationRequest"/>
            </w:pPr>
            <w:r w:rsidRPr="009A5562">
              <w:t xml:space="preserve">The Commission welcomes submissions on how effective and efficient Geographical Indications are in terms of protecting IP, including </w:t>
            </w:r>
            <w:r>
              <w:t xml:space="preserve">on </w:t>
            </w:r>
            <w:r w:rsidRPr="009A5562">
              <w:t>a firm’s branding and reputation. Submissions on how Geographical Indications may help or hinder com</w:t>
            </w:r>
            <w:r>
              <w:t xml:space="preserve">petition and consumer outcomes </w:t>
            </w:r>
            <w:r w:rsidRPr="009A5562">
              <w:t>are also welcomed.</w:t>
            </w:r>
          </w:p>
        </w:tc>
      </w:tr>
      <w:tr w:rsidR="00E15166" w:rsidTr="00840C1B">
        <w:tc>
          <w:tcPr>
            <w:tcW w:w="8770" w:type="dxa"/>
            <w:tcBorders>
              <w:top w:val="nil"/>
              <w:left w:val="nil"/>
              <w:bottom w:val="single" w:sz="6" w:space="0" w:color="78A22F"/>
              <w:right w:val="nil"/>
            </w:tcBorders>
            <w:shd w:val="clear" w:color="auto" w:fill="auto"/>
          </w:tcPr>
          <w:p w:rsidR="00E15166" w:rsidRDefault="00E15166" w:rsidP="00840C1B">
            <w:pPr>
              <w:pStyle w:val="Space"/>
              <w:keepNext w:val="0"/>
              <w:keepLines/>
            </w:pPr>
          </w:p>
        </w:tc>
      </w:tr>
      <w:tr w:rsidR="00E15166" w:rsidRPr="000863A5" w:rsidTr="00840C1B">
        <w:trPr>
          <w:hidden/>
        </w:trPr>
        <w:tc>
          <w:tcPr>
            <w:tcW w:w="8770" w:type="dxa"/>
            <w:tcBorders>
              <w:top w:val="single" w:sz="6" w:space="0" w:color="78A22F"/>
              <w:left w:val="nil"/>
              <w:bottom w:val="nil"/>
              <w:right w:val="nil"/>
            </w:tcBorders>
          </w:tcPr>
          <w:p w:rsidR="00E15166" w:rsidRPr="00626D32" w:rsidRDefault="00E15166" w:rsidP="00840C1B">
            <w:pPr>
              <w:pStyle w:val="BoxSpaceBelow"/>
              <w:keepLines/>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info request</w:t>
            </w:r>
            <w:r w:rsidRPr="00626D32">
              <w:rPr>
                <w:rFonts w:ascii="Times New Roman" w:hAnsi="Times New Roman"/>
                <w:b/>
                <w:vanish/>
                <w:color w:val="FF00FF"/>
              </w:rPr>
              <w:t xml:space="preserve"> and what follows it.</w:t>
            </w:r>
          </w:p>
        </w:tc>
      </w:tr>
    </w:tbl>
    <w:p w:rsidR="00B0730D" w:rsidRDefault="00325C61" w:rsidP="009A5562">
      <w:pPr>
        <w:pStyle w:val="Heading2"/>
      </w:pPr>
      <w:r>
        <w:t>5</w:t>
      </w:r>
      <w:r w:rsidR="002E5418">
        <w:tab/>
      </w:r>
      <w:r w:rsidR="0067428C">
        <w:t>T</w:t>
      </w:r>
      <w:r w:rsidR="008B4935">
        <w:t>he b</w:t>
      </w:r>
      <w:r w:rsidR="00263237">
        <w:t>roader intellectual property landscape</w:t>
      </w:r>
    </w:p>
    <w:p w:rsidR="00914390" w:rsidRDefault="00914390" w:rsidP="00914390">
      <w:pPr>
        <w:pStyle w:val="Heading3"/>
        <w:spacing w:before="360"/>
      </w:pPr>
      <w:r>
        <w:t>Institutions play an important role in the IP system</w:t>
      </w:r>
    </w:p>
    <w:p w:rsidR="00DD6C27" w:rsidRDefault="00F97489" w:rsidP="00914390">
      <w:pPr>
        <w:pStyle w:val="BodyText"/>
      </w:pPr>
      <w:r>
        <w:t>A range of</w:t>
      </w:r>
      <w:r w:rsidR="00914390">
        <w:t xml:space="preserve"> institutions </w:t>
      </w:r>
      <w:r>
        <w:t>are responsible for</w:t>
      </w:r>
      <w:r w:rsidR="00914390">
        <w:t xml:space="preserve"> </w:t>
      </w:r>
      <w:r>
        <w:t>allocating, administering and enforcing</w:t>
      </w:r>
      <w:r w:rsidR="00914390">
        <w:t xml:space="preserve"> IP rights in Australia</w:t>
      </w:r>
      <w:r>
        <w:t>. Development of IP policy is also a shared responsibility (figure </w:t>
      </w:r>
      <w:r w:rsidR="00D13AE9">
        <w:t>5</w:t>
      </w:r>
      <w:r>
        <w:t>)</w:t>
      </w:r>
      <w:r w:rsidR="00914390">
        <w:t xml:space="preserve">. Key public institutions include IP Australia, which administers laws relating to patents, </w:t>
      </w:r>
      <w:proofErr w:type="spellStart"/>
      <w:r w:rsidR="00914390">
        <w:t>trade</w:t>
      </w:r>
      <w:r w:rsidR="00F22578">
        <w:t> </w:t>
      </w:r>
      <w:r w:rsidR="00914390">
        <w:t>marks</w:t>
      </w:r>
      <w:proofErr w:type="spellEnd"/>
      <w:r w:rsidR="00914390">
        <w:t xml:space="preserve">, </w:t>
      </w:r>
      <w:r w:rsidR="00914390">
        <w:lastRenderedPageBreak/>
        <w:t>designs</w:t>
      </w:r>
      <w:r w:rsidR="00C53C61">
        <w:t>, some geographical indications</w:t>
      </w:r>
      <w:r w:rsidR="00914390">
        <w:t xml:space="preserve"> and plant breeder’s rights, and the </w:t>
      </w:r>
      <w:r w:rsidR="002C1C83">
        <w:t>Department of Communications</w:t>
      </w:r>
      <w:r w:rsidR="00A74479">
        <w:t xml:space="preserve"> and the Arts</w:t>
      </w:r>
      <w:r w:rsidR="00914390">
        <w:t xml:space="preserve">, which administers copyright law. </w:t>
      </w:r>
    </w:p>
    <w:p w:rsidR="00367AB8" w:rsidRDefault="00367AB8" w:rsidP="00914390">
      <w:pPr>
        <w:pStyle w:val="BodyText"/>
      </w:pPr>
      <w:r>
        <w:t>Private institutions that lower the costs of coordinating the shared use of innovations have emerged, including creative commons communities and patent pools.</w:t>
      </w:r>
    </w:p>
    <w:p w:rsidR="00CB4F4B" w:rsidRDefault="00CB4F4B" w:rsidP="00D314E7">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CB4F4B" w:rsidTr="00D314E7">
        <w:tc>
          <w:tcPr>
            <w:tcW w:w="8771" w:type="dxa"/>
            <w:tcBorders>
              <w:top w:val="single" w:sz="6" w:space="0" w:color="78A22F"/>
              <w:left w:val="nil"/>
              <w:bottom w:val="nil"/>
              <w:right w:val="nil"/>
            </w:tcBorders>
            <w:shd w:val="clear" w:color="auto" w:fill="auto"/>
          </w:tcPr>
          <w:p w:rsidR="00CB4F4B" w:rsidRPr="00176D3F" w:rsidRDefault="00CB4F4B" w:rsidP="00D13AE9">
            <w:pPr>
              <w:pStyle w:val="FigureTitle"/>
            </w:pPr>
            <w:r w:rsidRPr="00784A05">
              <w:rPr>
                <w:b w:val="0"/>
              </w:rPr>
              <w:t xml:space="preserve">Figure </w:t>
            </w:r>
            <w:r w:rsidR="00D13AE9">
              <w:rPr>
                <w:b w:val="0"/>
              </w:rPr>
              <w:t>5</w:t>
            </w:r>
            <w:r>
              <w:tab/>
              <w:t>The institutional landscape</w:t>
            </w:r>
          </w:p>
        </w:tc>
      </w:tr>
      <w:tr w:rsidR="00CB4F4B" w:rsidTr="00D314E7">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CB4F4B" w:rsidTr="00D314E7">
              <w:trPr>
                <w:jc w:val="center"/>
              </w:trPr>
              <w:tc>
                <w:tcPr>
                  <w:tcW w:w="5000" w:type="pct"/>
                  <w:tcBorders>
                    <w:top w:val="nil"/>
                    <w:bottom w:val="nil"/>
                  </w:tcBorders>
                </w:tcPr>
                <w:p w:rsidR="00CB4F4B" w:rsidRDefault="00B46D6D" w:rsidP="00D314E7">
                  <w:pPr>
                    <w:pStyle w:val="Figure"/>
                    <w:spacing w:before="60" w:after="60"/>
                  </w:pPr>
                  <w:r>
                    <w:t xml:space="preserve"> </w:t>
                  </w:r>
                  <w:r>
                    <w:rPr>
                      <w:noProof/>
                    </w:rPr>
                    <w:drawing>
                      <wp:inline distT="0" distB="0" distL="0" distR="0" wp14:anchorId="3BBCCC18" wp14:editId="54EE8F9B">
                        <wp:extent cx="5316279" cy="2692674"/>
                        <wp:effectExtent l="0" t="0" r="0" b="0"/>
                        <wp:docPr id="5" name="Picture 5" descr="Allocation and administration. IP Australia: patents, plant breeder’s rights, trade marks, certification trade marks (table note a) and design rights. The Department of Communications and the Arts: copyright and circuit layout rights. Wine Australia Corporation: wine geographical indicators.&#10;&#10;Policy advice and input. IP Australia. The Department of Communications and the Arts. Other departments including Treasury, the Department of Foreign Affairs and Trade and the Department of Health.&#10;&#10;Opposition and enforcement. IP Australia pre- and post-grant patent opposition proceedings. The Copyright Tribunal of Australia determines fees for copyright statutory licences. Federal Circuit Court, Federal Court and High Court. State and Territory Supreme Courts (determining terms for Crown use of a patent).&#10;" title="Figure 5. The institutional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6090" cy="2692578"/>
                                </a:xfrm>
                                <a:prstGeom prst="rect">
                                  <a:avLst/>
                                </a:prstGeom>
                                <a:noFill/>
                                <a:ln>
                                  <a:noFill/>
                                </a:ln>
                              </pic:spPr>
                            </pic:pic>
                          </a:graphicData>
                        </a:graphic>
                      </wp:inline>
                    </w:drawing>
                  </w:r>
                </w:p>
              </w:tc>
            </w:tr>
          </w:tbl>
          <w:p w:rsidR="00CB4F4B" w:rsidRDefault="00CB4F4B" w:rsidP="00D314E7">
            <w:pPr>
              <w:pStyle w:val="Figure"/>
            </w:pPr>
          </w:p>
        </w:tc>
      </w:tr>
      <w:tr w:rsidR="00CB4F4B" w:rsidTr="00D314E7">
        <w:tc>
          <w:tcPr>
            <w:tcW w:w="8771" w:type="dxa"/>
            <w:tcBorders>
              <w:top w:val="nil"/>
              <w:left w:val="nil"/>
              <w:bottom w:val="single" w:sz="6" w:space="0" w:color="78A22F"/>
              <w:right w:val="nil"/>
            </w:tcBorders>
            <w:shd w:val="clear" w:color="auto" w:fill="auto"/>
          </w:tcPr>
          <w:p w:rsidR="00CB4F4B" w:rsidRDefault="00CB4F4B" w:rsidP="00D314E7">
            <w:pPr>
              <w:pStyle w:val="Figurespace"/>
            </w:pPr>
          </w:p>
        </w:tc>
      </w:tr>
      <w:tr w:rsidR="00CB4F4B" w:rsidRPr="000863A5" w:rsidTr="00D314E7">
        <w:tc>
          <w:tcPr>
            <w:tcW w:w="8771" w:type="dxa"/>
            <w:tcBorders>
              <w:top w:val="single" w:sz="6" w:space="0" w:color="78A22F"/>
              <w:left w:val="nil"/>
              <w:bottom w:val="nil"/>
              <w:right w:val="nil"/>
            </w:tcBorders>
          </w:tcPr>
          <w:p w:rsidR="00CB4F4B" w:rsidRPr="00626D32" w:rsidRDefault="00CB4F4B" w:rsidP="00D314E7">
            <w:pPr>
              <w:pStyle w:val="BoxSpaceBelow"/>
            </w:pPr>
          </w:p>
        </w:tc>
      </w:tr>
    </w:tbl>
    <w:p w:rsidR="00914390" w:rsidRDefault="00D6699E" w:rsidP="00914390">
      <w:pPr>
        <w:pStyle w:val="BodyText"/>
      </w:pPr>
      <w:r>
        <w:t xml:space="preserve">The growing international exploitation of knowledge-based assets and the </w:t>
      </w:r>
      <w:r w:rsidR="00F97489">
        <w:t>‘</w:t>
      </w:r>
      <w:r>
        <w:t>territorial</w:t>
      </w:r>
      <w:r w:rsidR="00F97489">
        <w:t>’</w:t>
      </w:r>
      <w:r>
        <w:t xml:space="preserve"> nature of rights has led to pressure</w:t>
      </w:r>
      <w:r w:rsidR="00DD6C27">
        <w:t>s</w:t>
      </w:r>
      <w:r>
        <w:t xml:space="preserve"> </w:t>
      </w:r>
      <w:r w:rsidR="00DD6C27">
        <w:t>on the</w:t>
      </w:r>
      <w:r>
        <w:t xml:space="preserve"> international </w:t>
      </w:r>
      <w:r w:rsidR="00DD6C27">
        <w:t xml:space="preserve">institutional </w:t>
      </w:r>
      <w:r>
        <w:t>system. B</w:t>
      </w:r>
      <w:r w:rsidR="00367AB8">
        <w:t xml:space="preserve">oth the World Trade Organisation (WTO) and </w:t>
      </w:r>
      <w:proofErr w:type="spellStart"/>
      <w:r w:rsidR="00367AB8">
        <w:t>WIPO</w:t>
      </w:r>
      <w:proofErr w:type="spellEnd"/>
      <w:r w:rsidR="00367AB8">
        <w:t xml:space="preserve"> seek to achieve a multilateral approach to setting and enforcing IP. </w:t>
      </w:r>
      <w:r w:rsidR="00343D99">
        <w:t xml:space="preserve">The Department of Foreign Affairs and Trade has </w:t>
      </w:r>
      <w:r w:rsidR="0059028C">
        <w:t xml:space="preserve">lead </w:t>
      </w:r>
      <w:r w:rsidR="00343D99">
        <w:t xml:space="preserve">responsibility for negotiating Australia’s international commitments on </w:t>
      </w:r>
      <w:r w:rsidR="007B330E">
        <w:t>IP</w:t>
      </w:r>
      <w:r w:rsidR="00367AB8">
        <w:t xml:space="preserve"> both through these two bodies and on a </w:t>
      </w:r>
      <w:r w:rsidR="00003F29">
        <w:t xml:space="preserve">regional and </w:t>
      </w:r>
      <w:r w:rsidR="00367AB8">
        <w:t>bilateral basis.</w:t>
      </w:r>
      <w:r w:rsidR="00343D99">
        <w:t xml:space="preserve"> </w:t>
      </w:r>
    </w:p>
    <w:p w:rsidR="00786683" w:rsidRDefault="00F97489" w:rsidP="00914390">
      <w:pPr>
        <w:pStyle w:val="BodyText"/>
      </w:pPr>
      <w:r>
        <w:t>The institutions involved in defining, allocating, and enforcing IP rights have</w:t>
      </w:r>
      <w:r w:rsidR="00914390">
        <w:t xml:space="preserve"> important </w:t>
      </w:r>
      <w:r>
        <w:t xml:space="preserve">impacts </w:t>
      </w:r>
      <w:r w:rsidR="00914390">
        <w:t xml:space="preserve">on outcomes for the </w:t>
      </w:r>
      <w:r w:rsidR="00DD6C27">
        <w:t xml:space="preserve">Australian </w:t>
      </w:r>
      <w:r w:rsidR="00914390">
        <w:t xml:space="preserve">community. Policy makers shape public institutions by setting governance arrangements and establishing organisational and legislative objectives. </w:t>
      </w:r>
      <w:r w:rsidR="00354D44">
        <w:t>The quality of the information and evidence base upon which they rely, and the transparency of their policy formulation processes are critical for achieving welfare enhancing outcomes.</w:t>
      </w:r>
    </w:p>
    <w:p w:rsidR="00786683" w:rsidRDefault="00786683" w:rsidP="00786683">
      <w:pPr>
        <w:pStyle w:val="BodyText"/>
      </w:pPr>
      <w:r>
        <w:br w:type="page"/>
      </w:r>
    </w:p>
    <w:p w:rsidR="00E15166" w:rsidRPr="004E3B94" w:rsidRDefault="00E15166" w:rsidP="00840C1B">
      <w:pPr>
        <w:pStyle w:val="BoxSpaceAboveElement"/>
        <w:rPr>
          <w:vanish w:val="0"/>
          <w:color w:val="auto"/>
        </w:rPr>
      </w:pPr>
      <w:r>
        <w:lastRenderedPageBreak/>
        <w:t>Do not delete this RETURN as it gives space between the info request and what precedes it.</w:t>
      </w: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0"/>
      </w:tblGrid>
      <w:tr w:rsidR="00E15166" w:rsidTr="00840C1B">
        <w:tc>
          <w:tcPr>
            <w:tcW w:w="8770" w:type="dxa"/>
            <w:tcBorders>
              <w:top w:val="single" w:sz="6" w:space="0" w:color="78A22F"/>
              <w:left w:val="nil"/>
              <w:bottom w:val="nil"/>
              <w:right w:val="nil"/>
            </w:tcBorders>
            <w:shd w:val="clear" w:color="auto" w:fill="auto"/>
          </w:tcPr>
          <w:p w:rsidR="00E15166" w:rsidRDefault="00E15166" w:rsidP="00E15166">
            <w:pPr>
              <w:pStyle w:val="InformationRequest"/>
              <w:spacing w:before="240"/>
            </w:pPr>
            <w:r>
              <w:t xml:space="preserve">Are there reforms to public institutions involved in defining, allocating and enforcing IP rights in Australia that would provide net benefits to the community? </w:t>
            </w:r>
          </w:p>
          <w:p w:rsidR="00E15166" w:rsidRDefault="00E15166" w:rsidP="00E15166">
            <w:pPr>
              <w:pStyle w:val="InformationRequest"/>
              <w:spacing w:before="240"/>
            </w:pPr>
            <w:r>
              <w:t>How can processes for formulating IP policy — be it ultimately embodied in domestic law or an international agreement — better harness available evidence? How can the tradeoffs implicit in IP policy be more comprehensively accounted for in policy making processes?</w:t>
            </w:r>
          </w:p>
          <w:p w:rsidR="00E15166" w:rsidRPr="00A558B2" w:rsidRDefault="00E15166" w:rsidP="00E15166">
            <w:pPr>
              <w:pStyle w:val="InformationRequest"/>
            </w:pPr>
            <w:r>
              <w:t>How does Australia formulate its position on IP policy in the context of international agreements? What evidence and an</w:t>
            </w:r>
            <w:bookmarkStart w:id="2" w:name="_GoBack"/>
            <w:bookmarkEnd w:id="2"/>
            <w:r>
              <w:t>alysis informs decision-making and negotiating positions along the way and is this adequate and sufficiently transparent?</w:t>
            </w:r>
          </w:p>
          <w:p w:rsidR="00E15166" w:rsidRDefault="00E15166" w:rsidP="00E15166">
            <w:pPr>
              <w:pStyle w:val="InformationRequest"/>
              <w:spacing w:before="240"/>
            </w:pPr>
            <w:r>
              <w:t xml:space="preserve">To what extent does the work of </w:t>
            </w:r>
            <w:proofErr w:type="spellStart"/>
            <w:r>
              <w:t>WIPO</w:t>
            </w:r>
            <w:proofErr w:type="spellEnd"/>
            <w:r>
              <w:t xml:space="preserve"> and the WTO impact on Australian policy settings? </w:t>
            </w:r>
          </w:p>
          <w:p w:rsidR="00E15166" w:rsidRPr="00CE4C64" w:rsidRDefault="00E15166" w:rsidP="00840C1B">
            <w:pPr>
              <w:pStyle w:val="InformationRequest"/>
            </w:pPr>
            <w:r>
              <w:t>Are international institutions being sidelined or marginalised in an increasingly plurilateral or bilateral negotiating process?</w:t>
            </w:r>
          </w:p>
        </w:tc>
      </w:tr>
      <w:tr w:rsidR="00E15166" w:rsidTr="00840C1B">
        <w:tc>
          <w:tcPr>
            <w:tcW w:w="8770" w:type="dxa"/>
            <w:tcBorders>
              <w:top w:val="nil"/>
              <w:left w:val="nil"/>
              <w:bottom w:val="single" w:sz="6" w:space="0" w:color="78A22F"/>
              <w:right w:val="nil"/>
            </w:tcBorders>
            <w:shd w:val="clear" w:color="auto" w:fill="auto"/>
          </w:tcPr>
          <w:p w:rsidR="00E15166" w:rsidRDefault="00E15166" w:rsidP="00840C1B">
            <w:pPr>
              <w:pStyle w:val="Space"/>
              <w:keepNext w:val="0"/>
              <w:keepLines/>
            </w:pPr>
          </w:p>
        </w:tc>
      </w:tr>
      <w:tr w:rsidR="00E15166" w:rsidRPr="000863A5" w:rsidTr="00840C1B">
        <w:trPr>
          <w:hidden/>
        </w:trPr>
        <w:tc>
          <w:tcPr>
            <w:tcW w:w="8770" w:type="dxa"/>
            <w:tcBorders>
              <w:top w:val="single" w:sz="6" w:space="0" w:color="78A22F"/>
              <w:left w:val="nil"/>
              <w:bottom w:val="nil"/>
              <w:right w:val="nil"/>
            </w:tcBorders>
          </w:tcPr>
          <w:p w:rsidR="00E15166" w:rsidRPr="00626D32" w:rsidRDefault="00E15166" w:rsidP="00840C1B">
            <w:pPr>
              <w:pStyle w:val="BoxSpaceBelow"/>
              <w:keepLines/>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info request</w:t>
            </w:r>
            <w:r w:rsidRPr="00626D32">
              <w:rPr>
                <w:rFonts w:ascii="Times New Roman" w:hAnsi="Times New Roman"/>
                <w:b/>
                <w:vanish/>
                <w:color w:val="FF00FF"/>
              </w:rPr>
              <w:t xml:space="preserve"> and what follows it.</w:t>
            </w:r>
          </w:p>
        </w:tc>
      </w:tr>
    </w:tbl>
    <w:p w:rsidR="006F1694" w:rsidRDefault="00CB0CD3" w:rsidP="006F1694">
      <w:pPr>
        <w:pStyle w:val="Heading3"/>
      </w:pPr>
      <w:bookmarkStart w:id="3" w:name="begin"/>
      <w:bookmarkEnd w:id="3"/>
      <w:r>
        <w:t>Enforcing IP right</w:t>
      </w:r>
      <w:r w:rsidR="006F1694">
        <w:t>s</w:t>
      </w:r>
    </w:p>
    <w:p w:rsidR="006F1694" w:rsidRDefault="006F1694" w:rsidP="006F1694">
      <w:pPr>
        <w:pStyle w:val="BodyText"/>
      </w:pPr>
      <w:r>
        <w:t>The value of IP</w:t>
      </w:r>
      <w:r w:rsidR="00CB0CD3">
        <w:t xml:space="preserve"> rights</w:t>
      </w:r>
      <w:r>
        <w:t xml:space="preserve"> to creators — and the value of exceptions to users — depends on the ability of both sides to enforce their rights. Enforcement mechanisms weighted too far in favour of rights holde</w:t>
      </w:r>
      <w:r w:rsidR="00CB0CD3">
        <w:t>rs may increase the value of IP right</w:t>
      </w:r>
      <w:r>
        <w:t>s over and above what is necessary to incentivise creative or innovative works. Conversely, enforcement mechanisms that are too costly or lengthy, or have rules of evidence or procedure</w:t>
      </w:r>
      <w:r w:rsidR="00EE385F" w:rsidRPr="00EE385F">
        <w:t xml:space="preserve"> </w:t>
      </w:r>
      <w:r w:rsidR="00EE385F">
        <w:t>that are too stringent</w:t>
      </w:r>
      <w:r>
        <w:t xml:space="preserve">, </w:t>
      </w:r>
      <w:r w:rsidR="000569C5">
        <w:t>can</w:t>
      </w:r>
      <w:r>
        <w:t xml:space="preserve"> </w:t>
      </w:r>
      <w:r w:rsidR="000569C5">
        <w:t xml:space="preserve">unduly </w:t>
      </w:r>
      <w:r>
        <w:t>lower the value of IP.</w:t>
      </w:r>
    </w:p>
    <w:p w:rsidR="006F1694" w:rsidRDefault="006F1694" w:rsidP="006F1694">
      <w:pPr>
        <w:pStyle w:val="BodyText"/>
      </w:pPr>
      <w:r>
        <w:t>‘Enforcement’ likely means different things to rights holders and users, but can include the ability of a patent holder to stop an alleged infringer from producing copies of their goods, a public interest organisation challenging the validity of a patent claim, a firm challenging the use of a trade</w:t>
      </w:r>
      <w:r w:rsidR="00F22578">
        <w:t> </w:t>
      </w:r>
      <w:r>
        <w:t>mark or geographical indication, or an artist seeking to prevent infringing copies of their work being shared online.</w:t>
      </w:r>
    </w:p>
    <w:p w:rsidR="00DD6C27" w:rsidRDefault="006F1694" w:rsidP="006F1694">
      <w:pPr>
        <w:pStyle w:val="BodyText"/>
      </w:pPr>
      <w:r>
        <w:t xml:space="preserve">There is mixed evidence about whether enforcement of IP in Australia is too easy or too hard. Anecdotally, some creators argue it is almost impossible to stop copyright or patent infringements, while some organisations and individuals claim that defending a case of alleged infringement is too costly. In the case of online copyright infringement in particular, creators have argued the process for seeking customer details from </w:t>
      </w:r>
      <w:r w:rsidR="007B330E">
        <w:t>ISPs</w:t>
      </w:r>
      <w:r>
        <w:t xml:space="preserve"> is too expe</w:t>
      </w:r>
      <w:r w:rsidR="003466E8">
        <w:t>nsive and takes too long. Other</w:t>
      </w:r>
      <w:r>
        <w:t xml:space="preserve"> groups argue safe harbour regimes make ISPs into ‘copyright police’, and the practice of ‘speculative invoicing’ threatens alleged infringers into paying rights holders, without infringement being proven in court.</w:t>
      </w:r>
    </w:p>
    <w:p w:rsidR="006F1694" w:rsidRDefault="006F1694" w:rsidP="006F1694">
      <w:pPr>
        <w:pStyle w:val="BodyText"/>
      </w:pPr>
      <w:r>
        <w:t>It is unlikely rights holders or consumers are completely satisfied with the current regime.</w:t>
      </w:r>
    </w:p>
    <w:p w:rsidR="006547B7" w:rsidRDefault="006547B7" w:rsidP="006F1694">
      <w:pPr>
        <w:pStyle w:val="BodyText"/>
      </w:pPr>
      <w:r>
        <w:lastRenderedPageBreak/>
        <w:t>Specialised courts may create benefits through accumulated experience and potentially reduce costs for stakeholders involved in legal proceedings. The Commission intends to examine international approaches to enforcement, such as the model adopted by the UK Intellectual Property Enterprise Court.</w:t>
      </w:r>
    </w:p>
    <w:p w:rsidR="00E15166" w:rsidRPr="004E3B94" w:rsidRDefault="00E15166" w:rsidP="00840C1B">
      <w:pPr>
        <w:pStyle w:val="BoxSpaceAboveElement"/>
        <w:rPr>
          <w:vanish w:val="0"/>
          <w:color w:val="auto"/>
        </w:rPr>
      </w:pPr>
      <w:r>
        <w:t>Do not delete this RETURN as it gives space between the info request and what precedes it.</w:t>
      </w: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0"/>
      </w:tblGrid>
      <w:tr w:rsidR="00E15166" w:rsidTr="00840C1B">
        <w:tc>
          <w:tcPr>
            <w:tcW w:w="8770" w:type="dxa"/>
            <w:tcBorders>
              <w:top w:val="single" w:sz="6" w:space="0" w:color="78A22F"/>
              <w:left w:val="nil"/>
              <w:bottom w:val="nil"/>
              <w:right w:val="nil"/>
            </w:tcBorders>
            <w:shd w:val="clear" w:color="auto" w:fill="auto"/>
          </w:tcPr>
          <w:p w:rsidR="00E15166" w:rsidRDefault="00E15166" w:rsidP="00E15166">
            <w:pPr>
              <w:pStyle w:val="InformationRequest"/>
            </w:pPr>
            <w:r>
              <w:t xml:space="preserve">Are IP rights too easy or hard to enforce in Australia, and if so, why? </w:t>
            </w:r>
          </w:p>
          <w:p w:rsidR="00E15166" w:rsidRPr="001A4EAE" w:rsidRDefault="00E15166" w:rsidP="00E15166">
            <w:pPr>
              <w:pStyle w:val="InformationRequest"/>
            </w:pPr>
            <w:r>
              <w:t>To what extent can Australian firms enforce their IP rights internationally? Does this differ across regions and/or countries?</w:t>
            </w:r>
          </w:p>
          <w:p w:rsidR="00E15166" w:rsidRDefault="00E15166" w:rsidP="00E15166">
            <w:pPr>
              <w:pStyle w:val="InformationRequest"/>
            </w:pPr>
            <w:r>
              <w:t>Which features of the current enforcement system work well, and which could be improved?</w:t>
            </w:r>
          </w:p>
          <w:p w:rsidR="00E15166" w:rsidRDefault="00E15166" w:rsidP="00E15166">
            <w:pPr>
              <w:pStyle w:val="InformationRequest"/>
            </w:pPr>
            <w:r>
              <w:t>Is the role expected of ISPs a practical option?</w:t>
            </w:r>
          </w:p>
          <w:p w:rsidR="00E15166" w:rsidRDefault="00E15166" w:rsidP="00E15166">
            <w:pPr>
              <w:pStyle w:val="InformationRequest"/>
            </w:pPr>
            <w:r>
              <w:t>Are there particular issues relating to IP enforcement that are different from the general community’s ability to access Australia’s justice system, and if so, what are they?</w:t>
            </w:r>
          </w:p>
          <w:p w:rsidR="00E15166" w:rsidRDefault="00E15166" w:rsidP="00E15166">
            <w:pPr>
              <w:pStyle w:val="InformationRequest"/>
            </w:pPr>
            <w:r>
              <w:t>Is Australia’s enforcement system well balanced, or weighted in favour of one group?</w:t>
            </w:r>
          </w:p>
          <w:p w:rsidR="00E15166" w:rsidRPr="00CE4C64" w:rsidRDefault="00E15166" w:rsidP="00840C1B">
            <w:pPr>
              <w:pStyle w:val="InformationRequest"/>
            </w:pPr>
            <w:r>
              <w:t>What improvements could Australia adopt from overseas approaches?</w:t>
            </w:r>
          </w:p>
        </w:tc>
      </w:tr>
      <w:tr w:rsidR="00E15166" w:rsidTr="00840C1B">
        <w:tc>
          <w:tcPr>
            <w:tcW w:w="8770" w:type="dxa"/>
            <w:tcBorders>
              <w:top w:val="nil"/>
              <w:left w:val="nil"/>
              <w:bottom w:val="single" w:sz="6" w:space="0" w:color="78A22F"/>
              <w:right w:val="nil"/>
            </w:tcBorders>
            <w:shd w:val="clear" w:color="auto" w:fill="auto"/>
          </w:tcPr>
          <w:p w:rsidR="00E15166" w:rsidRDefault="00E15166" w:rsidP="00840C1B">
            <w:pPr>
              <w:pStyle w:val="Space"/>
              <w:keepNext w:val="0"/>
              <w:keepLines/>
            </w:pPr>
          </w:p>
        </w:tc>
      </w:tr>
      <w:tr w:rsidR="00E15166" w:rsidRPr="000863A5" w:rsidTr="00840C1B">
        <w:trPr>
          <w:hidden/>
        </w:trPr>
        <w:tc>
          <w:tcPr>
            <w:tcW w:w="8770" w:type="dxa"/>
            <w:tcBorders>
              <w:top w:val="single" w:sz="6" w:space="0" w:color="78A22F"/>
              <w:left w:val="nil"/>
              <w:bottom w:val="nil"/>
              <w:right w:val="nil"/>
            </w:tcBorders>
          </w:tcPr>
          <w:p w:rsidR="00E15166" w:rsidRPr="00626D32" w:rsidRDefault="00E15166" w:rsidP="00840C1B">
            <w:pPr>
              <w:pStyle w:val="BoxSpaceBelow"/>
              <w:keepLines/>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info request</w:t>
            </w:r>
            <w:r w:rsidRPr="00626D32">
              <w:rPr>
                <w:rFonts w:ascii="Times New Roman" w:hAnsi="Times New Roman"/>
                <w:b/>
                <w:vanish/>
                <w:color w:val="FF00FF"/>
              </w:rPr>
              <w:t xml:space="preserve"> and what follows it.</w:t>
            </w:r>
          </w:p>
        </w:tc>
      </w:tr>
    </w:tbl>
    <w:p w:rsidR="00E5036E" w:rsidRDefault="000C143E" w:rsidP="00C44153">
      <w:pPr>
        <w:pStyle w:val="Heading3"/>
      </w:pPr>
      <w:r>
        <w:t>I</w:t>
      </w:r>
      <w:r w:rsidR="00C44153">
        <w:t>nternational obligations</w:t>
      </w:r>
      <w:r>
        <w:t xml:space="preserve"> constrain domestic flexibility</w:t>
      </w:r>
    </w:p>
    <w:p w:rsidR="00DF2617" w:rsidRPr="00DB1EB9" w:rsidRDefault="00DF2617" w:rsidP="00DF2617">
      <w:pPr>
        <w:pStyle w:val="BodyText"/>
      </w:pPr>
      <w:r w:rsidRPr="00DB1EB9">
        <w:t xml:space="preserve">Australia’s domestic </w:t>
      </w:r>
      <w:r w:rsidR="007B330E">
        <w:t>IP</w:t>
      </w:r>
      <w:r w:rsidRPr="00DB1EB9">
        <w:t xml:space="preserve"> legislation is strongly influenced by its commitment to international conventions and agreements</w:t>
      </w:r>
      <w:r>
        <w:t xml:space="preserve">. </w:t>
      </w:r>
      <w:r w:rsidR="000C143E">
        <w:t>A</w:t>
      </w:r>
      <w:r w:rsidRPr="00DB1EB9">
        <w:t xml:space="preserve">ccession to agreements has been one of the major </w:t>
      </w:r>
      <w:r>
        <w:t>drivers</w:t>
      </w:r>
      <w:r w:rsidRPr="00DB1EB9">
        <w:t xml:space="preserve"> for strengthening IP protections</w:t>
      </w:r>
      <w:r>
        <w:t>. Tw</w:t>
      </w:r>
      <w:r w:rsidRPr="00DB1EB9">
        <w:t xml:space="preserve">o </w:t>
      </w:r>
      <w:r w:rsidR="004E20ED">
        <w:t>examples</w:t>
      </w:r>
      <w:r w:rsidRPr="00DB1EB9">
        <w:t xml:space="preserve"> stand out as increasing the </w:t>
      </w:r>
      <w:r w:rsidR="000C143E">
        <w:t>scope</w:t>
      </w:r>
      <w:r w:rsidRPr="00DB1EB9">
        <w:t xml:space="preserve"> and term</w:t>
      </w:r>
      <w:r w:rsidR="004E20ED">
        <w:t xml:space="preserve"> of IP rights:</w:t>
      </w:r>
    </w:p>
    <w:p w:rsidR="00DF2617" w:rsidRPr="00DF2617" w:rsidRDefault="00DF2617" w:rsidP="00DF2617">
      <w:pPr>
        <w:pStyle w:val="ListBullet"/>
      </w:pPr>
      <w:r w:rsidRPr="00DF2617">
        <w:t xml:space="preserve">the </w:t>
      </w:r>
      <w:r w:rsidR="000C143E">
        <w:t>WTO</w:t>
      </w:r>
      <w:r w:rsidRPr="00DF2617">
        <w:t xml:space="preserve"> </w:t>
      </w:r>
      <w:r w:rsidR="000C143E">
        <w:t xml:space="preserve">Agreement on </w:t>
      </w:r>
      <w:r w:rsidRPr="00DF2617">
        <w:t>T</w:t>
      </w:r>
      <w:r w:rsidR="000C143E">
        <w:t>rade-</w:t>
      </w:r>
      <w:r w:rsidRPr="00DF2617">
        <w:t>R</w:t>
      </w:r>
      <w:r w:rsidR="000C143E">
        <w:t xml:space="preserve">elated Aspects of </w:t>
      </w:r>
      <w:r w:rsidRPr="00DF2617">
        <w:t>I</w:t>
      </w:r>
      <w:r w:rsidR="000C143E">
        <w:t xml:space="preserve">ntellectual </w:t>
      </w:r>
      <w:r w:rsidRPr="00DF2617">
        <w:t>P</w:t>
      </w:r>
      <w:r w:rsidR="000C143E">
        <w:t>roperty Rights (TRIPS)</w:t>
      </w:r>
    </w:p>
    <w:p w:rsidR="004E20ED" w:rsidRDefault="004E20ED" w:rsidP="006A2BFA">
      <w:pPr>
        <w:pStyle w:val="ListBullet"/>
      </w:pPr>
      <w:r>
        <w:t>b</w:t>
      </w:r>
      <w:r w:rsidRPr="000613BE">
        <w:t>ilateral and regional trade agreements</w:t>
      </w:r>
      <w:r w:rsidR="00ED4984">
        <w:t>,</w:t>
      </w:r>
      <w:r>
        <w:t xml:space="preserve"> and in particular t</w:t>
      </w:r>
      <w:r w:rsidR="00DF2617" w:rsidRPr="00DF2617">
        <w:t>he Australia</w:t>
      </w:r>
      <w:r w:rsidR="00DF2617" w:rsidRPr="00DF2617">
        <w:noBreakHyphen/>
        <w:t>United States Free Trade Agreement</w:t>
      </w:r>
      <w:r>
        <w:t>.</w:t>
      </w:r>
    </w:p>
    <w:p w:rsidR="004E20ED" w:rsidRPr="000613BE" w:rsidRDefault="004E20ED" w:rsidP="004E20ED">
      <w:pPr>
        <w:pStyle w:val="Heading4"/>
      </w:pPr>
      <w:r w:rsidRPr="000613BE">
        <w:t>The TRIPS Agreement</w:t>
      </w:r>
    </w:p>
    <w:p w:rsidR="004E20ED" w:rsidRPr="000613BE" w:rsidRDefault="004E20ED" w:rsidP="004E20ED">
      <w:pPr>
        <w:pStyle w:val="BodyText"/>
      </w:pPr>
      <w:r w:rsidRPr="000613BE">
        <w:t xml:space="preserve">The WTO Agreement on TRIPS is the most comprehensive multilateral agreement on </w:t>
      </w:r>
      <w:r w:rsidR="000C143E">
        <w:t>IP</w:t>
      </w:r>
      <w:r w:rsidRPr="000613BE">
        <w:t xml:space="preserve"> covering the protections of patents (including the protection of new varieties of plants), copyright and related rights, trade</w:t>
      </w:r>
      <w:r w:rsidR="000C143E">
        <w:t xml:space="preserve"> </w:t>
      </w:r>
      <w:r w:rsidRPr="000613BE">
        <w:t xml:space="preserve">marks, geographical indications, industrial designs, integrated circuit layouts and undisclosed information (trade secrets and test data). </w:t>
      </w:r>
    </w:p>
    <w:p w:rsidR="004E20ED" w:rsidRPr="000613BE" w:rsidRDefault="000C143E" w:rsidP="004E20ED">
      <w:pPr>
        <w:pStyle w:val="BodyText"/>
      </w:pPr>
      <w:r>
        <w:t xml:space="preserve">TRIPS </w:t>
      </w:r>
      <w:r w:rsidR="004E20ED" w:rsidRPr="000613BE">
        <w:t xml:space="preserve">establishes </w:t>
      </w:r>
      <w:r>
        <w:t>a</w:t>
      </w:r>
      <w:r w:rsidR="004E20ED" w:rsidRPr="000613BE">
        <w:t xml:space="preserve"> basic structure </w:t>
      </w:r>
      <w:r>
        <w:t>for</w:t>
      </w:r>
      <w:r w:rsidR="004E20ED" w:rsidRPr="000613BE">
        <w:t xml:space="preserve"> </w:t>
      </w:r>
      <w:r>
        <w:t>IP</w:t>
      </w:r>
      <w:r w:rsidR="004E20ED" w:rsidRPr="000613BE">
        <w:t xml:space="preserve"> rights</w:t>
      </w:r>
      <w:r>
        <w:t xml:space="preserve"> in member countries by</w:t>
      </w:r>
      <w:r w:rsidR="004E20ED" w:rsidRPr="000613BE">
        <w:t xml:space="preserve"> </w:t>
      </w:r>
      <w:r>
        <w:t>setting minimum standards of protection and requiring</w:t>
      </w:r>
      <w:r w:rsidR="004E20ED" w:rsidRPr="000613BE">
        <w:t xml:space="preserve"> procedures and remedies for enf</w:t>
      </w:r>
      <w:r w:rsidR="00694354">
        <w:t>orcement and dispute settlement</w:t>
      </w:r>
      <w:r w:rsidR="004E20ED" w:rsidRPr="000613BE">
        <w:t xml:space="preserve"> </w:t>
      </w:r>
      <w:r w:rsidR="004E20ED" w:rsidRPr="000613BE">
        <w:rPr>
          <w:szCs w:val="24"/>
        </w:rPr>
        <w:t>(</w:t>
      </w:r>
      <w:proofErr w:type="spellStart"/>
      <w:r w:rsidR="004E20ED" w:rsidRPr="000613BE">
        <w:rPr>
          <w:szCs w:val="24"/>
        </w:rPr>
        <w:t>DFAT</w:t>
      </w:r>
      <w:proofErr w:type="spellEnd"/>
      <w:r w:rsidR="004E20ED" w:rsidRPr="000613BE">
        <w:rPr>
          <w:szCs w:val="24"/>
        </w:rPr>
        <w:t> 2015)</w:t>
      </w:r>
      <w:r>
        <w:rPr>
          <w:lang w:val="en-US"/>
        </w:rPr>
        <w:t>.</w:t>
      </w:r>
      <w:r w:rsidR="004E20ED">
        <w:rPr>
          <w:lang w:val="en-US"/>
        </w:rPr>
        <w:t xml:space="preserve"> </w:t>
      </w:r>
      <w:r>
        <w:t>P</w:t>
      </w:r>
      <w:r w:rsidR="004E20ED" w:rsidRPr="000613BE">
        <w:t>artie</w:t>
      </w:r>
      <w:r w:rsidR="004E20ED">
        <w:t xml:space="preserve">s </w:t>
      </w:r>
      <w:r w:rsidR="004E20ED" w:rsidRPr="000613BE">
        <w:t xml:space="preserve">have the right to </w:t>
      </w:r>
      <w:r>
        <w:t>implement higher</w:t>
      </w:r>
      <w:r w:rsidR="004E20ED" w:rsidRPr="000613BE">
        <w:t xml:space="preserve"> levels of protection as long as they apply the general principles of national treatment and </w:t>
      </w:r>
      <w:r w:rsidR="00C53C61">
        <w:t>m</w:t>
      </w:r>
      <w:r w:rsidR="00C53C61" w:rsidRPr="000613BE">
        <w:t>ost-</w:t>
      </w:r>
      <w:r w:rsidR="00C53C61">
        <w:t>f</w:t>
      </w:r>
      <w:r w:rsidR="00C53C61" w:rsidRPr="000613BE">
        <w:t>avoured</w:t>
      </w:r>
      <w:r w:rsidR="00C53C61">
        <w:t>-n</w:t>
      </w:r>
      <w:r w:rsidR="00C53C61" w:rsidRPr="000613BE">
        <w:t xml:space="preserve">ation </w:t>
      </w:r>
      <w:r w:rsidR="00C53C61">
        <w:t>t</w:t>
      </w:r>
      <w:r w:rsidR="00C53C61" w:rsidRPr="000613BE">
        <w:t>reatment</w:t>
      </w:r>
      <w:r w:rsidR="00C53C61">
        <w:t>.</w:t>
      </w:r>
    </w:p>
    <w:p w:rsidR="004E20ED" w:rsidRPr="000613BE" w:rsidRDefault="004E20ED" w:rsidP="004E20ED">
      <w:pPr>
        <w:pStyle w:val="Heading4"/>
      </w:pPr>
      <w:r w:rsidRPr="000613BE">
        <w:lastRenderedPageBreak/>
        <w:t>Bilateral and regional trade agreements</w:t>
      </w:r>
    </w:p>
    <w:p w:rsidR="004E20ED" w:rsidRPr="000613BE" w:rsidRDefault="004E20ED" w:rsidP="004E20ED">
      <w:pPr>
        <w:pStyle w:val="BodyText"/>
      </w:pPr>
      <w:r w:rsidRPr="000613BE">
        <w:t>Although IP protections have traditionally fallen within the domain of domestic legislation and multilateral agreements, in recent years they have also been included in Australia’s bilateral and regional trade agreements</w:t>
      </w:r>
      <w:r w:rsidR="000C143E">
        <w:t xml:space="preserve"> (</w:t>
      </w:r>
      <w:proofErr w:type="spellStart"/>
      <w:r w:rsidR="000C143E">
        <w:t>BRTAs</w:t>
      </w:r>
      <w:proofErr w:type="spellEnd"/>
      <w:r w:rsidR="000C143E">
        <w:t>)</w:t>
      </w:r>
      <w:r w:rsidRPr="000613BE">
        <w:t xml:space="preserve">. </w:t>
      </w:r>
    </w:p>
    <w:p w:rsidR="00D94D5C" w:rsidRDefault="004E20ED" w:rsidP="00D94D5C">
      <w:pPr>
        <w:pStyle w:val="BodyText"/>
      </w:pPr>
      <w:r w:rsidRPr="000613BE">
        <w:t xml:space="preserve">Some of Australia’s existing </w:t>
      </w:r>
      <w:proofErr w:type="spellStart"/>
      <w:r w:rsidRPr="000613BE">
        <w:t>BRTAs</w:t>
      </w:r>
      <w:proofErr w:type="spellEnd"/>
      <w:r w:rsidRPr="000613BE">
        <w:t xml:space="preserve"> encourage partner countries to join or reaffirm commitments to multilateral IP treaties including the TRIPS Agreement. </w:t>
      </w:r>
      <w:r w:rsidR="000C143E">
        <w:t xml:space="preserve">However, Australia’s agreement to the </w:t>
      </w:r>
      <w:r w:rsidR="004D3BA4">
        <w:t>Australia–</w:t>
      </w:r>
      <w:r w:rsidR="000C143E" w:rsidRPr="000613BE">
        <w:t xml:space="preserve">United States Free Trade Agreement </w:t>
      </w:r>
      <w:r w:rsidR="000C143E">
        <w:t>required</w:t>
      </w:r>
      <w:r>
        <w:t xml:space="preserve"> </w:t>
      </w:r>
      <w:r w:rsidR="000C143E">
        <w:t xml:space="preserve">an </w:t>
      </w:r>
      <w:r w:rsidRPr="000613BE">
        <w:t xml:space="preserve">increase </w:t>
      </w:r>
      <w:r w:rsidR="004D3BA4">
        <w:t>in</w:t>
      </w:r>
      <w:r w:rsidR="000C143E">
        <w:t xml:space="preserve"> protections for IP right</w:t>
      </w:r>
      <w:r w:rsidRPr="000613BE">
        <w:t>s beyond the levels required by TRIPS</w:t>
      </w:r>
      <w:r w:rsidR="004D3BA4">
        <w:t>.</w:t>
      </w:r>
    </w:p>
    <w:p w:rsidR="00326037" w:rsidRPr="000613BE" w:rsidRDefault="004D3BA4" w:rsidP="00326037">
      <w:pPr>
        <w:pStyle w:val="BodyText"/>
        <w:rPr>
          <w:lang w:val="en-US"/>
        </w:rPr>
      </w:pPr>
      <w:r>
        <w:t>T</w:t>
      </w:r>
      <w:r w:rsidR="00D94D5C">
        <w:t xml:space="preserve">he </w:t>
      </w:r>
      <w:r w:rsidR="00D94D5C" w:rsidRPr="000613BE">
        <w:t xml:space="preserve">Trans Pacific Partnership </w:t>
      </w:r>
      <w:r>
        <w:t xml:space="preserve">(TPP) </w:t>
      </w:r>
      <w:r w:rsidR="00D94D5C">
        <w:t>Agreement —</w:t>
      </w:r>
      <w:r w:rsidR="004F331B">
        <w:t xml:space="preserve"> </w:t>
      </w:r>
      <w:r w:rsidR="00D94D5C" w:rsidRPr="000613BE">
        <w:t xml:space="preserve">negotiated between 12 countries in the Asia Pacific region </w:t>
      </w:r>
      <w:r w:rsidR="00D94D5C">
        <w:t>—</w:t>
      </w:r>
      <w:r w:rsidR="004F331B">
        <w:t xml:space="preserve"> </w:t>
      </w:r>
      <w:r w:rsidR="00D94D5C" w:rsidRPr="000613BE">
        <w:rPr>
          <w:lang w:val="en-US"/>
        </w:rPr>
        <w:t xml:space="preserve">raised concerns </w:t>
      </w:r>
      <w:r w:rsidR="00952F2D">
        <w:rPr>
          <w:lang w:val="en-US"/>
        </w:rPr>
        <w:t xml:space="preserve">among some interested parties </w:t>
      </w:r>
      <w:r w:rsidR="00D94D5C">
        <w:rPr>
          <w:lang w:val="en-US"/>
        </w:rPr>
        <w:t>about</w:t>
      </w:r>
      <w:r>
        <w:rPr>
          <w:lang w:val="en-US"/>
        </w:rPr>
        <w:t xml:space="preserve"> the nature</w:t>
      </w:r>
      <w:r w:rsidR="00D94D5C" w:rsidRPr="000613BE">
        <w:rPr>
          <w:lang w:val="en-US"/>
        </w:rPr>
        <w:t xml:space="preserve"> </w:t>
      </w:r>
      <w:r>
        <w:rPr>
          <w:lang w:val="en-US"/>
        </w:rPr>
        <w:t xml:space="preserve">of </w:t>
      </w:r>
      <w:r w:rsidR="00D94D5C" w:rsidRPr="000613BE">
        <w:rPr>
          <w:lang w:val="en-US"/>
        </w:rPr>
        <w:t xml:space="preserve">IP </w:t>
      </w:r>
      <w:r w:rsidR="00D94D5C">
        <w:rPr>
          <w:lang w:val="en-US"/>
        </w:rPr>
        <w:t xml:space="preserve">provisions in </w:t>
      </w:r>
      <w:r w:rsidR="00EB2E43">
        <w:rPr>
          <w:lang w:val="en-US"/>
        </w:rPr>
        <w:t xml:space="preserve">trade </w:t>
      </w:r>
      <w:r w:rsidR="00D94D5C">
        <w:rPr>
          <w:lang w:val="en-US"/>
        </w:rPr>
        <w:t>agreements</w:t>
      </w:r>
      <w:r w:rsidR="00D94D5C" w:rsidRPr="000613BE">
        <w:rPr>
          <w:lang w:val="en-US"/>
        </w:rPr>
        <w:t>. Most significantly</w:t>
      </w:r>
      <w:r w:rsidR="00EB2E43">
        <w:rPr>
          <w:lang w:val="en-US"/>
        </w:rPr>
        <w:t>,</w:t>
      </w:r>
      <w:r w:rsidR="00D94D5C" w:rsidRPr="000613BE">
        <w:rPr>
          <w:lang w:val="en-US"/>
        </w:rPr>
        <w:t xml:space="preserve"> these concerns relate</w:t>
      </w:r>
      <w:r w:rsidR="00DD2697">
        <w:rPr>
          <w:lang w:val="en-US"/>
        </w:rPr>
        <w:t>d</w:t>
      </w:r>
      <w:r w:rsidR="00D94D5C" w:rsidRPr="000613BE">
        <w:rPr>
          <w:lang w:val="en-US"/>
        </w:rPr>
        <w:t xml:space="preserve"> to </w:t>
      </w:r>
      <w:r w:rsidR="00354D44">
        <w:rPr>
          <w:lang w:val="en-US"/>
        </w:rPr>
        <w:t xml:space="preserve">reported </w:t>
      </w:r>
      <w:r w:rsidR="00D94D5C" w:rsidRPr="000613BE">
        <w:rPr>
          <w:lang w:val="en-US"/>
        </w:rPr>
        <w:t>proposals</w:t>
      </w:r>
      <w:r w:rsidR="00354D44" w:rsidRPr="0070145C">
        <w:rPr>
          <w:rStyle w:val="FootnoteReference"/>
        </w:rPr>
        <w:footnoteReference w:id="2"/>
      </w:r>
      <w:r w:rsidR="00D94D5C" w:rsidRPr="000613BE">
        <w:rPr>
          <w:lang w:val="en-US"/>
        </w:rPr>
        <w:t xml:space="preserve"> to extend </w:t>
      </w:r>
      <w:r w:rsidR="00901E33">
        <w:rPr>
          <w:lang w:val="en-US"/>
        </w:rPr>
        <w:t>the</w:t>
      </w:r>
      <w:r w:rsidR="00D94D5C" w:rsidRPr="000613BE">
        <w:rPr>
          <w:lang w:val="en-US"/>
        </w:rPr>
        <w:t xml:space="preserve"> protection </w:t>
      </w:r>
      <w:r w:rsidR="00901E33">
        <w:rPr>
          <w:lang w:val="en-US"/>
        </w:rPr>
        <w:t>provided by</w:t>
      </w:r>
      <w:r w:rsidR="00D94D5C" w:rsidRPr="000613BE">
        <w:rPr>
          <w:lang w:val="en-US"/>
        </w:rPr>
        <w:t xml:space="preserve"> pharmaceutical patents, data exclusivity periods and copyright terms, and </w:t>
      </w:r>
      <w:r w:rsidR="00952F2D">
        <w:rPr>
          <w:lang w:val="en-US"/>
        </w:rPr>
        <w:t xml:space="preserve">may extend to </w:t>
      </w:r>
      <w:r w:rsidR="00D94D5C" w:rsidRPr="000613BE">
        <w:rPr>
          <w:lang w:val="en-US"/>
        </w:rPr>
        <w:t>potential use of investor state dispute settlement provisions.</w:t>
      </w:r>
      <w:r w:rsidR="00326037">
        <w:rPr>
          <w:lang w:val="en-US"/>
        </w:rPr>
        <w:t xml:space="preserve"> With the recent conclusion of negotiations, the Australian Government </w:t>
      </w:r>
      <w:r w:rsidR="00326037" w:rsidRPr="00F07A6E">
        <w:t>(2015)</w:t>
      </w:r>
      <w:r w:rsidR="00326037">
        <w:rPr>
          <w:lang w:val="en-US"/>
        </w:rPr>
        <w:t xml:space="preserve"> has stated that the </w:t>
      </w:r>
      <w:proofErr w:type="spellStart"/>
      <w:r w:rsidR="00326037">
        <w:rPr>
          <w:lang w:val="en-US"/>
        </w:rPr>
        <w:t>TPP</w:t>
      </w:r>
      <w:proofErr w:type="spellEnd"/>
      <w:r w:rsidR="00326037">
        <w:rPr>
          <w:lang w:val="en-US"/>
        </w:rPr>
        <w:t xml:space="preserve"> will not require any changes to Australia’s patent system or copyright regime, and no change will be made to the </w:t>
      </w:r>
      <w:r w:rsidR="00DD2697">
        <w:rPr>
          <w:lang w:val="en-US"/>
        </w:rPr>
        <w:t xml:space="preserve">five year </w:t>
      </w:r>
      <w:r w:rsidR="00326037">
        <w:rPr>
          <w:lang w:val="en-US"/>
        </w:rPr>
        <w:t>data protection</w:t>
      </w:r>
      <w:r w:rsidR="00DD2697">
        <w:rPr>
          <w:lang w:val="en-US"/>
        </w:rPr>
        <w:t xml:space="preserve"> term</w:t>
      </w:r>
      <w:r w:rsidR="00326037">
        <w:rPr>
          <w:lang w:val="en-US"/>
        </w:rPr>
        <w:t xml:space="preserve"> for biologic medicines.</w:t>
      </w:r>
    </w:p>
    <w:p w:rsidR="004E20ED" w:rsidRDefault="004D3BA4" w:rsidP="004E20ED">
      <w:pPr>
        <w:pStyle w:val="BodyText"/>
      </w:pPr>
      <w:r>
        <w:t xml:space="preserve">Australia’s participation </w:t>
      </w:r>
      <w:r w:rsidR="00DD2697">
        <w:t xml:space="preserve">in </w:t>
      </w:r>
      <w:proofErr w:type="spellStart"/>
      <w:r w:rsidR="00DD2697">
        <w:t>BRTAs</w:t>
      </w:r>
      <w:proofErr w:type="spellEnd"/>
      <w:r w:rsidR="00DD2697">
        <w:t xml:space="preserve"> has </w:t>
      </w:r>
      <w:r w:rsidR="004F331B">
        <w:t>seen an ongoing debate</w:t>
      </w:r>
      <w:r>
        <w:t xml:space="preserve"> about whether the </w:t>
      </w:r>
      <w:r w:rsidR="004E20ED" w:rsidRPr="000613BE">
        <w:t xml:space="preserve">approach to IP in trade agreements </w:t>
      </w:r>
      <w:r>
        <w:t xml:space="preserve">is in </w:t>
      </w:r>
      <w:r w:rsidR="004E20ED" w:rsidRPr="000613BE">
        <w:t xml:space="preserve">the best interests of either Australia or its trading partners. </w:t>
      </w:r>
      <w:r>
        <w:t>The debate centres on whether</w:t>
      </w:r>
      <w:r w:rsidR="004E20ED">
        <w:t>:</w:t>
      </w:r>
    </w:p>
    <w:p w:rsidR="004E20ED" w:rsidRDefault="004F331B" w:rsidP="004E20ED">
      <w:pPr>
        <w:pStyle w:val="ListBullet"/>
      </w:pPr>
      <w:r>
        <w:t xml:space="preserve">the outcomes in </w:t>
      </w:r>
      <w:proofErr w:type="spellStart"/>
      <w:r>
        <w:t>BRTAs</w:t>
      </w:r>
      <w:proofErr w:type="spellEnd"/>
      <w:r>
        <w:t xml:space="preserve"> have</w:t>
      </w:r>
      <w:r w:rsidR="004E20ED">
        <w:t xml:space="preserve"> struck </w:t>
      </w:r>
      <w:r w:rsidR="00901E33">
        <w:t xml:space="preserve">the right </w:t>
      </w:r>
      <w:r w:rsidR="004E20ED">
        <w:t>balance</w:t>
      </w:r>
      <w:r w:rsidR="00D94D5C">
        <w:t>.</w:t>
      </w:r>
      <w:r w:rsidR="00D94D5C" w:rsidRPr="000613BE">
        <w:rPr>
          <w:lang w:val="en-GB"/>
        </w:rPr>
        <w:t xml:space="preserve"> For example, analysis indicates exten</w:t>
      </w:r>
      <w:r w:rsidR="00B5501F">
        <w:rPr>
          <w:lang w:val="en-GB"/>
        </w:rPr>
        <w:t>ding</w:t>
      </w:r>
      <w:r w:rsidR="00D94D5C" w:rsidRPr="000613BE">
        <w:rPr>
          <w:lang w:val="en-GB"/>
        </w:rPr>
        <w:t xml:space="preserve"> the duration of copyright protection </w:t>
      </w:r>
      <w:r w:rsidR="00B5501F">
        <w:rPr>
          <w:lang w:val="en-GB"/>
        </w:rPr>
        <w:t>from 50 years to 70 years after the death of the author, as</w:t>
      </w:r>
      <w:r w:rsidR="00B5501F" w:rsidRPr="000613BE">
        <w:rPr>
          <w:lang w:val="en-GB"/>
        </w:rPr>
        <w:t xml:space="preserve"> </w:t>
      </w:r>
      <w:r w:rsidR="00D94D5C" w:rsidRPr="000613BE">
        <w:rPr>
          <w:lang w:val="en-GB"/>
        </w:rPr>
        <w:t xml:space="preserve">required by the </w:t>
      </w:r>
      <w:r w:rsidR="004D3BA4">
        <w:t>Australia–</w:t>
      </w:r>
      <w:r w:rsidR="00901E33" w:rsidRPr="000613BE">
        <w:t>United States Free Trade Agreement</w:t>
      </w:r>
      <w:r w:rsidR="00B5501F">
        <w:t>,</w:t>
      </w:r>
      <w:r w:rsidR="00D94D5C" w:rsidRPr="000613BE">
        <w:rPr>
          <w:lang w:val="en-GB"/>
        </w:rPr>
        <w:t xml:space="preserve"> imposed net costs through increased royalty payments </w:t>
      </w:r>
      <w:r w:rsidR="00F43303" w:rsidRPr="00F43303">
        <w:rPr>
          <w:szCs w:val="24"/>
        </w:rPr>
        <w:t>(PC 2010)</w:t>
      </w:r>
      <w:r w:rsidR="00D94D5C" w:rsidRPr="000613BE">
        <w:rPr>
          <w:lang w:val="en-GB"/>
        </w:rPr>
        <w:t>.</w:t>
      </w:r>
    </w:p>
    <w:p w:rsidR="004D3BA4" w:rsidRDefault="004D3BA4" w:rsidP="004D3BA4">
      <w:pPr>
        <w:pStyle w:val="ListBullet"/>
      </w:pPr>
      <w:proofErr w:type="spellStart"/>
      <w:r>
        <w:t>BRT</w:t>
      </w:r>
      <w:r w:rsidR="00901E33">
        <w:t>A</w:t>
      </w:r>
      <w:r>
        <w:t>s</w:t>
      </w:r>
      <w:proofErr w:type="spellEnd"/>
      <w:r>
        <w:t xml:space="preserve"> </w:t>
      </w:r>
      <w:r w:rsidR="00B5501F" w:rsidRPr="000613BE">
        <w:t xml:space="preserve">reduce </w:t>
      </w:r>
      <w:r w:rsidR="00B5501F">
        <w:t>domestic flexibility</w:t>
      </w:r>
      <w:r w:rsidR="00B5501F" w:rsidRPr="000613BE">
        <w:t xml:space="preserve"> </w:t>
      </w:r>
      <w:r w:rsidR="00B5501F">
        <w:t>through the inclusion of IP and/or</w:t>
      </w:r>
      <w:r w:rsidR="00A558B2">
        <w:t xml:space="preserve"> Investor State Dispute Settlement provisions</w:t>
      </w:r>
      <w:r w:rsidR="004E20ED" w:rsidRPr="000613BE">
        <w:t xml:space="preserve">. </w:t>
      </w:r>
    </w:p>
    <w:p w:rsidR="00786683" w:rsidRDefault="00EB2E43" w:rsidP="004D3BA4">
      <w:pPr>
        <w:pStyle w:val="BodyText"/>
      </w:pPr>
      <w:r w:rsidRPr="000613BE">
        <w:t>The Commission has previously expressed the view that Australia’s participation in international negotiations in relation to IP laws should focus on plurilateral and multilateral settings, including throug</w:t>
      </w:r>
      <w:r w:rsidR="00901E33">
        <w:t xml:space="preserve">h multilateral treaties and </w:t>
      </w:r>
      <w:r w:rsidRPr="000613BE">
        <w:t xml:space="preserve">international organisations such as </w:t>
      </w:r>
      <w:proofErr w:type="spellStart"/>
      <w:r w:rsidRPr="000613BE">
        <w:t>WIPO</w:t>
      </w:r>
      <w:proofErr w:type="spellEnd"/>
      <w:r w:rsidRPr="000613BE">
        <w:t xml:space="preserve"> and the WTO.</w:t>
      </w:r>
    </w:p>
    <w:p w:rsidR="00786683" w:rsidRDefault="00786683" w:rsidP="00786683">
      <w:pPr>
        <w:pStyle w:val="BodyText"/>
      </w:pPr>
      <w:r>
        <w:br w:type="page"/>
      </w:r>
    </w:p>
    <w:p w:rsidR="00E15166" w:rsidRPr="004E3B94" w:rsidRDefault="00E15166" w:rsidP="00840C1B">
      <w:pPr>
        <w:pStyle w:val="BoxSpaceAboveElement"/>
        <w:rPr>
          <w:vanish w:val="0"/>
          <w:color w:val="auto"/>
        </w:rPr>
      </w:pPr>
      <w:r>
        <w:lastRenderedPageBreak/>
        <w:t>Do not delete this RETURN as it gives space between the info request and what precedes it.</w:t>
      </w: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0"/>
      </w:tblGrid>
      <w:tr w:rsidR="00E15166" w:rsidTr="00840C1B">
        <w:tc>
          <w:tcPr>
            <w:tcW w:w="8770" w:type="dxa"/>
            <w:tcBorders>
              <w:top w:val="single" w:sz="6" w:space="0" w:color="78A22F"/>
              <w:left w:val="nil"/>
              <w:bottom w:val="nil"/>
              <w:right w:val="nil"/>
            </w:tcBorders>
            <w:shd w:val="clear" w:color="auto" w:fill="auto"/>
          </w:tcPr>
          <w:p w:rsidR="00E15166" w:rsidRPr="000613BE" w:rsidRDefault="00E15166" w:rsidP="00E15166">
            <w:pPr>
              <w:pStyle w:val="InformationRequest"/>
            </w:pPr>
            <w:r w:rsidRPr="000613BE">
              <w:t xml:space="preserve">The Commission seeks input on the impact of Australia’s international </w:t>
            </w:r>
            <w:r>
              <w:t xml:space="preserve">IP </w:t>
            </w:r>
            <w:r w:rsidRPr="000613BE">
              <w:t xml:space="preserve">obligations on </w:t>
            </w:r>
            <w:r>
              <w:t xml:space="preserve">domestic </w:t>
            </w:r>
            <w:r w:rsidRPr="000613BE">
              <w:t>innovation, production, trade and consumption</w:t>
            </w:r>
            <w:r>
              <w:t xml:space="preserve">. </w:t>
            </w:r>
            <w:r w:rsidRPr="000613BE">
              <w:t xml:space="preserve">Has </w:t>
            </w:r>
            <w:r>
              <w:t>a move towards stronger IP rights</w:t>
            </w:r>
            <w:r w:rsidRPr="000613BE">
              <w:t xml:space="preserve"> served Australia’s economic interests? </w:t>
            </w:r>
            <w:r>
              <w:t>Is</w:t>
            </w:r>
            <w:r w:rsidRPr="000613BE">
              <w:t xml:space="preserve"> there a case for Australia to pursue stronger IP rights in excess of minimum standards for particular types of rights or specific technologies?</w:t>
            </w:r>
          </w:p>
          <w:p w:rsidR="00E15166" w:rsidRDefault="00E15166" w:rsidP="00E15166">
            <w:pPr>
              <w:pStyle w:val="InformationRequest"/>
            </w:pPr>
            <w:r w:rsidRPr="000613BE">
              <w:t>What are the main constraints on IP policy imposed by the TRIPS Agreement and other international agreements? What scope is there to adjust Australia’s domestic IP legislation without violating the provisions of TRIPS and other international agreements?</w:t>
            </w:r>
          </w:p>
          <w:p w:rsidR="00E15166" w:rsidRPr="000613BE" w:rsidRDefault="00E15166" w:rsidP="00E15166">
            <w:pPr>
              <w:pStyle w:val="InformationRequest"/>
            </w:pPr>
            <w:r>
              <w:t xml:space="preserve">What </w:t>
            </w:r>
            <w:r w:rsidRPr="000613BE">
              <w:t>mechanisms other than adjusting the scope and duration of IP</w:t>
            </w:r>
            <w:r>
              <w:t xml:space="preserve"> right</w:t>
            </w:r>
            <w:r w:rsidRPr="000613BE">
              <w:t>s could be used to more effectively influence domestic IP settings?</w:t>
            </w:r>
          </w:p>
          <w:p w:rsidR="00E15166" w:rsidRPr="000613BE" w:rsidRDefault="00E15166" w:rsidP="00E15166">
            <w:pPr>
              <w:pStyle w:val="InformationRequest"/>
            </w:pPr>
            <w:r w:rsidRPr="000613BE">
              <w:t>To what extent do investor state dispute settlement provisions impede or prevent changes to domestic IP legislation?</w:t>
            </w:r>
          </w:p>
          <w:p w:rsidR="00E15166" w:rsidRPr="00CE4C64" w:rsidRDefault="00E15166" w:rsidP="00E15166">
            <w:pPr>
              <w:pStyle w:val="InformationRequest"/>
            </w:pPr>
            <w:r w:rsidRPr="000613BE">
              <w:t>What principles should guide decision making for future international negotiations on IP</w:t>
            </w:r>
            <w:r>
              <w:t> right</w:t>
            </w:r>
            <w:r w:rsidRPr="000613BE">
              <w:t>s?</w:t>
            </w:r>
          </w:p>
        </w:tc>
      </w:tr>
      <w:tr w:rsidR="00E15166" w:rsidTr="00840C1B">
        <w:tc>
          <w:tcPr>
            <w:tcW w:w="8770" w:type="dxa"/>
            <w:tcBorders>
              <w:top w:val="nil"/>
              <w:left w:val="nil"/>
              <w:bottom w:val="single" w:sz="6" w:space="0" w:color="78A22F"/>
              <w:right w:val="nil"/>
            </w:tcBorders>
            <w:shd w:val="clear" w:color="auto" w:fill="auto"/>
          </w:tcPr>
          <w:p w:rsidR="00E15166" w:rsidRDefault="00E15166" w:rsidP="00840C1B">
            <w:pPr>
              <w:pStyle w:val="Space"/>
              <w:keepNext w:val="0"/>
              <w:keepLines/>
            </w:pPr>
          </w:p>
        </w:tc>
      </w:tr>
      <w:tr w:rsidR="00E15166" w:rsidRPr="000863A5" w:rsidTr="00840C1B">
        <w:trPr>
          <w:hidden/>
        </w:trPr>
        <w:tc>
          <w:tcPr>
            <w:tcW w:w="8770" w:type="dxa"/>
            <w:tcBorders>
              <w:top w:val="single" w:sz="6" w:space="0" w:color="78A22F"/>
              <w:left w:val="nil"/>
              <w:bottom w:val="nil"/>
              <w:right w:val="nil"/>
            </w:tcBorders>
          </w:tcPr>
          <w:p w:rsidR="00E15166" w:rsidRPr="00626D32" w:rsidRDefault="00E15166" w:rsidP="00840C1B">
            <w:pPr>
              <w:pStyle w:val="BoxSpaceBelow"/>
              <w:keepLines/>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info request</w:t>
            </w:r>
            <w:r w:rsidRPr="00626D32">
              <w:rPr>
                <w:rFonts w:ascii="Times New Roman" w:hAnsi="Times New Roman"/>
                <w:b/>
                <w:vanish/>
                <w:color w:val="FF00FF"/>
              </w:rPr>
              <w:t xml:space="preserve"> and what follows it.</w:t>
            </w:r>
          </w:p>
        </w:tc>
      </w:tr>
    </w:tbl>
    <w:p w:rsidR="0070145C" w:rsidRDefault="00F65109" w:rsidP="00EA6D7C">
      <w:pPr>
        <w:pStyle w:val="Heading2"/>
        <w:spacing w:before="360" w:after="240"/>
      </w:pPr>
      <w:r>
        <w:br w:type="page"/>
      </w:r>
      <w:bookmarkStart w:id="4" w:name="_Toc416965668"/>
      <w:bookmarkStart w:id="5" w:name="_Toc417048501"/>
      <w:r w:rsidR="0070145C">
        <w:lastRenderedPageBreak/>
        <w:t>References</w:t>
      </w:r>
    </w:p>
    <w:p w:rsidR="00D14987" w:rsidRPr="00D14987" w:rsidRDefault="00D14987" w:rsidP="002D0E5B">
      <w:pPr>
        <w:pStyle w:val="Reference"/>
      </w:pPr>
      <w:proofErr w:type="spellStart"/>
      <w:r w:rsidRPr="00D14987">
        <w:t>ACIP</w:t>
      </w:r>
      <w:proofErr w:type="spellEnd"/>
      <w:r w:rsidRPr="00D14987">
        <w:t xml:space="preserve"> (Advisory Council on Intellectual Property) </w:t>
      </w:r>
      <w:proofErr w:type="spellStart"/>
      <w:r w:rsidRPr="00D14987">
        <w:t>2015a</w:t>
      </w:r>
      <w:proofErr w:type="spellEnd"/>
      <w:r w:rsidRPr="00D14987">
        <w:t xml:space="preserve">, </w:t>
      </w:r>
      <w:r w:rsidRPr="00D14987">
        <w:rPr>
          <w:i/>
          <w:iCs/>
        </w:rPr>
        <w:t>Review of the Designs System</w:t>
      </w:r>
      <w:r w:rsidRPr="00D14987">
        <w:t>, Final Report, March.</w:t>
      </w:r>
    </w:p>
    <w:p w:rsidR="00D14987" w:rsidRPr="00D14987" w:rsidRDefault="00D14987" w:rsidP="002D0E5B">
      <w:pPr>
        <w:pStyle w:val="Reference"/>
      </w:pPr>
      <w:r w:rsidRPr="00D14987">
        <w:t xml:space="preserve">—— (Advisory Council on Intellectual Property) </w:t>
      </w:r>
      <w:proofErr w:type="spellStart"/>
      <w:r w:rsidRPr="00D14987">
        <w:t>2015b</w:t>
      </w:r>
      <w:proofErr w:type="spellEnd"/>
      <w:r w:rsidRPr="00D14987">
        <w:t xml:space="preserve">, </w:t>
      </w:r>
      <w:r w:rsidRPr="00D14987">
        <w:rPr>
          <w:i/>
          <w:iCs/>
        </w:rPr>
        <w:t>Review of the Innovation Patent System: Final Report</w:t>
      </w:r>
      <w:r w:rsidRPr="00D14987">
        <w:t>, May.</w:t>
      </w:r>
    </w:p>
    <w:p w:rsidR="00D14987" w:rsidRPr="00D14987" w:rsidRDefault="00D14987" w:rsidP="002D0E5B">
      <w:pPr>
        <w:pStyle w:val="Reference"/>
      </w:pPr>
      <w:proofErr w:type="spellStart"/>
      <w:r w:rsidRPr="00D14987">
        <w:t>ALRC</w:t>
      </w:r>
      <w:proofErr w:type="spellEnd"/>
      <w:r w:rsidRPr="00D14987">
        <w:t xml:space="preserve"> (Australian Law Reform Commission) 1995, </w:t>
      </w:r>
      <w:r w:rsidRPr="00D14987">
        <w:rPr>
          <w:i/>
          <w:iCs/>
        </w:rPr>
        <w:t>Designs</w:t>
      </w:r>
      <w:r w:rsidRPr="00D14987">
        <w:t xml:space="preserve">, </w:t>
      </w:r>
      <w:proofErr w:type="spellStart"/>
      <w:r w:rsidRPr="00D14987">
        <w:t>ALRC</w:t>
      </w:r>
      <w:proofErr w:type="spellEnd"/>
      <w:r w:rsidRPr="00D14987">
        <w:t xml:space="preserve"> Report 74, June, Sydney.</w:t>
      </w:r>
    </w:p>
    <w:p w:rsidR="00D14987" w:rsidRPr="00D14987" w:rsidRDefault="00D14987" w:rsidP="002D0E5B">
      <w:pPr>
        <w:pStyle w:val="Reference"/>
      </w:pPr>
      <w:r w:rsidRPr="00D14987">
        <w:t xml:space="preserve">—— (Australian Law Reform Commission) 2013, </w:t>
      </w:r>
      <w:r w:rsidRPr="00D14987">
        <w:rPr>
          <w:i/>
          <w:iCs/>
        </w:rPr>
        <w:t>Copyright and the Digital Economy</w:t>
      </w:r>
      <w:r w:rsidRPr="00D14987">
        <w:t xml:space="preserve">, </w:t>
      </w:r>
      <w:proofErr w:type="spellStart"/>
      <w:r w:rsidRPr="00D14987">
        <w:t>ALRC</w:t>
      </w:r>
      <w:proofErr w:type="spellEnd"/>
      <w:r w:rsidRPr="00D14987">
        <w:t xml:space="preserve"> Report 122, November, Sydney.</w:t>
      </w:r>
    </w:p>
    <w:p w:rsidR="00D14987" w:rsidRDefault="00D14987" w:rsidP="002D0E5B">
      <w:pPr>
        <w:pStyle w:val="Reference"/>
      </w:pPr>
      <w:r w:rsidRPr="00D14987">
        <w:t xml:space="preserve">Aoki, R. and Small, J. 2004, ‘Compulsory licensing of technology and the essential facilities doctrine’, </w:t>
      </w:r>
      <w:r w:rsidRPr="00D14987">
        <w:rPr>
          <w:i/>
          <w:iCs/>
        </w:rPr>
        <w:t>Information Economics and Policy</w:t>
      </w:r>
      <w:r w:rsidRPr="00D14987">
        <w:t>, vol. 16, pp. 13–29.</w:t>
      </w:r>
    </w:p>
    <w:p w:rsidR="00326037" w:rsidRPr="00F07A6E" w:rsidRDefault="00326037" w:rsidP="002D0E5B">
      <w:pPr>
        <w:pStyle w:val="Reference"/>
      </w:pPr>
      <w:r w:rsidRPr="00F07A6E">
        <w:t>Australian Government 2015, Trans-Pacific Partnership (TPP) pact to drive jobs, growth and innovation for Australia, Media release, 6 October 2015, Minister for Trade and Investment, the Hon Andrew Robb MP.</w:t>
      </w:r>
    </w:p>
    <w:p w:rsidR="00D14987" w:rsidRPr="00D14987" w:rsidRDefault="00D14987" w:rsidP="002D0E5B">
      <w:pPr>
        <w:pStyle w:val="Reference"/>
      </w:pPr>
      <w:r w:rsidRPr="00D14987">
        <w:t xml:space="preserve">Bowman, B. and Lloyd, M. 2011, </w:t>
      </w:r>
      <w:r w:rsidRPr="00D14987">
        <w:rPr>
          <w:i/>
          <w:iCs/>
        </w:rPr>
        <w:t>Protected by Design: The changing face of registered design protection in Australia</w:t>
      </w:r>
      <w:r w:rsidRPr="00D14987">
        <w:t>, Griffith Hack, Melbourne.</w:t>
      </w:r>
    </w:p>
    <w:p w:rsidR="00D14987" w:rsidRPr="00D14987" w:rsidRDefault="00D14987" w:rsidP="002D0E5B">
      <w:pPr>
        <w:pStyle w:val="Reference"/>
      </w:pPr>
      <w:proofErr w:type="spellStart"/>
      <w:r w:rsidRPr="00D14987">
        <w:t>DFAT</w:t>
      </w:r>
      <w:proofErr w:type="spellEnd"/>
      <w:r w:rsidRPr="00D14987">
        <w:t xml:space="preserve"> (Department of Foreign Affairs and Trade) 2015, </w:t>
      </w:r>
      <w:r w:rsidRPr="00D14987">
        <w:rPr>
          <w:i/>
          <w:iCs/>
        </w:rPr>
        <w:t>Intellectual Property</w:t>
      </w:r>
      <w:r w:rsidRPr="00D14987">
        <w:t>.</w:t>
      </w:r>
    </w:p>
    <w:p w:rsidR="00D14987" w:rsidRPr="00D14987" w:rsidRDefault="00D14987" w:rsidP="002D0E5B">
      <w:pPr>
        <w:pStyle w:val="Reference"/>
      </w:pPr>
      <w:r w:rsidRPr="00D14987">
        <w:t xml:space="preserve">Hall, B. and </w:t>
      </w:r>
      <w:proofErr w:type="spellStart"/>
      <w:r w:rsidRPr="00D14987">
        <w:t>Harhoff</w:t>
      </w:r>
      <w:proofErr w:type="spellEnd"/>
      <w:r w:rsidRPr="00D14987">
        <w:t xml:space="preserve">, D. </w:t>
      </w:r>
      <w:r w:rsidR="00C42EF4">
        <w:t>2012</w:t>
      </w:r>
      <w:r w:rsidRPr="00D14987">
        <w:t xml:space="preserve">, </w:t>
      </w:r>
      <w:r w:rsidRPr="00D14987">
        <w:rPr>
          <w:i/>
          <w:iCs/>
        </w:rPr>
        <w:t>Recent Research on the Economics of Patents</w:t>
      </w:r>
      <w:r w:rsidRPr="00D14987">
        <w:t xml:space="preserve">, Working Paper, 17773, </w:t>
      </w:r>
      <w:proofErr w:type="spellStart"/>
      <w:r w:rsidRPr="00D14987">
        <w:t>NBER</w:t>
      </w:r>
      <w:proofErr w:type="spellEnd"/>
      <w:r w:rsidRPr="00D14987">
        <w:t xml:space="preserve"> Working Paper Series.</w:t>
      </w:r>
    </w:p>
    <w:p w:rsidR="00D14987" w:rsidRPr="00D14987" w:rsidRDefault="00D14987" w:rsidP="002D0E5B">
      <w:pPr>
        <w:pStyle w:val="Reference"/>
      </w:pPr>
      <w:r w:rsidRPr="00D14987">
        <w:t xml:space="preserve">Harris, T., Nicol, D. and </w:t>
      </w:r>
      <w:proofErr w:type="spellStart"/>
      <w:r w:rsidRPr="00D14987">
        <w:t>Gruen</w:t>
      </w:r>
      <w:proofErr w:type="spellEnd"/>
      <w:r w:rsidRPr="00D14987">
        <w:t xml:space="preserve">, N. 2013, </w:t>
      </w:r>
      <w:r w:rsidRPr="00D14987">
        <w:rPr>
          <w:i/>
          <w:iCs/>
        </w:rPr>
        <w:t>Pharmaceutical Patents Review Report</w:t>
      </w:r>
      <w:r w:rsidRPr="00D14987">
        <w:t>.</w:t>
      </w:r>
    </w:p>
    <w:p w:rsidR="00D14987" w:rsidRPr="00D14987" w:rsidRDefault="00D14987" w:rsidP="002D0E5B">
      <w:pPr>
        <w:pStyle w:val="Reference"/>
      </w:pPr>
      <w:r w:rsidRPr="00D14987">
        <w:t xml:space="preserve">Hockey, J. 2015, </w:t>
      </w:r>
      <w:r w:rsidRPr="00D14987">
        <w:rPr>
          <w:i/>
          <w:iCs/>
        </w:rPr>
        <w:t>Productivity Commission inquiry into Australia’s intellectual property arrangements</w:t>
      </w:r>
      <w:r w:rsidRPr="00D14987">
        <w:t>, http://</w:t>
      </w:r>
      <w:proofErr w:type="spellStart"/>
      <w:r w:rsidRPr="00D14987">
        <w:t>jbh.ministers.treasury.gov.au</w:t>
      </w:r>
      <w:proofErr w:type="spellEnd"/>
      <w:r w:rsidRPr="00D14987">
        <w:t>/media-release/073-2015/ (accessed 25 September 2015).</w:t>
      </w:r>
    </w:p>
    <w:p w:rsidR="00D14987" w:rsidRPr="00D14987" w:rsidRDefault="00D14987" w:rsidP="002D0E5B">
      <w:pPr>
        <w:pStyle w:val="Reference"/>
      </w:pPr>
      <w:r w:rsidRPr="00D14987">
        <w:t xml:space="preserve">Intellectual Property and Competition Review Committee 2000, </w:t>
      </w:r>
      <w:r w:rsidRPr="00D14987">
        <w:rPr>
          <w:i/>
          <w:iCs/>
        </w:rPr>
        <w:t>Review of intellectual property legislation under the Competition Principles Agreement</w:t>
      </w:r>
      <w:r w:rsidRPr="00D14987">
        <w:t>.</w:t>
      </w:r>
    </w:p>
    <w:p w:rsidR="00D14987" w:rsidRPr="00D14987" w:rsidRDefault="00D14987" w:rsidP="002D0E5B">
      <w:pPr>
        <w:pStyle w:val="Reference"/>
      </w:pPr>
      <w:r w:rsidRPr="00D14987">
        <w:t xml:space="preserve">IP Australia 2013, </w:t>
      </w:r>
      <w:r w:rsidRPr="00D14987">
        <w:rPr>
          <w:i/>
          <w:iCs/>
        </w:rPr>
        <w:t>Geographical Indications</w:t>
      </w:r>
      <w:r w:rsidRPr="00D14987">
        <w:t>, http://www.ipaustralia.gov.au/get-the-right-ip/trade-marks/types-of-trade-marks/certification-trade-mark/geographica-indications/ (accessed 14 September 2015).</w:t>
      </w:r>
    </w:p>
    <w:p w:rsidR="00D14987" w:rsidRPr="00D14987" w:rsidRDefault="00D14987" w:rsidP="002D0E5B">
      <w:pPr>
        <w:pStyle w:val="Reference"/>
      </w:pPr>
      <w:r w:rsidRPr="00D14987">
        <w:t xml:space="preserve">—— </w:t>
      </w:r>
      <w:proofErr w:type="spellStart"/>
      <w:r w:rsidRPr="00D14987">
        <w:t>2015a</w:t>
      </w:r>
      <w:proofErr w:type="spellEnd"/>
      <w:r w:rsidRPr="00D14987">
        <w:t xml:space="preserve">, </w:t>
      </w:r>
      <w:r w:rsidRPr="00D14987">
        <w:rPr>
          <w:i/>
          <w:iCs/>
        </w:rPr>
        <w:t>Australian Intellectual Property Report 2015</w:t>
      </w:r>
      <w:r w:rsidRPr="00D14987">
        <w:t>, Canberra.</w:t>
      </w:r>
    </w:p>
    <w:p w:rsidR="00D14987" w:rsidRPr="00D14987" w:rsidRDefault="00D14987" w:rsidP="002D0E5B">
      <w:pPr>
        <w:pStyle w:val="Reference"/>
      </w:pPr>
      <w:r w:rsidRPr="00D14987">
        <w:t xml:space="preserve">—— </w:t>
      </w:r>
      <w:proofErr w:type="spellStart"/>
      <w:r w:rsidRPr="00D14987">
        <w:t>2015b</w:t>
      </w:r>
      <w:proofErr w:type="spellEnd"/>
      <w:r w:rsidRPr="00D14987">
        <w:t xml:space="preserve">, </w:t>
      </w:r>
      <w:r w:rsidRPr="00D14987">
        <w:rPr>
          <w:i/>
          <w:iCs/>
        </w:rPr>
        <w:t>Trade Marks</w:t>
      </w:r>
      <w:r w:rsidRPr="00D14987">
        <w:t>, http://</w:t>
      </w:r>
      <w:proofErr w:type="spellStart"/>
      <w:r w:rsidRPr="00D14987">
        <w:t>www.ipaustralia.gov.au</w:t>
      </w:r>
      <w:proofErr w:type="spellEnd"/>
      <w:r w:rsidRPr="00D14987">
        <w:t>/get-the-right-</w:t>
      </w:r>
      <w:proofErr w:type="spellStart"/>
      <w:r w:rsidRPr="00D14987">
        <w:t>ip</w:t>
      </w:r>
      <w:proofErr w:type="spellEnd"/>
      <w:r w:rsidRPr="00D14987">
        <w:t>/trade-marks/ (accessed 10 September 2015).</w:t>
      </w:r>
    </w:p>
    <w:p w:rsidR="00D14987" w:rsidRPr="00D14987" w:rsidRDefault="00D14987" w:rsidP="002D0E5B">
      <w:pPr>
        <w:pStyle w:val="Reference"/>
      </w:pPr>
      <w:r w:rsidRPr="00D14987">
        <w:t xml:space="preserve">Johnson, M., </w:t>
      </w:r>
      <w:proofErr w:type="spellStart"/>
      <w:r w:rsidRPr="00D14987">
        <w:t>Mitra</w:t>
      </w:r>
      <w:proofErr w:type="spellEnd"/>
      <w:r w:rsidRPr="00D14987">
        <w:t xml:space="preserve">-Kahn, B., </w:t>
      </w:r>
      <w:proofErr w:type="spellStart"/>
      <w:r w:rsidRPr="00D14987">
        <w:t>Bialowas</w:t>
      </w:r>
      <w:proofErr w:type="spellEnd"/>
      <w:r w:rsidRPr="00D14987">
        <w:t xml:space="preserve">, A., Man, B., Nicholson, P. and </w:t>
      </w:r>
      <w:proofErr w:type="spellStart"/>
      <w:r w:rsidRPr="00D14987">
        <w:t>Bakhtiari</w:t>
      </w:r>
      <w:proofErr w:type="spellEnd"/>
      <w:r w:rsidRPr="00D14987">
        <w:t xml:space="preserve">, S. </w:t>
      </w:r>
      <w:proofErr w:type="spellStart"/>
      <w:r w:rsidRPr="00D14987">
        <w:t>nd</w:t>
      </w:r>
      <w:proofErr w:type="spellEnd"/>
      <w:r w:rsidRPr="00D14987">
        <w:t xml:space="preserve">, </w:t>
      </w:r>
      <w:r w:rsidRPr="00D14987">
        <w:rPr>
          <w:i/>
          <w:iCs/>
        </w:rPr>
        <w:t>The economic impact of innovation patents</w:t>
      </w:r>
      <w:r w:rsidRPr="00D14987">
        <w:t>, Economic Research Paper 05, IP Australia, Canberra.</w:t>
      </w:r>
    </w:p>
    <w:p w:rsidR="00D14987" w:rsidRPr="00D14987" w:rsidRDefault="00D14987" w:rsidP="002D0E5B">
      <w:pPr>
        <w:pStyle w:val="Reference"/>
      </w:pPr>
      <w:r w:rsidRPr="00D14987">
        <w:lastRenderedPageBreak/>
        <w:t xml:space="preserve">Lim, K., O’Sullivan, D. and Falk, M. 2014, </w:t>
      </w:r>
      <w:r w:rsidRPr="00D14987">
        <w:rPr>
          <w:i/>
          <w:iCs/>
        </w:rPr>
        <w:t>The market for design: insights from interviews with Australian firms</w:t>
      </w:r>
      <w:r w:rsidRPr="00D14987">
        <w:t>, IP Australia Economic Research Paper 03, IP Australia, Canberra.</w:t>
      </w:r>
    </w:p>
    <w:p w:rsidR="00D14987" w:rsidRPr="00D14987" w:rsidRDefault="00D14987" w:rsidP="002D0E5B">
      <w:pPr>
        <w:pStyle w:val="Reference"/>
      </w:pPr>
      <w:proofErr w:type="spellStart"/>
      <w:r w:rsidRPr="00D14987">
        <w:t>Maskus</w:t>
      </w:r>
      <w:proofErr w:type="spellEnd"/>
      <w:r w:rsidRPr="00D14987">
        <w:t xml:space="preserve">, K. </w:t>
      </w:r>
      <w:r w:rsidR="00C42EF4">
        <w:t>2000</w:t>
      </w:r>
      <w:r w:rsidRPr="00D14987">
        <w:t xml:space="preserve">, </w:t>
      </w:r>
      <w:r w:rsidRPr="00D14987">
        <w:rPr>
          <w:i/>
          <w:iCs/>
        </w:rPr>
        <w:t>International Property Rights in the Global Economy</w:t>
      </w:r>
      <w:r w:rsidRPr="00D14987">
        <w:t>.</w:t>
      </w:r>
    </w:p>
    <w:p w:rsidR="00D14987" w:rsidRPr="00D14987" w:rsidRDefault="00D14987" w:rsidP="002D0E5B">
      <w:pPr>
        <w:pStyle w:val="Reference"/>
      </w:pPr>
      <w:r w:rsidRPr="00D14987">
        <w:t xml:space="preserve">OECD (Organization for Economic Co-operation and Development) 2015, </w:t>
      </w:r>
      <w:r w:rsidRPr="00D14987">
        <w:rPr>
          <w:i/>
          <w:iCs/>
        </w:rPr>
        <w:t>Enquiries into Intellectual Property’s Economic Impact</w:t>
      </w:r>
      <w:r w:rsidRPr="00D14987">
        <w:t>, OECD Publishing, Paris.</w:t>
      </w:r>
    </w:p>
    <w:p w:rsidR="00D14987" w:rsidRPr="00D14987" w:rsidRDefault="00D14987" w:rsidP="002D0E5B">
      <w:pPr>
        <w:pStyle w:val="Reference"/>
      </w:pPr>
      <w:r w:rsidRPr="00D14987">
        <w:t xml:space="preserve">OECD, WTO &amp; World Bank Group (Organisation for Economic Co-operation and Development, World Trade Organisation and World Bank Group) 2014, </w:t>
      </w:r>
      <w:r w:rsidRPr="00D14987">
        <w:rPr>
          <w:i/>
          <w:iCs/>
        </w:rPr>
        <w:t>Global Value Chains: Challenges, Opportunities, and Implications for Policy</w:t>
      </w:r>
      <w:r w:rsidRPr="00D14987">
        <w:t xml:space="preserve">, Report prepared for the </w:t>
      </w:r>
      <w:proofErr w:type="spellStart"/>
      <w:r w:rsidRPr="00D14987">
        <w:t>G20</w:t>
      </w:r>
      <w:proofErr w:type="spellEnd"/>
      <w:r w:rsidRPr="00D14987">
        <w:t xml:space="preserve"> Trade Ministers Meeting, Sydney.</w:t>
      </w:r>
    </w:p>
    <w:p w:rsidR="00D14987" w:rsidRPr="00D14987" w:rsidRDefault="00D14987" w:rsidP="002D0E5B">
      <w:pPr>
        <w:pStyle w:val="Reference"/>
      </w:pPr>
      <w:r w:rsidRPr="00D14987">
        <w:t xml:space="preserve">PC (Productivity Commission) 2010, </w:t>
      </w:r>
      <w:r w:rsidRPr="00D14987">
        <w:rPr>
          <w:i/>
          <w:iCs/>
        </w:rPr>
        <w:t>Bilateral and Regional Trade Agreements</w:t>
      </w:r>
      <w:r w:rsidRPr="00D14987">
        <w:t>, Research report, Canberra.</w:t>
      </w:r>
    </w:p>
    <w:p w:rsidR="00D14987" w:rsidRPr="00D14987" w:rsidRDefault="00D14987" w:rsidP="002D0E5B">
      <w:pPr>
        <w:pStyle w:val="Reference"/>
      </w:pPr>
      <w:proofErr w:type="spellStart"/>
      <w:r w:rsidRPr="00D14987">
        <w:t>Stiglitz</w:t>
      </w:r>
      <w:proofErr w:type="spellEnd"/>
      <w:r w:rsidRPr="00D14987">
        <w:t xml:space="preserve">, J. 2008, ‘Economic foundations of intellectual property rights’, </w:t>
      </w:r>
      <w:r w:rsidRPr="00D14987">
        <w:rPr>
          <w:i/>
          <w:iCs/>
        </w:rPr>
        <w:t>Duke Law Journal</w:t>
      </w:r>
      <w:r w:rsidRPr="00D14987">
        <w:t>, vol. 57, pp. 1693–1724.</w:t>
      </w:r>
    </w:p>
    <w:p w:rsidR="00D14987" w:rsidRPr="00D14987" w:rsidRDefault="00D14987" w:rsidP="002D0E5B">
      <w:pPr>
        <w:pStyle w:val="Reference"/>
      </w:pPr>
      <w:proofErr w:type="spellStart"/>
      <w:r w:rsidRPr="00D14987">
        <w:t>WIPO</w:t>
      </w:r>
      <w:proofErr w:type="spellEnd"/>
      <w:r w:rsidRPr="00D14987">
        <w:t xml:space="preserve"> (World Intellectual Property Organization) 2011, </w:t>
      </w:r>
      <w:r w:rsidRPr="00D14987">
        <w:rPr>
          <w:i/>
          <w:iCs/>
        </w:rPr>
        <w:t>World Intellectual Property Report: The Changing Face of Innovation</w:t>
      </w:r>
      <w:r w:rsidRPr="00D14987">
        <w:t>, Geneva.</w:t>
      </w:r>
    </w:p>
    <w:p w:rsidR="0070145C" w:rsidRDefault="00D14987" w:rsidP="002D0E5B">
      <w:pPr>
        <w:pStyle w:val="Reference"/>
      </w:pPr>
      <w:r w:rsidRPr="00D14987">
        <w:t xml:space="preserve">—— (World Intellectual Property Organization) </w:t>
      </w:r>
      <w:proofErr w:type="spellStart"/>
      <w:r w:rsidRPr="00D14987">
        <w:t>nd</w:t>
      </w:r>
      <w:proofErr w:type="spellEnd"/>
      <w:r w:rsidRPr="00D14987">
        <w:t xml:space="preserve">, </w:t>
      </w:r>
      <w:r w:rsidRPr="00D14987">
        <w:rPr>
          <w:i/>
          <w:iCs/>
        </w:rPr>
        <w:t>What is Intellectual Property?</w:t>
      </w:r>
      <w:r w:rsidRPr="00D14987">
        <w:t>, http://</w:t>
      </w:r>
      <w:proofErr w:type="spellStart"/>
      <w:r w:rsidRPr="00D14987">
        <w:t>www.wipo.int</w:t>
      </w:r>
      <w:proofErr w:type="spellEnd"/>
      <w:r w:rsidRPr="00D14987">
        <w:t>/about-</w:t>
      </w:r>
      <w:proofErr w:type="spellStart"/>
      <w:r w:rsidRPr="00D14987">
        <w:t>ip</w:t>
      </w:r>
      <w:proofErr w:type="spellEnd"/>
      <w:r w:rsidRPr="00D14987">
        <w:t>/</w:t>
      </w:r>
      <w:proofErr w:type="spellStart"/>
      <w:r w:rsidRPr="00D14987">
        <w:t>en</w:t>
      </w:r>
      <w:proofErr w:type="spellEnd"/>
      <w:r w:rsidRPr="00D14987">
        <w:t>/ (accessed 2 October 2015).</w:t>
      </w:r>
    </w:p>
    <w:p w:rsidR="0070145C" w:rsidRDefault="0070145C" w:rsidP="0070145C">
      <w:pPr>
        <w:pStyle w:val="Heading2"/>
        <w:spacing w:before="360"/>
      </w:pPr>
      <w:r>
        <w:br w:type="page"/>
      </w:r>
    </w:p>
    <w:p w:rsidR="00E62866" w:rsidRPr="00391500" w:rsidRDefault="00E62866" w:rsidP="00E62866">
      <w:pPr>
        <w:pStyle w:val="Heading2"/>
        <w:spacing w:before="360"/>
      </w:pPr>
      <w:r>
        <w:lastRenderedPageBreak/>
        <w:t xml:space="preserve">Attachment A </w:t>
      </w:r>
      <w:r>
        <w:rPr>
          <w:rFonts w:cs="Arial"/>
        </w:rPr>
        <w:t>—</w:t>
      </w:r>
      <w:r>
        <w:t xml:space="preserve"> H</w:t>
      </w:r>
      <w:r w:rsidRPr="00391500">
        <w:t>ow to make a submission</w:t>
      </w:r>
      <w:bookmarkEnd w:id="4"/>
      <w:bookmarkEnd w:id="5"/>
    </w:p>
    <w:p w:rsidR="00E62866" w:rsidRDefault="00E62866" w:rsidP="00E62866">
      <w:pPr>
        <w:pStyle w:val="BodyText"/>
      </w:pPr>
      <w:r>
        <w:t>The Commission invites interested people and organisations to make a written submission.</w:t>
      </w:r>
    </w:p>
    <w:p w:rsidR="00E62866" w:rsidRDefault="00E62866" w:rsidP="00E62866">
      <w:pPr>
        <w:pStyle w:val="BodyText"/>
      </w:pPr>
      <w:r>
        <w:t>Each submission, except for any information supplied in confidence (see below), will be published on the Commission’s website shortly after receipt, and will remain there indefinitely as a public document. The Commission reserves the right to not publish material on its website that is offensive, potentially defamatory, or clearly out of scope for the inquiry or study in question.</w:t>
      </w:r>
    </w:p>
    <w:p w:rsidR="00E62866" w:rsidRDefault="00E62866" w:rsidP="00E62866">
      <w:pPr>
        <w:pStyle w:val="BodyText"/>
      </w:pPr>
      <w:r>
        <w:t>When providing a submission to the Commission, you may wish to remain anonymous or use a pseudonym. Please note that, if you choose to remain anonymous or use a pseudonym, the Commission may place less weight on your submission.</w:t>
      </w:r>
    </w:p>
    <w:p w:rsidR="00E62866" w:rsidRDefault="00E62866" w:rsidP="00E62866">
      <w:pPr>
        <w:pStyle w:val="BodyText"/>
      </w:pPr>
      <w:r>
        <w:t>Copyright in submissions sent to the Commission resides with the author(s), not with the Commission. Submitters should ensure that they hold copyright in any submitted documents, or that the copyright holder has authorised the publication of any relevant documents on the Commission’s website.</w:t>
      </w:r>
    </w:p>
    <w:p w:rsidR="00E62866" w:rsidRDefault="00E62866" w:rsidP="002D0E5B">
      <w:pPr>
        <w:pStyle w:val="Heading3"/>
      </w:pPr>
      <w:r>
        <w:t>How to prepare a submission</w:t>
      </w:r>
    </w:p>
    <w:p w:rsidR="00E62866" w:rsidRDefault="00E62866" w:rsidP="00E62866">
      <w:pPr>
        <w:pStyle w:val="BodyText"/>
      </w:pPr>
      <w:r>
        <w:t>Submissions may range from a short letter outlining your views on a particular topic to a much more s</w:t>
      </w:r>
      <w:smartTag w:uri="urn:schemas-microsoft-com:office:smarttags" w:element="PersonName">
        <w:r>
          <w:t>ubs</w:t>
        </w:r>
      </w:smartTag>
      <w:r>
        <w:t>ta</w:t>
      </w:r>
      <w:smartTag w:uri="urn:schemas-microsoft-com:office:smarttags" w:element="PersonName">
        <w:r>
          <w:t>nt</w:t>
        </w:r>
      </w:smartTag>
      <w:r>
        <w:t>ial docume</w:t>
      </w:r>
      <w:smartTag w:uri="urn:schemas-microsoft-com:office:smarttags" w:element="PersonName">
        <w:r>
          <w:t>nt</w:t>
        </w:r>
      </w:smartTag>
      <w:r>
        <w:t xml:space="preserve"> covering a range of issues. Where possible, you should provide evidence, such as releva</w:t>
      </w:r>
      <w:smartTag w:uri="urn:schemas-microsoft-com:office:smarttags" w:element="PersonName">
        <w:r>
          <w:t>nt</w:t>
        </w:r>
      </w:smartTag>
      <w:r>
        <w:t xml:space="preserve"> data and docume</w:t>
      </w:r>
      <w:smartTag w:uri="urn:schemas-microsoft-com:office:smarttags" w:element="PersonName">
        <w:r>
          <w:t>nt</w:t>
        </w:r>
      </w:smartTag>
      <w:r>
        <w:t>ation, to support your views.</w:t>
      </w:r>
    </w:p>
    <w:p w:rsidR="00E62866" w:rsidRDefault="00E62866" w:rsidP="00E62866">
      <w:pPr>
        <w:pStyle w:val="BodyText"/>
      </w:pPr>
      <w:r>
        <w:t>This is a public review and all submissions should be provided as public documents that can be placed on the Commission’s website for others to read and comment on.</w:t>
      </w:r>
      <w:r w:rsidRPr="00BD0197">
        <w:t xml:space="preserve"> However, information which is of a confidential nature or which is submitted in confidence can be treated as such by the Commission, provided the cause for such treatment is shown. The Commission may also request a non</w:t>
      </w:r>
      <w:r>
        <w:noBreakHyphen/>
      </w:r>
      <w:r w:rsidRPr="00BD0197">
        <w:t xml:space="preserve">confidential summary of the confidential material it is given, or the reasons why a summary cannot be provided. You are encouraged to contact the Commission for further information and advice before submitting such material. Material supplied in confidence should be provided under separate cover and clearly marked </w:t>
      </w:r>
      <w:r>
        <w:t>‘</w:t>
      </w:r>
      <w:r w:rsidRPr="00BD0197">
        <w:t>IN CONFIDENCE</w:t>
      </w:r>
      <w:r>
        <w:t>’</w:t>
      </w:r>
      <w:r w:rsidRPr="00BD0197">
        <w:t>.</w:t>
      </w:r>
    </w:p>
    <w:p w:rsidR="00E62866" w:rsidRDefault="00E62866" w:rsidP="002D0E5B">
      <w:pPr>
        <w:pStyle w:val="Heading3"/>
      </w:pPr>
      <w:r>
        <w:t>How to lodge a submission</w:t>
      </w:r>
    </w:p>
    <w:p w:rsidR="002D0E5B" w:rsidRDefault="00E62866" w:rsidP="00E62866">
      <w:pPr>
        <w:pStyle w:val="BodyText"/>
        <w:rPr>
          <w:spacing w:val="-2"/>
        </w:rPr>
      </w:pPr>
      <w:r w:rsidRPr="002D0E5B">
        <w:rPr>
          <w:spacing w:val="-2"/>
        </w:rPr>
        <w:t xml:space="preserve">Each submission should be accompanied by a submission cover sheet. The submission cover sheet is available on the study web page. For submissions received from individuals, all </w:t>
      </w:r>
      <w:r w:rsidRPr="002D0E5B">
        <w:rPr>
          <w:b/>
          <w:spacing w:val="-2"/>
        </w:rPr>
        <w:t>personal</w:t>
      </w:r>
      <w:r w:rsidRPr="002D0E5B">
        <w:rPr>
          <w:spacing w:val="-2"/>
        </w:rPr>
        <w:t xml:space="preserve"> details (for example, home and email address, signatures, phone, mobile and fax numbers) will be removed before they are published on the website for privacy reasons.</w:t>
      </w:r>
    </w:p>
    <w:p w:rsidR="002D0E5B" w:rsidRDefault="002D0E5B" w:rsidP="002D0E5B">
      <w:pPr>
        <w:pStyle w:val="BodyText"/>
      </w:pPr>
      <w:r>
        <w:br w:type="page"/>
      </w:r>
    </w:p>
    <w:p w:rsidR="00E62866" w:rsidRDefault="00E62866" w:rsidP="00E62866">
      <w:pPr>
        <w:pStyle w:val="BodyText"/>
      </w:pPr>
      <w:r>
        <w:lastRenderedPageBreak/>
        <w:t>The Commission prefers to receive submissions as Microsoft Word (.</w:t>
      </w:r>
      <w:proofErr w:type="spellStart"/>
      <w:r>
        <w:t>docx</w:t>
      </w:r>
      <w:proofErr w:type="spellEnd"/>
      <w:r>
        <w:t xml:space="preserve">) files. PDF files are acceptable if produced from a Word document or similar text based software. You may wish to research the Internet on how to make your documents more accessible or for the more technical, follow advice </w:t>
      </w:r>
      <w:r w:rsidRPr="00690ECA">
        <w:t>from Web Content Accessibility Guidelines (</w:t>
      </w:r>
      <w:proofErr w:type="spellStart"/>
      <w:r w:rsidRPr="00690ECA">
        <w:t>WCAG</w:t>
      </w:r>
      <w:proofErr w:type="spellEnd"/>
      <w:r w:rsidRPr="00690ECA">
        <w:t>) 2.0</w:t>
      </w:r>
      <w:r>
        <w:t xml:space="preserve"> &lt;</w:t>
      </w:r>
      <w:r w:rsidRPr="00C738C7">
        <w:t>http://</w:t>
      </w:r>
      <w:proofErr w:type="spellStart"/>
      <w:r w:rsidRPr="00C738C7">
        <w:t>www.w3.org</w:t>
      </w:r>
      <w:proofErr w:type="spellEnd"/>
      <w:r w:rsidRPr="00C738C7">
        <w:t>/</w:t>
      </w:r>
      <w:proofErr w:type="spellStart"/>
      <w:r w:rsidRPr="00C738C7">
        <w:t>TR</w:t>
      </w:r>
      <w:proofErr w:type="spellEnd"/>
      <w:r w:rsidRPr="00C738C7">
        <w:t>/</w:t>
      </w:r>
      <w:proofErr w:type="spellStart"/>
      <w:r w:rsidRPr="00C738C7">
        <w:t>WCAG20</w:t>
      </w:r>
      <w:proofErr w:type="spellEnd"/>
      <w:r w:rsidRPr="00C738C7">
        <w:t>/</w:t>
      </w:r>
      <w:r>
        <w:t>&gt;.</w:t>
      </w:r>
    </w:p>
    <w:p w:rsidR="00E62866" w:rsidRDefault="00E62866" w:rsidP="00E62866">
      <w:pPr>
        <w:pStyle w:val="BodyText"/>
      </w:pPr>
      <w:r>
        <w:t>Do not send password protected files. Do not send us material for which you are not the copyright owner — such as newspaper articles — you should just reference or link to this material in your submission.</w:t>
      </w:r>
    </w:p>
    <w:p w:rsidR="00E62866" w:rsidRDefault="00E62866" w:rsidP="00E62866">
      <w:pPr>
        <w:pStyle w:val="BodyText"/>
      </w:pPr>
      <w:r>
        <w:t>Track changes, editing marks, hidden text and i</w:t>
      </w:r>
      <w:smartTag w:uri="urn:schemas-microsoft-com:office:smarttags" w:element="PersonName">
        <w:r>
          <w:t>nt</w:t>
        </w:r>
      </w:smartTag>
      <w:r>
        <w:t>ernal links should be removed from submissions before sending to the Commission. To ensure hyperlinks work in your submission, the Commission recomme</w:t>
      </w:r>
      <w:smartTag w:uri="urn:schemas-microsoft-com:office:smarttags" w:element="PersonName">
        <w:r>
          <w:t>n</w:t>
        </w:r>
        <w:smartTag w:uri="urn:schemas-microsoft-com:office:smarttags" w:element="PersonName">
          <w:r>
            <w:t>ds</w:t>
          </w:r>
        </w:smartTag>
      </w:smartTag>
      <w:r>
        <w:t xml:space="preserve"> that you type the full web address (for example, http://</w:t>
      </w:r>
      <w:proofErr w:type="spellStart"/>
      <w:r>
        <w:t>www.referred</w:t>
      </w:r>
      <w:r>
        <w:noBreakHyphen/>
        <w:t>website.com</w:t>
      </w:r>
      <w:proofErr w:type="spellEnd"/>
      <w:r>
        <w:t>/folder/file</w:t>
      </w:r>
      <w:r>
        <w:noBreakHyphen/>
      </w:r>
      <w:proofErr w:type="spellStart"/>
      <w:r>
        <w:t>name.html</w:t>
      </w:r>
      <w:proofErr w:type="spellEnd"/>
      <w:r>
        <w:t>).</w:t>
      </w:r>
    </w:p>
    <w:p w:rsidR="00E62866" w:rsidRPr="00AA4178" w:rsidRDefault="00E62866" w:rsidP="00E62866">
      <w:pPr>
        <w:pStyle w:val="BodyText"/>
      </w:pPr>
      <w:r w:rsidRPr="00AA4178">
        <w:t>Submissions sent by email must not exceed 20 megabytes</w:t>
      </w:r>
      <w:r>
        <w:t xml:space="preserve"> (Mb)</w:t>
      </w:r>
      <w:r w:rsidRPr="00AA4178">
        <w:t xml:space="preserve"> in size as our email system cannot accept anything larger. If your submission is greater than 20</w:t>
      </w:r>
      <w:r>
        <w:t xml:space="preserve"> M</w:t>
      </w:r>
      <w:r w:rsidRPr="00AA4178">
        <w:t xml:space="preserve">b in size, please contact the Administrative </w:t>
      </w:r>
      <w:r>
        <w:t>Coordinator</w:t>
      </w:r>
      <w:r w:rsidRPr="00AA4178">
        <w:t xml:space="preserve"> </w:t>
      </w:r>
      <w:r>
        <w:t>(Pragya Giri, (02) 6240 3250))</w:t>
      </w:r>
      <w:r w:rsidRPr="00AA4178">
        <w:t xml:space="preserve"> to organise another method of sending your submission to the Commission.</w:t>
      </w:r>
    </w:p>
    <w:p w:rsidR="00E62866" w:rsidRDefault="00E62866" w:rsidP="00E62866">
      <w:pPr>
        <w:pStyle w:val="BodyText"/>
      </w:pPr>
      <w:r>
        <w:t>Submissions can be accepted by email or post: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ubmissions can be accepted by email or post"/>
      </w:tblPr>
      <w:tblGrid>
        <w:gridCol w:w="1384"/>
        <w:gridCol w:w="7621"/>
      </w:tblGrid>
      <w:tr w:rsidR="00E62866" w:rsidTr="00E62866">
        <w:tc>
          <w:tcPr>
            <w:tcW w:w="1384" w:type="dxa"/>
          </w:tcPr>
          <w:p w:rsidR="00E62866" w:rsidRDefault="00E62866" w:rsidP="00E62866">
            <w:pPr>
              <w:pStyle w:val="BodyText"/>
              <w:tabs>
                <w:tab w:val="left" w:pos="1701"/>
              </w:tabs>
              <w:spacing w:before="120"/>
            </w:pPr>
            <w:r>
              <w:t>Email*</w:t>
            </w:r>
          </w:p>
        </w:tc>
        <w:tc>
          <w:tcPr>
            <w:tcW w:w="7621" w:type="dxa"/>
          </w:tcPr>
          <w:p w:rsidR="00E62866" w:rsidRDefault="00E62866" w:rsidP="00E62866">
            <w:pPr>
              <w:pStyle w:val="BodyText"/>
              <w:tabs>
                <w:tab w:val="left" w:pos="1701"/>
              </w:tabs>
              <w:spacing w:before="120"/>
            </w:pPr>
            <w:proofErr w:type="spellStart"/>
            <w:r>
              <w:t>intellectual.property@pc.gov.au</w:t>
            </w:r>
            <w:proofErr w:type="spellEnd"/>
          </w:p>
        </w:tc>
      </w:tr>
      <w:tr w:rsidR="00E62866" w:rsidTr="00E62866">
        <w:tc>
          <w:tcPr>
            <w:tcW w:w="1384" w:type="dxa"/>
          </w:tcPr>
          <w:p w:rsidR="00E62866" w:rsidRDefault="00E62866" w:rsidP="00E62866">
            <w:pPr>
              <w:pStyle w:val="BodyText"/>
              <w:tabs>
                <w:tab w:val="left" w:pos="1701"/>
              </w:tabs>
              <w:spacing w:before="60"/>
            </w:pPr>
            <w:r>
              <w:t>Post</w:t>
            </w:r>
          </w:p>
        </w:tc>
        <w:tc>
          <w:tcPr>
            <w:tcW w:w="7621" w:type="dxa"/>
          </w:tcPr>
          <w:p w:rsidR="00E62866" w:rsidRDefault="00E62866" w:rsidP="00E62866">
            <w:pPr>
              <w:pStyle w:val="BodyText"/>
              <w:tabs>
                <w:tab w:val="left" w:pos="1701"/>
              </w:tabs>
              <w:spacing w:before="60"/>
              <w:jc w:val="left"/>
              <w:rPr>
                <w:i/>
              </w:rPr>
            </w:pPr>
            <w:r w:rsidRPr="00592339">
              <w:t>Intellectual Property Arrangements</w:t>
            </w:r>
            <w:r>
              <w:br/>
              <w:t>Productivity Commission</w:t>
            </w:r>
            <w:r>
              <w:br/>
              <w:t>GPO Box 1428</w:t>
            </w:r>
            <w:r>
              <w:br/>
              <w:t>Canberra City ACT 2601</w:t>
            </w:r>
          </w:p>
        </w:tc>
      </w:tr>
    </w:tbl>
    <w:p w:rsidR="00E62866" w:rsidRDefault="00E62866" w:rsidP="00E62866">
      <w:pPr>
        <w:pStyle w:val="BodyText"/>
      </w:pPr>
      <w:r>
        <w:t>*</w:t>
      </w:r>
      <w:r w:rsidRPr="007354B8">
        <w:t xml:space="preserve"> </w:t>
      </w:r>
      <w:r>
        <w:t>If you do not receive notification of receipt of an email message you have se</w:t>
      </w:r>
      <w:smartTag w:uri="urn:schemas-microsoft-com:office:smarttags" w:element="PersonName">
        <w:r>
          <w:t>nt</w:t>
        </w:r>
      </w:smartTag>
      <w:r>
        <w:t xml:space="preserve"> to the Commission within two working days of sending, please co</w:t>
      </w:r>
      <w:smartTag w:uri="urn:schemas-microsoft-com:office:smarttags" w:element="PersonName">
        <w:r>
          <w:t>nt</w:t>
        </w:r>
      </w:smartTag>
      <w:r>
        <w:t>act the Administrative Officer.</w:t>
      </w:r>
    </w:p>
    <w:p w:rsidR="00E62866" w:rsidRPr="00391500" w:rsidRDefault="00E62866" w:rsidP="002D0E5B">
      <w:pPr>
        <w:pStyle w:val="Heading3"/>
      </w:pPr>
      <w:r w:rsidRPr="00391500">
        <w:t>Due date for submissions</w:t>
      </w:r>
    </w:p>
    <w:p w:rsidR="00E62866" w:rsidRDefault="00E62866" w:rsidP="00E62866">
      <w:pPr>
        <w:pStyle w:val="BodyText"/>
      </w:pPr>
      <w:r>
        <w:t xml:space="preserve">Please send submissions to the Commission by </w:t>
      </w:r>
      <w:r w:rsidRPr="00592339">
        <w:rPr>
          <w:b/>
        </w:rPr>
        <w:t>Monday 30 November 2015</w:t>
      </w:r>
      <w:r>
        <w:t>.</w:t>
      </w:r>
    </w:p>
    <w:sectPr w:rsidR="00E62866" w:rsidSect="00FE322D">
      <w:type w:val="oddPage"/>
      <w:pgSz w:w="11907" w:h="16840" w:code="9"/>
      <w:pgMar w:top="1985" w:right="1304" w:bottom="1247" w:left="1814" w:header="1701" w:footer="397" w:gutter="0"/>
      <w:pgNumType w:start="1" w:chapSep="period"/>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0E5B" w:rsidRDefault="002D0E5B">
      <w:r>
        <w:separator/>
      </w:r>
    </w:p>
  </w:endnote>
  <w:endnote w:type="continuationSeparator" w:id="0">
    <w:p w:rsidR="002D0E5B" w:rsidRDefault="002D0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2D0E5B" w:rsidTr="005F48ED">
      <w:trPr>
        <w:trHeight w:hRule="exact" w:val="567"/>
      </w:trPr>
      <w:tc>
        <w:tcPr>
          <w:tcW w:w="510" w:type="dxa"/>
        </w:tcPr>
        <w:p w:rsidR="002D0E5B" w:rsidRPr="00A24443" w:rsidRDefault="002D0E5B"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6C3AA5">
            <w:rPr>
              <w:rStyle w:val="PageNumber"/>
              <w:caps w:val="0"/>
              <w:noProof/>
            </w:rPr>
            <w:t>30</w:t>
          </w:r>
          <w:r w:rsidRPr="00A24443">
            <w:rPr>
              <w:rStyle w:val="PageNumber"/>
              <w:caps w:val="0"/>
            </w:rPr>
            <w:fldChar w:fldCharType="end"/>
          </w:r>
        </w:p>
      </w:tc>
      <w:tc>
        <w:tcPr>
          <w:tcW w:w="7767" w:type="dxa"/>
        </w:tcPr>
        <w:p w:rsidR="002D0E5B" w:rsidRPr="0013739A" w:rsidRDefault="002D0E5B" w:rsidP="0013739A">
          <w:pPr>
            <w:pStyle w:val="Footer"/>
            <w:rPr>
              <w:rFonts w:cs="Arial"/>
            </w:rPr>
          </w:pPr>
          <w:r>
            <w:rPr>
              <w:rFonts w:cs="Arial"/>
            </w:rPr>
            <w:t>Intellectual Property Arrangements</w:t>
          </w:r>
          <w:bookmarkStart w:id="0" w:name="DraftReportEven"/>
          <w:bookmarkEnd w:id="0"/>
        </w:p>
      </w:tc>
      <w:tc>
        <w:tcPr>
          <w:tcW w:w="510" w:type="dxa"/>
        </w:tcPr>
        <w:p w:rsidR="002D0E5B" w:rsidRDefault="002D0E5B" w:rsidP="0019293B">
          <w:pPr>
            <w:pStyle w:val="Footer"/>
          </w:pPr>
        </w:p>
      </w:tc>
    </w:tr>
  </w:tbl>
  <w:p w:rsidR="002D0E5B" w:rsidRDefault="002D0E5B" w:rsidP="0019293B">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2D0E5B" w:rsidTr="005F48ED">
      <w:trPr>
        <w:trHeight w:hRule="exact" w:val="567"/>
      </w:trPr>
      <w:tc>
        <w:tcPr>
          <w:tcW w:w="510" w:type="dxa"/>
        </w:tcPr>
        <w:p w:rsidR="002D0E5B" w:rsidRDefault="002D0E5B">
          <w:pPr>
            <w:pStyle w:val="Footer"/>
            <w:ind w:right="360" w:firstLine="360"/>
          </w:pPr>
        </w:p>
      </w:tc>
      <w:tc>
        <w:tcPr>
          <w:tcW w:w="7767" w:type="dxa"/>
        </w:tcPr>
        <w:p w:rsidR="002D0E5B" w:rsidRPr="00BA5B14" w:rsidRDefault="002D0E5B" w:rsidP="0013739A">
          <w:pPr>
            <w:pStyle w:val="Footer"/>
            <w:jc w:val="right"/>
            <w:rPr>
              <w:rFonts w:cs="Arial"/>
            </w:rPr>
          </w:pPr>
          <w:r>
            <w:rPr>
              <w:rFonts w:cs="Arial"/>
            </w:rPr>
            <w:t>Issues Paper</w:t>
          </w:r>
          <w:bookmarkStart w:id="1" w:name="DraftReportOdd"/>
          <w:bookmarkEnd w:id="1"/>
        </w:p>
      </w:tc>
      <w:tc>
        <w:tcPr>
          <w:tcW w:w="510" w:type="dxa"/>
        </w:tcPr>
        <w:p w:rsidR="002D0E5B" w:rsidRPr="00A24443" w:rsidRDefault="002D0E5B">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6C3AA5">
            <w:rPr>
              <w:rStyle w:val="PageNumber"/>
              <w:caps w:val="0"/>
              <w:noProof/>
            </w:rPr>
            <w:t>29</w:t>
          </w:r>
          <w:r w:rsidRPr="00A24443">
            <w:rPr>
              <w:rStyle w:val="PageNumber"/>
              <w:caps w:val="0"/>
            </w:rPr>
            <w:fldChar w:fldCharType="end"/>
          </w:r>
        </w:p>
      </w:tc>
    </w:tr>
  </w:tbl>
  <w:p w:rsidR="002D0E5B" w:rsidRDefault="002D0E5B">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0E5B" w:rsidRDefault="002D0E5B">
      <w:r>
        <w:separator/>
      </w:r>
    </w:p>
  </w:footnote>
  <w:footnote w:type="continuationSeparator" w:id="0">
    <w:p w:rsidR="002D0E5B" w:rsidRDefault="002D0E5B">
      <w:r>
        <w:continuationSeparator/>
      </w:r>
    </w:p>
  </w:footnote>
  <w:footnote w:id="1">
    <w:p w:rsidR="002D0E5B" w:rsidRPr="00811EF3" w:rsidRDefault="002D0E5B" w:rsidP="00140AF6">
      <w:pPr>
        <w:pStyle w:val="FootnoteText"/>
        <w:rPr>
          <w:lang w:val="en-US"/>
        </w:rPr>
      </w:pPr>
      <w:r w:rsidRPr="0070145C">
        <w:rPr>
          <w:rStyle w:val="FootnoteReference"/>
        </w:rPr>
        <w:footnoteRef/>
      </w:r>
      <w:r>
        <w:tab/>
        <w:t>In this issues paper, the Commission uses the term ‘creators’ to refer to those who engage in the development of knowledge-based assets.</w:t>
      </w:r>
    </w:p>
  </w:footnote>
  <w:footnote w:id="2">
    <w:p w:rsidR="002D0E5B" w:rsidRPr="008F5A8F" w:rsidRDefault="002D0E5B">
      <w:pPr>
        <w:pStyle w:val="FootnoteText"/>
        <w:rPr>
          <w:lang w:val="en-US"/>
        </w:rPr>
      </w:pPr>
      <w:r w:rsidRPr="0070145C">
        <w:rPr>
          <w:rStyle w:val="FootnoteReference"/>
        </w:rPr>
        <w:footnoteRef/>
      </w:r>
      <w:r>
        <w:tab/>
        <w:t>Official versions of the proposed TPP Agreement text have not been released. Concerns are based on media reports regarding the purported text.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2155"/>
      <w:gridCol w:w="6634"/>
    </w:tblGrid>
    <w:tr w:rsidR="002D0E5B">
      <w:tc>
        <w:tcPr>
          <w:tcW w:w="2155" w:type="dxa"/>
          <w:tcBorders>
            <w:top w:val="single" w:sz="24" w:space="0" w:color="auto"/>
          </w:tcBorders>
        </w:tcPr>
        <w:p w:rsidR="002D0E5B" w:rsidRDefault="002D0E5B" w:rsidP="0019293B">
          <w:pPr>
            <w:pStyle w:val="HeaderEven"/>
          </w:pPr>
        </w:p>
      </w:tc>
      <w:tc>
        <w:tcPr>
          <w:tcW w:w="6634" w:type="dxa"/>
          <w:tcBorders>
            <w:top w:val="single" w:sz="6" w:space="0" w:color="auto"/>
          </w:tcBorders>
        </w:tcPr>
        <w:p w:rsidR="002D0E5B" w:rsidRDefault="002D0E5B" w:rsidP="0019293B">
          <w:pPr>
            <w:pStyle w:val="HeaderEven"/>
          </w:pPr>
        </w:p>
      </w:tc>
    </w:tr>
  </w:tbl>
  <w:p w:rsidR="002D0E5B" w:rsidRDefault="002D0E5B" w:rsidP="0019293B">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2D0E5B">
      <w:tc>
        <w:tcPr>
          <w:tcW w:w="6634" w:type="dxa"/>
          <w:tcBorders>
            <w:top w:val="single" w:sz="6" w:space="0" w:color="auto"/>
          </w:tcBorders>
        </w:tcPr>
        <w:p w:rsidR="002D0E5B" w:rsidRDefault="002D0E5B" w:rsidP="00E669E2">
          <w:pPr>
            <w:pStyle w:val="HeaderOdd"/>
          </w:pPr>
        </w:p>
      </w:tc>
      <w:tc>
        <w:tcPr>
          <w:tcW w:w="2155" w:type="dxa"/>
          <w:tcBorders>
            <w:top w:val="single" w:sz="24" w:space="0" w:color="auto"/>
          </w:tcBorders>
        </w:tcPr>
        <w:p w:rsidR="002D0E5B" w:rsidRDefault="002D0E5B" w:rsidP="00E669E2">
          <w:pPr>
            <w:pStyle w:val="HeaderOdd"/>
          </w:pPr>
        </w:p>
      </w:tc>
    </w:tr>
  </w:tbl>
  <w:p w:rsidR="002D0E5B" w:rsidRDefault="002D0E5B" w:rsidP="00E669E2">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nsid w:val="FFFFFFFE"/>
    <w:multiLevelType w:val="singleLevel"/>
    <w:tmpl w:val="FFFFFFFF"/>
    <w:lvl w:ilvl="0">
      <w:numFmt w:val="decimal"/>
      <w:lvlText w:val="*"/>
      <w:lvlJc w:val="left"/>
    </w:lvl>
  </w:abstractNum>
  <w:abstractNum w:abstractNumId="2">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4">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5">
    <w:nsid w:val="0A6C13D9"/>
    <w:multiLevelType w:val="multilevel"/>
    <w:tmpl w:val="295E69BC"/>
    <w:lvl w:ilvl="0">
      <w:start w:val="1"/>
      <w:numFmt w:val="lowerLetter"/>
      <w:lvlText w:val="%1."/>
      <w:lvlJc w:val="left"/>
      <w:pPr>
        <w:tabs>
          <w:tab w:val="num" w:pos="567"/>
        </w:tabs>
        <w:ind w:left="567" w:hanging="567"/>
      </w:p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6">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9">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nsid w:val="1DAE4677"/>
    <w:multiLevelType w:val="multilevel"/>
    <w:tmpl w:val="295E69BC"/>
    <w:lvl w:ilvl="0">
      <w:start w:val="1"/>
      <w:numFmt w:val="lowerLetter"/>
      <w:lvlText w:val="%1."/>
      <w:lvlJc w:val="left"/>
      <w:pPr>
        <w:tabs>
          <w:tab w:val="num" w:pos="567"/>
        </w:tabs>
        <w:ind w:left="567" w:hanging="567"/>
      </w:p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11">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2">
    <w:nsid w:val="28BE41B2"/>
    <w:multiLevelType w:val="multilevel"/>
    <w:tmpl w:val="295E69BC"/>
    <w:lvl w:ilvl="0">
      <w:start w:val="1"/>
      <w:numFmt w:val="lowerLetter"/>
      <w:lvlText w:val="%1."/>
      <w:lvlJc w:val="left"/>
      <w:pPr>
        <w:tabs>
          <w:tab w:val="num" w:pos="567"/>
        </w:tabs>
        <w:ind w:left="567" w:hanging="567"/>
      </w:p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13">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5">
    <w:nsid w:val="38A31057"/>
    <w:multiLevelType w:val="hybridMultilevel"/>
    <w:tmpl w:val="3A1CC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9E3754A"/>
    <w:multiLevelType w:val="singleLevel"/>
    <w:tmpl w:val="FF04020A"/>
    <w:lvl w:ilvl="0">
      <w:start w:val="1"/>
      <w:numFmt w:val="bullet"/>
      <w:pStyle w:val="Coaltiondots"/>
      <w:lvlText w:val=""/>
      <w:lvlJc w:val="left"/>
      <w:pPr>
        <w:tabs>
          <w:tab w:val="num" w:pos="720"/>
        </w:tabs>
        <w:ind w:left="720" w:hanging="360"/>
      </w:pPr>
      <w:rPr>
        <w:rFonts w:ascii="Symbol" w:hAnsi="Symbol" w:hint="default"/>
      </w:rPr>
    </w:lvl>
  </w:abstractNum>
  <w:abstractNum w:abstractNumId="17">
    <w:nsid w:val="47666393"/>
    <w:multiLevelType w:val="multilevel"/>
    <w:tmpl w:val="73F2647C"/>
    <w:name w:val="StandardBulletedList"/>
    <w:lvl w:ilvl="0">
      <w:start w:val="1"/>
      <w:numFmt w:val="bullet"/>
      <w:pStyle w:val="Bullet"/>
      <w:lvlText w:val="•"/>
      <w:lvlJc w:val="left"/>
      <w:pPr>
        <w:tabs>
          <w:tab w:val="num" w:pos="567"/>
        </w:tabs>
        <w:ind w:left="567" w:hanging="567"/>
      </w:pPr>
      <w:rPr>
        <w:rFonts w:ascii="Times New Roman" w:hAnsi="Times New Roman" w:cs="Times New Roman"/>
      </w:rPr>
    </w:lvl>
    <w:lvl w:ilvl="1">
      <w:start w:val="1"/>
      <w:numFmt w:val="bullet"/>
      <w:pStyle w:val="Dash"/>
      <w:lvlText w:val="–"/>
      <w:lvlJc w:val="left"/>
      <w:pPr>
        <w:tabs>
          <w:tab w:val="num" w:pos="1134"/>
        </w:tabs>
        <w:ind w:left="1134" w:hanging="567"/>
      </w:pPr>
      <w:rPr>
        <w:rFonts w:ascii="Times New Roman" w:hAnsi="Times New Roman" w:cs="Times New Roman"/>
      </w:rPr>
    </w:lvl>
    <w:lvl w:ilvl="2">
      <w:start w:val="1"/>
      <w:numFmt w:val="bullet"/>
      <w:pStyle w:val="DoubleDo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18">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2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1">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2">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5">
    <w:nsid w:val="6E736FA5"/>
    <w:multiLevelType w:val="multilevel"/>
    <w:tmpl w:val="77961EFE"/>
    <w:lvl w:ilvl="0">
      <w:start w:val="1"/>
      <w:numFmt w:val="decimal"/>
      <w:lvlText w:val="%1."/>
      <w:lvlJc w:val="left"/>
      <w:pPr>
        <w:tabs>
          <w:tab w:val="num" w:pos="567"/>
        </w:tabs>
        <w:ind w:left="567" w:hanging="567"/>
      </w:pPr>
      <w:rPr>
        <w:rFonts w:hint="default"/>
      </w:rPr>
    </w:lvl>
    <w:lvl w:ilvl="1">
      <w:start w:val="1"/>
      <w:numFmt w:val="bullet"/>
      <w:lvlText w:val=""/>
      <w:lvlJc w:val="left"/>
      <w:pPr>
        <w:tabs>
          <w:tab w:val="num" w:pos="1701"/>
        </w:tabs>
        <w:ind w:left="1701" w:hanging="567"/>
      </w:pPr>
      <w:rPr>
        <w:rFonts w:ascii="Wingdings" w:hAnsi="Wingdings" w:hint="default"/>
      </w:rPr>
    </w:lvl>
    <w:lvl w:ilvl="2">
      <w:start w:val="1"/>
      <w:numFmt w:val="bullet"/>
      <w:lvlText w:val=""/>
      <w:lvlJc w:val="left"/>
      <w:pPr>
        <w:tabs>
          <w:tab w:val="num" w:pos="2268"/>
        </w:tabs>
        <w:ind w:left="2268" w:hanging="567"/>
      </w:pPr>
      <w:rPr>
        <w:rFonts w:ascii="Wingdings" w:hAnsi="Wingdings" w:hint="default"/>
      </w:rPr>
    </w:lvl>
    <w:lvl w:ilvl="3">
      <w:start w:val="1"/>
      <w:numFmt w:val="bullet"/>
      <w:lvlText w:val=""/>
      <w:lvlJc w:val="left"/>
      <w:pPr>
        <w:tabs>
          <w:tab w:val="num" w:pos="2835"/>
        </w:tabs>
        <w:ind w:left="2835" w:hanging="567"/>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26">
    <w:nsid w:val="798241A9"/>
    <w:multiLevelType w:val="multilevel"/>
    <w:tmpl w:val="5F803F06"/>
    <w:name w:val="StandardNumberedList"/>
    <w:lvl w:ilvl="0">
      <w:start w:val="1"/>
      <w:numFmt w:val="decimal"/>
      <w:pStyle w:val="OutlineNumbered1"/>
      <w:lvlText w:val="%1."/>
      <w:lvlJc w:val="left"/>
      <w:pPr>
        <w:tabs>
          <w:tab w:val="num" w:pos="1134"/>
        </w:tabs>
        <w:ind w:left="1134" w:hanging="567"/>
      </w:pPr>
    </w:lvl>
    <w:lvl w:ilvl="1">
      <w:start w:val="1"/>
      <w:numFmt w:val="decimal"/>
      <w:pStyle w:val="OutlineNumbered2"/>
      <w:lvlText w:val="%1.%2."/>
      <w:lvlJc w:val="left"/>
      <w:pPr>
        <w:tabs>
          <w:tab w:val="num" w:pos="1701"/>
        </w:tabs>
        <w:ind w:left="1701" w:hanging="567"/>
      </w:pPr>
    </w:lvl>
    <w:lvl w:ilvl="2">
      <w:start w:val="1"/>
      <w:numFmt w:val="decimal"/>
      <w:pStyle w:val="OutlineNumbered3"/>
      <w:lvlText w:val="%1.%2.%3."/>
      <w:lvlJc w:val="left"/>
      <w:pPr>
        <w:tabs>
          <w:tab w:val="num" w:pos="2268"/>
        </w:tabs>
        <w:ind w:left="2268" w:hanging="567"/>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27">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8">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4"/>
  </w:num>
  <w:num w:numId="2">
    <w:abstractNumId w:val="2"/>
  </w:num>
  <w:num w:numId="3">
    <w:abstractNumId w:val="19"/>
  </w:num>
  <w:num w:numId="4">
    <w:abstractNumId w:val="3"/>
  </w:num>
  <w:num w:numId="5">
    <w:abstractNumId w:val="24"/>
  </w:num>
  <w:num w:numId="6">
    <w:abstractNumId w:val="21"/>
  </w:num>
  <w:num w:numId="7">
    <w:abstractNumId w:val="8"/>
  </w:num>
  <w:num w:numId="8">
    <w:abstractNumId w:val="20"/>
  </w:num>
  <w:num w:numId="9">
    <w:abstractNumId w:val="7"/>
  </w:num>
  <w:num w:numId="10">
    <w:abstractNumId w:val="6"/>
  </w:num>
  <w:num w:numId="11">
    <w:abstractNumId w:val="11"/>
  </w:num>
  <w:num w:numId="12">
    <w:abstractNumId w:val="13"/>
  </w:num>
  <w:num w:numId="13">
    <w:abstractNumId w:val="4"/>
  </w:num>
  <w:num w:numId="14">
    <w:abstractNumId w:val="22"/>
  </w:num>
  <w:num w:numId="15">
    <w:abstractNumId w:val="27"/>
  </w:num>
  <w:num w:numId="16">
    <w:abstractNumId w:val="18"/>
  </w:num>
  <w:num w:numId="17">
    <w:abstractNumId w:val="28"/>
  </w:num>
  <w:num w:numId="18">
    <w:abstractNumId w:val="0"/>
  </w:num>
  <w:num w:numId="19">
    <w:abstractNumId w:val="1"/>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0">
    <w:abstractNumId w:val="23"/>
  </w:num>
  <w:num w:numId="21">
    <w:abstractNumId w:val="9"/>
  </w:num>
  <w:num w:numId="22">
    <w:abstractNumId w:val="15"/>
  </w:num>
  <w:num w:numId="23">
    <w:abstractNumId w:val="25"/>
  </w:num>
  <w:num w:numId="24">
    <w:abstractNumId w:val="16"/>
  </w:num>
  <w:num w:numId="25">
    <w:abstractNumId w:val="17"/>
  </w:num>
  <w:num w:numId="26">
    <w:abstractNumId w:val="26"/>
  </w:num>
  <w:num w:numId="27">
    <w:abstractNumId w:val="5"/>
  </w:num>
  <w:num w:numId="28">
    <w:abstractNumId w:val="10"/>
  </w:num>
  <w:num w:numId="29">
    <w:abstractNumId w:val="12"/>
  </w:num>
  <w:num w:numId="30">
    <w:abstractNumId w:val="14"/>
  </w:num>
  <w:num w:numId="31">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mirrorMargins/>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indingOptions" w:val="1"/>
    <w:docVar w:name="RecOptions" w:val="111"/>
    <w:docVar w:name="ShortChapterTitle" w:val="Issues Paper"/>
    <w:docVar w:name="ShortReportTitle" w:val="Intellectual Property Arrangements"/>
  </w:docVars>
  <w:rsids>
    <w:rsidRoot w:val="00B0730D"/>
    <w:rsid w:val="0000160E"/>
    <w:rsid w:val="00001AB4"/>
    <w:rsid w:val="00003F29"/>
    <w:rsid w:val="00004096"/>
    <w:rsid w:val="000058C5"/>
    <w:rsid w:val="00015D95"/>
    <w:rsid w:val="0001757D"/>
    <w:rsid w:val="000227D5"/>
    <w:rsid w:val="00022CBD"/>
    <w:rsid w:val="00023695"/>
    <w:rsid w:val="000245AA"/>
    <w:rsid w:val="000311F7"/>
    <w:rsid w:val="00031C3F"/>
    <w:rsid w:val="00034066"/>
    <w:rsid w:val="0003664B"/>
    <w:rsid w:val="0004111F"/>
    <w:rsid w:val="000414F6"/>
    <w:rsid w:val="00045A85"/>
    <w:rsid w:val="000468BA"/>
    <w:rsid w:val="00052786"/>
    <w:rsid w:val="00052C26"/>
    <w:rsid w:val="00054A8E"/>
    <w:rsid w:val="00055077"/>
    <w:rsid w:val="000561DA"/>
    <w:rsid w:val="000565B3"/>
    <w:rsid w:val="000569C5"/>
    <w:rsid w:val="00057F52"/>
    <w:rsid w:val="00062D14"/>
    <w:rsid w:val="00062EDE"/>
    <w:rsid w:val="00064901"/>
    <w:rsid w:val="00067E9C"/>
    <w:rsid w:val="0007150B"/>
    <w:rsid w:val="000878D2"/>
    <w:rsid w:val="000938F5"/>
    <w:rsid w:val="00094954"/>
    <w:rsid w:val="00094EDD"/>
    <w:rsid w:val="00095663"/>
    <w:rsid w:val="00096E55"/>
    <w:rsid w:val="0009783E"/>
    <w:rsid w:val="000A528A"/>
    <w:rsid w:val="000B1022"/>
    <w:rsid w:val="000B383E"/>
    <w:rsid w:val="000B520C"/>
    <w:rsid w:val="000B601B"/>
    <w:rsid w:val="000C143E"/>
    <w:rsid w:val="000C1C99"/>
    <w:rsid w:val="000C207E"/>
    <w:rsid w:val="000D41E9"/>
    <w:rsid w:val="000D6205"/>
    <w:rsid w:val="000D6DA2"/>
    <w:rsid w:val="000D708B"/>
    <w:rsid w:val="000E3816"/>
    <w:rsid w:val="000F0035"/>
    <w:rsid w:val="000F04E7"/>
    <w:rsid w:val="000F060A"/>
    <w:rsid w:val="000F281C"/>
    <w:rsid w:val="000F420B"/>
    <w:rsid w:val="0010039F"/>
    <w:rsid w:val="00101774"/>
    <w:rsid w:val="00110087"/>
    <w:rsid w:val="00110116"/>
    <w:rsid w:val="0011091B"/>
    <w:rsid w:val="00111A42"/>
    <w:rsid w:val="00111CC4"/>
    <w:rsid w:val="001138E1"/>
    <w:rsid w:val="00114CA6"/>
    <w:rsid w:val="00120072"/>
    <w:rsid w:val="001208CA"/>
    <w:rsid w:val="00121ADE"/>
    <w:rsid w:val="001253C2"/>
    <w:rsid w:val="00126CAF"/>
    <w:rsid w:val="00126D93"/>
    <w:rsid w:val="00126EB8"/>
    <w:rsid w:val="001274D4"/>
    <w:rsid w:val="00135720"/>
    <w:rsid w:val="001363AA"/>
    <w:rsid w:val="0013739A"/>
    <w:rsid w:val="00140AF6"/>
    <w:rsid w:val="00141568"/>
    <w:rsid w:val="00142165"/>
    <w:rsid w:val="001566FD"/>
    <w:rsid w:val="0015756A"/>
    <w:rsid w:val="00162434"/>
    <w:rsid w:val="00165579"/>
    <w:rsid w:val="00170735"/>
    <w:rsid w:val="001707BC"/>
    <w:rsid w:val="0017146C"/>
    <w:rsid w:val="00175B98"/>
    <w:rsid w:val="0017770C"/>
    <w:rsid w:val="00177F56"/>
    <w:rsid w:val="001814D5"/>
    <w:rsid w:val="00183E82"/>
    <w:rsid w:val="0018436A"/>
    <w:rsid w:val="00184951"/>
    <w:rsid w:val="001875C5"/>
    <w:rsid w:val="001878BB"/>
    <w:rsid w:val="0019008C"/>
    <w:rsid w:val="001902AC"/>
    <w:rsid w:val="0019061D"/>
    <w:rsid w:val="00190749"/>
    <w:rsid w:val="00191AE0"/>
    <w:rsid w:val="0019293B"/>
    <w:rsid w:val="0019426B"/>
    <w:rsid w:val="001A4EAE"/>
    <w:rsid w:val="001A6A4B"/>
    <w:rsid w:val="001B122A"/>
    <w:rsid w:val="001B4B40"/>
    <w:rsid w:val="001B5B90"/>
    <w:rsid w:val="001B785D"/>
    <w:rsid w:val="001C0865"/>
    <w:rsid w:val="001C0AED"/>
    <w:rsid w:val="001C1FF2"/>
    <w:rsid w:val="001C3ABA"/>
    <w:rsid w:val="001C5111"/>
    <w:rsid w:val="001D5FCE"/>
    <w:rsid w:val="001D6FC8"/>
    <w:rsid w:val="001D72AD"/>
    <w:rsid w:val="001D7915"/>
    <w:rsid w:val="001E5807"/>
    <w:rsid w:val="001E6D2F"/>
    <w:rsid w:val="001E7BE8"/>
    <w:rsid w:val="001F0248"/>
    <w:rsid w:val="001F3EB3"/>
    <w:rsid w:val="001F4F86"/>
    <w:rsid w:val="001F6D87"/>
    <w:rsid w:val="001F76EC"/>
    <w:rsid w:val="00200976"/>
    <w:rsid w:val="00202C2C"/>
    <w:rsid w:val="00203050"/>
    <w:rsid w:val="00210DBE"/>
    <w:rsid w:val="00211DBC"/>
    <w:rsid w:val="002135AB"/>
    <w:rsid w:val="002144BE"/>
    <w:rsid w:val="0021686E"/>
    <w:rsid w:val="00220CE2"/>
    <w:rsid w:val="002233C4"/>
    <w:rsid w:val="0022602E"/>
    <w:rsid w:val="0022688E"/>
    <w:rsid w:val="002338C1"/>
    <w:rsid w:val="00237E47"/>
    <w:rsid w:val="00237F8F"/>
    <w:rsid w:val="00242279"/>
    <w:rsid w:val="00243997"/>
    <w:rsid w:val="00244AE3"/>
    <w:rsid w:val="0024516C"/>
    <w:rsid w:val="00245A79"/>
    <w:rsid w:val="00245C82"/>
    <w:rsid w:val="0024685C"/>
    <w:rsid w:val="002471A3"/>
    <w:rsid w:val="00251252"/>
    <w:rsid w:val="002521F4"/>
    <w:rsid w:val="00255956"/>
    <w:rsid w:val="00263237"/>
    <w:rsid w:val="0026442A"/>
    <w:rsid w:val="00267867"/>
    <w:rsid w:val="002715A2"/>
    <w:rsid w:val="002718F6"/>
    <w:rsid w:val="002724BA"/>
    <w:rsid w:val="00282DC8"/>
    <w:rsid w:val="00290408"/>
    <w:rsid w:val="00291B40"/>
    <w:rsid w:val="00296763"/>
    <w:rsid w:val="002A2EDB"/>
    <w:rsid w:val="002A4490"/>
    <w:rsid w:val="002A763F"/>
    <w:rsid w:val="002B228A"/>
    <w:rsid w:val="002B4008"/>
    <w:rsid w:val="002B63DC"/>
    <w:rsid w:val="002B6A9C"/>
    <w:rsid w:val="002C1C83"/>
    <w:rsid w:val="002C439F"/>
    <w:rsid w:val="002D0C42"/>
    <w:rsid w:val="002D0E5B"/>
    <w:rsid w:val="002D0E8E"/>
    <w:rsid w:val="002D3C31"/>
    <w:rsid w:val="002D71AE"/>
    <w:rsid w:val="002E5418"/>
    <w:rsid w:val="002F24B4"/>
    <w:rsid w:val="002F2F2A"/>
    <w:rsid w:val="002F6339"/>
    <w:rsid w:val="002F75F3"/>
    <w:rsid w:val="002F7D1F"/>
    <w:rsid w:val="003002AC"/>
    <w:rsid w:val="00301189"/>
    <w:rsid w:val="00301E4A"/>
    <w:rsid w:val="00310746"/>
    <w:rsid w:val="003168B8"/>
    <w:rsid w:val="00322D64"/>
    <w:rsid w:val="00323E09"/>
    <w:rsid w:val="00325C61"/>
    <w:rsid w:val="00326037"/>
    <w:rsid w:val="00326AB7"/>
    <w:rsid w:val="00332C0E"/>
    <w:rsid w:val="00333932"/>
    <w:rsid w:val="0033504C"/>
    <w:rsid w:val="00336944"/>
    <w:rsid w:val="0034161D"/>
    <w:rsid w:val="00343D99"/>
    <w:rsid w:val="003446B0"/>
    <w:rsid w:val="003466E8"/>
    <w:rsid w:val="003518AA"/>
    <w:rsid w:val="00352165"/>
    <w:rsid w:val="00353182"/>
    <w:rsid w:val="00353D9C"/>
    <w:rsid w:val="00354D44"/>
    <w:rsid w:val="0035590E"/>
    <w:rsid w:val="003565D9"/>
    <w:rsid w:val="003602E1"/>
    <w:rsid w:val="00361D7E"/>
    <w:rsid w:val="00367AB8"/>
    <w:rsid w:val="0037026F"/>
    <w:rsid w:val="00371240"/>
    <w:rsid w:val="00373B17"/>
    <w:rsid w:val="00373D7C"/>
    <w:rsid w:val="00374731"/>
    <w:rsid w:val="00376E59"/>
    <w:rsid w:val="00377EC1"/>
    <w:rsid w:val="00380340"/>
    <w:rsid w:val="00382EAA"/>
    <w:rsid w:val="00391658"/>
    <w:rsid w:val="003919F9"/>
    <w:rsid w:val="003920CF"/>
    <w:rsid w:val="003934D2"/>
    <w:rsid w:val="00395429"/>
    <w:rsid w:val="003976D2"/>
    <w:rsid w:val="003A119F"/>
    <w:rsid w:val="003A2F26"/>
    <w:rsid w:val="003B23C2"/>
    <w:rsid w:val="003B355A"/>
    <w:rsid w:val="003C007A"/>
    <w:rsid w:val="003C0782"/>
    <w:rsid w:val="003C16A0"/>
    <w:rsid w:val="003C32C4"/>
    <w:rsid w:val="003C3669"/>
    <w:rsid w:val="003C38B5"/>
    <w:rsid w:val="003C5636"/>
    <w:rsid w:val="003C5D99"/>
    <w:rsid w:val="003C62AF"/>
    <w:rsid w:val="003C7B39"/>
    <w:rsid w:val="003D1087"/>
    <w:rsid w:val="003D22AD"/>
    <w:rsid w:val="003D25A7"/>
    <w:rsid w:val="003D596F"/>
    <w:rsid w:val="003E2F59"/>
    <w:rsid w:val="003E373F"/>
    <w:rsid w:val="003E746B"/>
    <w:rsid w:val="003F0789"/>
    <w:rsid w:val="003F2705"/>
    <w:rsid w:val="003F550F"/>
    <w:rsid w:val="00401882"/>
    <w:rsid w:val="004025B8"/>
    <w:rsid w:val="004075D0"/>
    <w:rsid w:val="004100C8"/>
    <w:rsid w:val="00410801"/>
    <w:rsid w:val="00410861"/>
    <w:rsid w:val="00411DBD"/>
    <w:rsid w:val="00412968"/>
    <w:rsid w:val="00412ACE"/>
    <w:rsid w:val="004145D2"/>
    <w:rsid w:val="00420537"/>
    <w:rsid w:val="00421BEB"/>
    <w:rsid w:val="0042283D"/>
    <w:rsid w:val="00425BCF"/>
    <w:rsid w:val="0042649D"/>
    <w:rsid w:val="00426CB4"/>
    <w:rsid w:val="00431249"/>
    <w:rsid w:val="00431640"/>
    <w:rsid w:val="0043386C"/>
    <w:rsid w:val="00434C19"/>
    <w:rsid w:val="00436376"/>
    <w:rsid w:val="004375CA"/>
    <w:rsid w:val="00450476"/>
    <w:rsid w:val="00450780"/>
    <w:rsid w:val="00450810"/>
    <w:rsid w:val="00453508"/>
    <w:rsid w:val="00454060"/>
    <w:rsid w:val="00456315"/>
    <w:rsid w:val="00457F39"/>
    <w:rsid w:val="00457FE0"/>
    <w:rsid w:val="0046001C"/>
    <w:rsid w:val="00462C59"/>
    <w:rsid w:val="00470737"/>
    <w:rsid w:val="00477144"/>
    <w:rsid w:val="00477359"/>
    <w:rsid w:val="0048008E"/>
    <w:rsid w:val="004875B8"/>
    <w:rsid w:val="00491380"/>
    <w:rsid w:val="004944F9"/>
    <w:rsid w:val="0049459F"/>
    <w:rsid w:val="00496658"/>
    <w:rsid w:val="00496CA6"/>
    <w:rsid w:val="00497472"/>
    <w:rsid w:val="004A3706"/>
    <w:rsid w:val="004A38DD"/>
    <w:rsid w:val="004B0B16"/>
    <w:rsid w:val="004B43AE"/>
    <w:rsid w:val="004B65C4"/>
    <w:rsid w:val="004C2370"/>
    <w:rsid w:val="004C30ED"/>
    <w:rsid w:val="004C3286"/>
    <w:rsid w:val="004D1B69"/>
    <w:rsid w:val="004D3BA4"/>
    <w:rsid w:val="004D5675"/>
    <w:rsid w:val="004E02C9"/>
    <w:rsid w:val="004E1582"/>
    <w:rsid w:val="004E20ED"/>
    <w:rsid w:val="004F331B"/>
    <w:rsid w:val="00500242"/>
    <w:rsid w:val="00501A86"/>
    <w:rsid w:val="00504141"/>
    <w:rsid w:val="00513D5A"/>
    <w:rsid w:val="00517795"/>
    <w:rsid w:val="00522E97"/>
    <w:rsid w:val="00523639"/>
    <w:rsid w:val="0053121B"/>
    <w:rsid w:val="00531FE5"/>
    <w:rsid w:val="00534AD4"/>
    <w:rsid w:val="00535EA8"/>
    <w:rsid w:val="00536878"/>
    <w:rsid w:val="00537159"/>
    <w:rsid w:val="005402FA"/>
    <w:rsid w:val="00547866"/>
    <w:rsid w:val="0055228A"/>
    <w:rsid w:val="00553CB9"/>
    <w:rsid w:val="00560A38"/>
    <w:rsid w:val="005655B1"/>
    <w:rsid w:val="005729BD"/>
    <w:rsid w:val="00572EBD"/>
    <w:rsid w:val="00580154"/>
    <w:rsid w:val="0058260F"/>
    <w:rsid w:val="005826AE"/>
    <w:rsid w:val="00583C39"/>
    <w:rsid w:val="00585AD2"/>
    <w:rsid w:val="00586A90"/>
    <w:rsid w:val="00587F28"/>
    <w:rsid w:val="0059028C"/>
    <w:rsid w:val="005909CF"/>
    <w:rsid w:val="005914BC"/>
    <w:rsid w:val="00591E71"/>
    <w:rsid w:val="00592F30"/>
    <w:rsid w:val="005A006A"/>
    <w:rsid w:val="005A0D41"/>
    <w:rsid w:val="005A1FF3"/>
    <w:rsid w:val="005A490B"/>
    <w:rsid w:val="005A4A99"/>
    <w:rsid w:val="005A51D6"/>
    <w:rsid w:val="005A6049"/>
    <w:rsid w:val="005A6E7C"/>
    <w:rsid w:val="005B1E8D"/>
    <w:rsid w:val="005B5496"/>
    <w:rsid w:val="005C3B61"/>
    <w:rsid w:val="005C65CC"/>
    <w:rsid w:val="005D329F"/>
    <w:rsid w:val="005E48F8"/>
    <w:rsid w:val="005E79A1"/>
    <w:rsid w:val="005F2A13"/>
    <w:rsid w:val="005F48ED"/>
    <w:rsid w:val="005F588E"/>
    <w:rsid w:val="006053F7"/>
    <w:rsid w:val="00606E78"/>
    <w:rsid w:val="00607BF1"/>
    <w:rsid w:val="00607DEB"/>
    <w:rsid w:val="00617EB6"/>
    <w:rsid w:val="00622032"/>
    <w:rsid w:val="00623358"/>
    <w:rsid w:val="00630D4D"/>
    <w:rsid w:val="00631096"/>
    <w:rsid w:val="00631960"/>
    <w:rsid w:val="00632A74"/>
    <w:rsid w:val="0064596F"/>
    <w:rsid w:val="0064782F"/>
    <w:rsid w:val="006547B7"/>
    <w:rsid w:val="00654D42"/>
    <w:rsid w:val="00660DAD"/>
    <w:rsid w:val="0066496B"/>
    <w:rsid w:val="00666D4E"/>
    <w:rsid w:val="00666E02"/>
    <w:rsid w:val="0066741F"/>
    <w:rsid w:val="00670148"/>
    <w:rsid w:val="00671D83"/>
    <w:rsid w:val="00672668"/>
    <w:rsid w:val="0067428C"/>
    <w:rsid w:val="00675C81"/>
    <w:rsid w:val="006768EB"/>
    <w:rsid w:val="00684EF2"/>
    <w:rsid w:val="006903A4"/>
    <w:rsid w:val="006924AB"/>
    <w:rsid w:val="00694354"/>
    <w:rsid w:val="00694A45"/>
    <w:rsid w:val="00694EE9"/>
    <w:rsid w:val="00696CB7"/>
    <w:rsid w:val="006A01CE"/>
    <w:rsid w:val="006A2BFA"/>
    <w:rsid w:val="006A439F"/>
    <w:rsid w:val="006A4655"/>
    <w:rsid w:val="006A53B0"/>
    <w:rsid w:val="006A56B1"/>
    <w:rsid w:val="006B173A"/>
    <w:rsid w:val="006B2B3C"/>
    <w:rsid w:val="006B7769"/>
    <w:rsid w:val="006C1D81"/>
    <w:rsid w:val="006C2DF6"/>
    <w:rsid w:val="006C3AA5"/>
    <w:rsid w:val="006C6CD5"/>
    <w:rsid w:val="006C7038"/>
    <w:rsid w:val="006D32D9"/>
    <w:rsid w:val="006D7072"/>
    <w:rsid w:val="006E3BED"/>
    <w:rsid w:val="006E4FF8"/>
    <w:rsid w:val="006E73EF"/>
    <w:rsid w:val="006F1694"/>
    <w:rsid w:val="006F1F03"/>
    <w:rsid w:val="006F5BBE"/>
    <w:rsid w:val="0070145C"/>
    <w:rsid w:val="007079C9"/>
    <w:rsid w:val="00714D4D"/>
    <w:rsid w:val="00715E70"/>
    <w:rsid w:val="00721039"/>
    <w:rsid w:val="00721A45"/>
    <w:rsid w:val="007266D3"/>
    <w:rsid w:val="00730637"/>
    <w:rsid w:val="0073084A"/>
    <w:rsid w:val="007312A7"/>
    <w:rsid w:val="00732029"/>
    <w:rsid w:val="00733198"/>
    <w:rsid w:val="00742F9F"/>
    <w:rsid w:val="00746F59"/>
    <w:rsid w:val="00752F20"/>
    <w:rsid w:val="00755527"/>
    <w:rsid w:val="00757D80"/>
    <w:rsid w:val="007604BB"/>
    <w:rsid w:val="00765BB8"/>
    <w:rsid w:val="00766397"/>
    <w:rsid w:val="00772097"/>
    <w:rsid w:val="007725CD"/>
    <w:rsid w:val="00772909"/>
    <w:rsid w:val="0077317D"/>
    <w:rsid w:val="00783B45"/>
    <w:rsid w:val="00783F1A"/>
    <w:rsid w:val="00785232"/>
    <w:rsid w:val="007863C8"/>
    <w:rsid w:val="00786683"/>
    <w:rsid w:val="00792C09"/>
    <w:rsid w:val="0079701E"/>
    <w:rsid w:val="0079791B"/>
    <w:rsid w:val="007A21EB"/>
    <w:rsid w:val="007B1A93"/>
    <w:rsid w:val="007B330E"/>
    <w:rsid w:val="007B39E2"/>
    <w:rsid w:val="007C289E"/>
    <w:rsid w:val="007C36C9"/>
    <w:rsid w:val="007C6C73"/>
    <w:rsid w:val="007C73F8"/>
    <w:rsid w:val="007D4FCE"/>
    <w:rsid w:val="007D569A"/>
    <w:rsid w:val="007D622B"/>
    <w:rsid w:val="007D6401"/>
    <w:rsid w:val="007D7C52"/>
    <w:rsid w:val="007E01E4"/>
    <w:rsid w:val="007E0EE2"/>
    <w:rsid w:val="007E45D7"/>
    <w:rsid w:val="007E4685"/>
    <w:rsid w:val="007E55B5"/>
    <w:rsid w:val="007E7A12"/>
    <w:rsid w:val="007F0E4B"/>
    <w:rsid w:val="007F15C4"/>
    <w:rsid w:val="007F43E7"/>
    <w:rsid w:val="007F5792"/>
    <w:rsid w:val="007F5B15"/>
    <w:rsid w:val="007F7107"/>
    <w:rsid w:val="00800D4C"/>
    <w:rsid w:val="0080270C"/>
    <w:rsid w:val="00803FFB"/>
    <w:rsid w:val="0081030F"/>
    <w:rsid w:val="00811EF3"/>
    <w:rsid w:val="00812F4A"/>
    <w:rsid w:val="0082087D"/>
    <w:rsid w:val="008256F2"/>
    <w:rsid w:val="00825D15"/>
    <w:rsid w:val="00826C85"/>
    <w:rsid w:val="00831B7D"/>
    <w:rsid w:val="008320AE"/>
    <w:rsid w:val="00832351"/>
    <w:rsid w:val="00835771"/>
    <w:rsid w:val="00835962"/>
    <w:rsid w:val="00837A02"/>
    <w:rsid w:val="00840C1B"/>
    <w:rsid w:val="00842933"/>
    <w:rsid w:val="00843539"/>
    <w:rsid w:val="008459A0"/>
    <w:rsid w:val="00846D55"/>
    <w:rsid w:val="0085523F"/>
    <w:rsid w:val="00855E40"/>
    <w:rsid w:val="008574AA"/>
    <w:rsid w:val="00857FC9"/>
    <w:rsid w:val="0086082C"/>
    <w:rsid w:val="00862291"/>
    <w:rsid w:val="0086378F"/>
    <w:rsid w:val="00864ADC"/>
    <w:rsid w:val="00864E63"/>
    <w:rsid w:val="00867064"/>
    <w:rsid w:val="00880153"/>
    <w:rsid w:val="0088046F"/>
    <w:rsid w:val="00880F97"/>
    <w:rsid w:val="0088133A"/>
    <w:rsid w:val="008863C3"/>
    <w:rsid w:val="00886A3F"/>
    <w:rsid w:val="0088781D"/>
    <w:rsid w:val="0089285E"/>
    <w:rsid w:val="00893B2F"/>
    <w:rsid w:val="0089436C"/>
    <w:rsid w:val="008A680A"/>
    <w:rsid w:val="008A68CE"/>
    <w:rsid w:val="008A7B69"/>
    <w:rsid w:val="008B0F76"/>
    <w:rsid w:val="008B2E45"/>
    <w:rsid w:val="008B43DB"/>
    <w:rsid w:val="008B445A"/>
    <w:rsid w:val="008B4935"/>
    <w:rsid w:val="008B6A23"/>
    <w:rsid w:val="008C1057"/>
    <w:rsid w:val="008C7F24"/>
    <w:rsid w:val="008D1C3C"/>
    <w:rsid w:val="008D2C67"/>
    <w:rsid w:val="008D319D"/>
    <w:rsid w:val="008D365C"/>
    <w:rsid w:val="008D5384"/>
    <w:rsid w:val="008D5A79"/>
    <w:rsid w:val="008D6BBD"/>
    <w:rsid w:val="008D7622"/>
    <w:rsid w:val="008E0225"/>
    <w:rsid w:val="008E2BC9"/>
    <w:rsid w:val="008E5F0B"/>
    <w:rsid w:val="008E60AC"/>
    <w:rsid w:val="008F03C0"/>
    <w:rsid w:val="008F341E"/>
    <w:rsid w:val="008F5A8F"/>
    <w:rsid w:val="008F6B15"/>
    <w:rsid w:val="00901E33"/>
    <w:rsid w:val="009021A6"/>
    <w:rsid w:val="009030BF"/>
    <w:rsid w:val="00903B52"/>
    <w:rsid w:val="0091032F"/>
    <w:rsid w:val="009138EB"/>
    <w:rsid w:val="00914368"/>
    <w:rsid w:val="00914390"/>
    <w:rsid w:val="00916918"/>
    <w:rsid w:val="009172C2"/>
    <w:rsid w:val="00917EAF"/>
    <w:rsid w:val="00920C7B"/>
    <w:rsid w:val="0092399F"/>
    <w:rsid w:val="0092575D"/>
    <w:rsid w:val="00931076"/>
    <w:rsid w:val="00931AE2"/>
    <w:rsid w:val="0093378F"/>
    <w:rsid w:val="009345D9"/>
    <w:rsid w:val="00934B15"/>
    <w:rsid w:val="009351DA"/>
    <w:rsid w:val="00940C87"/>
    <w:rsid w:val="00941C65"/>
    <w:rsid w:val="00942B62"/>
    <w:rsid w:val="00952F2D"/>
    <w:rsid w:val="0095323B"/>
    <w:rsid w:val="00954331"/>
    <w:rsid w:val="00956A0C"/>
    <w:rsid w:val="00956BD9"/>
    <w:rsid w:val="00962489"/>
    <w:rsid w:val="009662B5"/>
    <w:rsid w:val="00967CD3"/>
    <w:rsid w:val="0098072C"/>
    <w:rsid w:val="0098189C"/>
    <w:rsid w:val="00982EE9"/>
    <w:rsid w:val="00984155"/>
    <w:rsid w:val="00985817"/>
    <w:rsid w:val="00987DA6"/>
    <w:rsid w:val="00990C2C"/>
    <w:rsid w:val="009A053E"/>
    <w:rsid w:val="009A5171"/>
    <w:rsid w:val="009A5562"/>
    <w:rsid w:val="009B00F2"/>
    <w:rsid w:val="009B032A"/>
    <w:rsid w:val="009B04C7"/>
    <w:rsid w:val="009B1E04"/>
    <w:rsid w:val="009B2B0A"/>
    <w:rsid w:val="009B3C9C"/>
    <w:rsid w:val="009B4B61"/>
    <w:rsid w:val="009B59BD"/>
    <w:rsid w:val="009B6DC1"/>
    <w:rsid w:val="009C66DA"/>
    <w:rsid w:val="009E1844"/>
    <w:rsid w:val="009E1FAD"/>
    <w:rsid w:val="009E2701"/>
    <w:rsid w:val="009E4FFC"/>
    <w:rsid w:val="009E6343"/>
    <w:rsid w:val="009F0D1B"/>
    <w:rsid w:val="009F48CB"/>
    <w:rsid w:val="009F5BBD"/>
    <w:rsid w:val="009F696D"/>
    <w:rsid w:val="009F6BC6"/>
    <w:rsid w:val="009F74EF"/>
    <w:rsid w:val="00A0030D"/>
    <w:rsid w:val="00A02826"/>
    <w:rsid w:val="00A037D2"/>
    <w:rsid w:val="00A0507E"/>
    <w:rsid w:val="00A057B1"/>
    <w:rsid w:val="00A063A8"/>
    <w:rsid w:val="00A06BFA"/>
    <w:rsid w:val="00A1002F"/>
    <w:rsid w:val="00A1005F"/>
    <w:rsid w:val="00A10292"/>
    <w:rsid w:val="00A15D5A"/>
    <w:rsid w:val="00A16581"/>
    <w:rsid w:val="00A17328"/>
    <w:rsid w:val="00A175D9"/>
    <w:rsid w:val="00A2129A"/>
    <w:rsid w:val="00A23A20"/>
    <w:rsid w:val="00A24443"/>
    <w:rsid w:val="00A268B9"/>
    <w:rsid w:val="00A2703A"/>
    <w:rsid w:val="00A30CB9"/>
    <w:rsid w:val="00A33DFF"/>
    <w:rsid w:val="00A340FA"/>
    <w:rsid w:val="00A341CF"/>
    <w:rsid w:val="00A35115"/>
    <w:rsid w:val="00A35BCB"/>
    <w:rsid w:val="00A36D9A"/>
    <w:rsid w:val="00A42526"/>
    <w:rsid w:val="00A44AE2"/>
    <w:rsid w:val="00A451DC"/>
    <w:rsid w:val="00A50F78"/>
    <w:rsid w:val="00A53E0A"/>
    <w:rsid w:val="00A554AB"/>
    <w:rsid w:val="00A558B2"/>
    <w:rsid w:val="00A56D83"/>
    <w:rsid w:val="00A57062"/>
    <w:rsid w:val="00A602FD"/>
    <w:rsid w:val="00A67781"/>
    <w:rsid w:val="00A74479"/>
    <w:rsid w:val="00A761F9"/>
    <w:rsid w:val="00A8229C"/>
    <w:rsid w:val="00A8554C"/>
    <w:rsid w:val="00A92B53"/>
    <w:rsid w:val="00A94FA6"/>
    <w:rsid w:val="00A962B0"/>
    <w:rsid w:val="00A9743E"/>
    <w:rsid w:val="00AA19E2"/>
    <w:rsid w:val="00AA40BD"/>
    <w:rsid w:val="00AA49A0"/>
    <w:rsid w:val="00AA4EA6"/>
    <w:rsid w:val="00AA6710"/>
    <w:rsid w:val="00AA6DF6"/>
    <w:rsid w:val="00AB017E"/>
    <w:rsid w:val="00AB0681"/>
    <w:rsid w:val="00AB1F8B"/>
    <w:rsid w:val="00AB29FE"/>
    <w:rsid w:val="00AB4EA1"/>
    <w:rsid w:val="00AC0614"/>
    <w:rsid w:val="00AC2CB8"/>
    <w:rsid w:val="00AC3A15"/>
    <w:rsid w:val="00AD0506"/>
    <w:rsid w:val="00AD3E0F"/>
    <w:rsid w:val="00AD520B"/>
    <w:rsid w:val="00AD55BE"/>
    <w:rsid w:val="00AE3BCC"/>
    <w:rsid w:val="00AE6770"/>
    <w:rsid w:val="00AF1FD7"/>
    <w:rsid w:val="00AF5CF8"/>
    <w:rsid w:val="00B0284B"/>
    <w:rsid w:val="00B035B6"/>
    <w:rsid w:val="00B04285"/>
    <w:rsid w:val="00B05A3A"/>
    <w:rsid w:val="00B0730D"/>
    <w:rsid w:val="00B075B9"/>
    <w:rsid w:val="00B07CA3"/>
    <w:rsid w:val="00B10E9F"/>
    <w:rsid w:val="00B14826"/>
    <w:rsid w:val="00B166AD"/>
    <w:rsid w:val="00B209E2"/>
    <w:rsid w:val="00B20ACA"/>
    <w:rsid w:val="00B23BE8"/>
    <w:rsid w:val="00B322C4"/>
    <w:rsid w:val="00B355BF"/>
    <w:rsid w:val="00B40D2E"/>
    <w:rsid w:val="00B425C3"/>
    <w:rsid w:val="00B439A3"/>
    <w:rsid w:val="00B440AD"/>
    <w:rsid w:val="00B46D6D"/>
    <w:rsid w:val="00B479BB"/>
    <w:rsid w:val="00B53E7E"/>
    <w:rsid w:val="00B5501F"/>
    <w:rsid w:val="00B60D38"/>
    <w:rsid w:val="00B6342E"/>
    <w:rsid w:val="00B7113F"/>
    <w:rsid w:val="00B71275"/>
    <w:rsid w:val="00B74475"/>
    <w:rsid w:val="00B7550C"/>
    <w:rsid w:val="00B859A0"/>
    <w:rsid w:val="00B87A01"/>
    <w:rsid w:val="00B95BE5"/>
    <w:rsid w:val="00B97669"/>
    <w:rsid w:val="00BA2BAA"/>
    <w:rsid w:val="00BA2BCF"/>
    <w:rsid w:val="00BA4A88"/>
    <w:rsid w:val="00BA5B14"/>
    <w:rsid w:val="00BA673C"/>
    <w:rsid w:val="00BA73B6"/>
    <w:rsid w:val="00BA7E27"/>
    <w:rsid w:val="00BB2603"/>
    <w:rsid w:val="00BB4FCD"/>
    <w:rsid w:val="00BC04E9"/>
    <w:rsid w:val="00BC3ADC"/>
    <w:rsid w:val="00BD13EA"/>
    <w:rsid w:val="00BE1DF2"/>
    <w:rsid w:val="00BE3808"/>
    <w:rsid w:val="00BE3FAA"/>
    <w:rsid w:val="00BE5830"/>
    <w:rsid w:val="00BE6EFD"/>
    <w:rsid w:val="00BF05C0"/>
    <w:rsid w:val="00C028A7"/>
    <w:rsid w:val="00C03B88"/>
    <w:rsid w:val="00C062E9"/>
    <w:rsid w:val="00C07B64"/>
    <w:rsid w:val="00C10349"/>
    <w:rsid w:val="00C10B7E"/>
    <w:rsid w:val="00C11C44"/>
    <w:rsid w:val="00C11E1F"/>
    <w:rsid w:val="00C13721"/>
    <w:rsid w:val="00C14015"/>
    <w:rsid w:val="00C14FE4"/>
    <w:rsid w:val="00C15FB3"/>
    <w:rsid w:val="00C1743A"/>
    <w:rsid w:val="00C22BED"/>
    <w:rsid w:val="00C26290"/>
    <w:rsid w:val="00C3066D"/>
    <w:rsid w:val="00C36C86"/>
    <w:rsid w:val="00C42EF4"/>
    <w:rsid w:val="00C43430"/>
    <w:rsid w:val="00C44153"/>
    <w:rsid w:val="00C4517D"/>
    <w:rsid w:val="00C50C30"/>
    <w:rsid w:val="00C5228A"/>
    <w:rsid w:val="00C52416"/>
    <w:rsid w:val="00C53502"/>
    <w:rsid w:val="00C53627"/>
    <w:rsid w:val="00C53C61"/>
    <w:rsid w:val="00C543F4"/>
    <w:rsid w:val="00C550B2"/>
    <w:rsid w:val="00C57872"/>
    <w:rsid w:val="00C6291C"/>
    <w:rsid w:val="00C633CB"/>
    <w:rsid w:val="00C639E4"/>
    <w:rsid w:val="00C656C9"/>
    <w:rsid w:val="00C65D02"/>
    <w:rsid w:val="00C664CD"/>
    <w:rsid w:val="00C736B7"/>
    <w:rsid w:val="00C75B4A"/>
    <w:rsid w:val="00C75F0C"/>
    <w:rsid w:val="00C772E2"/>
    <w:rsid w:val="00C81D4A"/>
    <w:rsid w:val="00C8762C"/>
    <w:rsid w:val="00C90F5A"/>
    <w:rsid w:val="00C912E9"/>
    <w:rsid w:val="00C950F1"/>
    <w:rsid w:val="00C9779E"/>
    <w:rsid w:val="00C979FB"/>
    <w:rsid w:val="00CA00F9"/>
    <w:rsid w:val="00CA2451"/>
    <w:rsid w:val="00CA2961"/>
    <w:rsid w:val="00CA330A"/>
    <w:rsid w:val="00CA6C3A"/>
    <w:rsid w:val="00CA70FA"/>
    <w:rsid w:val="00CB0A43"/>
    <w:rsid w:val="00CB0CD3"/>
    <w:rsid w:val="00CB18BE"/>
    <w:rsid w:val="00CB1D14"/>
    <w:rsid w:val="00CB4F4B"/>
    <w:rsid w:val="00CB50D7"/>
    <w:rsid w:val="00CB5E6E"/>
    <w:rsid w:val="00CB6962"/>
    <w:rsid w:val="00CB6A40"/>
    <w:rsid w:val="00CB7177"/>
    <w:rsid w:val="00CB7CED"/>
    <w:rsid w:val="00CC070F"/>
    <w:rsid w:val="00CC1998"/>
    <w:rsid w:val="00CC37E0"/>
    <w:rsid w:val="00CC41C6"/>
    <w:rsid w:val="00CC4946"/>
    <w:rsid w:val="00CC599C"/>
    <w:rsid w:val="00CC64A1"/>
    <w:rsid w:val="00CD2781"/>
    <w:rsid w:val="00CD4A08"/>
    <w:rsid w:val="00CD5F38"/>
    <w:rsid w:val="00CD626F"/>
    <w:rsid w:val="00CE0AF3"/>
    <w:rsid w:val="00CE0D84"/>
    <w:rsid w:val="00CE0FDF"/>
    <w:rsid w:val="00CF0C4C"/>
    <w:rsid w:val="00CF14D0"/>
    <w:rsid w:val="00CF3B11"/>
    <w:rsid w:val="00CF3F00"/>
    <w:rsid w:val="00CF445E"/>
    <w:rsid w:val="00D0517C"/>
    <w:rsid w:val="00D05E9A"/>
    <w:rsid w:val="00D10283"/>
    <w:rsid w:val="00D10E50"/>
    <w:rsid w:val="00D11225"/>
    <w:rsid w:val="00D13AE9"/>
    <w:rsid w:val="00D14855"/>
    <w:rsid w:val="00D14987"/>
    <w:rsid w:val="00D159D1"/>
    <w:rsid w:val="00D26EE8"/>
    <w:rsid w:val="00D270A4"/>
    <w:rsid w:val="00D30D28"/>
    <w:rsid w:val="00D314E7"/>
    <w:rsid w:val="00D31FE9"/>
    <w:rsid w:val="00D32B13"/>
    <w:rsid w:val="00D34E1B"/>
    <w:rsid w:val="00D376BA"/>
    <w:rsid w:val="00D434A0"/>
    <w:rsid w:val="00D43EBD"/>
    <w:rsid w:val="00D45634"/>
    <w:rsid w:val="00D45D0F"/>
    <w:rsid w:val="00D50E7D"/>
    <w:rsid w:val="00D54CAA"/>
    <w:rsid w:val="00D55262"/>
    <w:rsid w:val="00D5568A"/>
    <w:rsid w:val="00D63D73"/>
    <w:rsid w:val="00D64452"/>
    <w:rsid w:val="00D661CF"/>
    <w:rsid w:val="00D6699E"/>
    <w:rsid w:val="00D66E1E"/>
    <w:rsid w:val="00D70696"/>
    <w:rsid w:val="00D75722"/>
    <w:rsid w:val="00D80CF5"/>
    <w:rsid w:val="00D867CA"/>
    <w:rsid w:val="00D8687B"/>
    <w:rsid w:val="00D91F84"/>
    <w:rsid w:val="00D93C11"/>
    <w:rsid w:val="00D94D5C"/>
    <w:rsid w:val="00DA3023"/>
    <w:rsid w:val="00DA353D"/>
    <w:rsid w:val="00DA4BB6"/>
    <w:rsid w:val="00DA5BBA"/>
    <w:rsid w:val="00DA5FC9"/>
    <w:rsid w:val="00DB1EB9"/>
    <w:rsid w:val="00DB26D2"/>
    <w:rsid w:val="00DB31CE"/>
    <w:rsid w:val="00DB47A3"/>
    <w:rsid w:val="00DB67C9"/>
    <w:rsid w:val="00DC0C95"/>
    <w:rsid w:val="00DC33D4"/>
    <w:rsid w:val="00DC4F0B"/>
    <w:rsid w:val="00DC5AA1"/>
    <w:rsid w:val="00DC7EB4"/>
    <w:rsid w:val="00DD2697"/>
    <w:rsid w:val="00DD6580"/>
    <w:rsid w:val="00DD6C27"/>
    <w:rsid w:val="00DE0222"/>
    <w:rsid w:val="00DE061D"/>
    <w:rsid w:val="00DE06C8"/>
    <w:rsid w:val="00DE0742"/>
    <w:rsid w:val="00DE13EA"/>
    <w:rsid w:val="00DE2F3C"/>
    <w:rsid w:val="00DE451E"/>
    <w:rsid w:val="00DF0B9E"/>
    <w:rsid w:val="00DF1C28"/>
    <w:rsid w:val="00DF2617"/>
    <w:rsid w:val="00DF4494"/>
    <w:rsid w:val="00E01168"/>
    <w:rsid w:val="00E01D7F"/>
    <w:rsid w:val="00E05C03"/>
    <w:rsid w:val="00E06296"/>
    <w:rsid w:val="00E10C9F"/>
    <w:rsid w:val="00E12C63"/>
    <w:rsid w:val="00E13737"/>
    <w:rsid w:val="00E15166"/>
    <w:rsid w:val="00E17C72"/>
    <w:rsid w:val="00E21FC6"/>
    <w:rsid w:val="00E22AFE"/>
    <w:rsid w:val="00E25FAF"/>
    <w:rsid w:val="00E279AA"/>
    <w:rsid w:val="00E3240B"/>
    <w:rsid w:val="00E35123"/>
    <w:rsid w:val="00E35B38"/>
    <w:rsid w:val="00E4212B"/>
    <w:rsid w:val="00E431A9"/>
    <w:rsid w:val="00E44232"/>
    <w:rsid w:val="00E5036E"/>
    <w:rsid w:val="00E608C6"/>
    <w:rsid w:val="00E62866"/>
    <w:rsid w:val="00E64940"/>
    <w:rsid w:val="00E669E2"/>
    <w:rsid w:val="00E74D0D"/>
    <w:rsid w:val="00E76135"/>
    <w:rsid w:val="00E82F4F"/>
    <w:rsid w:val="00E864DF"/>
    <w:rsid w:val="00E86CEB"/>
    <w:rsid w:val="00E878D4"/>
    <w:rsid w:val="00E87E2A"/>
    <w:rsid w:val="00EA231D"/>
    <w:rsid w:val="00EA6D7C"/>
    <w:rsid w:val="00EB2CC3"/>
    <w:rsid w:val="00EB2E43"/>
    <w:rsid w:val="00EB5314"/>
    <w:rsid w:val="00EC2844"/>
    <w:rsid w:val="00EC2F67"/>
    <w:rsid w:val="00EC35BB"/>
    <w:rsid w:val="00EC5500"/>
    <w:rsid w:val="00EC5756"/>
    <w:rsid w:val="00EC6147"/>
    <w:rsid w:val="00EC7AA6"/>
    <w:rsid w:val="00ED1101"/>
    <w:rsid w:val="00ED18F8"/>
    <w:rsid w:val="00ED2293"/>
    <w:rsid w:val="00ED236A"/>
    <w:rsid w:val="00ED2951"/>
    <w:rsid w:val="00ED4984"/>
    <w:rsid w:val="00ED4BE5"/>
    <w:rsid w:val="00EE2165"/>
    <w:rsid w:val="00EE385F"/>
    <w:rsid w:val="00EE67B6"/>
    <w:rsid w:val="00EE6EDA"/>
    <w:rsid w:val="00EE778E"/>
    <w:rsid w:val="00EF6719"/>
    <w:rsid w:val="00EF6C6C"/>
    <w:rsid w:val="00EF7D50"/>
    <w:rsid w:val="00F056FC"/>
    <w:rsid w:val="00F0632F"/>
    <w:rsid w:val="00F069AE"/>
    <w:rsid w:val="00F06CC8"/>
    <w:rsid w:val="00F10476"/>
    <w:rsid w:val="00F107EA"/>
    <w:rsid w:val="00F135D8"/>
    <w:rsid w:val="00F13BB0"/>
    <w:rsid w:val="00F20050"/>
    <w:rsid w:val="00F21287"/>
    <w:rsid w:val="00F22578"/>
    <w:rsid w:val="00F248F3"/>
    <w:rsid w:val="00F257EE"/>
    <w:rsid w:val="00F26B10"/>
    <w:rsid w:val="00F2750C"/>
    <w:rsid w:val="00F31299"/>
    <w:rsid w:val="00F3534A"/>
    <w:rsid w:val="00F35BFB"/>
    <w:rsid w:val="00F36499"/>
    <w:rsid w:val="00F3677F"/>
    <w:rsid w:val="00F36ACC"/>
    <w:rsid w:val="00F43303"/>
    <w:rsid w:val="00F51609"/>
    <w:rsid w:val="00F525EF"/>
    <w:rsid w:val="00F5332D"/>
    <w:rsid w:val="00F53D12"/>
    <w:rsid w:val="00F55C25"/>
    <w:rsid w:val="00F60969"/>
    <w:rsid w:val="00F65109"/>
    <w:rsid w:val="00F663A9"/>
    <w:rsid w:val="00F7256E"/>
    <w:rsid w:val="00F73727"/>
    <w:rsid w:val="00F766A7"/>
    <w:rsid w:val="00F81006"/>
    <w:rsid w:val="00F822FF"/>
    <w:rsid w:val="00F85325"/>
    <w:rsid w:val="00F8536B"/>
    <w:rsid w:val="00F86547"/>
    <w:rsid w:val="00F866E4"/>
    <w:rsid w:val="00F87E6C"/>
    <w:rsid w:val="00F956F8"/>
    <w:rsid w:val="00F97489"/>
    <w:rsid w:val="00FA0978"/>
    <w:rsid w:val="00FA11CF"/>
    <w:rsid w:val="00FA31FD"/>
    <w:rsid w:val="00FA38CC"/>
    <w:rsid w:val="00FB19D3"/>
    <w:rsid w:val="00FB2286"/>
    <w:rsid w:val="00FB6762"/>
    <w:rsid w:val="00FC776D"/>
    <w:rsid w:val="00FD22B1"/>
    <w:rsid w:val="00FD3211"/>
    <w:rsid w:val="00FD33F1"/>
    <w:rsid w:val="00FD3566"/>
    <w:rsid w:val="00FE0FDA"/>
    <w:rsid w:val="00FE322D"/>
    <w:rsid w:val="00FE5397"/>
    <w:rsid w:val="00FE7595"/>
    <w:rsid w:val="00FF30DA"/>
    <w:rsid w:val="00FF354E"/>
    <w:rsid w:val="00FF54D7"/>
    <w:rsid w:val="00FF69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annotation text" w:uiPriority="99"/>
    <w:lsdException w:name="annotation reference" w:uiPriority="99"/>
    <w:lsdException w:name="Body Text" w:uiPriority="99" w:qFormat="1"/>
    <w:lsdException w:name="Subtitle"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A02826"/>
    <w:rPr>
      <w:sz w:val="24"/>
      <w:szCs w:val="24"/>
    </w:rPr>
  </w:style>
  <w:style w:type="paragraph" w:styleId="Heading1">
    <w:name w:val="heading 1"/>
    <w:basedOn w:val="BodyText"/>
    <w:next w:val="BodyText"/>
    <w:link w:val="Heading1Char"/>
    <w:qForma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semiHidden/>
    <w:rsid w:val="00A17328"/>
    <w:pPr>
      <w:spacing w:after="60"/>
      <w:jc w:val="left"/>
      <w:outlineLvl w:val="5"/>
    </w:pPr>
    <w:rPr>
      <w:i/>
      <w:sz w:val="22"/>
    </w:rPr>
  </w:style>
  <w:style w:type="paragraph" w:styleId="Heading7">
    <w:name w:val="heading 7"/>
    <w:basedOn w:val="BodyText"/>
    <w:next w:val="BodyText"/>
    <w:semiHidden/>
    <w:rsid w:val="00A17328"/>
    <w:pPr>
      <w:spacing w:after="60" w:line="240" w:lineRule="auto"/>
      <w:jc w:val="left"/>
      <w:outlineLvl w:val="6"/>
    </w:pPr>
    <w:rPr>
      <w:rFonts w:ascii="Arial" w:hAnsi="Arial"/>
      <w:sz w:val="20"/>
    </w:rPr>
  </w:style>
  <w:style w:type="paragraph" w:styleId="Heading8">
    <w:name w:val="heading 8"/>
    <w:basedOn w:val="BodyText"/>
    <w:next w:val="BodyText"/>
    <w:semiHidden/>
    <w:rsid w:val="00A17328"/>
    <w:pPr>
      <w:spacing w:after="60" w:line="240" w:lineRule="auto"/>
      <w:jc w:val="left"/>
      <w:outlineLvl w:val="7"/>
    </w:pPr>
    <w:rPr>
      <w:rFonts w:ascii="Arial" w:hAnsi="Arial"/>
      <w:i/>
      <w:sz w:val="20"/>
    </w:rPr>
  </w:style>
  <w:style w:type="paragraph" w:styleId="Heading9">
    <w:name w:val="heading 9"/>
    <w:basedOn w:val="BodyText"/>
    <w:next w:val="BodyText"/>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99"/>
    <w:qFormat/>
    <w:rsid w:val="00812F4A"/>
    <w:pPr>
      <w:spacing w:before="240" w:line="300" w:lineRule="atLeast"/>
      <w:jc w:val="both"/>
    </w:pPr>
    <w:rPr>
      <w:sz w:val="24"/>
    </w:rPr>
  </w:style>
  <w:style w:type="paragraph" w:styleId="Footer">
    <w:name w:val="footer"/>
    <w:basedOn w:val="BodyText"/>
    <w:link w:val="FooterChar"/>
    <w:semiHidden/>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semiHidden/>
    <w:rsid w:val="00C543F4"/>
  </w:style>
  <w:style w:type="paragraph" w:customStyle="1" w:styleId="HeaderOdd">
    <w:name w:val="Header Odd"/>
    <w:basedOn w:val="Header"/>
    <w:semiHidden/>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uiPriority w:val="99"/>
    <w:semiHidden/>
    <w:rsid w:val="00A17328"/>
    <w:rPr>
      <w:b/>
      <w:vanish/>
      <w:color w:val="FF00FF"/>
      <w:sz w:val="20"/>
    </w:rPr>
  </w:style>
  <w:style w:type="paragraph" w:styleId="CommentText">
    <w:name w:val="annotation text"/>
    <w:basedOn w:val="Normal"/>
    <w:link w:val="CommentTextChar"/>
    <w:uiPriority w:val="99"/>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semiHidden/>
    <w:rsid w:val="00243997"/>
    <w:rPr>
      <w:rFonts w:ascii="Times New Roman" w:hAnsi="Times New Roman"/>
      <w:position w:val="6"/>
      <w:sz w:val="20"/>
      <w:vertAlign w:val="baseline"/>
    </w:rPr>
  </w:style>
  <w:style w:type="paragraph" w:styleId="FootnoteText">
    <w:name w:val="footnote text"/>
    <w:basedOn w:val="BodyText"/>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semiHidden/>
    <w:rsid w:val="00A17328"/>
    <w:pPr>
      <w:spacing w:before="0" w:line="40" w:lineRule="exact"/>
      <w:jc w:val="right"/>
    </w:pPr>
    <w:rPr>
      <w:smallCaps/>
      <w:sz w:val="16"/>
    </w:rPr>
  </w:style>
  <w:style w:type="paragraph" w:customStyle="1" w:styleId="PartNumber">
    <w:name w:val="Part Number"/>
    <w:basedOn w:val="BodyText"/>
    <w:next w:val="BodyText"/>
    <w:semiHidden/>
    <w:rsid w:val="00A17328"/>
    <w:pPr>
      <w:spacing w:before="4000" w:line="320" w:lineRule="exact"/>
      <w:ind w:left="6634"/>
      <w:jc w:val="right"/>
    </w:pPr>
    <w:rPr>
      <w:smallCaps/>
      <w:spacing w:val="60"/>
      <w:sz w:val="32"/>
    </w:rPr>
  </w:style>
  <w:style w:type="paragraph" w:customStyle="1" w:styleId="PartTitle">
    <w:name w:val="Part Title"/>
    <w:basedOn w:val="BodyText"/>
    <w:semiHidden/>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20"/>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21"/>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uiPriority w:val="99"/>
    <w:rsid w:val="00EB2CC3"/>
    <w:rPr>
      <w:sz w:val="24"/>
    </w:rPr>
  </w:style>
  <w:style w:type="character" w:customStyle="1" w:styleId="FooterChar">
    <w:name w:val="Footer Char"/>
    <w:basedOn w:val="BodyTextChar"/>
    <w:link w:val="Footer"/>
    <w:semiHidden/>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73727"/>
    <w:rPr>
      <w:rFonts w:ascii="Arial" w:hAnsi="Arial"/>
      <w:b/>
      <w:sz w:val="26"/>
      <w:szCs w:val="26"/>
      <w:lang w:eastAsia="en-US"/>
    </w:rPr>
  </w:style>
  <w:style w:type="paragraph" w:styleId="CommentSubject">
    <w:name w:val="annotation subject"/>
    <w:basedOn w:val="CommentText"/>
    <w:next w:val="CommentText"/>
    <w:link w:val="CommentSubjectChar"/>
    <w:rsid w:val="001902AC"/>
    <w:pPr>
      <w:spacing w:before="0" w:line="240" w:lineRule="auto"/>
      <w:ind w:left="0" w:firstLine="0"/>
    </w:pPr>
    <w:rPr>
      <w:b/>
      <w:bCs/>
      <w:szCs w:val="20"/>
    </w:rPr>
  </w:style>
  <w:style w:type="character" w:customStyle="1" w:styleId="CommentTextChar">
    <w:name w:val="Comment Text Char"/>
    <w:basedOn w:val="DefaultParagraphFont"/>
    <w:link w:val="CommentText"/>
    <w:uiPriority w:val="99"/>
    <w:semiHidden/>
    <w:rsid w:val="001902AC"/>
    <w:rPr>
      <w:szCs w:val="24"/>
    </w:rPr>
  </w:style>
  <w:style w:type="character" w:customStyle="1" w:styleId="CommentSubjectChar">
    <w:name w:val="Comment Subject Char"/>
    <w:basedOn w:val="CommentTextChar"/>
    <w:link w:val="CommentSubject"/>
    <w:rsid w:val="001902AC"/>
    <w:rPr>
      <w:b/>
      <w:bCs/>
      <w:szCs w:val="24"/>
    </w:rPr>
  </w:style>
  <w:style w:type="paragraph" w:styleId="Bibliography">
    <w:name w:val="Bibliography"/>
    <w:basedOn w:val="Normal"/>
    <w:next w:val="Normal"/>
    <w:uiPriority w:val="37"/>
    <w:unhideWhenUsed/>
    <w:rsid w:val="00094EDD"/>
    <w:pPr>
      <w:spacing w:after="240"/>
      <w:ind w:left="720" w:hanging="720"/>
    </w:pPr>
  </w:style>
  <w:style w:type="character" w:customStyle="1" w:styleId="Heading1Char">
    <w:name w:val="Heading 1 Char"/>
    <w:basedOn w:val="DefaultParagraphFont"/>
    <w:link w:val="Heading1"/>
    <w:rsid w:val="00094EDD"/>
    <w:rPr>
      <w:sz w:val="52"/>
    </w:rPr>
  </w:style>
  <w:style w:type="character" w:customStyle="1" w:styleId="Heading3Char">
    <w:name w:val="Heading 3 Char"/>
    <w:basedOn w:val="DefaultParagraphFont"/>
    <w:link w:val="Heading3"/>
    <w:rsid w:val="00094EDD"/>
    <w:rPr>
      <w:rFonts w:ascii="Arial" w:hAnsi="Arial"/>
      <w:b/>
      <w:sz w:val="26"/>
    </w:rPr>
  </w:style>
  <w:style w:type="character" w:customStyle="1" w:styleId="Heading4Char">
    <w:name w:val="Heading 4 Char"/>
    <w:basedOn w:val="DefaultParagraphFont"/>
    <w:link w:val="Heading4"/>
    <w:rsid w:val="00094EDD"/>
    <w:rPr>
      <w:rFonts w:ascii="Arial" w:hAnsi="Arial"/>
      <w:sz w:val="24"/>
    </w:rPr>
  </w:style>
  <w:style w:type="character" w:customStyle="1" w:styleId="QuoteChar">
    <w:name w:val="Quote Char"/>
    <w:basedOn w:val="DefaultParagraphFont"/>
    <w:link w:val="Quote"/>
    <w:rsid w:val="00094EDD"/>
    <w:rPr>
      <w:sz w:val="22"/>
    </w:rPr>
  </w:style>
  <w:style w:type="paragraph" w:customStyle="1" w:styleId="BoxSpaceAboveElement">
    <w:name w:val="Box Space Above Element"/>
    <w:basedOn w:val="Normal"/>
    <w:link w:val="BoxSpaceAboveElementChar"/>
    <w:qFormat/>
    <w:rsid w:val="00094EDD"/>
    <w:pPr>
      <w:keepNext/>
      <w:spacing w:before="240" w:line="80" w:lineRule="exact"/>
    </w:pPr>
    <w:rPr>
      <w:b/>
      <w:vanish/>
      <w:color w:val="FF00FF"/>
      <w:sz w:val="14"/>
      <w:szCs w:val="20"/>
    </w:rPr>
  </w:style>
  <w:style w:type="character" w:customStyle="1" w:styleId="BoxSpaceAboveElementChar">
    <w:name w:val="Box Space Above Element Char"/>
    <w:basedOn w:val="DefaultParagraphFont"/>
    <w:link w:val="BoxSpaceAboveElement"/>
    <w:rsid w:val="00094EDD"/>
    <w:rPr>
      <w:b/>
      <w:vanish/>
      <w:color w:val="FF00FF"/>
      <w:sz w:val="14"/>
    </w:rPr>
  </w:style>
  <w:style w:type="paragraph" w:customStyle="1" w:styleId="Coaltiondots">
    <w:name w:val="Coaltion dots"/>
    <w:rsid w:val="00C5228A"/>
    <w:pPr>
      <w:numPr>
        <w:numId w:val="24"/>
      </w:numPr>
      <w:spacing w:after="60"/>
    </w:pPr>
    <w:rPr>
      <w:bCs/>
      <w:sz w:val="24"/>
    </w:rPr>
  </w:style>
  <w:style w:type="paragraph" w:customStyle="1" w:styleId="Bullet">
    <w:name w:val="Bullet"/>
    <w:basedOn w:val="Normal"/>
    <w:link w:val="BulletChar"/>
    <w:rsid w:val="00C5228A"/>
    <w:pPr>
      <w:numPr>
        <w:numId w:val="25"/>
      </w:numPr>
      <w:spacing w:after="200"/>
    </w:pPr>
  </w:style>
  <w:style w:type="character" w:customStyle="1" w:styleId="BulletChar">
    <w:name w:val="Bullet Char"/>
    <w:basedOn w:val="DefaultParagraphFont"/>
    <w:link w:val="Bullet"/>
    <w:rsid w:val="00C5228A"/>
    <w:rPr>
      <w:sz w:val="24"/>
      <w:szCs w:val="24"/>
    </w:rPr>
  </w:style>
  <w:style w:type="paragraph" w:customStyle="1" w:styleId="Dash">
    <w:name w:val="Dash"/>
    <w:basedOn w:val="Normal"/>
    <w:uiPriority w:val="99"/>
    <w:rsid w:val="00C5228A"/>
    <w:pPr>
      <w:numPr>
        <w:ilvl w:val="1"/>
        <w:numId w:val="25"/>
      </w:numPr>
      <w:spacing w:after="200"/>
    </w:pPr>
  </w:style>
  <w:style w:type="paragraph" w:customStyle="1" w:styleId="DoubleDot">
    <w:name w:val="Double Dot"/>
    <w:basedOn w:val="Normal"/>
    <w:uiPriority w:val="99"/>
    <w:rsid w:val="00C5228A"/>
    <w:pPr>
      <w:numPr>
        <w:ilvl w:val="2"/>
        <w:numId w:val="25"/>
      </w:numPr>
      <w:spacing w:after="200"/>
    </w:pPr>
  </w:style>
  <w:style w:type="paragraph" w:customStyle="1" w:styleId="OutlineNumbered1">
    <w:name w:val="Outline Numbered 1"/>
    <w:basedOn w:val="Normal"/>
    <w:link w:val="OutlineNumbered1Char"/>
    <w:rsid w:val="00C5228A"/>
    <w:pPr>
      <w:numPr>
        <w:numId w:val="26"/>
      </w:numPr>
      <w:spacing w:after="200"/>
    </w:pPr>
  </w:style>
  <w:style w:type="character" w:customStyle="1" w:styleId="OutlineNumbered1Char">
    <w:name w:val="Outline Numbered 1 Char"/>
    <w:basedOn w:val="DefaultParagraphFont"/>
    <w:link w:val="OutlineNumbered1"/>
    <w:rsid w:val="00C5228A"/>
    <w:rPr>
      <w:sz w:val="24"/>
      <w:szCs w:val="24"/>
    </w:rPr>
  </w:style>
  <w:style w:type="paragraph" w:customStyle="1" w:styleId="OutlineNumbered2">
    <w:name w:val="Outline Numbered 2"/>
    <w:basedOn w:val="Normal"/>
    <w:rsid w:val="00C5228A"/>
    <w:pPr>
      <w:numPr>
        <w:ilvl w:val="1"/>
        <w:numId w:val="26"/>
      </w:numPr>
      <w:spacing w:after="200"/>
    </w:pPr>
  </w:style>
  <w:style w:type="paragraph" w:customStyle="1" w:styleId="OutlineNumbered3">
    <w:name w:val="Outline Numbered 3"/>
    <w:basedOn w:val="Normal"/>
    <w:rsid w:val="00C5228A"/>
    <w:pPr>
      <w:numPr>
        <w:ilvl w:val="2"/>
        <w:numId w:val="26"/>
      </w:numPr>
      <w:spacing w:after="200"/>
    </w:pPr>
  </w:style>
  <w:style w:type="paragraph" w:customStyle="1" w:styleId="Default">
    <w:name w:val="Default"/>
    <w:rsid w:val="00F65109"/>
    <w:pPr>
      <w:autoSpaceDE w:val="0"/>
      <w:autoSpaceDN w:val="0"/>
      <w:adjustRightInd w:val="0"/>
    </w:pPr>
    <w:rPr>
      <w:color w:val="000000"/>
      <w:sz w:val="24"/>
      <w:szCs w:val="24"/>
    </w:rPr>
  </w:style>
  <w:style w:type="paragraph" w:styleId="Revision">
    <w:name w:val="Revision"/>
    <w:hidden/>
    <w:uiPriority w:val="99"/>
    <w:semiHidden/>
    <w:rsid w:val="00190749"/>
    <w:rPr>
      <w:sz w:val="24"/>
      <w:szCs w:val="24"/>
    </w:rPr>
  </w:style>
  <w:style w:type="character" w:customStyle="1" w:styleId="Heading2Char">
    <w:name w:val="Heading 2 Char"/>
    <w:basedOn w:val="DefaultParagraphFont"/>
    <w:link w:val="Heading2"/>
    <w:rsid w:val="00E62866"/>
    <w:rPr>
      <w:rFonts w:ascii="Arial" w:hAnsi="Arial"/>
      <w:b/>
      <w:sz w:val="32"/>
    </w:rPr>
  </w:style>
  <w:style w:type="character" w:styleId="Hyperlink">
    <w:name w:val="Hyperlink"/>
    <w:basedOn w:val="DefaultParagraphFont"/>
    <w:rsid w:val="00783F1A"/>
    <w:rPr>
      <w:color w:val="78A22F" w:themeColor="hyperlink"/>
      <w:u w:val="single"/>
    </w:rPr>
  </w:style>
  <w:style w:type="character" w:styleId="FollowedHyperlink">
    <w:name w:val="FollowedHyperlink"/>
    <w:basedOn w:val="DefaultParagraphFont"/>
    <w:rsid w:val="006A56B1"/>
    <w:rPr>
      <w:color w:val="387DD2" w:themeColor="followedHyperlink"/>
      <w:u w:val="single"/>
    </w:rPr>
  </w:style>
  <w:style w:type="character" w:styleId="EndnoteReference">
    <w:name w:val="endnote reference"/>
    <w:basedOn w:val="DefaultParagraphFont"/>
    <w:rsid w:val="007C289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annotation text" w:uiPriority="99"/>
    <w:lsdException w:name="annotation reference" w:uiPriority="99"/>
    <w:lsdException w:name="Body Text" w:uiPriority="99" w:qFormat="1"/>
    <w:lsdException w:name="Subtitle"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A02826"/>
    <w:rPr>
      <w:sz w:val="24"/>
      <w:szCs w:val="24"/>
    </w:rPr>
  </w:style>
  <w:style w:type="paragraph" w:styleId="Heading1">
    <w:name w:val="heading 1"/>
    <w:basedOn w:val="BodyText"/>
    <w:next w:val="BodyText"/>
    <w:link w:val="Heading1Char"/>
    <w:qForma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semiHidden/>
    <w:rsid w:val="00A17328"/>
    <w:pPr>
      <w:spacing w:after="60"/>
      <w:jc w:val="left"/>
      <w:outlineLvl w:val="5"/>
    </w:pPr>
    <w:rPr>
      <w:i/>
      <w:sz w:val="22"/>
    </w:rPr>
  </w:style>
  <w:style w:type="paragraph" w:styleId="Heading7">
    <w:name w:val="heading 7"/>
    <w:basedOn w:val="BodyText"/>
    <w:next w:val="BodyText"/>
    <w:semiHidden/>
    <w:rsid w:val="00A17328"/>
    <w:pPr>
      <w:spacing w:after="60" w:line="240" w:lineRule="auto"/>
      <w:jc w:val="left"/>
      <w:outlineLvl w:val="6"/>
    </w:pPr>
    <w:rPr>
      <w:rFonts w:ascii="Arial" w:hAnsi="Arial"/>
      <w:sz w:val="20"/>
    </w:rPr>
  </w:style>
  <w:style w:type="paragraph" w:styleId="Heading8">
    <w:name w:val="heading 8"/>
    <w:basedOn w:val="BodyText"/>
    <w:next w:val="BodyText"/>
    <w:semiHidden/>
    <w:rsid w:val="00A17328"/>
    <w:pPr>
      <w:spacing w:after="60" w:line="240" w:lineRule="auto"/>
      <w:jc w:val="left"/>
      <w:outlineLvl w:val="7"/>
    </w:pPr>
    <w:rPr>
      <w:rFonts w:ascii="Arial" w:hAnsi="Arial"/>
      <w:i/>
      <w:sz w:val="20"/>
    </w:rPr>
  </w:style>
  <w:style w:type="paragraph" w:styleId="Heading9">
    <w:name w:val="heading 9"/>
    <w:basedOn w:val="BodyText"/>
    <w:next w:val="BodyText"/>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99"/>
    <w:qFormat/>
    <w:rsid w:val="00812F4A"/>
    <w:pPr>
      <w:spacing w:before="240" w:line="300" w:lineRule="atLeast"/>
      <w:jc w:val="both"/>
    </w:pPr>
    <w:rPr>
      <w:sz w:val="24"/>
    </w:rPr>
  </w:style>
  <w:style w:type="paragraph" w:styleId="Footer">
    <w:name w:val="footer"/>
    <w:basedOn w:val="BodyText"/>
    <w:link w:val="FooterChar"/>
    <w:semiHidden/>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semiHidden/>
    <w:rsid w:val="00C543F4"/>
  </w:style>
  <w:style w:type="paragraph" w:customStyle="1" w:styleId="HeaderOdd">
    <w:name w:val="Header Odd"/>
    <w:basedOn w:val="Header"/>
    <w:semiHidden/>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uiPriority w:val="99"/>
    <w:semiHidden/>
    <w:rsid w:val="00A17328"/>
    <w:rPr>
      <w:b/>
      <w:vanish/>
      <w:color w:val="FF00FF"/>
      <w:sz w:val="20"/>
    </w:rPr>
  </w:style>
  <w:style w:type="paragraph" w:styleId="CommentText">
    <w:name w:val="annotation text"/>
    <w:basedOn w:val="Normal"/>
    <w:link w:val="CommentTextChar"/>
    <w:uiPriority w:val="99"/>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semiHidden/>
    <w:rsid w:val="00243997"/>
    <w:rPr>
      <w:rFonts w:ascii="Times New Roman" w:hAnsi="Times New Roman"/>
      <w:position w:val="6"/>
      <w:sz w:val="20"/>
      <w:vertAlign w:val="baseline"/>
    </w:rPr>
  </w:style>
  <w:style w:type="paragraph" w:styleId="FootnoteText">
    <w:name w:val="footnote text"/>
    <w:basedOn w:val="BodyText"/>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semiHidden/>
    <w:rsid w:val="00A17328"/>
    <w:pPr>
      <w:spacing w:before="0" w:line="40" w:lineRule="exact"/>
      <w:jc w:val="right"/>
    </w:pPr>
    <w:rPr>
      <w:smallCaps/>
      <w:sz w:val="16"/>
    </w:rPr>
  </w:style>
  <w:style w:type="paragraph" w:customStyle="1" w:styleId="PartNumber">
    <w:name w:val="Part Number"/>
    <w:basedOn w:val="BodyText"/>
    <w:next w:val="BodyText"/>
    <w:semiHidden/>
    <w:rsid w:val="00A17328"/>
    <w:pPr>
      <w:spacing w:before="4000" w:line="320" w:lineRule="exact"/>
      <w:ind w:left="6634"/>
      <w:jc w:val="right"/>
    </w:pPr>
    <w:rPr>
      <w:smallCaps/>
      <w:spacing w:val="60"/>
      <w:sz w:val="32"/>
    </w:rPr>
  </w:style>
  <w:style w:type="paragraph" w:customStyle="1" w:styleId="PartTitle">
    <w:name w:val="Part Title"/>
    <w:basedOn w:val="BodyText"/>
    <w:semiHidden/>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20"/>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21"/>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uiPriority w:val="99"/>
    <w:rsid w:val="00EB2CC3"/>
    <w:rPr>
      <w:sz w:val="24"/>
    </w:rPr>
  </w:style>
  <w:style w:type="character" w:customStyle="1" w:styleId="FooterChar">
    <w:name w:val="Footer Char"/>
    <w:basedOn w:val="BodyTextChar"/>
    <w:link w:val="Footer"/>
    <w:semiHidden/>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73727"/>
    <w:rPr>
      <w:rFonts w:ascii="Arial" w:hAnsi="Arial"/>
      <w:b/>
      <w:sz w:val="26"/>
      <w:szCs w:val="26"/>
      <w:lang w:eastAsia="en-US"/>
    </w:rPr>
  </w:style>
  <w:style w:type="paragraph" w:styleId="CommentSubject">
    <w:name w:val="annotation subject"/>
    <w:basedOn w:val="CommentText"/>
    <w:next w:val="CommentText"/>
    <w:link w:val="CommentSubjectChar"/>
    <w:rsid w:val="001902AC"/>
    <w:pPr>
      <w:spacing w:before="0" w:line="240" w:lineRule="auto"/>
      <w:ind w:left="0" w:firstLine="0"/>
    </w:pPr>
    <w:rPr>
      <w:b/>
      <w:bCs/>
      <w:szCs w:val="20"/>
    </w:rPr>
  </w:style>
  <w:style w:type="character" w:customStyle="1" w:styleId="CommentTextChar">
    <w:name w:val="Comment Text Char"/>
    <w:basedOn w:val="DefaultParagraphFont"/>
    <w:link w:val="CommentText"/>
    <w:uiPriority w:val="99"/>
    <w:semiHidden/>
    <w:rsid w:val="001902AC"/>
    <w:rPr>
      <w:szCs w:val="24"/>
    </w:rPr>
  </w:style>
  <w:style w:type="character" w:customStyle="1" w:styleId="CommentSubjectChar">
    <w:name w:val="Comment Subject Char"/>
    <w:basedOn w:val="CommentTextChar"/>
    <w:link w:val="CommentSubject"/>
    <w:rsid w:val="001902AC"/>
    <w:rPr>
      <w:b/>
      <w:bCs/>
      <w:szCs w:val="24"/>
    </w:rPr>
  </w:style>
  <w:style w:type="paragraph" w:styleId="Bibliography">
    <w:name w:val="Bibliography"/>
    <w:basedOn w:val="Normal"/>
    <w:next w:val="Normal"/>
    <w:uiPriority w:val="37"/>
    <w:unhideWhenUsed/>
    <w:rsid w:val="00094EDD"/>
    <w:pPr>
      <w:spacing w:after="240"/>
      <w:ind w:left="720" w:hanging="720"/>
    </w:pPr>
  </w:style>
  <w:style w:type="character" w:customStyle="1" w:styleId="Heading1Char">
    <w:name w:val="Heading 1 Char"/>
    <w:basedOn w:val="DefaultParagraphFont"/>
    <w:link w:val="Heading1"/>
    <w:rsid w:val="00094EDD"/>
    <w:rPr>
      <w:sz w:val="52"/>
    </w:rPr>
  </w:style>
  <w:style w:type="character" w:customStyle="1" w:styleId="Heading3Char">
    <w:name w:val="Heading 3 Char"/>
    <w:basedOn w:val="DefaultParagraphFont"/>
    <w:link w:val="Heading3"/>
    <w:rsid w:val="00094EDD"/>
    <w:rPr>
      <w:rFonts w:ascii="Arial" w:hAnsi="Arial"/>
      <w:b/>
      <w:sz w:val="26"/>
    </w:rPr>
  </w:style>
  <w:style w:type="character" w:customStyle="1" w:styleId="Heading4Char">
    <w:name w:val="Heading 4 Char"/>
    <w:basedOn w:val="DefaultParagraphFont"/>
    <w:link w:val="Heading4"/>
    <w:rsid w:val="00094EDD"/>
    <w:rPr>
      <w:rFonts w:ascii="Arial" w:hAnsi="Arial"/>
      <w:sz w:val="24"/>
    </w:rPr>
  </w:style>
  <w:style w:type="character" w:customStyle="1" w:styleId="QuoteChar">
    <w:name w:val="Quote Char"/>
    <w:basedOn w:val="DefaultParagraphFont"/>
    <w:link w:val="Quote"/>
    <w:rsid w:val="00094EDD"/>
    <w:rPr>
      <w:sz w:val="22"/>
    </w:rPr>
  </w:style>
  <w:style w:type="paragraph" w:customStyle="1" w:styleId="BoxSpaceAboveElement">
    <w:name w:val="Box Space Above Element"/>
    <w:basedOn w:val="Normal"/>
    <w:link w:val="BoxSpaceAboveElementChar"/>
    <w:qFormat/>
    <w:rsid w:val="00094EDD"/>
    <w:pPr>
      <w:keepNext/>
      <w:spacing w:before="240" w:line="80" w:lineRule="exact"/>
    </w:pPr>
    <w:rPr>
      <w:b/>
      <w:vanish/>
      <w:color w:val="FF00FF"/>
      <w:sz w:val="14"/>
      <w:szCs w:val="20"/>
    </w:rPr>
  </w:style>
  <w:style w:type="character" w:customStyle="1" w:styleId="BoxSpaceAboveElementChar">
    <w:name w:val="Box Space Above Element Char"/>
    <w:basedOn w:val="DefaultParagraphFont"/>
    <w:link w:val="BoxSpaceAboveElement"/>
    <w:rsid w:val="00094EDD"/>
    <w:rPr>
      <w:b/>
      <w:vanish/>
      <w:color w:val="FF00FF"/>
      <w:sz w:val="14"/>
    </w:rPr>
  </w:style>
  <w:style w:type="paragraph" w:customStyle="1" w:styleId="Coaltiondots">
    <w:name w:val="Coaltion dots"/>
    <w:rsid w:val="00C5228A"/>
    <w:pPr>
      <w:numPr>
        <w:numId w:val="24"/>
      </w:numPr>
      <w:spacing w:after="60"/>
    </w:pPr>
    <w:rPr>
      <w:bCs/>
      <w:sz w:val="24"/>
    </w:rPr>
  </w:style>
  <w:style w:type="paragraph" w:customStyle="1" w:styleId="Bullet">
    <w:name w:val="Bullet"/>
    <w:basedOn w:val="Normal"/>
    <w:link w:val="BulletChar"/>
    <w:rsid w:val="00C5228A"/>
    <w:pPr>
      <w:numPr>
        <w:numId w:val="25"/>
      </w:numPr>
      <w:spacing w:after="200"/>
    </w:pPr>
  </w:style>
  <w:style w:type="character" w:customStyle="1" w:styleId="BulletChar">
    <w:name w:val="Bullet Char"/>
    <w:basedOn w:val="DefaultParagraphFont"/>
    <w:link w:val="Bullet"/>
    <w:rsid w:val="00C5228A"/>
    <w:rPr>
      <w:sz w:val="24"/>
      <w:szCs w:val="24"/>
    </w:rPr>
  </w:style>
  <w:style w:type="paragraph" w:customStyle="1" w:styleId="Dash">
    <w:name w:val="Dash"/>
    <w:basedOn w:val="Normal"/>
    <w:uiPriority w:val="99"/>
    <w:rsid w:val="00C5228A"/>
    <w:pPr>
      <w:numPr>
        <w:ilvl w:val="1"/>
        <w:numId w:val="25"/>
      </w:numPr>
      <w:spacing w:after="200"/>
    </w:pPr>
  </w:style>
  <w:style w:type="paragraph" w:customStyle="1" w:styleId="DoubleDot">
    <w:name w:val="Double Dot"/>
    <w:basedOn w:val="Normal"/>
    <w:uiPriority w:val="99"/>
    <w:rsid w:val="00C5228A"/>
    <w:pPr>
      <w:numPr>
        <w:ilvl w:val="2"/>
        <w:numId w:val="25"/>
      </w:numPr>
      <w:spacing w:after="200"/>
    </w:pPr>
  </w:style>
  <w:style w:type="paragraph" w:customStyle="1" w:styleId="OutlineNumbered1">
    <w:name w:val="Outline Numbered 1"/>
    <w:basedOn w:val="Normal"/>
    <w:link w:val="OutlineNumbered1Char"/>
    <w:rsid w:val="00C5228A"/>
    <w:pPr>
      <w:numPr>
        <w:numId w:val="26"/>
      </w:numPr>
      <w:spacing w:after="200"/>
    </w:pPr>
  </w:style>
  <w:style w:type="character" w:customStyle="1" w:styleId="OutlineNumbered1Char">
    <w:name w:val="Outline Numbered 1 Char"/>
    <w:basedOn w:val="DefaultParagraphFont"/>
    <w:link w:val="OutlineNumbered1"/>
    <w:rsid w:val="00C5228A"/>
    <w:rPr>
      <w:sz w:val="24"/>
      <w:szCs w:val="24"/>
    </w:rPr>
  </w:style>
  <w:style w:type="paragraph" w:customStyle="1" w:styleId="OutlineNumbered2">
    <w:name w:val="Outline Numbered 2"/>
    <w:basedOn w:val="Normal"/>
    <w:rsid w:val="00C5228A"/>
    <w:pPr>
      <w:numPr>
        <w:ilvl w:val="1"/>
        <w:numId w:val="26"/>
      </w:numPr>
      <w:spacing w:after="200"/>
    </w:pPr>
  </w:style>
  <w:style w:type="paragraph" w:customStyle="1" w:styleId="OutlineNumbered3">
    <w:name w:val="Outline Numbered 3"/>
    <w:basedOn w:val="Normal"/>
    <w:rsid w:val="00C5228A"/>
    <w:pPr>
      <w:numPr>
        <w:ilvl w:val="2"/>
        <w:numId w:val="26"/>
      </w:numPr>
      <w:spacing w:after="200"/>
    </w:pPr>
  </w:style>
  <w:style w:type="paragraph" w:customStyle="1" w:styleId="Default">
    <w:name w:val="Default"/>
    <w:rsid w:val="00F65109"/>
    <w:pPr>
      <w:autoSpaceDE w:val="0"/>
      <w:autoSpaceDN w:val="0"/>
      <w:adjustRightInd w:val="0"/>
    </w:pPr>
    <w:rPr>
      <w:color w:val="000000"/>
      <w:sz w:val="24"/>
      <w:szCs w:val="24"/>
    </w:rPr>
  </w:style>
  <w:style w:type="paragraph" w:styleId="Revision">
    <w:name w:val="Revision"/>
    <w:hidden/>
    <w:uiPriority w:val="99"/>
    <w:semiHidden/>
    <w:rsid w:val="00190749"/>
    <w:rPr>
      <w:sz w:val="24"/>
      <w:szCs w:val="24"/>
    </w:rPr>
  </w:style>
  <w:style w:type="character" w:customStyle="1" w:styleId="Heading2Char">
    <w:name w:val="Heading 2 Char"/>
    <w:basedOn w:val="DefaultParagraphFont"/>
    <w:link w:val="Heading2"/>
    <w:rsid w:val="00E62866"/>
    <w:rPr>
      <w:rFonts w:ascii="Arial" w:hAnsi="Arial"/>
      <w:b/>
      <w:sz w:val="32"/>
    </w:rPr>
  </w:style>
  <w:style w:type="character" w:styleId="Hyperlink">
    <w:name w:val="Hyperlink"/>
    <w:basedOn w:val="DefaultParagraphFont"/>
    <w:rsid w:val="00783F1A"/>
    <w:rPr>
      <w:color w:val="78A22F" w:themeColor="hyperlink"/>
      <w:u w:val="single"/>
    </w:rPr>
  </w:style>
  <w:style w:type="character" w:styleId="FollowedHyperlink">
    <w:name w:val="FollowedHyperlink"/>
    <w:basedOn w:val="DefaultParagraphFont"/>
    <w:rsid w:val="006A56B1"/>
    <w:rPr>
      <w:color w:val="387DD2" w:themeColor="followedHyperlink"/>
      <w:u w:val="single"/>
    </w:rPr>
  </w:style>
  <w:style w:type="character" w:styleId="EndnoteReference">
    <w:name w:val="endnote reference"/>
    <w:basedOn w:val="DefaultParagraphFont"/>
    <w:rsid w:val="007C289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3179">
      <w:bodyDiv w:val="1"/>
      <w:marLeft w:val="0"/>
      <w:marRight w:val="0"/>
      <w:marTop w:val="0"/>
      <w:marBottom w:val="0"/>
      <w:divBdr>
        <w:top w:val="none" w:sz="0" w:space="0" w:color="auto"/>
        <w:left w:val="none" w:sz="0" w:space="0" w:color="auto"/>
        <w:bottom w:val="none" w:sz="0" w:space="0" w:color="auto"/>
        <w:right w:val="none" w:sz="0" w:space="0" w:color="auto"/>
      </w:divBdr>
    </w:div>
    <w:div w:id="428089154">
      <w:bodyDiv w:val="1"/>
      <w:marLeft w:val="0"/>
      <w:marRight w:val="0"/>
      <w:marTop w:val="0"/>
      <w:marBottom w:val="0"/>
      <w:divBdr>
        <w:top w:val="none" w:sz="0" w:space="0" w:color="auto"/>
        <w:left w:val="none" w:sz="0" w:space="0" w:color="auto"/>
        <w:bottom w:val="none" w:sz="0" w:space="0" w:color="auto"/>
        <w:right w:val="none" w:sz="0" w:space="0" w:color="auto"/>
      </w:divBdr>
    </w:div>
    <w:div w:id="437258264">
      <w:bodyDiv w:val="1"/>
      <w:marLeft w:val="0"/>
      <w:marRight w:val="0"/>
      <w:marTop w:val="0"/>
      <w:marBottom w:val="0"/>
      <w:divBdr>
        <w:top w:val="none" w:sz="0" w:space="0" w:color="auto"/>
        <w:left w:val="none" w:sz="0" w:space="0" w:color="auto"/>
        <w:bottom w:val="none" w:sz="0" w:space="0" w:color="auto"/>
        <w:right w:val="none" w:sz="0" w:space="0" w:color="auto"/>
      </w:divBdr>
    </w:div>
    <w:div w:id="495001216">
      <w:bodyDiv w:val="1"/>
      <w:marLeft w:val="0"/>
      <w:marRight w:val="0"/>
      <w:marTop w:val="0"/>
      <w:marBottom w:val="0"/>
      <w:divBdr>
        <w:top w:val="none" w:sz="0" w:space="0" w:color="auto"/>
        <w:left w:val="none" w:sz="0" w:space="0" w:color="auto"/>
        <w:bottom w:val="none" w:sz="0" w:space="0" w:color="auto"/>
        <w:right w:val="none" w:sz="0" w:space="0" w:color="auto"/>
      </w:divBdr>
    </w:div>
    <w:div w:id="654333615">
      <w:bodyDiv w:val="1"/>
      <w:marLeft w:val="0"/>
      <w:marRight w:val="0"/>
      <w:marTop w:val="0"/>
      <w:marBottom w:val="0"/>
      <w:divBdr>
        <w:top w:val="none" w:sz="0" w:space="0" w:color="auto"/>
        <w:left w:val="none" w:sz="0" w:space="0" w:color="auto"/>
        <w:bottom w:val="none" w:sz="0" w:space="0" w:color="auto"/>
        <w:right w:val="none" w:sz="0" w:space="0" w:color="auto"/>
      </w:divBdr>
    </w:div>
    <w:div w:id="699629326">
      <w:bodyDiv w:val="1"/>
      <w:marLeft w:val="0"/>
      <w:marRight w:val="0"/>
      <w:marTop w:val="0"/>
      <w:marBottom w:val="0"/>
      <w:divBdr>
        <w:top w:val="none" w:sz="0" w:space="0" w:color="auto"/>
        <w:left w:val="none" w:sz="0" w:space="0" w:color="auto"/>
        <w:bottom w:val="none" w:sz="0" w:space="0" w:color="auto"/>
        <w:right w:val="none" w:sz="0" w:space="0" w:color="auto"/>
      </w:divBdr>
    </w:div>
    <w:div w:id="975527836">
      <w:bodyDiv w:val="1"/>
      <w:marLeft w:val="0"/>
      <w:marRight w:val="0"/>
      <w:marTop w:val="0"/>
      <w:marBottom w:val="0"/>
      <w:divBdr>
        <w:top w:val="none" w:sz="0" w:space="0" w:color="auto"/>
        <w:left w:val="none" w:sz="0" w:space="0" w:color="auto"/>
        <w:bottom w:val="none" w:sz="0" w:space="0" w:color="auto"/>
        <w:right w:val="none" w:sz="0" w:space="0" w:color="auto"/>
      </w:divBdr>
    </w:div>
    <w:div w:id="1151403073">
      <w:bodyDiv w:val="1"/>
      <w:marLeft w:val="0"/>
      <w:marRight w:val="0"/>
      <w:marTop w:val="0"/>
      <w:marBottom w:val="0"/>
      <w:divBdr>
        <w:top w:val="none" w:sz="0" w:space="0" w:color="auto"/>
        <w:left w:val="none" w:sz="0" w:space="0" w:color="auto"/>
        <w:bottom w:val="none" w:sz="0" w:space="0" w:color="auto"/>
        <w:right w:val="none" w:sz="0" w:space="0" w:color="auto"/>
      </w:divBdr>
    </w:div>
    <w:div w:id="1195265820">
      <w:bodyDiv w:val="1"/>
      <w:marLeft w:val="0"/>
      <w:marRight w:val="0"/>
      <w:marTop w:val="0"/>
      <w:marBottom w:val="0"/>
      <w:divBdr>
        <w:top w:val="none" w:sz="0" w:space="0" w:color="auto"/>
        <w:left w:val="none" w:sz="0" w:space="0" w:color="auto"/>
        <w:bottom w:val="none" w:sz="0" w:space="0" w:color="auto"/>
        <w:right w:val="none" w:sz="0" w:space="0" w:color="auto"/>
      </w:divBdr>
    </w:div>
    <w:div w:id="1447969072">
      <w:bodyDiv w:val="1"/>
      <w:marLeft w:val="0"/>
      <w:marRight w:val="0"/>
      <w:marTop w:val="0"/>
      <w:marBottom w:val="0"/>
      <w:divBdr>
        <w:top w:val="none" w:sz="0" w:space="0" w:color="auto"/>
        <w:left w:val="none" w:sz="0" w:space="0" w:color="auto"/>
        <w:bottom w:val="none" w:sz="0" w:space="0" w:color="auto"/>
        <w:right w:val="none" w:sz="0" w:space="0" w:color="auto"/>
      </w:divBdr>
    </w:div>
    <w:div w:id="1594435842">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 w:id="2003313736">
      <w:bodyDiv w:val="1"/>
      <w:marLeft w:val="0"/>
      <w:marRight w:val="0"/>
      <w:marTop w:val="0"/>
      <w:marBottom w:val="0"/>
      <w:divBdr>
        <w:top w:val="none" w:sz="0" w:space="0" w:color="auto"/>
        <w:left w:val="none" w:sz="0" w:space="0" w:color="auto"/>
        <w:bottom w:val="none" w:sz="0" w:space="0" w:color="auto"/>
        <w:right w:val="none" w:sz="0" w:space="0" w:color="auto"/>
      </w:divBdr>
    </w:div>
    <w:div w:id="2101412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eader" Target="header1.xml"/><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0Dev\chapter.dotm" TargetMode="External"/></Relationships>
</file>

<file path=word/theme/theme1.xml><?xml version="1.0" encoding="utf-8"?>
<a:theme xmlns:a="http://schemas.openxmlformats.org/drawingml/2006/main" name="ProdCommTheme">
  <a:themeElements>
    <a:clrScheme name="PC colour scheme">
      <a:dk1>
        <a:sysClr val="windowText" lastClr="000000"/>
      </a:dk1>
      <a:lt1>
        <a:sysClr val="window" lastClr="FFFFFF"/>
      </a:lt1>
      <a:dk2>
        <a:srgbClr val="000000"/>
      </a:dk2>
      <a:lt2>
        <a:srgbClr val="BFBFBF"/>
      </a:lt2>
      <a:accent1>
        <a:srgbClr val="78A22F"/>
      </a:accent1>
      <a:accent2>
        <a:srgbClr val="265A9A"/>
      </a:accent2>
      <a:accent3>
        <a:srgbClr val="B2D673"/>
      </a:accent3>
      <a:accent4>
        <a:srgbClr val="F2F2F2"/>
      </a:accent4>
      <a:accent5>
        <a:srgbClr val="387DD2"/>
      </a:accent5>
      <a:accent6>
        <a:srgbClr val="C00000"/>
      </a:accent6>
      <a:hlink>
        <a:srgbClr val="78A22F"/>
      </a:hlink>
      <a:folHlink>
        <a:srgbClr val="387DD2"/>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54399-EF78-4072-8D26-F74C911FB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chapter.dotm</Template>
  <TotalTime>307</TotalTime>
  <Pages>38</Pages>
  <Words>11821</Words>
  <Characters>70522</Characters>
  <Application>Microsoft Office Word</Application>
  <DocSecurity>0</DocSecurity>
  <Lines>2611</Lines>
  <Paragraphs>1583</Paragraphs>
  <ScaleCrop>false</ScaleCrop>
  <HeadingPairs>
    <vt:vector size="2" baseType="variant">
      <vt:variant>
        <vt:lpstr>Title</vt:lpstr>
      </vt:variant>
      <vt:variant>
        <vt:i4>1</vt:i4>
      </vt:variant>
    </vt:vector>
  </HeadingPairs>
  <TitlesOfParts>
    <vt:vector size="1" baseType="lpstr">
      <vt:lpstr>Issues Paper</vt:lpstr>
    </vt:vector>
  </TitlesOfParts>
  <Company>Productivity Commission</Company>
  <LinksUpToDate>false</LinksUpToDate>
  <CharactersWithSpaces>80760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Issues Paper</dc:title>
  <dc:subject>Intellectual Property Arrangements</dc:subject>
  <dc:creator>Productivity Commission</dc:creator>
  <dc:description>1.</dc:description>
  <cp:lastModifiedBy>Michelle Cross</cp:lastModifiedBy>
  <cp:revision>61</cp:revision>
  <cp:lastPrinted>2015-10-05T23:34:00Z</cp:lastPrinted>
  <dcterms:created xsi:type="dcterms:W3CDTF">2015-10-04T21:23:00Z</dcterms:created>
  <dcterms:modified xsi:type="dcterms:W3CDTF">2015-10-06T04:20:00Z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zotero-version="4.0.20"&gt;&lt;session id="qBlUc0Nu"/&gt;&lt;style id="http://www.zotero.org/styles/unisa-harvard" hasBibliography="1" bibliographyStyleHasBeenSet="1"/&gt;&lt;prefs&gt;&lt;pref name="fieldType" value="Field"/&gt;&lt;pref name="storeReferences" va</vt:lpwstr>
  </property>
  <property fmtid="{D5CDD505-2E9C-101B-9397-08002B2CF9AE}" pid="3" name="ZOTERO_PREF_2">
    <vt:lpwstr>lue="true"/&gt;&lt;pref name="automaticJournalAbbreviations" value="true"/&gt;&lt;pref name="noteType" value="0"/&gt;&lt;/prefs&gt;&lt;/data&gt;</vt:lpwstr>
  </property>
</Properties>
</file>