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1D7EBB" w:rsidRDefault="001F237B" w:rsidP="00B04D19">
      <w:pPr>
        <w:pStyle w:val="Heading1NotTOC"/>
        <w:rPr>
          <w:color w:val="FFFFFF" w:themeColor="background1"/>
          <w:sz w:val="12"/>
          <w:szCs w:val="12"/>
        </w:rPr>
      </w:pPr>
      <w:bookmarkStart w:id="0" w:name="_GoBack"/>
      <w:bookmarkEnd w:id="0"/>
      <w:r w:rsidRPr="001D7EBB">
        <w:rPr>
          <w:noProof/>
          <w:color w:val="FFFFFF" w:themeColor="background1"/>
          <w:sz w:val="12"/>
          <w:szCs w:val="12"/>
          <w:lang w:eastAsia="en-AU"/>
        </w:rPr>
        <w:drawing>
          <wp:anchor distT="0" distB="0" distL="114300" distR="114300" simplePos="0" relativeHeight="251660288" behindDoc="0" locked="0" layoutInCell="1" allowOverlap="1" wp14:anchorId="2A73B850" wp14:editId="3472AD7B">
            <wp:simplePos x="1155940" y="-6659592"/>
            <wp:positionH relativeFrom="page">
              <wp:align>center</wp:align>
            </wp:positionH>
            <wp:positionV relativeFrom="page">
              <wp:align>center</wp:align>
            </wp:positionV>
            <wp:extent cx="7527487" cy="10691999"/>
            <wp:effectExtent l="0" t="0" r="0" b="0"/>
            <wp:wrapNone/>
            <wp:docPr id="3" name="Picture 3" descr="Cover for: Intellectual Property Arrangements, Productivity Commission, Overview and Recommendations, Inquiry Report No. 78, 23 Sept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intellectual-property-no crop mark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7487" cy="10691999"/>
                    </a:xfrm>
                    <a:prstGeom prst="rect">
                      <a:avLst/>
                    </a:prstGeom>
                  </pic:spPr>
                </pic:pic>
              </a:graphicData>
            </a:graphic>
            <wp14:sizeRelH relativeFrom="margin">
              <wp14:pctWidth>0</wp14:pctWidth>
            </wp14:sizeRelH>
            <wp14:sizeRelV relativeFrom="margin">
              <wp14:pctHeight>0</wp14:pctHeight>
            </wp14:sizeRelV>
          </wp:anchor>
        </w:drawing>
      </w:r>
      <w:r w:rsidR="003D2936" w:rsidRPr="001D7EBB">
        <w:rPr>
          <w:color w:val="FFFFFF" w:themeColor="background1"/>
          <w:sz w:val="12"/>
          <w:szCs w:val="12"/>
        </w:rPr>
        <w:t>Intellectual Property Arrangements</w:t>
      </w:r>
      <w:r w:rsidR="001D7EBB" w:rsidRPr="001D7EBB">
        <w:rPr>
          <w:color w:val="FFFFFF" w:themeColor="background1"/>
          <w:sz w:val="12"/>
          <w:szCs w:val="12"/>
        </w:rPr>
        <w:t>, Overview, recommendations and findings</w:t>
      </w:r>
      <w:r w:rsidR="00E64867" w:rsidRPr="001D7EBB">
        <w:rPr>
          <w:color w:val="FFFFFF" w:themeColor="background1"/>
          <w:sz w:val="12"/>
          <w:szCs w:val="12"/>
        </w:rPr>
        <w:br/>
      </w:r>
      <w:r w:rsidR="003D2936" w:rsidRPr="001D7EBB">
        <w:rPr>
          <w:color w:val="FFFFFF" w:themeColor="background1"/>
          <w:sz w:val="12"/>
          <w:szCs w:val="12"/>
        </w:rPr>
        <w:t>Productivity Commission Inquiry Report. No. 78, 23 September 2016.</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44A23D49" wp14:editId="1F15F469">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B409A7">
        <w:rPr>
          <w:i/>
        </w:rPr>
        <w:t>Intellectual Property Arrangements, Inquiry Report</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409A7">
        <w:rPr>
          <w:i/>
        </w:rPr>
        <w:t>Intellectual Property Arrangements, Inquiry Report.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B409A7" w:rsidRDefault="00B409A7" w:rsidP="008A3857">
      <w:pPr>
        <w:pStyle w:val="Copyrightbodytext"/>
      </w:pPr>
      <w:r>
        <w:t xml:space="preserve">Productivity Commission 2016, </w:t>
      </w:r>
      <w:r>
        <w:rPr>
          <w:i/>
        </w:rPr>
        <w:t>Intellectual Property Arrangements</w:t>
      </w:r>
      <w:r w:rsidR="00775FA7">
        <w:t>, Inquiry Report No. 78</w:t>
      </w:r>
      <w:r>
        <w:t>,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3D2936">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3D2936">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3D2936">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3D2936">
            <w:pPr>
              <w:pStyle w:val="Box"/>
              <w:spacing w:before="0" w:line="120" w:lineRule="exact"/>
            </w:pPr>
          </w:p>
        </w:tc>
      </w:tr>
    </w:tbl>
    <w:p w:rsidR="0051081A" w:rsidRDefault="0051081A" w:rsidP="0051081A">
      <w:pPr>
        <w:pStyle w:val="BodyText"/>
      </w:pPr>
      <w:bookmarkStart w:id="3" w:name="cov"/>
      <w:bookmarkEnd w:id="3"/>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FE69DA" w:rsidRDefault="00735FEA" w:rsidP="00FE69DA">
      <w:pPr>
        <w:pStyle w:val="Heading1NotTOC"/>
        <w:spacing w:after="960"/>
        <w:rPr>
          <w:noProof/>
        </w:rPr>
      </w:pPr>
      <w:bookmarkStart w:id="4" w:name="Contents"/>
      <w:bookmarkEnd w:id="4"/>
      <w:r w:rsidRPr="00B153C3">
        <w:lastRenderedPageBreak/>
        <w:t>Contents</w:t>
      </w:r>
      <w:bookmarkStart w:id="5" w:name="InsertContents"/>
      <w:bookmarkEnd w:id="5"/>
    </w:p>
    <w:p w:rsidR="00FE69DA" w:rsidRDefault="00FE69DA">
      <w:pPr>
        <w:pStyle w:val="TOC1"/>
        <w:rPr>
          <w:noProof/>
        </w:rPr>
      </w:pPr>
      <w:r>
        <w:rPr>
          <w:noProof/>
        </w:rPr>
        <w:t>Overview</w:t>
      </w:r>
      <w:r>
        <w:rPr>
          <w:noProof/>
        </w:rPr>
        <w:tab/>
        <w:t>1</w:t>
      </w:r>
    </w:p>
    <w:p w:rsidR="009C2947" w:rsidRPr="009C2947" w:rsidRDefault="009C2947" w:rsidP="009C2947">
      <w:pPr>
        <w:pStyle w:val="TOC2"/>
      </w:pPr>
      <w:r>
        <w:t>Key points</w:t>
      </w:r>
      <w:r>
        <w:tab/>
        <w:t>2</w:t>
      </w:r>
    </w:p>
    <w:p w:rsidR="009C2947" w:rsidRDefault="009C2947" w:rsidP="009C2947">
      <w:pPr>
        <w:pStyle w:val="TOC2"/>
        <w:rPr>
          <w:rFonts w:eastAsiaTheme="minorEastAsia"/>
        </w:rPr>
      </w:pPr>
      <w:r>
        <w:rPr>
          <w:noProof/>
        </w:rPr>
        <w:t>1</w:t>
      </w:r>
      <w:r>
        <w:tab/>
        <w:t>The task at hand</w:t>
      </w:r>
      <w:r>
        <w:rPr>
          <w:rFonts w:eastAsiaTheme="minorEastAsia"/>
        </w:rPr>
        <w:tab/>
        <w:t>3</w:t>
      </w:r>
    </w:p>
    <w:p w:rsidR="009C2947" w:rsidRDefault="009C2947" w:rsidP="009C2947">
      <w:pPr>
        <w:pStyle w:val="TOC2"/>
        <w:rPr>
          <w:rFonts w:eastAsiaTheme="minorEastAsia"/>
        </w:rPr>
      </w:pPr>
      <w:r w:rsidRPr="009C2947">
        <w:rPr>
          <w:rFonts w:eastAsiaTheme="minorEastAsia"/>
        </w:rPr>
        <w:t>2</w:t>
      </w:r>
      <w:r w:rsidRPr="009C2947">
        <w:rPr>
          <w:rFonts w:eastAsiaTheme="minorEastAsia"/>
        </w:rPr>
        <w:tab/>
        <w:t>Copy(not)right — looking at the evidence</w:t>
      </w:r>
      <w:r>
        <w:rPr>
          <w:rFonts w:eastAsiaTheme="minorEastAsia"/>
        </w:rPr>
        <w:tab/>
        <w:t>7</w:t>
      </w:r>
    </w:p>
    <w:p w:rsidR="009C2947" w:rsidRDefault="009C2947" w:rsidP="009C2947">
      <w:pPr>
        <w:pStyle w:val="TOC2"/>
        <w:rPr>
          <w:rFonts w:eastAsiaTheme="minorEastAsia"/>
        </w:rPr>
      </w:pPr>
      <w:r w:rsidRPr="009C2947">
        <w:rPr>
          <w:rFonts w:eastAsiaTheme="minorEastAsia"/>
        </w:rPr>
        <w:t>3</w:t>
      </w:r>
      <w:r w:rsidRPr="009C2947">
        <w:rPr>
          <w:rFonts w:eastAsiaTheme="minorEastAsia"/>
        </w:rPr>
        <w:tab/>
        <w:t>Patents — getting the fundamentals right</w:t>
      </w:r>
      <w:r>
        <w:rPr>
          <w:rFonts w:eastAsiaTheme="minorEastAsia"/>
        </w:rPr>
        <w:tab/>
        <w:t>13</w:t>
      </w:r>
    </w:p>
    <w:p w:rsidR="009C2947" w:rsidRPr="009C2947" w:rsidRDefault="009C2947" w:rsidP="009C2947">
      <w:pPr>
        <w:pStyle w:val="TOC2"/>
        <w:rPr>
          <w:rFonts w:eastAsiaTheme="minorEastAsia"/>
        </w:rPr>
      </w:pPr>
      <w:r w:rsidRPr="009C2947">
        <w:rPr>
          <w:rFonts w:eastAsiaTheme="minorEastAsia"/>
        </w:rPr>
        <w:t>4</w:t>
      </w:r>
      <w:r w:rsidRPr="009C2947">
        <w:rPr>
          <w:rFonts w:eastAsiaTheme="minorEastAsia"/>
        </w:rPr>
        <w:tab/>
        <w:t>Other patent system improvements</w:t>
      </w:r>
      <w:r w:rsidRPr="009C2947">
        <w:rPr>
          <w:rFonts w:eastAsiaTheme="minorEastAsia"/>
        </w:rPr>
        <w:tab/>
        <w:t>17</w:t>
      </w:r>
    </w:p>
    <w:p w:rsidR="009C2947" w:rsidRPr="009C2947" w:rsidRDefault="009C2947" w:rsidP="009C2947">
      <w:pPr>
        <w:pStyle w:val="TOC2"/>
        <w:rPr>
          <w:rFonts w:eastAsiaTheme="minorEastAsia"/>
        </w:rPr>
      </w:pPr>
      <w:r w:rsidRPr="009C2947">
        <w:rPr>
          <w:rFonts w:eastAsiaTheme="minorEastAsia"/>
        </w:rPr>
        <w:t>5</w:t>
      </w:r>
      <w:r w:rsidRPr="009C2947">
        <w:rPr>
          <w:rFonts w:eastAsiaTheme="minorEastAsia"/>
        </w:rPr>
        <w:tab/>
        <w:t>Pharmaceuticals — a better policy prescription</w:t>
      </w:r>
      <w:r w:rsidRPr="009C2947">
        <w:rPr>
          <w:rFonts w:eastAsiaTheme="minorEastAsia"/>
        </w:rPr>
        <w:tab/>
        <w:t>18</w:t>
      </w:r>
    </w:p>
    <w:p w:rsidR="009C2947" w:rsidRPr="009C2947" w:rsidRDefault="009C2947" w:rsidP="009C2947">
      <w:pPr>
        <w:pStyle w:val="TOC2"/>
        <w:rPr>
          <w:rFonts w:eastAsiaTheme="minorEastAsia"/>
        </w:rPr>
      </w:pPr>
      <w:r w:rsidRPr="009C2947">
        <w:rPr>
          <w:rFonts w:eastAsiaTheme="minorEastAsia"/>
        </w:rPr>
        <w:t>6</w:t>
      </w:r>
      <w:r w:rsidRPr="009C2947">
        <w:rPr>
          <w:rFonts w:eastAsiaTheme="minorEastAsia"/>
        </w:rPr>
        <w:tab/>
        <w:t>Other IP rights</w:t>
      </w:r>
      <w:r w:rsidRPr="009C2947">
        <w:rPr>
          <w:rFonts w:eastAsiaTheme="minorEastAsia"/>
        </w:rPr>
        <w:tab/>
        <w:t>20</w:t>
      </w:r>
    </w:p>
    <w:p w:rsidR="009C2947" w:rsidRPr="009C2947" w:rsidRDefault="009C2947" w:rsidP="009C2947">
      <w:pPr>
        <w:pStyle w:val="TOC2"/>
        <w:rPr>
          <w:rFonts w:eastAsiaTheme="minorEastAsia"/>
        </w:rPr>
      </w:pPr>
      <w:r w:rsidRPr="009C2947">
        <w:rPr>
          <w:rFonts w:eastAsiaTheme="minorEastAsia"/>
        </w:rPr>
        <w:t>7</w:t>
      </w:r>
      <w:r w:rsidRPr="009C2947">
        <w:rPr>
          <w:rFonts w:eastAsiaTheme="minorEastAsia"/>
        </w:rPr>
        <w:tab/>
        <w:t>Improving the broader landscape</w:t>
      </w:r>
      <w:r w:rsidRPr="009C2947">
        <w:rPr>
          <w:rFonts w:eastAsiaTheme="minorEastAsia"/>
        </w:rPr>
        <w:tab/>
        <w:t>23</w:t>
      </w:r>
    </w:p>
    <w:p w:rsidR="009C2947" w:rsidRPr="009C2947" w:rsidRDefault="009C2947" w:rsidP="009C2947">
      <w:pPr>
        <w:pStyle w:val="TOC2"/>
        <w:rPr>
          <w:rFonts w:eastAsiaTheme="minorEastAsia"/>
        </w:rPr>
      </w:pPr>
      <w:r w:rsidRPr="009C2947">
        <w:rPr>
          <w:rFonts w:eastAsiaTheme="minorEastAsia"/>
        </w:rPr>
        <w:t>8</w:t>
      </w:r>
      <w:r w:rsidRPr="009C2947">
        <w:rPr>
          <w:rFonts w:eastAsiaTheme="minorEastAsia"/>
        </w:rPr>
        <w:tab/>
        <w:t>Charting a new course in IP policy</w:t>
      </w:r>
      <w:r w:rsidRPr="009C2947">
        <w:rPr>
          <w:rFonts w:eastAsiaTheme="minorEastAsia"/>
        </w:rPr>
        <w:tab/>
        <w:t>25</w:t>
      </w:r>
    </w:p>
    <w:p w:rsidR="009C2947" w:rsidRPr="009C2947" w:rsidRDefault="009C2947" w:rsidP="009C2947">
      <w:pPr>
        <w:pStyle w:val="TOC2"/>
        <w:rPr>
          <w:rFonts w:eastAsiaTheme="minorEastAsia"/>
        </w:rPr>
      </w:pPr>
      <w:r w:rsidRPr="009C2947">
        <w:rPr>
          <w:rFonts w:eastAsiaTheme="minorEastAsia"/>
        </w:rPr>
        <w:t>9</w:t>
      </w:r>
      <w:r w:rsidRPr="009C2947">
        <w:rPr>
          <w:rFonts w:eastAsiaTheme="minorEastAsia"/>
        </w:rPr>
        <w:tab/>
        <w:t>An improved IP system has broad benefits</w:t>
      </w:r>
      <w:r w:rsidRPr="009C2947">
        <w:rPr>
          <w:rFonts w:eastAsiaTheme="minorEastAsia"/>
        </w:rPr>
        <w:tab/>
        <w:t>27</w:t>
      </w:r>
    </w:p>
    <w:p w:rsidR="009C2947" w:rsidRPr="009C2947" w:rsidRDefault="009C2947" w:rsidP="009C2947">
      <w:pPr>
        <w:pStyle w:val="TOC2"/>
        <w:rPr>
          <w:rFonts w:eastAsiaTheme="minorEastAsia"/>
        </w:rPr>
      </w:pPr>
      <w:r w:rsidRPr="009C2947">
        <w:rPr>
          <w:rFonts w:eastAsiaTheme="minorEastAsia"/>
        </w:rPr>
        <w:t>Summary of reforms and their expected benefits</w:t>
      </w:r>
      <w:r>
        <w:rPr>
          <w:rFonts w:eastAsiaTheme="minorEastAsia"/>
        </w:rPr>
        <w:tab/>
        <w:t>28</w:t>
      </w:r>
    </w:p>
    <w:p w:rsidR="00FE69DA" w:rsidRDefault="00FE69DA">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31</w:t>
      </w:r>
    </w:p>
    <w:p w:rsidR="00FE69DA" w:rsidRDefault="006D1530" w:rsidP="006D1530">
      <w:pPr>
        <w:pStyle w:val="TOC1"/>
        <w:spacing w:before="720"/>
      </w:pPr>
      <w:r>
        <w:t>The full report is available fro</w:t>
      </w:r>
      <w:r w:rsidRPr="00A502CE">
        <w:rPr>
          <w:rFonts w:cs="Arial"/>
        </w:rPr>
        <w:t xml:space="preserve">m </w:t>
      </w:r>
      <w:hyperlink r:id="rId11" w:history="1">
        <w:r w:rsidRPr="00A502CE">
          <w:rPr>
            <w:rStyle w:val="Hyperlink"/>
            <w:rFonts w:ascii="Arial" w:hAnsi="Arial" w:cs="Arial"/>
          </w:rPr>
          <w:t>www.pc.gov.au</w:t>
        </w:r>
      </w:hyperlink>
    </w:p>
    <w:sectPr w:rsidR="00FE69DA" w:rsidSect="00E748D9">
      <w:headerReference w:type="even" r:id="rId12"/>
      <w:headerReference w:type="default" r:id="rId13"/>
      <w:footerReference w:type="even" r:id="rId14"/>
      <w:footerReference w:type="default" r:id="rId15"/>
      <w:type w:val="oddPage"/>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936" w:rsidRDefault="003D2936">
      <w:r>
        <w:separator/>
      </w:r>
    </w:p>
    <w:p w:rsidR="003D2936" w:rsidRDefault="003D2936"/>
    <w:p w:rsidR="003D2936" w:rsidRDefault="003D2936"/>
  </w:endnote>
  <w:endnote w:type="continuationSeparator" w:id="0">
    <w:p w:rsidR="003D2936" w:rsidRDefault="003D2936">
      <w:r>
        <w:continuationSeparator/>
      </w:r>
    </w:p>
    <w:p w:rsidR="003D2936" w:rsidRDefault="003D2936"/>
    <w:p w:rsidR="003D2936" w:rsidRDefault="003D2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Pr="007448F7" w:rsidRDefault="003D2936" w:rsidP="003D2936">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D7EBB">
            <w:rPr>
              <w:rStyle w:val="PageNumber"/>
              <w:caps w:val="0"/>
              <w:noProof/>
            </w:rPr>
            <w:t>iv</w:t>
          </w:r>
          <w:r w:rsidRPr="007448F7">
            <w:rPr>
              <w:rStyle w:val="PageNumber"/>
              <w:caps w:val="0"/>
            </w:rPr>
            <w:fldChar w:fldCharType="end"/>
          </w:r>
        </w:p>
      </w:tc>
      <w:tc>
        <w:tcPr>
          <w:tcW w:w="7767" w:type="dxa"/>
        </w:tcPr>
        <w:p w:rsidR="003D2936" w:rsidRPr="0013739A" w:rsidRDefault="003D2936"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D7EBB">
            <w:rPr>
              <w:rFonts w:cs="Arial"/>
            </w:rPr>
            <w:t>Intellectual Property Arrangements - Overview Preliminaries</w:t>
          </w:r>
          <w:r w:rsidRPr="00BA5B14">
            <w:rPr>
              <w:rFonts w:cs="Arial"/>
            </w:rPr>
            <w:fldChar w:fldCharType="end"/>
          </w:r>
        </w:p>
      </w:tc>
      <w:tc>
        <w:tcPr>
          <w:tcW w:w="510" w:type="dxa"/>
        </w:tcPr>
        <w:p w:rsidR="003D2936" w:rsidRDefault="003D2936" w:rsidP="003D2936">
          <w:pPr>
            <w:pStyle w:val="Footer"/>
          </w:pPr>
        </w:p>
      </w:tc>
    </w:tr>
  </w:tbl>
  <w:p w:rsidR="003D2936" w:rsidRDefault="003D2936" w:rsidP="003D2936">
    <w:pPr>
      <w:pStyle w:val="FooterEnd"/>
    </w:pPr>
  </w:p>
  <w:p w:rsidR="003D2936" w:rsidRDefault="003D293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Default="003D2936">
          <w:pPr>
            <w:pStyle w:val="Footer"/>
            <w:ind w:right="360" w:firstLine="360"/>
          </w:pPr>
        </w:p>
      </w:tc>
      <w:tc>
        <w:tcPr>
          <w:tcW w:w="7767" w:type="dxa"/>
        </w:tcPr>
        <w:p w:rsidR="003D2936" w:rsidRPr="00340511" w:rsidRDefault="009C2947" w:rsidP="00340511">
          <w:pPr>
            <w:pStyle w:val="Footer"/>
            <w:jc w:val="right"/>
            <w:rPr>
              <w:rFonts w:cs="Arial"/>
            </w:rPr>
          </w:pPr>
          <w:r>
            <w:rPr>
              <w:b/>
              <w:bCs/>
              <w:noProof/>
              <w:lang w:val="en-US"/>
            </w:rPr>
            <w:t>contents</w:t>
          </w:r>
        </w:p>
      </w:tc>
      <w:tc>
        <w:tcPr>
          <w:tcW w:w="510" w:type="dxa"/>
        </w:tcPr>
        <w:p w:rsidR="003D2936" w:rsidRPr="00A24443" w:rsidRDefault="003D2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7547">
            <w:rPr>
              <w:rStyle w:val="PageNumber"/>
              <w:caps w:val="0"/>
              <w:noProof/>
            </w:rPr>
            <w:t>iii</w:t>
          </w:r>
          <w:r w:rsidRPr="00A24443">
            <w:rPr>
              <w:rStyle w:val="PageNumber"/>
              <w:caps w:val="0"/>
            </w:rPr>
            <w:fldChar w:fldCharType="end"/>
          </w:r>
        </w:p>
      </w:tc>
    </w:tr>
  </w:tbl>
  <w:p w:rsidR="003D2936" w:rsidRDefault="003D2936">
    <w:pPr>
      <w:pStyle w:val="FooterEnd"/>
    </w:pPr>
  </w:p>
  <w:p w:rsidR="003D2936" w:rsidRDefault="003D2936"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936" w:rsidRDefault="003D2936">
      <w:r>
        <w:separator/>
      </w:r>
    </w:p>
    <w:p w:rsidR="003D2936" w:rsidRDefault="003D2936"/>
    <w:p w:rsidR="003D2936" w:rsidRDefault="003D2936"/>
  </w:footnote>
  <w:footnote w:type="continuationSeparator" w:id="0">
    <w:p w:rsidR="003D2936" w:rsidRDefault="003D2936">
      <w:r>
        <w:continuationSeparator/>
      </w:r>
    </w:p>
    <w:p w:rsidR="003D2936" w:rsidRDefault="003D2936"/>
    <w:p w:rsidR="003D2936" w:rsidRDefault="003D2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2936" w:rsidTr="005C68FE">
      <w:tc>
        <w:tcPr>
          <w:tcW w:w="2155" w:type="dxa"/>
          <w:tcBorders>
            <w:top w:val="single" w:sz="24" w:space="0" w:color="auto"/>
          </w:tcBorders>
        </w:tcPr>
        <w:p w:rsidR="003D2936" w:rsidRDefault="003D2936" w:rsidP="005C68FE">
          <w:pPr>
            <w:pStyle w:val="HeaderEven"/>
          </w:pPr>
        </w:p>
      </w:tc>
      <w:tc>
        <w:tcPr>
          <w:tcW w:w="6634" w:type="dxa"/>
          <w:tcBorders>
            <w:top w:val="single" w:sz="6" w:space="0" w:color="auto"/>
          </w:tcBorders>
        </w:tcPr>
        <w:p w:rsidR="003D2936" w:rsidRDefault="003D2936" w:rsidP="005C68FE">
          <w:pPr>
            <w:pStyle w:val="HeaderEven"/>
          </w:pPr>
        </w:p>
      </w:tc>
    </w:tr>
  </w:tbl>
  <w:p w:rsidR="003D2936" w:rsidRDefault="003D2936"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936">
      <w:tc>
        <w:tcPr>
          <w:tcW w:w="6634" w:type="dxa"/>
          <w:tcBorders>
            <w:top w:val="single" w:sz="6" w:space="0" w:color="auto"/>
          </w:tcBorders>
        </w:tcPr>
        <w:p w:rsidR="003D2936" w:rsidRDefault="003D2936">
          <w:pPr>
            <w:pStyle w:val="HeaderOdd"/>
          </w:pPr>
        </w:p>
      </w:tc>
      <w:tc>
        <w:tcPr>
          <w:tcW w:w="2155" w:type="dxa"/>
          <w:tcBorders>
            <w:top w:val="single" w:sz="24" w:space="0" w:color="auto"/>
          </w:tcBorders>
        </w:tcPr>
        <w:p w:rsidR="003D2936" w:rsidRDefault="003D2936">
          <w:pPr>
            <w:pStyle w:val="HeaderOdd"/>
          </w:pPr>
        </w:p>
      </w:tc>
    </w:tr>
  </w:tbl>
  <w:p w:rsidR="003D2936" w:rsidRDefault="003D2936"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81A"/>
    <w:rsid w:val="00017AFC"/>
    <w:rsid w:val="00025878"/>
    <w:rsid w:val="00026B38"/>
    <w:rsid w:val="000502D3"/>
    <w:rsid w:val="00052CB2"/>
    <w:rsid w:val="000623BF"/>
    <w:rsid w:val="000779EB"/>
    <w:rsid w:val="00095EEA"/>
    <w:rsid w:val="00097C15"/>
    <w:rsid w:val="000A0A0E"/>
    <w:rsid w:val="000A210F"/>
    <w:rsid w:val="000A5E12"/>
    <w:rsid w:val="000B416E"/>
    <w:rsid w:val="000B78B0"/>
    <w:rsid w:val="000F185F"/>
    <w:rsid w:val="000F2F5F"/>
    <w:rsid w:val="00106041"/>
    <w:rsid w:val="0010611E"/>
    <w:rsid w:val="00122FE9"/>
    <w:rsid w:val="00131572"/>
    <w:rsid w:val="00131D4F"/>
    <w:rsid w:val="0013399B"/>
    <w:rsid w:val="00180515"/>
    <w:rsid w:val="001809D4"/>
    <w:rsid w:val="00181F4B"/>
    <w:rsid w:val="00190919"/>
    <w:rsid w:val="00196FB3"/>
    <w:rsid w:val="001A5071"/>
    <w:rsid w:val="001B4E73"/>
    <w:rsid w:val="001B7F1E"/>
    <w:rsid w:val="001D4B1F"/>
    <w:rsid w:val="001D6629"/>
    <w:rsid w:val="001D7EBB"/>
    <w:rsid w:val="001E3390"/>
    <w:rsid w:val="001F1BD3"/>
    <w:rsid w:val="001F2270"/>
    <w:rsid w:val="001F237B"/>
    <w:rsid w:val="00203B40"/>
    <w:rsid w:val="00205A82"/>
    <w:rsid w:val="00211BEE"/>
    <w:rsid w:val="00216E4F"/>
    <w:rsid w:val="002179C6"/>
    <w:rsid w:val="00261607"/>
    <w:rsid w:val="00263DD1"/>
    <w:rsid w:val="00264D3B"/>
    <w:rsid w:val="00265685"/>
    <w:rsid w:val="00271B0C"/>
    <w:rsid w:val="00281D5F"/>
    <w:rsid w:val="002923AD"/>
    <w:rsid w:val="00296592"/>
    <w:rsid w:val="002A0A4B"/>
    <w:rsid w:val="002A499E"/>
    <w:rsid w:val="002A7073"/>
    <w:rsid w:val="002B636E"/>
    <w:rsid w:val="002B64D6"/>
    <w:rsid w:val="002C12F5"/>
    <w:rsid w:val="002D6FCE"/>
    <w:rsid w:val="00307878"/>
    <w:rsid w:val="00340511"/>
    <w:rsid w:val="00340D24"/>
    <w:rsid w:val="00376F05"/>
    <w:rsid w:val="0038647D"/>
    <w:rsid w:val="00387778"/>
    <w:rsid w:val="00393A49"/>
    <w:rsid w:val="003B41E0"/>
    <w:rsid w:val="003C3D73"/>
    <w:rsid w:val="003D2936"/>
    <w:rsid w:val="003D624D"/>
    <w:rsid w:val="003E7802"/>
    <w:rsid w:val="0042007A"/>
    <w:rsid w:val="00433C81"/>
    <w:rsid w:val="00443B7D"/>
    <w:rsid w:val="00446D6B"/>
    <w:rsid w:val="004479A5"/>
    <w:rsid w:val="00457B3F"/>
    <w:rsid w:val="00463022"/>
    <w:rsid w:val="00481CF0"/>
    <w:rsid w:val="004A3E6B"/>
    <w:rsid w:val="004B492A"/>
    <w:rsid w:val="004C0B0C"/>
    <w:rsid w:val="004C4078"/>
    <w:rsid w:val="004D3F58"/>
    <w:rsid w:val="004E161B"/>
    <w:rsid w:val="004E52E2"/>
    <w:rsid w:val="004E6BB4"/>
    <w:rsid w:val="004E7D3C"/>
    <w:rsid w:val="0051081A"/>
    <w:rsid w:val="00515D43"/>
    <w:rsid w:val="0052544D"/>
    <w:rsid w:val="00526B19"/>
    <w:rsid w:val="00551FB8"/>
    <w:rsid w:val="005537F6"/>
    <w:rsid w:val="00560F43"/>
    <w:rsid w:val="005654D0"/>
    <w:rsid w:val="00585B3F"/>
    <w:rsid w:val="005B17AB"/>
    <w:rsid w:val="005C68FE"/>
    <w:rsid w:val="005F24B3"/>
    <w:rsid w:val="005F7D30"/>
    <w:rsid w:val="00602523"/>
    <w:rsid w:val="006040CB"/>
    <w:rsid w:val="00604351"/>
    <w:rsid w:val="00607C0D"/>
    <w:rsid w:val="00607D8A"/>
    <w:rsid w:val="0061590F"/>
    <w:rsid w:val="00636497"/>
    <w:rsid w:val="00641AE2"/>
    <w:rsid w:val="0064456A"/>
    <w:rsid w:val="00650DDA"/>
    <w:rsid w:val="0065126A"/>
    <w:rsid w:val="00653FA6"/>
    <w:rsid w:val="0067557D"/>
    <w:rsid w:val="00677801"/>
    <w:rsid w:val="006802D4"/>
    <w:rsid w:val="00683849"/>
    <w:rsid w:val="00691AB5"/>
    <w:rsid w:val="006D1530"/>
    <w:rsid w:val="006E1E6B"/>
    <w:rsid w:val="006E6AB7"/>
    <w:rsid w:val="006F0EAC"/>
    <w:rsid w:val="006F47D2"/>
    <w:rsid w:val="006F6A85"/>
    <w:rsid w:val="0070328D"/>
    <w:rsid w:val="00723653"/>
    <w:rsid w:val="00731F96"/>
    <w:rsid w:val="00734127"/>
    <w:rsid w:val="00735FEA"/>
    <w:rsid w:val="00743460"/>
    <w:rsid w:val="00743A27"/>
    <w:rsid w:val="007448F7"/>
    <w:rsid w:val="00753DC6"/>
    <w:rsid w:val="0075578C"/>
    <w:rsid w:val="00766DFB"/>
    <w:rsid w:val="00767BA0"/>
    <w:rsid w:val="007734B5"/>
    <w:rsid w:val="00775FA7"/>
    <w:rsid w:val="007809B8"/>
    <w:rsid w:val="007813A6"/>
    <w:rsid w:val="007A6998"/>
    <w:rsid w:val="00805FD7"/>
    <w:rsid w:val="00806E54"/>
    <w:rsid w:val="008070B4"/>
    <w:rsid w:val="008206EE"/>
    <w:rsid w:val="008214B1"/>
    <w:rsid w:val="008273A9"/>
    <w:rsid w:val="00836ED7"/>
    <w:rsid w:val="0084355E"/>
    <w:rsid w:val="008453AC"/>
    <w:rsid w:val="00860D09"/>
    <w:rsid w:val="00862044"/>
    <w:rsid w:val="00870021"/>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7291"/>
    <w:rsid w:val="0098401D"/>
    <w:rsid w:val="009A789F"/>
    <w:rsid w:val="009B12EF"/>
    <w:rsid w:val="009B48F7"/>
    <w:rsid w:val="009B6185"/>
    <w:rsid w:val="009C2947"/>
    <w:rsid w:val="009C6C6D"/>
    <w:rsid w:val="009E1E78"/>
    <w:rsid w:val="00A1597D"/>
    <w:rsid w:val="00A17547"/>
    <w:rsid w:val="00A46989"/>
    <w:rsid w:val="00A469AA"/>
    <w:rsid w:val="00A51209"/>
    <w:rsid w:val="00A653F1"/>
    <w:rsid w:val="00A71CE9"/>
    <w:rsid w:val="00A72A19"/>
    <w:rsid w:val="00A75A30"/>
    <w:rsid w:val="00A93C82"/>
    <w:rsid w:val="00AB2A48"/>
    <w:rsid w:val="00AC0D20"/>
    <w:rsid w:val="00AC3236"/>
    <w:rsid w:val="00AD4874"/>
    <w:rsid w:val="00AE1F8A"/>
    <w:rsid w:val="00B036B2"/>
    <w:rsid w:val="00B04D19"/>
    <w:rsid w:val="00B153C3"/>
    <w:rsid w:val="00B22087"/>
    <w:rsid w:val="00B32F12"/>
    <w:rsid w:val="00B409A7"/>
    <w:rsid w:val="00B722F2"/>
    <w:rsid w:val="00B80355"/>
    <w:rsid w:val="00B90958"/>
    <w:rsid w:val="00B95339"/>
    <w:rsid w:val="00BA0B81"/>
    <w:rsid w:val="00BA311E"/>
    <w:rsid w:val="00BB334E"/>
    <w:rsid w:val="00BB5DCF"/>
    <w:rsid w:val="00BC2476"/>
    <w:rsid w:val="00BF59DE"/>
    <w:rsid w:val="00BF59EA"/>
    <w:rsid w:val="00BF79CD"/>
    <w:rsid w:val="00C058AB"/>
    <w:rsid w:val="00C0721B"/>
    <w:rsid w:val="00C34C8C"/>
    <w:rsid w:val="00C419CE"/>
    <w:rsid w:val="00C47E21"/>
    <w:rsid w:val="00C50792"/>
    <w:rsid w:val="00C51371"/>
    <w:rsid w:val="00C55A45"/>
    <w:rsid w:val="00C56974"/>
    <w:rsid w:val="00C670DE"/>
    <w:rsid w:val="00C83C7F"/>
    <w:rsid w:val="00C904D9"/>
    <w:rsid w:val="00C94C06"/>
    <w:rsid w:val="00CA1D79"/>
    <w:rsid w:val="00CA48BF"/>
    <w:rsid w:val="00CA5A29"/>
    <w:rsid w:val="00CB3ACC"/>
    <w:rsid w:val="00CB4745"/>
    <w:rsid w:val="00CD2163"/>
    <w:rsid w:val="00CD4FE7"/>
    <w:rsid w:val="00CD5E6B"/>
    <w:rsid w:val="00CE3B73"/>
    <w:rsid w:val="00CE4FBC"/>
    <w:rsid w:val="00CE5D96"/>
    <w:rsid w:val="00CE7344"/>
    <w:rsid w:val="00CF26EE"/>
    <w:rsid w:val="00D310F0"/>
    <w:rsid w:val="00D37AC2"/>
    <w:rsid w:val="00D4283C"/>
    <w:rsid w:val="00D45013"/>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53044"/>
    <w:rsid w:val="00E64867"/>
    <w:rsid w:val="00E6632E"/>
    <w:rsid w:val="00E72BAB"/>
    <w:rsid w:val="00E748D9"/>
    <w:rsid w:val="00E90B4B"/>
    <w:rsid w:val="00E90CF2"/>
    <w:rsid w:val="00EC38C1"/>
    <w:rsid w:val="00EC628B"/>
    <w:rsid w:val="00ED0F61"/>
    <w:rsid w:val="00EE3F6D"/>
    <w:rsid w:val="00EE73E1"/>
    <w:rsid w:val="00F12107"/>
    <w:rsid w:val="00F13165"/>
    <w:rsid w:val="00F13263"/>
    <w:rsid w:val="00F4234E"/>
    <w:rsid w:val="00F4491A"/>
    <w:rsid w:val="00F61429"/>
    <w:rsid w:val="00F7477E"/>
    <w:rsid w:val="00F85393"/>
    <w:rsid w:val="00FA4A24"/>
    <w:rsid w:val="00FC41B4"/>
    <w:rsid w:val="00FC5A6B"/>
    <w:rsid w:val="00FD06C0"/>
    <w:rsid w:val="00FD4728"/>
    <w:rsid w:val="00FD741A"/>
    <w:rsid w:val="00FE69D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0B4B"/>
    <w:pPr>
      <w:spacing w:before="480"/>
    </w:pPr>
    <w:rPr>
      <w:noProof/>
      <w:sz w:val="24"/>
      <w:lang w:eastAsia="en-AU"/>
    </w:rPr>
  </w:style>
  <w:style w:type="character" w:customStyle="1" w:styleId="SalutationChar">
    <w:name w:val="Salutation Char"/>
    <w:basedOn w:val="DefaultParagraphFont"/>
    <w:link w:val="Salutation"/>
    <w:rsid w:val="00E90B4B"/>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08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081A"/>
    <w:rPr>
      <w:kern w:val="28"/>
      <w:sz w:val="52"/>
      <w:lang w:eastAsia="en-US"/>
    </w:rPr>
  </w:style>
  <w:style w:type="paragraph" w:styleId="CommentSubject">
    <w:name w:val="annotation subject"/>
    <w:basedOn w:val="CommentText"/>
    <w:next w:val="CommentText"/>
    <w:link w:val="CommentSubjectChar"/>
    <w:rsid w:val="00A51209"/>
    <w:pPr>
      <w:spacing w:before="0" w:line="240" w:lineRule="auto"/>
      <w:ind w:left="0" w:firstLine="0"/>
    </w:pPr>
    <w:rPr>
      <w:b/>
      <w:bCs/>
    </w:rPr>
  </w:style>
  <w:style w:type="character" w:customStyle="1" w:styleId="CommentTextChar">
    <w:name w:val="Comment Text Char"/>
    <w:basedOn w:val="DefaultParagraphFont"/>
    <w:link w:val="CommentText"/>
    <w:semiHidden/>
    <w:rsid w:val="00A51209"/>
    <w:rPr>
      <w:lang w:eastAsia="en-US"/>
    </w:rPr>
  </w:style>
  <w:style w:type="character" w:customStyle="1" w:styleId="CommentSubjectChar">
    <w:name w:val="Comment Subject Char"/>
    <w:basedOn w:val="CommentTextChar"/>
    <w:link w:val="CommentSubject"/>
    <w:rsid w:val="00A51209"/>
    <w:rPr>
      <w:b/>
      <w:bCs/>
      <w:lang w:eastAsia="en-US"/>
    </w:rPr>
  </w:style>
  <w:style w:type="character" w:customStyle="1" w:styleId="Heading2Char">
    <w:name w:val="Heading 2 Char"/>
    <w:basedOn w:val="DefaultParagraphFont"/>
    <w:link w:val="Heading2"/>
    <w:rsid w:val="009C2947"/>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0B4B"/>
    <w:pPr>
      <w:spacing w:before="480"/>
    </w:pPr>
    <w:rPr>
      <w:noProof/>
      <w:sz w:val="24"/>
      <w:lang w:eastAsia="en-AU"/>
    </w:rPr>
  </w:style>
  <w:style w:type="character" w:customStyle="1" w:styleId="SalutationChar">
    <w:name w:val="Salutation Char"/>
    <w:basedOn w:val="DefaultParagraphFont"/>
    <w:link w:val="Salutation"/>
    <w:rsid w:val="00E90B4B"/>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08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081A"/>
    <w:rPr>
      <w:kern w:val="28"/>
      <w:sz w:val="52"/>
      <w:lang w:eastAsia="en-US"/>
    </w:rPr>
  </w:style>
  <w:style w:type="paragraph" w:styleId="CommentSubject">
    <w:name w:val="annotation subject"/>
    <w:basedOn w:val="CommentText"/>
    <w:next w:val="CommentText"/>
    <w:link w:val="CommentSubjectChar"/>
    <w:rsid w:val="00A51209"/>
    <w:pPr>
      <w:spacing w:before="0" w:line="240" w:lineRule="auto"/>
      <w:ind w:left="0" w:firstLine="0"/>
    </w:pPr>
    <w:rPr>
      <w:b/>
      <w:bCs/>
    </w:rPr>
  </w:style>
  <w:style w:type="character" w:customStyle="1" w:styleId="CommentTextChar">
    <w:name w:val="Comment Text Char"/>
    <w:basedOn w:val="DefaultParagraphFont"/>
    <w:link w:val="CommentText"/>
    <w:semiHidden/>
    <w:rsid w:val="00A51209"/>
    <w:rPr>
      <w:lang w:eastAsia="en-US"/>
    </w:rPr>
  </w:style>
  <w:style w:type="character" w:customStyle="1" w:styleId="CommentSubjectChar">
    <w:name w:val="Comment Subject Char"/>
    <w:basedOn w:val="CommentTextChar"/>
    <w:link w:val="CommentSubject"/>
    <w:rsid w:val="00A51209"/>
    <w:rPr>
      <w:b/>
      <w:bCs/>
      <w:lang w:eastAsia="en-US"/>
    </w:rPr>
  </w:style>
  <w:style w:type="character" w:customStyle="1" w:styleId="Heading2Char">
    <w:name w:val="Heading 2 Char"/>
    <w:basedOn w:val="DefaultParagraphFont"/>
    <w:link w:val="Heading2"/>
    <w:rsid w:val="009C2947"/>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gov.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2C82FE6-A73F-43E2-8237-965BA2D3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50</TotalTime>
  <Pages>3</Pages>
  <Words>410</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Intellectual Property Arrangements - Overview Preliminaries</vt:lpstr>
    </vt:vector>
  </TitlesOfParts>
  <Company>Productivity Commission</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Intellectual Property Arrangements - Overview Preliminaries</dc:title>
  <dc:creator>Productivity Commission</dc:creator>
  <cp:lastModifiedBy>Productivity Commission</cp:lastModifiedBy>
  <cp:revision>6</cp:revision>
  <cp:lastPrinted>2016-10-03T13:02:00Z</cp:lastPrinted>
  <dcterms:created xsi:type="dcterms:W3CDTF">2016-11-23T01:12:00Z</dcterms:created>
  <dcterms:modified xsi:type="dcterms:W3CDTF">2016-11-24T01:20:00Z</dcterms:modified>
</cp:coreProperties>
</file>