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4EE" w:rsidRDefault="00F004EE">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F004EE">
        <w:tc>
          <w:tcPr>
            <w:tcW w:w="6634" w:type="dxa"/>
            <w:tcBorders>
              <w:top w:val="single" w:sz="6" w:space="0" w:color="auto"/>
            </w:tcBorders>
          </w:tcPr>
          <w:p w:rsidR="00F004EE" w:rsidRDefault="00F004EE">
            <w:pPr>
              <w:pStyle w:val="PartDivider"/>
            </w:pPr>
          </w:p>
        </w:tc>
        <w:tc>
          <w:tcPr>
            <w:tcW w:w="2155" w:type="dxa"/>
            <w:tcBorders>
              <w:top w:val="single" w:sz="24" w:space="0" w:color="auto"/>
            </w:tcBorders>
          </w:tcPr>
          <w:p w:rsidR="00F004EE" w:rsidRDefault="00F004EE">
            <w:pPr>
              <w:pStyle w:val="PartDivider"/>
            </w:pPr>
          </w:p>
        </w:tc>
      </w:tr>
    </w:tbl>
    <w:p w:rsidR="00F004EE" w:rsidRDefault="00F004EE">
      <w:pPr>
        <w:pStyle w:val="PartDivider"/>
      </w:pPr>
    </w:p>
    <w:p w:rsidR="00F004EE" w:rsidRDefault="00F004EE">
      <w:pPr>
        <w:pStyle w:val="PartTitle"/>
      </w:pPr>
      <w:r>
        <w:t>Overview</w:t>
      </w:r>
    </w:p>
    <w:p w:rsidR="00F004EE" w:rsidRDefault="00F004EE">
      <w:pPr>
        <w:rPr>
          <w:sz w:val="52"/>
          <w:szCs w:val="20"/>
        </w:rPr>
      </w:pPr>
      <w:r>
        <w:br w:type="page"/>
      </w:r>
    </w:p>
    <w:p w:rsidR="00F004EE" w:rsidRPr="009E1398" w:rsidRDefault="00F004EE">
      <w:pPr>
        <w:rPr>
          <w:vanish/>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F004EE" w:rsidTr="0034446A">
        <w:tc>
          <w:tcPr>
            <w:tcW w:w="8789" w:type="dxa"/>
            <w:tcBorders>
              <w:top w:val="single" w:sz="4" w:space="0" w:color="78A22F" w:themeColor="accent1"/>
              <w:left w:val="nil"/>
              <w:bottom w:val="nil"/>
              <w:right w:val="nil"/>
            </w:tcBorders>
            <w:shd w:val="clear" w:color="auto" w:fill="E5F1D0"/>
          </w:tcPr>
          <w:p w:rsidR="00F004EE" w:rsidRDefault="00F004EE">
            <w:pPr>
              <w:pStyle w:val="BoxTitle"/>
            </w:pPr>
            <w:r>
              <w:t>Key points</w:t>
            </w:r>
          </w:p>
        </w:tc>
      </w:tr>
      <w:tr w:rsidR="006F3267" w:rsidTr="0034446A">
        <w:tc>
          <w:tcPr>
            <w:tcW w:w="8789" w:type="dxa"/>
            <w:tcBorders>
              <w:top w:val="nil"/>
              <w:left w:val="nil"/>
              <w:bottom w:val="nil"/>
              <w:right w:val="nil"/>
            </w:tcBorders>
            <w:shd w:val="clear" w:color="auto" w:fill="E5F1D0"/>
          </w:tcPr>
          <w:p w:rsidR="006F3267" w:rsidRDefault="006F3267" w:rsidP="0034446A">
            <w:pPr>
              <w:pStyle w:val="KeyPointsListBullet"/>
            </w:pPr>
            <w:r>
              <w:t xml:space="preserve">Australia’s </w:t>
            </w:r>
            <w:r w:rsidR="00535D38">
              <w:t>intellectual property (</w:t>
            </w:r>
            <w:r>
              <w:t>IP</w:t>
            </w:r>
            <w:r w:rsidR="00535D38">
              <w:t>)</w:t>
            </w:r>
            <w:r>
              <w:t xml:space="preserve"> arrangements fall short in many ways and improvement is needed across the spectrum of IP rights.</w:t>
            </w:r>
          </w:p>
          <w:p w:rsidR="006F3267" w:rsidRPr="001649AD" w:rsidRDefault="006F3267" w:rsidP="0034446A">
            <w:pPr>
              <w:pStyle w:val="KeyPointsListBullet"/>
            </w:pPr>
            <w:r w:rsidRPr="001649AD">
              <w:t>IP arrangements need to ensure that creators and inventors are rewarded for their efforts, but in doing so they must:</w:t>
            </w:r>
          </w:p>
          <w:p w:rsidR="006F3267" w:rsidRDefault="006F3267" w:rsidP="0034446A">
            <w:pPr>
              <w:pStyle w:val="KeyPointsListBullet2"/>
            </w:pPr>
            <w:r>
              <w:t xml:space="preserve">foster creative endeavour and investment in IP that would not otherwise occur </w:t>
            </w:r>
          </w:p>
          <w:p w:rsidR="006F3267" w:rsidRDefault="006F3267" w:rsidP="0034446A">
            <w:pPr>
              <w:pStyle w:val="KeyPointsListBullet2"/>
            </w:pPr>
            <w:r>
              <w:t xml:space="preserve">only provide the incentive needed to induce that additional investment or endeavour </w:t>
            </w:r>
          </w:p>
          <w:p w:rsidR="006F3267" w:rsidRDefault="006F3267" w:rsidP="0034446A">
            <w:pPr>
              <w:pStyle w:val="KeyPointsListBullet2"/>
            </w:pPr>
            <w:r>
              <w:t>resist impeding follow–on innovation, competition and access to goods and services.</w:t>
            </w:r>
          </w:p>
          <w:p w:rsidR="006F3267" w:rsidRDefault="006F3267" w:rsidP="0034446A">
            <w:pPr>
              <w:pStyle w:val="KeyPointsListBullet"/>
            </w:pPr>
            <w:r>
              <w:t>Australia’s patent system grants exclusivity too readily, allowing a proliferation of low</w:t>
            </w:r>
            <w:r>
              <w:noBreakHyphen/>
              <w:t xml:space="preserve">quality patents, frustrating follow–on innovators and stymieing competition. </w:t>
            </w:r>
          </w:p>
          <w:p w:rsidR="006F3267" w:rsidRDefault="006F3267" w:rsidP="0034446A">
            <w:pPr>
              <w:pStyle w:val="KeyPointsListBullet2"/>
            </w:pPr>
            <w:r>
              <w:t xml:space="preserve">To raise patent quality, the Australian Government should increase the degree of invention required to receive a patent, abolish the failed innovation patent, reconfigure costly extensions of term for pharmaceutical patents, and better structure patent fees. </w:t>
            </w:r>
          </w:p>
          <w:p w:rsidR="006F3267" w:rsidRDefault="006F3267" w:rsidP="0034446A">
            <w:pPr>
              <w:pStyle w:val="KeyPointsListBullet"/>
            </w:pPr>
            <w:r>
              <w:t xml:space="preserve">Copyright is broader in scope and longer in duration than needed — innovative firms, universities and schools, and consumers bear the cost. </w:t>
            </w:r>
          </w:p>
          <w:p w:rsidR="006F3267" w:rsidRDefault="006F3267" w:rsidP="0034446A">
            <w:pPr>
              <w:pStyle w:val="KeyPointsListBullet2"/>
            </w:pPr>
            <w:r>
              <w:t>Introducing a system of user rights, including the (well-established) principles–based fair use exception, would go some way to redress this imbalance.</w:t>
            </w:r>
          </w:p>
          <w:p w:rsidR="006F3267" w:rsidRDefault="006F3267" w:rsidP="0034446A">
            <w:pPr>
              <w:pStyle w:val="KeyPointsListBullet"/>
            </w:pPr>
            <w:r>
              <w:t>T</w:t>
            </w:r>
            <w:r w:rsidRPr="00275246">
              <w:t xml:space="preserve">imely and cost effective access to copyright </w:t>
            </w:r>
            <w:r>
              <w:t xml:space="preserve">content </w:t>
            </w:r>
            <w:r w:rsidRPr="00275246">
              <w:t>is the best way to reduce infringeme</w:t>
            </w:r>
            <w:r>
              <w:t>nt. The Australian Government should make it</w:t>
            </w:r>
            <w:r w:rsidRPr="00275246">
              <w:t xml:space="preserve"> easier for users to access legitimate content</w:t>
            </w:r>
            <w:r>
              <w:t xml:space="preserve"> by:</w:t>
            </w:r>
          </w:p>
          <w:p w:rsidR="006F3267" w:rsidRDefault="006F3267" w:rsidP="0034446A">
            <w:pPr>
              <w:pStyle w:val="KeyPointsListBullet2"/>
            </w:pPr>
            <w:r>
              <w:t xml:space="preserve">clarifying the law on </w:t>
            </w:r>
            <w:proofErr w:type="spellStart"/>
            <w:r>
              <w:t>geoblocking</w:t>
            </w:r>
            <w:proofErr w:type="spellEnd"/>
            <w:r>
              <w:t xml:space="preserve"> </w:t>
            </w:r>
          </w:p>
          <w:p w:rsidR="006F3267" w:rsidRDefault="006F3267" w:rsidP="0034446A">
            <w:pPr>
              <w:pStyle w:val="KeyPointsListBullet2"/>
            </w:pPr>
            <w:r>
              <w:t>repealing parallel import restrictions on books</w:t>
            </w:r>
            <w:r w:rsidRPr="00275246">
              <w:t>.</w:t>
            </w:r>
            <w:r>
              <w:t xml:space="preserve"> New analysis reveals that Australian readers still pay more than those in the UK for a significant share of books. </w:t>
            </w:r>
          </w:p>
          <w:p w:rsidR="006F3267" w:rsidRDefault="006F3267" w:rsidP="006F3267">
            <w:pPr>
              <w:pStyle w:val="BoxListBullet"/>
            </w:pPr>
            <w:r>
              <w:t>Commercial transactions involving IP rights should be subject to competition law. The current exemption under the Competition and Consumer Act is based on outdated views and should be repealed.</w:t>
            </w:r>
          </w:p>
          <w:p w:rsidR="006F3267" w:rsidRDefault="006F3267" w:rsidP="0034446A">
            <w:pPr>
              <w:pStyle w:val="KeyPointsListBullet"/>
            </w:pPr>
            <w:r>
              <w:t>While Australia’s enforcement system works relatively well, reform is needed to improve access, especially for small– and medium–sized enterprises.</w:t>
            </w:r>
          </w:p>
          <w:p w:rsidR="006F3267" w:rsidRDefault="006F3267" w:rsidP="0034446A">
            <w:pPr>
              <w:pStyle w:val="KeyPointsListBullet2"/>
            </w:pPr>
            <w:r>
              <w:t xml:space="preserve">Introducing (and resourcing) a specialist IP list within the Federal Circuit Court (akin to the UK model) would provide a timely and low cost option for resolving IP disputes. </w:t>
            </w:r>
          </w:p>
          <w:p w:rsidR="006F3267" w:rsidRDefault="006F3267" w:rsidP="0034446A">
            <w:pPr>
              <w:pStyle w:val="KeyPointsListBullet"/>
            </w:pPr>
            <w:r>
              <w:t>The absence</w:t>
            </w:r>
            <w:r w:rsidRPr="00275246">
              <w:t xml:space="preserve"> of an overarching objective</w:t>
            </w:r>
            <w:r>
              <w:t>, policy</w:t>
            </w:r>
            <w:r w:rsidRPr="00275246">
              <w:t xml:space="preserve"> framework</w:t>
            </w:r>
            <w:r>
              <w:t xml:space="preserve"> and reform champion has contributed to </w:t>
            </w:r>
            <w:r w:rsidRPr="00275246">
              <w:t xml:space="preserve">Australia </w:t>
            </w:r>
            <w:r>
              <w:t>losing</w:t>
            </w:r>
            <w:r w:rsidRPr="00275246">
              <w:t xml:space="preserve"> its </w:t>
            </w:r>
            <w:r>
              <w:t xml:space="preserve">way on </w:t>
            </w:r>
            <w:r w:rsidRPr="00275246">
              <w:t>IP policy</w:t>
            </w:r>
            <w:r>
              <w:t>.</w:t>
            </w:r>
            <w:r w:rsidRPr="00275246">
              <w:t xml:space="preserve"> </w:t>
            </w:r>
          </w:p>
          <w:p w:rsidR="006F3267" w:rsidRDefault="006F3267" w:rsidP="0034446A">
            <w:pPr>
              <w:pStyle w:val="KeyPointsListBullet2"/>
            </w:pPr>
            <w:r>
              <w:t>Better</w:t>
            </w:r>
            <w:r w:rsidRPr="00275246">
              <w:t xml:space="preserve"> governance arrangements </w:t>
            </w:r>
            <w:r>
              <w:t xml:space="preserve">are needed for </w:t>
            </w:r>
            <w:r w:rsidRPr="00275246">
              <w:t xml:space="preserve">a </w:t>
            </w:r>
            <w:r>
              <w:t xml:space="preserve">more </w:t>
            </w:r>
            <w:r w:rsidRPr="00275246">
              <w:t xml:space="preserve">coherent and </w:t>
            </w:r>
            <w:r>
              <w:t xml:space="preserve">balanced </w:t>
            </w:r>
            <w:r w:rsidRPr="00275246">
              <w:t xml:space="preserve">approach to </w:t>
            </w:r>
            <w:r>
              <w:t>IP </w:t>
            </w:r>
            <w:r w:rsidRPr="00275246">
              <w:t>policy development and implementation</w:t>
            </w:r>
            <w:r>
              <w:t>.</w:t>
            </w:r>
          </w:p>
          <w:p w:rsidR="006F3267" w:rsidRDefault="006F3267" w:rsidP="0034446A">
            <w:pPr>
              <w:pStyle w:val="KeyPointsListBullet"/>
            </w:pPr>
            <w:r>
              <w:t>International commitments</w:t>
            </w:r>
            <w:r w:rsidRPr="00275246">
              <w:t xml:space="preserve"> substantially constrain </w:t>
            </w:r>
            <w:r>
              <w:t>Australia’s IP</w:t>
            </w:r>
            <w:r w:rsidRPr="00275246">
              <w:t xml:space="preserve"> policy flexibility.</w:t>
            </w:r>
          </w:p>
          <w:p w:rsidR="006F3267" w:rsidRDefault="006F3267" w:rsidP="0034446A">
            <w:pPr>
              <w:pStyle w:val="KeyPointsListBullet2"/>
            </w:pPr>
            <w:r w:rsidRPr="00275246">
              <w:t xml:space="preserve">The Australian Government should focus its international IP engagement on reducing transaction costs for parties </w:t>
            </w:r>
            <w:r>
              <w:t xml:space="preserve">using </w:t>
            </w:r>
            <w:r w:rsidRPr="00275246">
              <w:t>IP rights in multiple jurisdictions</w:t>
            </w:r>
            <w:r>
              <w:t xml:space="preserve"> and</w:t>
            </w:r>
            <w:r w:rsidRPr="00275246">
              <w:t xml:space="preserve"> encouraging more balanced policy arrangements for patents and copyright</w:t>
            </w:r>
            <w:r>
              <w:t>.</w:t>
            </w:r>
            <w:r w:rsidRPr="00275246">
              <w:t xml:space="preserve"> </w:t>
            </w:r>
          </w:p>
          <w:p w:rsidR="006F3267" w:rsidRDefault="006F3267" w:rsidP="0034446A">
            <w:pPr>
              <w:pStyle w:val="KeyPointsListBullet2"/>
            </w:pPr>
            <w:r w:rsidRPr="001E6A19">
              <w:t>A</w:t>
            </w:r>
            <w:r>
              <w:t>n overdue</w:t>
            </w:r>
            <w:r w:rsidRPr="001E6A19">
              <w:t xml:space="preserve"> review of TRIPS by the WTO would </w:t>
            </w:r>
            <w:r>
              <w:t>be a helpful first step</w:t>
            </w:r>
            <w:r w:rsidRPr="001E6A19">
              <w:t>.</w:t>
            </w:r>
          </w:p>
          <w:p w:rsidR="006F3267" w:rsidRDefault="006F3267" w:rsidP="0034446A">
            <w:pPr>
              <w:pStyle w:val="KeyPointsListBullet"/>
            </w:pPr>
            <w:r w:rsidRPr="007D3595">
              <w:t xml:space="preserve">Reform efforts have </w:t>
            </w:r>
            <w:r>
              <w:t xml:space="preserve">more often than not </w:t>
            </w:r>
            <w:r w:rsidRPr="007D3595">
              <w:t>succumbed to misinformation and scare campaigns.</w:t>
            </w:r>
            <w:r>
              <w:t xml:space="preserve"> Steel</w:t>
            </w:r>
            <w:r w:rsidRPr="007D3595">
              <w:t xml:space="preserve">y resolve </w:t>
            </w:r>
            <w:r>
              <w:t>will be needed to</w:t>
            </w:r>
            <w:r w:rsidRPr="007D3595">
              <w:t xml:space="preserve"> </w:t>
            </w:r>
            <w:r>
              <w:t>pursue better balanced IP arrangements</w:t>
            </w:r>
            <w:r w:rsidRPr="007D3595">
              <w:t>.</w:t>
            </w:r>
          </w:p>
        </w:tc>
      </w:tr>
      <w:tr w:rsidR="00F004EE" w:rsidTr="0034446A">
        <w:tc>
          <w:tcPr>
            <w:tcW w:w="8789" w:type="dxa"/>
            <w:tcBorders>
              <w:top w:val="nil"/>
              <w:left w:val="nil"/>
              <w:bottom w:val="single" w:sz="4" w:space="0" w:color="78A22F" w:themeColor="accent1"/>
              <w:right w:val="nil"/>
            </w:tcBorders>
            <w:shd w:val="clear" w:color="auto" w:fill="E5F1D0"/>
          </w:tcPr>
          <w:p w:rsidR="00F004EE" w:rsidRDefault="00F004EE">
            <w:pPr>
              <w:pStyle w:val="Box"/>
              <w:spacing w:before="0" w:line="120" w:lineRule="exact"/>
            </w:pPr>
          </w:p>
        </w:tc>
      </w:tr>
      <w:tr w:rsidR="00F004EE" w:rsidTr="0034446A">
        <w:tc>
          <w:tcPr>
            <w:tcW w:w="8789" w:type="dxa"/>
            <w:tcBorders>
              <w:top w:val="single" w:sz="4" w:space="0" w:color="78A22F" w:themeColor="accent1"/>
              <w:left w:val="nil"/>
              <w:bottom w:val="nil"/>
              <w:right w:val="nil"/>
            </w:tcBorders>
          </w:tcPr>
          <w:p w:rsidR="00F004EE" w:rsidRDefault="00F004EE">
            <w:pPr>
              <w:pStyle w:val="Box"/>
              <w:keepNext w:val="0"/>
              <w:spacing w:before="60" w:after="60" w:line="80" w:lineRule="exact"/>
            </w:pPr>
          </w:p>
        </w:tc>
      </w:tr>
    </w:tbl>
    <w:p w:rsidR="00F004EE" w:rsidRPr="00551718" w:rsidRDefault="00F004EE" w:rsidP="0034446A">
      <w:pPr>
        <w:pStyle w:val="Heading1"/>
      </w:pPr>
      <w:r>
        <w:br w:type="page"/>
      </w:r>
      <w:bookmarkStart w:id="2" w:name="ChapterTitle"/>
      <w:bookmarkEnd w:id="1"/>
      <w:r>
        <w:lastRenderedPageBreak/>
        <w:t>Overview</w:t>
      </w:r>
      <w:bookmarkEnd w:id="2"/>
    </w:p>
    <w:p w:rsidR="006F3267" w:rsidRDefault="006F3267" w:rsidP="006F3267">
      <w:pPr>
        <w:pStyle w:val="Heading2"/>
      </w:pPr>
      <w:bookmarkStart w:id="3" w:name="begin"/>
      <w:bookmarkEnd w:id="3"/>
      <w:r>
        <w:rPr>
          <w:noProof/>
        </w:rPr>
        <w:t>1</w:t>
      </w:r>
      <w:r>
        <w:tab/>
        <w:t>The task at hand</w:t>
      </w:r>
    </w:p>
    <w:p w:rsidR="006F3267" w:rsidRDefault="006F3267" w:rsidP="006F3267">
      <w:pPr>
        <w:pStyle w:val="Heading3"/>
      </w:pPr>
      <w:r>
        <w:t xml:space="preserve">Intellectual property arrangements are important </w:t>
      </w:r>
    </w:p>
    <w:p w:rsidR="006F3267" w:rsidRDefault="006F3267" w:rsidP="006F3267">
      <w:pPr>
        <w:pStyle w:val="BodyText"/>
      </w:pPr>
      <w:r>
        <w:t xml:space="preserve">Intellectual property (IP) arrangements offer opportunities to creators of new and valuable knowledge to secure sufficient returns to motivate their initial endeavour or investment. In this respect, they are akin to the property rights that apply to ownership of physical goods. </w:t>
      </w:r>
    </w:p>
    <w:p w:rsidR="006F3267" w:rsidRDefault="006F3267" w:rsidP="006F3267">
      <w:pPr>
        <w:pStyle w:val="BodyText"/>
      </w:pPr>
      <w:r>
        <w:t>But ideas are not like physical goods in other key respects. As observed by Thomas Jefferson more than 200 years ago, the use of an idea by one party does not reduce its capacity for use by another:</w:t>
      </w:r>
    </w:p>
    <w:p w:rsidR="006F3267" w:rsidRDefault="006F3267" w:rsidP="006F3267">
      <w:pPr>
        <w:pStyle w:val="Quote"/>
      </w:pPr>
      <w:r w:rsidRPr="009F692F">
        <w:t>He who receives an idea from me, receives instruction himself without lessening mine; as he who lights his taper at mine, receives light without darkening me.</w:t>
      </w:r>
      <w:r>
        <w:t xml:space="preserve"> </w:t>
      </w:r>
      <w:r w:rsidRPr="00D643AA">
        <w:rPr>
          <w:szCs w:val="24"/>
        </w:rPr>
        <w:t>(Jefferson 1813)</w:t>
      </w:r>
    </w:p>
    <w:p w:rsidR="006F3267" w:rsidRDefault="006F3267" w:rsidP="006F3267">
      <w:pPr>
        <w:pStyle w:val="BodyText"/>
      </w:pPr>
      <w:r>
        <w:t>Ideas also provide economic and social value as others draw on them and extend the frontiers of knowledge. For these reasons, property rights over ideas and their expression are not granted in perpetuity and limitations are placed on their application.</w:t>
      </w:r>
    </w:p>
    <w:p w:rsidR="006F3267" w:rsidRDefault="006F3267" w:rsidP="006F3267">
      <w:pPr>
        <w:pStyle w:val="BodyText"/>
      </w:pPr>
      <w:r>
        <w:t xml:space="preserve">IP rights take a variety of forms. The most familiar are patents, copyright and </w:t>
      </w:r>
      <w:proofErr w:type="spellStart"/>
      <w:r>
        <w:t>trade marks</w:t>
      </w:r>
      <w:proofErr w:type="spellEnd"/>
      <w:r>
        <w:t>, but there are others, including rights over performances, designs, plant varieties and circuit layouts. A single product can — and often does — embody many IP rights (figure 1).</w:t>
      </w:r>
    </w:p>
    <w:p w:rsidR="006F3267" w:rsidRDefault="006F3267" w:rsidP="006F3267">
      <w:pPr>
        <w:pStyle w:val="BodyText"/>
      </w:pPr>
      <w:r>
        <w:t>IP arrangements form part of the broader innovation system. The role they play differs depending on the right afforded. Patents and copyright seek to promote product innovation and the creation of new works. Design rights seek to encourage improvements in the look and feel of consumer products. Trade </w:t>
      </w:r>
      <w:r w:rsidRPr="007F7F59">
        <w:t xml:space="preserve">marks </w:t>
      </w:r>
      <w:r>
        <w:t>differ again, providing</w:t>
      </w:r>
      <w:r w:rsidRPr="007F7F59">
        <w:t xml:space="preserve"> </w:t>
      </w:r>
      <w:r>
        <w:t xml:space="preserve">consumer </w:t>
      </w:r>
      <w:r w:rsidRPr="007F7F59">
        <w:t xml:space="preserve">information and </w:t>
      </w:r>
      <w:r>
        <w:t>protecting</w:t>
      </w:r>
      <w:r w:rsidRPr="007F7F59">
        <w:t xml:space="preserve"> brand reputation.</w:t>
      </w:r>
    </w:p>
    <w:p w:rsidR="006F3267" w:rsidRDefault="006F3267" w:rsidP="006F32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F3267" w:rsidTr="0034446A">
        <w:tc>
          <w:tcPr>
            <w:tcW w:w="8771" w:type="dxa"/>
            <w:tcBorders>
              <w:top w:val="single" w:sz="6" w:space="0" w:color="78A22F"/>
              <w:left w:val="nil"/>
              <w:bottom w:val="nil"/>
              <w:right w:val="nil"/>
            </w:tcBorders>
            <w:shd w:val="clear" w:color="auto" w:fill="auto"/>
          </w:tcPr>
          <w:p w:rsidR="006F3267" w:rsidRPr="00176D3F" w:rsidRDefault="006F3267" w:rsidP="0034446A">
            <w:pPr>
              <w:pStyle w:val="FigureTitle"/>
            </w:pPr>
            <w:r w:rsidRPr="00784A05">
              <w:rPr>
                <w:b w:val="0"/>
              </w:rPr>
              <w:t xml:space="preserve">Figure </w:t>
            </w:r>
            <w:r>
              <w:rPr>
                <w:b w:val="0"/>
                <w:noProof/>
              </w:rPr>
              <w:t>1</w:t>
            </w:r>
            <w:r>
              <w:tab/>
              <w:t xml:space="preserve">IP phone </w:t>
            </w:r>
          </w:p>
        </w:tc>
      </w:tr>
      <w:tr w:rsidR="006F3267" w:rsidTr="003444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4252"/>
              <w:gridCol w:w="4252"/>
            </w:tblGrid>
            <w:tr w:rsidR="006F3267" w:rsidTr="0034446A">
              <w:trPr>
                <w:jc w:val="center"/>
              </w:trPr>
              <w:tc>
                <w:tcPr>
                  <w:tcW w:w="2500" w:type="pct"/>
                  <w:tcBorders>
                    <w:top w:val="nil"/>
                    <w:bottom w:val="nil"/>
                  </w:tcBorders>
                </w:tcPr>
                <w:p w:rsidR="006F3267" w:rsidRDefault="006B3C7E" w:rsidP="0034446A">
                  <w:pPr>
                    <w:pStyle w:val="Figure"/>
                    <w:spacing w:before="60" w:after="60"/>
                  </w:pPr>
                  <w:r>
                    <w:rPr>
                      <w:noProof/>
                    </w:rPr>
                    <w:drawing>
                      <wp:inline distT="0" distB="0" distL="0" distR="0" wp14:anchorId="4F2C865D" wp14:editId="7A2B7526">
                        <wp:extent cx="1306018" cy="1809750"/>
                        <wp:effectExtent l="0" t="0" r="8890" b="0"/>
                        <wp:docPr id="3" name="Picture 3" descr="Figure 1 IP phone. This is a picture of a recent smartph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rtphone imag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08683" cy="1813443"/>
                                </a:xfrm>
                                <a:prstGeom prst="rect">
                                  <a:avLst/>
                                </a:prstGeom>
                              </pic:spPr>
                            </pic:pic>
                          </a:graphicData>
                        </a:graphic>
                      </wp:inline>
                    </w:drawing>
                  </w:r>
                  <w:r w:rsidR="006F3267">
                    <w:rPr>
                      <w:snapToGrid w:val="0"/>
                      <w:color w:val="000000"/>
                      <w:w w:val="0"/>
                      <w:sz w:val="0"/>
                      <w:szCs w:val="0"/>
                      <w:u w:color="000000"/>
                      <w:bdr w:val="none" w:sz="0" w:space="0" w:color="000000"/>
                      <w:shd w:val="clear" w:color="000000" w:fill="000000"/>
                      <w:lang w:val="x-none" w:eastAsia="x-none" w:bidi="x-none"/>
                    </w:rPr>
                    <w:t xml:space="preserve"> </w:t>
                  </w:r>
                </w:p>
              </w:tc>
              <w:tc>
                <w:tcPr>
                  <w:tcW w:w="2500" w:type="pct"/>
                  <w:tcBorders>
                    <w:top w:val="nil"/>
                    <w:bottom w:val="nil"/>
                  </w:tcBorders>
                </w:tcPr>
                <w:p w:rsidR="006F3267" w:rsidRPr="0046316D" w:rsidRDefault="006F3267" w:rsidP="0034446A">
                  <w:pPr>
                    <w:pStyle w:val="Figure"/>
                    <w:spacing w:before="60" w:after="60"/>
                    <w:jc w:val="left"/>
                    <w:rPr>
                      <w:rFonts w:asciiTheme="majorHAnsi" w:hAnsiTheme="majorHAnsi" w:cstheme="majorHAnsi"/>
                      <w:sz w:val="18"/>
                      <w:szCs w:val="18"/>
                    </w:rPr>
                  </w:pPr>
                  <w:r w:rsidRPr="0046316D">
                    <w:rPr>
                      <w:rFonts w:asciiTheme="majorHAnsi" w:hAnsiTheme="majorHAnsi" w:cstheme="majorHAnsi"/>
                      <w:sz w:val="18"/>
                      <w:szCs w:val="18"/>
                    </w:rPr>
                    <w:t xml:space="preserve">Today’s smartphones are protected by over 1000 </w:t>
                  </w:r>
                  <w:r w:rsidRPr="0046316D">
                    <w:rPr>
                      <w:rFonts w:asciiTheme="majorHAnsi" w:hAnsiTheme="majorHAnsi" w:cstheme="majorHAnsi"/>
                      <w:b/>
                      <w:sz w:val="18"/>
                      <w:szCs w:val="18"/>
                    </w:rPr>
                    <w:t>patents</w:t>
                  </w:r>
                  <w:r w:rsidRPr="0046316D">
                    <w:rPr>
                      <w:rFonts w:asciiTheme="majorHAnsi" w:hAnsiTheme="majorHAnsi" w:cstheme="majorHAnsi"/>
                      <w:sz w:val="18"/>
                      <w:szCs w:val="18"/>
                    </w:rPr>
                    <w:t xml:space="preserve">, including for their semiconductors, cameras, screens, batteries and calendars. </w:t>
                  </w:r>
                </w:p>
                <w:p w:rsidR="006F3267" w:rsidRPr="0046316D" w:rsidRDefault="006F3267" w:rsidP="0034446A">
                  <w:pPr>
                    <w:pStyle w:val="Figure"/>
                    <w:spacing w:before="60" w:after="60"/>
                    <w:jc w:val="left"/>
                    <w:rPr>
                      <w:rFonts w:asciiTheme="majorHAnsi" w:hAnsiTheme="majorHAnsi" w:cstheme="majorHAnsi"/>
                      <w:sz w:val="18"/>
                      <w:szCs w:val="18"/>
                    </w:rPr>
                  </w:pPr>
                  <w:r w:rsidRPr="0046316D">
                    <w:rPr>
                      <w:rFonts w:asciiTheme="majorHAnsi" w:hAnsiTheme="majorHAnsi" w:cstheme="majorHAnsi"/>
                      <w:b/>
                      <w:sz w:val="18"/>
                      <w:szCs w:val="18"/>
                    </w:rPr>
                    <w:t>Copyright</w:t>
                  </w:r>
                  <w:r w:rsidRPr="0046316D">
                    <w:rPr>
                      <w:rFonts w:asciiTheme="majorHAnsi" w:hAnsiTheme="majorHAnsi" w:cstheme="majorHAnsi"/>
                      <w:sz w:val="18"/>
                      <w:szCs w:val="18"/>
                    </w:rPr>
                    <w:t xml:space="preserve"> protects the artwork and software</w:t>
                  </w:r>
                  <w:r>
                    <w:rPr>
                      <w:rFonts w:asciiTheme="majorHAnsi" w:hAnsiTheme="majorHAnsi" w:cstheme="majorHAnsi"/>
                      <w:sz w:val="18"/>
                      <w:szCs w:val="18"/>
                    </w:rPr>
                    <w:t xml:space="preserve"> code</w:t>
                  </w:r>
                  <w:r w:rsidRPr="0046316D">
                    <w:rPr>
                      <w:rFonts w:asciiTheme="majorHAnsi" w:hAnsiTheme="majorHAnsi" w:cstheme="majorHAnsi"/>
                      <w:sz w:val="18"/>
                      <w:szCs w:val="18"/>
                    </w:rPr>
                    <w:t xml:space="preserve"> within smartphones. </w:t>
                  </w:r>
                </w:p>
                <w:p w:rsidR="006F3267" w:rsidRPr="0046316D" w:rsidRDefault="006F3267" w:rsidP="0034446A">
                  <w:pPr>
                    <w:pStyle w:val="Figure"/>
                    <w:spacing w:before="60" w:after="60"/>
                    <w:jc w:val="left"/>
                    <w:rPr>
                      <w:rFonts w:asciiTheme="majorHAnsi" w:hAnsiTheme="majorHAnsi" w:cstheme="majorHAnsi"/>
                      <w:sz w:val="18"/>
                      <w:szCs w:val="18"/>
                    </w:rPr>
                  </w:pPr>
                  <w:r w:rsidRPr="0046316D">
                    <w:rPr>
                      <w:rFonts w:asciiTheme="majorHAnsi" w:hAnsiTheme="majorHAnsi" w:cstheme="majorHAnsi"/>
                      <w:b/>
                      <w:sz w:val="18"/>
                      <w:szCs w:val="18"/>
                    </w:rPr>
                    <w:t>Design rights</w:t>
                  </w:r>
                  <w:r w:rsidRPr="0046316D">
                    <w:rPr>
                      <w:rFonts w:asciiTheme="majorHAnsi" w:hAnsiTheme="majorHAnsi" w:cstheme="majorHAnsi"/>
                      <w:sz w:val="18"/>
                      <w:szCs w:val="18"/>
                    </w:rPr>
                    <w:t xml:space="preserve"> protect the aesthetics, and the placement of cameras, buttons and screens. </w:t>
                  </w:r>
                </w:p>
                <w:p w:rsidR="006F3267" w:rsidRPr="0046316D" w:rsidRDefault="006F3267" w:rsidP="0034446A">
                  <w:pPr>
                    <w:pStyle w:val="Figure"/>
                    <w:spacing w:before="60" w:after="60"/>
                    <w:jc w:val="left"/>
                    <w:rPr>
                      <w:rFonts w:asciiTheme="majorHAnsi" w:hAnsiTheme="majorHAnsi" w:cstheme="majorHAnsi"/>
                      <w:sz w:val="18"/>
                      <w:szCs w:val="18"/>
                    </w:rPr>
                  </w:pPr>
                  <w:r w:rsidRPr="0046316D">
                    <w:rPr>
                      <w:rFonts w:asciiTheme="majorHAnsi" w:hAnsiTheme="majorHAnsi" w:cstheme="majorHAnsi"/>
                      <w:b/>
                      <w:sz w:val="18"/>
                      <w:szCs w:val="18"/>
                    </w:rPr>
                    <w:t>Circuit layout rights</w:t>
                  </w:r>
                  <w:r w:rsidRPr="0046316D">
                    <w:rPr>
                      <w:rFonts w:asciiTheme="majorHAnsi" w:hAnsiTheme="majorHAnsi" w:cstheme="majorHAnsi"/>
                      <w:sz w:val="18"/>
                      <w:szCs w:val="18"/>
                    </w:rPr>
                    <w:t xml:space="preserve"> protect the electrical integrated circuits. </w:t>
                  </w:r>
                </w:p>
                <w:p w:rsidR="006F3267" w:rsidRPr="009E1398" w:rsidRDefault="006F3267" w:rsidP="009E1398">
                  <w:pPr>
                    <w:pStyle w:val="Figure"/>
                    <w:spacing w:before="60" w:after="60"/>
                    <w:jc w:val="left"/>
                    <w:rPr>
                      <w:rFonts w:asciiTheme="majorHAnsi" w:hAnsiTheme="majorHAnsi" w:cstheme="majorHAnsi"/>
                      <w:sz w:val="18"/>
                      <w:szCs w:val="18"/>
                    </w:rPr>
                  </w:pPr>
                  <w:r w:rsidRPr="0046316D">
                    <w:rPr>
                      <w:rFonts w:asciiTheme="majorHAnsi" w:hAnsiTheme="majorHAnsi" w:cstheme="majorHAnsi"/>
                      <w:sz w:val="18"/>
                      <w:szCs w:val="18"/>
                    </w:rPr>
                    <w:t xml:space="preserve">Brands, logos and other distinctive marks such as ‘iPhone’ are protected by </w:t>
                  </w:r>
                  <w:proofErr w:type="spellStart"/>
                  <w:r w:rsidRPr="0046316D">
                    <w:rPr>
                      <w:rFonts w:asciiTheme="majorHAnsi" w:hAnsiTheme="majorHAnsi" w:cstheme="majorHAnsi"/>
                      <w:b/>
                      <w:sz w:val="18"/>
                      <w:szCs w:val="18"/>
                    </w:rPr>
                    <w:t>trade marks</w:t>
                  </w:r>
                  <w:proofErr w:type="spellEnd"/>
                  <w:r w:rsidRPr="0046316D">
                    <w:rPr>
                      <w:rFonts w:asciiTheme="majorHAnsi" w:hAnsiTheme="majorHAnsi" w:cstheme="majorHAnsi"/>
                      <w:sz w:val="18"/>
                      <w:szCs w:val="18"/>
                    </w:rPr>
                    <w:t xml:space="preserve">. </w:t>
                  </w:r>
                </w:p>
              </w:tc>
            </w:tr>
          </w:tbl>
          <w:p w:rsidR="006F3267" w:rsidRDefault="006F3267" w:rsidP="0034446A">
            <w:pPr>
              <w:pStyle w:val="Figure"/>
            </w:pPr>
          </w:p>
        </w:tc>
      </w:tr>
      <w:tr w:rsidR="006F3267" w:rsidTr="0034446A">
        <w:tc>
          <w:tcPr>
            <w:tcW w:w="8771" w:type="dxa"/>
            <w:tcBorders>
              <w:top w:val="nil"/>
              <w:left w:val="nil"/>
              <w:bottom w:val="single" w:sz="6" w:space="0" w:color="78A22F"/>
              <w:right w:val="nil"/>
            </w:tcBorders>
            <w:shd w:val="clear" w:color="auto" w:fill="auto"/>
          </w:tcPr>
          <w:p w:rsidR="006F3267" w:rsidRDefault="006F3267" w:rsidP="0034446A">
            <w:pPr>
              <w:pStyle w:val="Figurespace"/>
            </w:pPr>
          </w:p>
        </w:tc>
      </w:tr>
      <w:tr w:rsidR="006F3267" w:rsidRPr="000863A5" w:rsidTr="0034446A">
        <w:tc>
          <w:tcPr>
            <w:tcW w:w="8771" w:type="dxa"/>
            <w:tcBorders>
              <w:top w:val="single" w:sz="6" w:space="0" w:color="78A22F"/>
              <w:left w:val="nil"/>
              <w:bottom w:val="nil"/>
              <w:right w:val="nil"/>
            </w:tcBorders>
          </w:tcPr>
          <w:p w:rsidR="006F3267" w:rsidRPr="00626D32" w:rsidRDefault="006F3267" w:rsidP="0034446A">
            <w:pPr>
              <w:pStyle w:val="BoxSpaceBelow"/>
            </w:pPr>
          </w:p>
        </w:tc>
      </w:tr>
    </w:tbl>
    <w:p w:rsidR="006F3267" w:rsidRDefault="006F3267" w:rsidP="006F3267">
      <w:pPr>
        <w:pStyle w:val="Heading3"/>
      </w:pPr>
      <w:r>
        <w:t xml:space="preserve">But IP rights can lead to IP wrongs </w:t>
      </w:r>
    </w:p>
    <w:p w:rsidR="006F3267" w:rsidRDefault="006F3267" w:rsidP="006F3267">
      <w:pPr>
        <w:pStyle w:val="BodyText"/>
      </w:pPr>
      <w:r>
        <w:t>Because IP rights give their holders the ability to prevent others from using that IP, there is a risk parties will unduly exercise market power. As noted by the Harper Competition Policy Review, this may allow owners of IP rights to extract excessive royalties from IP licences or place anticompetitive restrictions on knowledge dissemination, with adverse knock</w:t>
      </w:r>
      <w:r>
        <w:noBreakHyphen/>
        <w:t xml:space="preserve">on effects for innovation and ultimately consumers. </w:t>
      </w:r>
    </w:p>
    <w:p w:rsidR="006F3267" w:rsidRPr="00C71149" w:rsidRDefault="006F3267" w:rsidP="006F3267">
      <w:pPr>
        <w:pStyle w:val="BodyText"/>
      </w:pPr>
      <w:r>
        <w:t>W</w:t>
      </w:r>
      <w:r w:rsidRPr="00C71149">
        <w:t xml:space="preserve">hen innovation is cumulative, IP rights can reduce the flow of benefits from new ideas and processes. </w:t>
      </w:r>
      <w:r>
        <w:t>This is particularly harmful for Australian firms, who tend to ‘adopt and adapt’ innovations, building on the knowledge of others. O</w:t>
      </w:r>
      <w:r w:rsidRPr="00C71149">
        <w:t>verly strong restrictions on diffusion can be so detrime</w:t>
      </w:r>
      <w:r>
        <w:t xml:space="preserve">ntal to innovation as to </w:t>
      </w:r>
      <w:r w:rsidRPr="00C71149">
        <w:t>undo the benefits of the IP system in the first place:</w:t>
      </w:r>
    </w:p>
    <w:p w:rsidR="006F3267" w:rsidRDefault="006F3267" w:rsidP="006F3267">
      <w:pPr>
        <w:pStyle w:val="Quote"/>
      </w:pPr>
      <w:r w:rsidRPr="00C71149">
        <w:t>… a poorly designed intellectual property regime — one that creates excessively “strong” intellectual property rights — can actually impede innovation. … Knowledge is the most important input into the production of knowledge. Intellectual property restricts this input; indeed, it works by limiting access to knowledge.</w:t>
      </w:r>
      <w:r>
        <w:t xml:space="preserve"> </w:t>
      </w:r>
      <w:r w:rsidRPr="00226C19">
        <w:rPr>
          <w:szCs w:val="24"/>
        </w:rPr>
        <w:t>(</w:t>
      </w:r>
      <w:proofErr w:type="spellStart"/>
      <w:r w:rsidRPr="00226C19">
        <w:rPr>
          <w:szCs w:val="24"/>
        </w:rPr>
        <w:t>Stiglitz</w:t>
      </w:r>
      <w:proofErr w:type="spellEnd"/>
      <w:r w:rsidRPr="00226C19">
        <w:rPr>
          <w:szCs w:val="24"/>
        </w:rPr>
        <w:t> 2008, p</w:t>
      </w:r>
      <w:r w:rsidR="005D0D65">
        <w:rPr>
          <w:szCs w:val="24"/>
        </w:rPr>
        <w:t>p</w:t>
      </w:r>
      <w:r w:rsidRPr="00226C19">
        <w:rPr>
          <w:szCs w:val="24"/>
        </w:rPr>
        <w:t>. 1694,</w:t>
      </w:r>
      <w:r w:rsidR="005D0D65">
        <w:rPr>
          <w:szCs w:val="24"/>
        </w:rPr>
        <w:t xml:space="preserve"> </w:t>
      </w:r>
      <w:r w:rsidRPr="00226C19">
        <w:rPr>
          <w:szCs w:val="24"/>
        </w:rPr>
        <w:t>1710)</w:t>
      </w:r>
      <w:r w:rsidRPr="00C71149">
        <w:t xml:space="preserve"> </w:t>
      </w:r>
    </w:p>
    <w:p w:rsidR="006F3267" w:rsidRDefault="006F3267" w:rsidP="006F3267">
      <w:pPr>
        <w:pStyle w:val="BodyText"/>
      </w:pPr>
      <w:r w:rsidRPr="00E5069A">
        <w:t>And while patents and other IP rights can encourage innovation, they are not always necessary for it</w:t>
      </w:r>
      <w:r>
        <w:t xml:space="preserve"> (figure 2)</w:t>
      </w:r>
      <w:r w:rsidRPr="00E5069A">
        <w:t>.</w:t>
      </w:r>
      <w:r>
        <w:t xml:space="preserve"> For example, in industries where the speed of technological change is fast moving, innovators tend to rely more on market-based arrangements, such as first</w:t>
      </w:r>
      <w:r>
        <w:noBreakHyphen/>
        <w:t>mover advantage. Similarly, IP rights are less important where innovations are difficult to copy or only entail minor development costs.</w:t>
      </w:r>
    </w:p>
    <w:p w:rsidR="006F3267" w:rsidRDefault="006F3267" w:rsidP="006F3267">
      <w:pPr>
        <w:pStyle w:val="BodyText"/>
      </w:pPr>
      <w:r>
        <w:t>Poorly designed IP rights impose costs irrespective of whether countries are net importers or exporters of IP. However, Australia is overwhelmingly a net importer of IP, and the gap between IP imports and exports is growing rapidly. This means that the costs to consumers and follow</w:t>
      </w:r>
      <w:r>
        <w:noBreakHyphen/>
        <w:t xml:space="preserve">on innovators </w:t>
      </w:r>
      <w:r w:rsidRPr="007312A7">
        <w:t xml:space="preserve">from </w:t>
      </w:r>
      <w:r w:rsidRPr="0099294E">
        <w:t>hi</w:t>
      </w:r>
      <w:r w:rsidRPr="00DB0DA3">
        <w:t>gher prices and restricted availability are not offset by increases in Australian producer profits.</w:t>
      </w:r>
    </w:p>
    <w:p w:rsidR="006F3267" w:rsidRDefault="006F3267" w:rsidP="006F32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1"/>
      </w:tblGrid>
      <w:tr w:rsidR="006F3267" w:rsidTr="0034446A">
        <w:tc>
          <w:tcPr>
            <w:tcW w:w="8771" w:type="dxa"/>
            <w:tcBorders>
              <w:top w:val="single" w:sz="6" w:space="0" w:color="78A22F"/>
              <w:left w:val="nil"/>
              <w:bottom w:val="nil"/>
              <w:right w:val="nil"/>
            </w:tcBorders>
            <w:hideMark/>
          </w:tcPr>
          <w:p w:rsidR="006F3267" w:rsidRDefault="006F3267" w:rsidP="0034446A">
            <w:pPr>
              <w:pStyle w:val="FigureTitle"/>
            </w:pPr>
            <w:r>
              <w:rPr>
                <w:b w:val="0"/>
              </w:rPr>
              <w:t>Figure 2</w:t>
            </w:r>
            <w:r>
              <w:tab/>
              <w:t>IP rights are used alongside other mechanisms</w:t>
            </w:r>
            <w:r w:rsidRPr="00B11A65">
              <w:rPr>
                <w:rStyle w:val="NoteLabel"/>
                <w:b/>
              </w:rPr>
              <w:t>a</w:t>
            </w:r>
          </w:p>
        </w:tc>
      </w:tr>
      <w:tr w:rsidR="006F3267" w:rsidTr="0034446A">
        <w:tc>
          <w:tcPr>
            <w:tcW w:w="8771" w:type="dxa"/>
            <w:tcBorders>
              <w:top w:val="nil"/>
              <w:left w:val="nil"/>
              <w:bottom w:val="nil"/>
              <w:right w:val="nil"/>
            </w:tcBorders>
            <w:tcMar>
              <w:top w:w="28" w:type="dxa"/>
              <w:left w:w="142" w:type="dxa"/>
              <w:bottom w:w="28" w:type="dxa"/>
              <w:right w:w="142" w:type="dxa"/>
            </w:tcMar>
            <w:hideMark/>
          </w:tcPr>
          <w:tbl>
            <w:tblPr>
              <w:tblW w:w="8505" w:type="dxa"/>
              <w:jc w:val="center"/>
              <w:tblBorders>
                <w:top w:val="single" w:sz="6" w:space="0" w:color="F2F2F2" w:themeColor="accent4"/>
                <w:bottom w:val="single" w:sz="6" w:space="0" w:color="F2F2F2" w:themeColor="accent4"/>
              </w:tblBorders>
              <w:tblLayout w:type="fixed"/>
              <w:tblCellMar>
                <w:top w:w="28" w:type="dxa"/>
              </w:tblCellMar>
              <w:tblLook w:val="04A0" w:firstRow="1" w:lastRow="0" w:firstColumn="1" w:lastColumn="0" w:noHBand="0" w:noVBand="1"/>
            </w:tblPr>
            <w:tblGrid>
              <w:gridCol w:w="8505"/>
            </w:tblGrid>
            <w:tr w:rsidR="006F3267" w:rsidTr="0034446A">
              <w:trPr>
                <w:jc w:val="center"/>
              </w:trPr>
              <w:tc>
                <w:tcPr>
                  <w:tcW w:w="8505" w:type="dxa"/>
                  <w:tcBorders>
                    <w:top w:val="nil"/>
                    <w:left w:val="nil"/>
                    <w:bottom w:val="nil"/>
                    <w:right w:val="nil"/>
                  </w:tcBorders>
                  <w:hideMark/>
                </w:tcPr>
                <w:p w:rsidR="006F3267" w:rsidRDefault="00B14497" w:rsidP="0034446A">
                  <w:pPr>
                    <w:pStyle w:val="Figure"/>
                    <w:spacing w:before="60" w:after="60"/>
                  </w:pPr>
                  <w:r>
                    <w:rPr>
                      <w:noProof/>
                    </w:rPr>
                    <w:drawing>
                      <wp:inline distT="0" distB="0" distL="0" distR="0" wp14:anchorId="19B1AA80" wp14:editId="4FE69FEE">
                        <wp:extent cx="5260340" cy="2803525"/>
                        <wp:effectExtent l="0" t="0" r="0" b="0"/>
                        <wp:docPr id="135" name="Picture 135" descr="Figure 2 IP rights are used alongside other mechanisms. This figure shows the proportion of innovation-active and non-innovation-active businesses in Australia exercising IP rights in patents, registration of design, copyright, trade mark, confidentiality agreements, complexity of product design or at least one method of IP protection. Copyright and confidentiality agreements account for close to 15 per cent of innovation-active businesses – the highest specific measures. Over 25 per cent innovation-active businesses use at least one method. While the proportions of businesses are small for non innovation-active businesses, copyright and confidentiality are the most frequent specific measures at around 4 per cent each with closer to 10 per cent of non innovation-active businesses indicating at least one method is u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60340" cy="2803525"/>
                                </a:xfrm>
                                <a:prstGeom prst="rect">
                                  <a:avLst/>
                                </a:prstGeom>
                                <a:noFill/>
                                <a:ln>
                                  <a:noFill/>
                                </a:ln>
                              </pic:spPr>
                            </pic:pic>
                          </a:graphicData>
                        </a:graphic>
                      </wp:inline>
                    </w:drawing>
                  </w:r>
                </w:p>
              </w:tc>
            </w:tr>
          </w:tbl>
          <w:p w:rsidR="006F3267" w:rsidRDefault="006F3267" w:rsidP="0034446A">
            <w:pPr>
              <w:pStyle w:val="Figure"/>
            </w:pPr>
          </w:p>
        </w:tc>
      </w:tr>
      <w:tr w:rsidR="006F3267" w:rsidTr="0034446A">
        <w:tc>
          <w:tcPr>
            <w:tcW w:w="8771" w:type="dxa"/>
            <w:tcBorders>
              <w:top w:val="nil"/>
              <w:left w:val="nil"/>
              <w:bottom w:val="nil"/>
              <w:right w:val="nil"/>
            </w:tcBorders>
            <w:hideMark/>
          </w:tcPr>
          <w:p w:rsidR="006F3267" w:rsidRDefault="006F3267" w:rsidP="0034446A">
            <w:pPr>
              <w:pStyle w:val="Note"/>
            </w:pPr>
            <w:r>
              <w:rPr>
                <w:rStyle w:val="NoteLabel"/>
              </w:rPr>
              <w:t>a</w:t>
            </w:r>
            <w:r>
              <w:t xml:space="preserve"> Businesses can nominate more than one type of protection.</w:t>
            </w:r>
          </w:p>
        </w:tc>
      </w:tr>
      <w:tr w:rsidR="006F3267" w:rsidTr="0034446A">
        <w:tc>
          <w:tcPr>
            <w:tcW w:w="8771" w:type="dxa"/>
            <w:tcBorders>
              <w:top w:val="nil"/>
              <w:left w:val="nil"/>
              <w:bottom w:val="single" w:sz="6" w:space="0" w:color="78A22F"/>
              <w:right w:val="nil"/>
            </w:tcBorders>
          </w:tcPr>
          <w:p w:rsidR="006F3267" w:rsidRDefault="006F3267" w:rsidP="0034446A">
            <w:pPr>
              <w:pStyle w:val="Figurespace"/>
            </w:pPr>
          </w:p>
        </w:tc>
      </w:tr>
    </w:tbl>
    <w:p w:rsidR="006F3267" w:rsidRDefault="006F3267" w:rsidP="006F3267">
      <w:pPr>
        <w:pStyle w:val="Heading3"/>
      </w:pPr>
      <w:r>
        <w:t>Advancing reform in a constrained environment</w:t>
      </w:r>
    </w:p>
    <w:p w:rsidR="006F3267" w:rsidRDefault="006F3267" w:rsidP="006F3267">
      <w:pPr>
        <w:pStyle w:val="BodyText"/>
      </w:pPr>
      <w:r>
        <w:t xml:space="preserve">There have been many recent reviews into IP, such that some inquiry participants have understandably questioned the need for yet another. However, previous reviews have focused on specific areas of IP, such as innovation patents, pharmaceutical patents, design protection, and copyright, and so lacked a consistent and coherent approach across Australia’s IP arrangements — a point highlighted by the Harper Competition Policy Review. The Commission has taken a more holistic perspective to identify ways that the IP system could be improved. </w:t>
      </w:r>
    </w:p>
    <w:p w:rsidR="006F3267" w:rsidRPr="007D1589" w:rsidRDefault="006F3267" w:rsidP="006F3267">
      <w:pPr>
        <w:pStyle w:val="BodyText"/>
      </w:pPr>
      <w:r>
        <w:t>The goal of IP policy should be to achieve a balance between the incentive to create and the risk of damaging the productive use of new ideas through over-protection, while also recognising that Australia’s IP arrangements form part of a global system. With the overarching objective of maximising community wellbeing, the Commission has identified four guiding principles that the IP system should embody — it should be effective, efficient, adaptable and accountable (figure 3).</w:t>
      </w:r>
    </w:p>
    <w:p w:rsidR="006F3267" w:rsidRDefault="006F3267" w:rsidP="006F3267">
      <w:pPr>
        <w:pStyle w:val="BodyText"/>
      </w:pPr>
      <w:r w:rsidRPr="00C252C4">
        <w:t>In applying these principles, the Commission has considered each aspect of the IP system — how rights are assigned, used and enforced. The Commission</w:t>
      </w:r>
      <w:r>
        <w:t xml:space="preserve"> has also examined the governance and institutional arrangements underlying IP policy development, decision</w:t>
      </w:r>
      <w:r>
        <w:noBreakHyphen/>
        <w:t xml:space="preserve">making and implementation. </w:t>
      </w:r>
    </w:p>
    <w:p w:rsidR="006F3267" w:rsidRDefault="006F3267" w:rsidP="006F32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F3267" w:rsidTr="0034446A">
        <w:tc>
          <w:tcPr>
            <w:tcW w:w="8771" w:type="dxa"/>
            <w:tcBorders>
              <w:top w:val="single" w:sz="6" w:space="0" w:color="78A22F"/>
              <w:left w:val="nil"/>
              <w:bottom w:val="nil"/>
              <w:right w:val="nil"/>
            </w:tcBorders>
            <w:shd w:val="clear" w:color="auto" w:fill="auto"/>
          </w:tcPr>
          <w:p w:rsidR="006F3267" w:rsidRPr="00176D3F" w:rsidRDefault="006F3267" w:rsidP="0034446A">
            <w:pPr>
              <w:pStyle w:val="FigureTitle"/>
            </w:pPr>
            <w:r w:rsidRPr="00784A05">
              <w:rPr>
                <w:b w:val="0"/>
              </w:rPr>
              <w:t xml:space="preserve">Figure </w:t>
            </w:r>
            <w:r>
              <w:rPr>
                <w:b w:val="0"/>
              </w:rPr>
              <w:t>3</w:t>
            </w:r>
            <w:r>
              <w:tab/>
              <w:t>The Commission’s approach</w:t>
            </w:r>
          </w:p>
        </w:tc>
      </w:tr>
      <w:tr w:rsidR="006F3267" w:rsidTr="0034446A">
        <w:trPr>
          <w:cantSplit/>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F3267" w:rsidTr="0034446A">
              <w:trPr>
                <w:cantSplit/>
                <w:jc w:val="center"/>
              </w:trPr>
              <w:tc>
                <w:tcPr>
                  <w:tcW w:w="5000" w:type="pct"/>
                  <w:tcBorders>
                    <w:top w:val="nil"/>
                    <w:bottom w:val="nil"/>
                  </w:tcBorders>
                </w:tcPr>
                <w:tbl>
                  <w:tblPr>
                    <w:tblW w:w="8543" w:type="dxa"/>
                    <w:tblBorders>
                      <w:bottom w:val="single" w:sz="48" w:space="0" w:color="FFFFFF" w:themeColor="background1"/>
                    </w:tblBorders>
                    <w:tblLayout w:type="fixed"/>
                    <w:tblCellMar>
                      <w:left w:w="0" w:type="dxa"/>
                      <w:right w:w="0" w:type="dxa"/>
                    </w:tblCellMar>
                    <w:tblLook w:val="0000" w:firstRow="0" w:lastRow="0" w:firstColumn="0" w:lastColumn="0" w:noHBand="0" w:noVBand="0"/>
                  </w:tblPr>
                  <w:tblGrid>
                    <w:gridCol w:w="1931"/>
                    <w:gridCol w:w="88"/>
                    <w:gridCol w:w="3146"/>
                    <w:gridCol w:w="151"/>
                    <w:gridCol w:w="1359"/>
                    <w:gridCol w:w="168"/>
                    <w:gridCol w:w="1645"/>
                    <w:gridCol w:w="55"/>
                  </w:tblGrid>
                  <w:tr w:rsidR="006F3267" w:rsidTr="0034446A">
                    <w:trPr>
                      <w:gridAfter w:val="1"/>
                      <w:wAfter w:w="55" w:type="dxa"/>
                      <w:trHeight w:val="440"/>
                    </w:trPr>
                    <w:tc>
                      <w:tcPr>
                        <w:tcW w:w="8488" w:type="dxa"/>
                        <w:gridSpan w:val="7"/>
                        <w:tcBorders>
                          <w:top w:val="single" w:sz="48" w:space="0" w:color="FFFFFF" w:themeColor="background1"/>
                        </w:tcBorders>
                        <w:shd w:val="clear" w:color="auto" w:fill="265A9A" w:themeFill="accent2"/>
                        <w:vAlign w:val="center"/>
                      </w:tcPr>
                      <w:p w:rsidR="006F3267" w:rsidRPr="00663466" w:rsidRDefault="006F3267" w:rsidP="0034446A">
                        <w:pPr>
                          <w:autoSpaceDE w:val="0"/>
                          <w:autoSpaceDN w:val="0"/>
                          <w:adjustRightInd w:val="0"/>
                          <w:spacing w:line="288" w:lineRule="auto"/>
                          <w:jc w:val="center"/>
                          <w:rPr>
                            <w:rFonts w:ascii="Calibri" w:hAnsi="Calibri" w:cs="Calibri"/>
                            <w:color w:val="FFFFFF"/>
                            <w:sz w:val="22"/>
                            <w:szCs w:val="22"/>
                            <w:lang w:val="en-US"/>
                          </w:rPr>
                        </w:pPr>
                        <w:r w:rsidRPr="00663466">
                          <w:rPr>
                            <w:rFonts w:ascii="Arial" w:hAnsi="Arial" w:cs="Arial"/>
                            <w:b/>
                            <w:bCs/>
                            <w:color w:val="FFFFFF"/>
                            <w:sz w:val="22"/>
                            <w:szCs w:val="22"/>
                          </w:rPr>
                          <w:t>Overarching objective: to maximise wellbeing of Australians</w:t>
                        </w:r>
                      </w:p>
                    </w:tc>
                  </w:tr>
                  <w:tr w:rsidR="006F3267" w:rsidTr="0034446A">
                    <w:trPr>
                      <w:gridAfter w:val="1"/>
                      <w:wAfter w:w="55" w:type="dxa"/>
                      <w:trHeight w:val="1015"/>
                    </w:trPr>
                    <w:tc>
                      <w:tcPr>
                        <w:tcW w:w="8488" w:type="dxa"/>
                        <w:gridSpan w:val="7"/>
                        <w:tcBorders>
                          <w:top w:val="single" w:sz="48" w:space="0" w:color="FFFFFF" w:themeColor="background1"/>
                          <w:bottom w:val="single" w:sz="48" w:space="0" w:color="FFFFFF" w:themeColor="background1"/>
                        </w:tcBorders>
                        <w:shd w:val="clear" w:color="auto" w:fill="F2F2F2" w:themeFill="accent4"/>
                        <w:vAlign w:val="center"/>
                      </w:tcPr>
                      <w:p w:rsidR="006F3267" w:rsidRPr="00663466" w:rsidRDefault="006F3267" w:rsidP="0034446A">
                        <w:pPr>
                          <w:autoSpaceDE w:val="0"/>
                          <w:autoSpaceDN w:val="0"/>
                          <w:adjustRightInd w:val="0"/>
                          <w:spacing w:line="288" w:lineRule="auto"/>
                          <w:jc w:val="center"/>
                          <w:rPr>
                            <w:sz w:val="20"/>
                            <w:szCs w:val="20"/>
                          </w:rPr>
                        </w:pPr>
                        <w:r w:rsidRPr="00663466">
                          <w:rPr>
                            <w:rFonts w:ascii="Arial" w:hAnsi="Arial" w:cs="Arial"/>
                            <w:b/>
                            <w:bCs/>
                            <w:i/>
                            <w:iCs/>
                            <w:color w:val="000000"/>
                            <w:sz w:val="20"/>
                            <w:szCs w:val="20"/>
                          </w:rPr>
                          <w:t xml:space="preserve">Goal: </w:t>
                        </w:r>
                        <w:r w:rsidRPr="00663466">
                          <w:rPr>
                            <w:rFonts w:ascii="Arial" w:hAnsi="Arial" w:cs="Arial"/>
                            <w:i/>
                            <w:iCs/>
                            <w:color w:val="000000"/>
                            <w:sz w:val="20"/>
                            <w:szCs w:val="20"/>
                          </w:rPr>
                          <w:t>That the IP system provides appropriate incentives for innovation, investment and the production of creative works while ensuring it does not unreasonably impede further innovation, competition, investment and access to goods and services.</w:t>
                        </w:r>
                      </w:p>
                    </w:tc>
                  </w:tr>
                  <w:tr w:rsidR="006F3267" w:rsidTr="0034446A">
                    <w:trPr>
                      <w:gridAfter w:val="1"/>
                      <w:wAfter w:w="55" w:type="dxa"/>
                      <w:trHeight w:val="477"/>
                    </w:trPr>
                    <w:tc>
                      <w:tcPr>
                        <w:tcW w:w="8488" w:type="dxa"/>
                        <w:gridSpan w:val="7"/>
                        <w:tcBorders>
                          <w:top w:val="single" w:sz="48" w:space="0" w:color="FFFFFF" w:themeColor="background1"/>
                          <w:bottom w:val="single" w:sz="48" w:space="0" w:color="FFFFFF" w:themeColor="background1"/>
                        </w:tcBorders>
                        <w:shd w:val="clear" w:color="auto" w:fill="F2F2F2" w:themeFill="accent4"/>
                        <w:vAlign w:val="center"/>
                      </w:tcPr>
                      <w:p w:rsidR="006F3267" w:rsidRPr="00663466" w:rsidRDefault="006F3267" w:rsidP="0034446A">
                        <w:pPr>
                          <w:autoSpaceDE w:val="0"/>
                          <w:autoSpaceDN w:val="0"/>
                          <w:adjustRightInd w:val="0"/>
                          <w:spacing w:line="288" w:lineRule="auto"/>
                          <w:jc w:val="center"/>
                          <w:rPr>
                            <w:sz w:val="20"/>
                            <w:szCs w:val="20"/>
                          </w:rPr>
                        </w:pPr>
                        <w:r>
                          <w:rPr>
                            <w:rFonts w:ascii="Arial" w:hAnsi="Arial" w:cs="Arial"/>
                            <w:b/>
                            <w:bCs/>
                            <w:color w:val="000000"/>
                            <w:sz w:val="20"/>
                            <w:szCs w:val="20"/>
                          </w:rPr>
                          <w:t>P</w:t>
                        </w:r>
                        <w:r w:rsidRPr="00663466">
                          <w:rPr>
                            <w:rFonts w:ascii="Arial" w:hAnsi="Arial" w:cs="Arial"/>
                            <w:b/>
                            <w:bCs/>
                            <w:color w:val="000000"/>
                            <w:sz w:val="20"/>
                            <w:szCs w:val="20"/>
                          </w:rPr>
                          <w:t>rinciples to apply to the IP system to achieve this goal:</w:t>
                        </w:r>
                      </w:p>
                    </w:tc>
                  </w:tr>
                  <w:tr w:rsidR="006F3267" w:rsidTr="0034446A">
                    <w:trPr>
                      <w:trHeight w:hRule="exact" w:val="142"/>
                    </w:trPr>
                    <w:tc>
                      <w:tcPr>
                        <w:tcW w:w="1931" w:type="dxa"/>
                        <w:tcBorders>
                          <w:top w:val="single" w:sz="48" w:space="0" w:color="FFFFFF" w:themeColor="background1"/>
                          <w:bottom w:val="nil"/>
                        </w:tcBorders>
                      </w:tcPr>
                      <w:p w:rsidR="006F3267" w:rsidRDefault="006F3267" w:rsidP="0034446A">
                        <w:pPr>
                          <w:pStyle w:val="TableBodyText"/>
                          <w:jc w:val="left"/>
                        </w:pPr>
                      </w:p>
                    </w:tc>
                    <w:tc>
                      <w:tcPr>
                        <w:tcW w:w="88" w:type="dxa"/>
                        <w:tcBorders>
                          <w:top w:val="single" w:sz="48" w:space="0" w:color="FFFFFF" w:themeColor="background1"/>
                          <w:bottom w:val="nil"/>
                        </w:tcBorders>
                      </w:tcPr>
                      <w:p w:rsidR="006F3267" w:rsidRDefault="006F3267" w:rsidP="0034446A">
                        <w:pPr>
                          <w:pStyle w:val="TableBodyText"/>
                        </w:pPr>
                      </w:p>
                    </w:tc>
                    <w:tc>
                      <w:tcPr>
                        <w:tcW w:w="3146" w:type="dxa"/>
                        <w:tcBorders>
                          <w:top w:val="single" w:sz="48" w:space="0" w:color="FFFFFF" w:themeColor="background1"/>
                          <w:bottom w:val="nil"/>
                        </w:tcBorders>
                      </w:tcPr>
                      <w:p w:rsidR="006F3267" w:rsidRDefault="006F3267" w:rsidP="0034446A">
                        <w:pPr>
                          <w:pStyle w:val="TableBodyText"/>
                        </w:pPr>
                      </w:p>
                    </w:tc>
                    <w:tc>
                      <w:tcPr>
                        <w:tcW w:w="151" w:type="dxa"/>
                        <w:tcBorders>
                          <w:top w:val="single" w:sz="48" w:space="0" w:color="FFFFFF" w:themeColor="background1"/>
                          <w:bottom w:val="nil"/>
                        </w:tcBorders>
                      </w:tcPr>
                      <w:p w:rsidR="006F3267" w:rsidRDefault="006F3267" w:rsidP="0034446A">
                        <w:pPr>
                          <w:pStyle w:val="TableBodyText"/>
                        </w:pPr>
                      </w:p>
                    </w:tc>
                    <w:tc>
                      <w:tcPr>
                        <w:tcW w:w="1359" w:type="dxa"/>
                        <w:tcBorders>
                          <w:top w:val="single" w:sz="48" w:space="0" w:color="FFFFFF" w:themeColor="background1"/>
                          <w:bottom w:val="nil"/>
                        </w:tcBorders>
                      </w:tcPr>
                      <w:p w:rsidR="006F3267" w:rsidRDefault="006F3267" w:rsidP="0034446A">
                        <w:pPr>
                          <w:pStyle w:val="TableBodyText"/>
                        </w:pPr>
                      </w:p>
                    </w:tc>
                    <w:tc>
                      <w:tcPr>
                        <w:tcW w:w="168" w:type="dxa"/>
                        <w:tcBorders>
                          <w:top w:val="single" w:sz="48" w:space="0" w:color="FFFFFF" w:themeColor="background1"/>
                          <w:bottom w:val="nil"/>
                        </w:tcBorders>
                      </w:tcPr>
                      <w:p w:rsidR="006F3267" w:rsidRDefault="006F3267" w:rsidP="0034446A">
                        <w:pPr>
                          <w:pStyle w:val="TableBodyText"/>
                        </w:pPr>
                      </w:p>
                    </w:tc>
                    <w:tc>
                      <w:tcPr>
                        <w:tcW w:w="1700" w:type="dxa"/>
                        <w:gridSpan w:val="2"/>
                        <w:tcBorders>
                          <w:top w:val="single" w:sz="48" w:space="0" w:color="FFFFFF" w:themeColor="background1"/>
                          <w:bottom w:val="nil"/>
                        </w:tcBorders>
                      </w:tcPr>
                      <w:p w:rsidR="006F3267" w:rsidRDefault="006F3267" w:rsidP="0034446A">
                        <w:pPr>
                          <w:pStyle w:val="TableBodyText"/>
                          <w:ind w:right="28"/>
                        </w:pPr>
                      </w:p>
                    </w:tc>
                  </w:tr>
                  <w:tr w:rsidR="006F3267" w:rsidTr="0034446A">
                    <w:trPr>
                      <w:gridAfter w:val="1"/>
                      <w:wAfter w:w="55" w:type="dxa"/>
                    </w:trPr>
                    <w:tc>
                      <w:tcPr>
                        <w:tcW w:w="1931" w:type="dxa"/>
                        <w:tcBorders>
                          <w:bottom w:val="single" w:sz="48" w:space="0" w:color="FFFFFF" w:themeColor="background1"/>
                          <w:right w:val="single" w:sz="48" w:space="0" w:color="FFFFFF" w:themeColor="background1"/>
                        </w:tcBorders>
                        <w:shd w:val="clear" w:color="auto" w:fill="B2D673" w:themeFill="accent3"/>
                      </w:tcPr>
                      <w:p w:rsidR="006F3267" w:rsidRPr="007C59FD" w:rsidRDefault="006F3267" w:rsidP="0034446A">
                        <w:pPr>
                          <w:pStyle w:val="TableBodyText"/>
                          <w:spacing w:before="80"/>
                          <w:ind w:left="113"/>
                          <w:jc w:val="left"/>
                          <w:rPr>
                            <w:b/>
                            <w:sz w:val="20"/>
                            <w:u w:val="single"/>
                          </w:rPr>
                        </w:pPr>
                        <w:r w:rsidRPr="007C59FD">
                          <w:rPr>
                            <w:b/>
                            <w:sz w:val="20"/>
                            <w:u w:val="single"/>
                          </w:rPr>
                          <w:t>Effective</w:t>
                        </w:r>
                      </w:p>
                      <w:p w:rsidR="006F3267" w:rsidRPr="00382075" w:rsidRDefault="006F3267" w:rsidP="0034446A">
                        <w:pPr>
                          <w:pStyle w:val="TableBodyText"/>
                          <w:spacing w:before="120"/>
                          <w:ind w:left="113"/>
                          <w:jc w:val="left"/>
                          <w:rPr>
                            <w:szCs w:val="18"/>
                          </w:rPr>
                        </w:pPr>
                        <w:r w:rsidRPr="007C59FD">
                          <w:rPr>
                            <w:sz w:val="20"/>
                          </w:rPr>
                          <w:t xml:space="preserve">The system should be effective in encouraging </w:t>
                        </w:r>
                        <w:r w:rsidRPr="007C59FD">
                          <w:rPr>
                            <w:i/>
                            <w:iCs/>
                            <w:sz w:val="20"/>
                          </w:rPr>
                          <w:t>additional</w:t>
                        </w:r>
                        <w:r w:rsidRPr="007C59FD">
                          <w:rPr>
                            <w:sz w:val="20"/>
                          </w:rPr>
                          <w:t xml:space="preserve"> ideas and in providing incentives that ensure knowledge is disseminated through the economy and community.</w:t>
                        </w:r>
                      </w:p>
                    </w:tc>
                    <w:tc>
                      <w:tcPr>
                        <w:tcW w:w="3234" w:type="dxa"/>
                        <w:gridSpan w:val="2"/>
                        <w:tcBorders>
                          <w:left w:val="single" w:sz="48" w:space="0" w:color="FFFFFF" w:themeColor="background1"/>
                          <w:bottom w:val="single" w:sz="48" w:space="0" w:color="FFFFFF" w:themeColor="background1"/>
                          <w:right w:val="single" w:sz="48" w:space="0" w:color="FFFFFF" w:themeColor="background1"/>
                        </w:tcBorders>
                        <w:shd w:val="clear" w:color="auto" w:fill="B2D673" w:themeFill="accent3"/>
                      </w:tcPr>
                      <w:p w:rsidR="006F3267" w:rsidRPr="007C59FD" w:rsidRDefault="006F3267" w:rsidP="0034446A">
                        <w:pPr>
                          <w:pStyle w:val="TableBodyText"/>
                          <w:framePr w:w="2155" w:hSpace="227" w:vSpace="181" w:wrap="around" w:vAnchor="text" w:hAnchor="page" w:xAlign="outside" w:y="1"/>
                          <w:spacing w:before="80"/>
                          <w:ind w:left="113"/>
                          <w:jc w:val="left"/>
                          <w:rPr>
                            <w:b/>
                            <w:sz w:val="20"/>
                            <w:u w:val="single"/>
                          </w:rPr>
                        </w:pPr>
                        <w:r w:rsidRPr="007C59FD">
                          <w:rPr>
                            <w:b/>
                            <w:sz w:val="20"/>
                            <w:u w:val="single"/>
                          </w:rPr>
                          <w:t>Efficient</w:t>
                        </w:r>
                      </w:p>
                      <w:p w:rsidR="006F3267" w:rsidRPr="00382075" w:rsidRDefault="006F3267" w:rsidP="0034446A">
                        <w:pPr>
                          <w:pStyle w:val="TableBodyText"/>
                          <w:spacing w:before="120"/>
                          <w:ind w:left="113"/>
                          <w:jc w:val="left"/>
                          <w:rPr>
                            <w:szCs w:val="18"/>
                          </w:rPr>
                        </w:pPr>
                        <w:r w:rsidRPr="007C59FD">
                          <w:rPr>
                            <w:sz w:val="20"/>
                          </w:rPr>
                          <w:t>The system should provide incentives for IP to be created at the lowest cost to society. This principle includes considering whether IP rights generate returns that are sufficient to encourage new ideas, the relative merits of public and private IP generation, and the longer-term effects on competition and innovation from granting IP rights.</w:t>
                        </w:r>
                      </w:p>
                    </w:tc>
                    <w:tc>
                      <w:tcPr>
                        <w:tcW w:w="1510" w:type="dxa"/>
                        <w:gridSpan w:val="2"/>
                        <w:tcBorders>
                          <w:left w:val="single" w:sz="48" w:space="0" w:color="FFFFFF" w:themeColor="background1"/>
                          <w:bottom w:val="single" w:sz="48" w:space="0" w:color="FFFFFF" w:themeColor="background1"/>
                          <w:right w:val="single" w:sz="48" w:space="0" w:color="FFFFFF" w:themeColor="background1"/>
                        </w:tcBorders>
                        <w:shd w:val="clear" w:color="auto" w:fill="B2D673" w:themeFill="accent3"/>
                      </w:tcPr>
                      <w:p w:rsidR="006F3267" w:rsidRPr="007C59FD" w:rsidRDefault="006F3267" w:rsidP="0034446A">
                        <w:pPr>
                          <w:pStyle w:val="TableBodyText"/>
                          <w:framePr w:w="2155" w:hSpace="227" w:vSpace="181" w:wrap="around" w:vAnchor="text" w:hAnchor="page" w:xAlign="outside" w:y="1"/>
                          <w:spacing w:before="80"/>
                          <w:ind w:left="113"/>
                          <w:jc w:val="left"/>
                          <w:rPr>
                            <w:b/>
                            <w:sz w:val="20"/>
                            <w:u w:val="single"/>
                          </w:rPr>
                        </w:pPr>
                        <w:r w:rsidRPr="007C59FD">
                          <w:rPr>
                            <w:b/>
                            <w:sz w:val="20"/>
                            <w:u w:val="single"/>
                          </w:rPr>
                          <w:t>Adaptable</w:t>
                        </w:r>
                      </w:p>
                      <w:p w:rsidR="006F3267" w:rsidRPr="00382075" w:rsidRDefault="006F3267" w:rsidP="0034446A">
                        <w:pPr>
                          <w:pStyle w:val="TableBodyText"/>
                          <w:spacing w:before="120"/>
                          <w:ind w:left="113"/>
                          <w:jc w:val="left"/>
                          <w:rPr>
                            <w:szCs w:val="18"/>
                          </w:rPr>
                        </w:pPr>
                        <w:r w:rsidRPr="007C59FD">
                          <w:rPr>
                            <w:sz w:val="20"/>
                          </w:rPr>
                          <w:t>The system should adapt to changes in economic conditions, technology, markets and costs of innovating</w:t>
                        </w:r>
                        <w:r w:rsidRPr="00663466">
                          <w:rPr>
                            <w:szCs w:val="18"/>
                          </w:rPr>
                          <w:t>.</w:t>
                        </w:r>
                      </w:p>
                    </w:tc>
                    <w:tc>
                      <w:tcPr>
                        <w:tcW w:w="1813" w:type="dxa"/>
                        <w:gridSpan w:val="2"/>
                        <w:tcBorders>
                          <w:left w:val="single" w:sz="48" w:space="0" w:color="FFFFFF" w:themeColor="background1"/>
                          <w:bottom w:val="single" w:sz="48" w:space="0" w:color="FFFFFF" w:themeColor="background1"/>
                        </w:tcBorders>
                        <w:shd w:val="clear" w:color="auto" w:fill="B2D673" w:themeFill="accent3"/>
                      </w:tcPr>
                      <w:p w:rsidR="006F3267" w:rsidRPr="007C59FD" w:rsidRDefault="006F3267" w:rsidP="0034446A">
                        <w:pPr>
                          <w:pStyle w:val="TableBodyText"/>
                          <w:framePr w:w="2155" w:hSpace="227" w:vSpace="181" w:wrap="around" w:vAnchor="text" w:hAnchor="page" w:xAlign="outside" w:y="1"/>
                          <w:spacing w:before="80"/>
                          <w:ind w:left="113"/>
                          <w:jc w:val="left"/>
                          <w:rPr>
                            <w:b/>
                            <w:sz w:val="20"/>
                            <w:u w:val="single"/>
                          </w:rPr>
                        </w:pPr>
                        <w:r w:rsidRPr="007C59FD">
                          <w:rPr>
                            <w:b/>
                            <w:sz w:val="20"/>
                            <w:u w:val="single"/>
                          </w:rPr>
                          <w:t>Accountable</w:t>
                        </w:r>
                      </w:p>
                      <w:p w:rsidR="006F3267" w:rsidRPr="00382075" w:rsidRDefault="006F3267" w:rsidP="0034446A">
                        <w:pPr>
                          <w:pStyle w:val="TableBodyText"/>
                          <w:spacing w:before="120"/>
                          <w:ind w:left="113"/>
                          <w:jc w:val="left"/>
                          <w:rPr>
                            <w:spacing w:val="-2"/>
                            <w:szCs w:val="18"/>
                          </w:rPr>
                        </w:pPr>
                        <w:r w:rsidRPr="007C59FD">
                          <w:rPr>
                            <w:spacing w:val="-2"/>
                            <w:sz w:val="20"/>
                          </w:rPr>
                          <w:t>The policies and institutions that govern the system, and the way that changes are made to them, need to be evidence-based, transparent, and reflect community values</w:t>
                        </w:r>
                        <w:r w:rsidRPr="00663466">
                          <w:rPr>
                            <w:spacing w:val="-2"/>
                            <w:szCs w:val="18"/>
                          </w:rPr>
                          <w:t>.</w:t>
                        </w:r>
                      </w:p>
                    </w:tc>
                  </w:tr>
                </w:tbl>
                <w:p w:rsidR="006F3267" w:rsidRDefault="006F3267" w:rsidP="0034446A">
                  <w:pPr>
                    <w:pStyle w:val="Figure"/>
                    <w:spacing w:before="60" w:after="60"/>
                  </w:pPr>
                </w:p>
              </w:tc>
            </w:tr>
          </w:tbl>
          <w:p w:rsidR="006F3267" w:rsidRDefault="006F3267" w:rsidP="0034446A">
            <w:pPr>
              <w:pStyle w:val="Figure"/>
            </w:pPr>
          </w:p>
        </w:tc>
      </w:tr>
      <w:tr w:rsidR="006F3267" w:rsidTr="0034446A">
        <w:trPr>
          <w:cantSplit/>
        </w:trPr>
        <w:tc>
          <w:tcPr>
            <w:tcW w:w="8771" w:type="dxa"/>
            <w:tcBorders>
              <w:top w:val="nil"/>
              <w:left w:val="nil"/>
              <w:bottom w:val="single" w:sz="6" w:space="0" w:color="78A22F"/>
              <w:right w:val="nil"/>
            </w:tcBorders>
            <w:shd w:val="clear" w:color="auto" w:fill="auto"/>
          </w:tcPr>
          <w:p w:rsidR="006F3267" w:rsidRDefault="006F3267" w:rsidP="0034446A">
            <w:pPr>
              <w:pStyle w:val="Figurespace"/>
            </w:pPr>
          </w:p>
        </w:tc>
      </w:tr>
      <w:tr w:rsidR="006F3267" w:rsidRPr="00C97730" w:rsidTr="0034446A">
        <w:trPr>
          <w:cantSplit/>
          <w:hidden/>
        </w:trPr>
        <w:tc>
          <w:tcPr>
            <w:tcW w:w="8771" w:type="dxa"/>
            <w:tcBorders>
              <w:top w:val="single" w:sz="6" w:space="0" w:color="78A22F"/>
              <w:left w:val="nil"/>
              <w:bottom w:val="nil"/>
              <w:right w:val="nil"/>
            </w:tcBorders>
            <w:shd w:val="clear" w:color="auto" w:fill="auto"/>
          </w:tcPr>
          <w:p w:rsidR="006F3267" w:rsidRPr="00C97730" w:rsidRDefault="006F3267" w:rsidP="0034446A">
            <w:pPr>
              <w:pStyle w:val="BoxSpaceBelow"/>
              <w:rPr>
                <w:rFonts w:ascii="Times New Roman" w:hAnsi="Times New Roman"/>
                <w:b/>
                <w:vanish/>
                <w:color w:val="FF00FF"/>
              </w:rPr>
            </w:pPr>
          </w:p>
        </w:tc>
      </w:tr>
    </w:tbl>
    <w:p w:rsidR="006F3267" w:rsidRPr="00FE3086" w:rsidRDefault="006F3267" w:rsidP="006F3267">
      <w:pPr>
        <w:pStyle w:val="BodyText"/>
      </w:pPr>
      <w:r>
        <w:t>But IP arrangements are not a blank slate. Many</w:t>
      </w:r>
      <w:r w:rsidRPr="00FE3086">
        <w:t xml:space="preserve"> aspects of Australia’s IP</w:t>
      </w:r>
      <w:r>
        <w:t> </w:t>
      </w:r>
      <w:r w:rsidRPr="00FE3086">
        <w:t xml:space="preserve">arrangements </w:t>
      </w:r>
      <w:r>
        <w:t xml:space="preserve">have come about, or been strengthened, to give effect to commitments in </w:t>
      </w:r>
      <w:r w:rsidRPr="00FE3086">
        <w:t>international agreements. These agreements</w:t>
      </w:r>
      <w:r>
        <w:t xml:space="preserve"> often</w:t>
      </w:r>
      <w:r w:rsidRPr="00FE3086">
        <w:t xml:space="preserve"> contain prescriptive obligations relating to key policy levers such as </w:t>
      </w:r>
      <w:r>
        <w:t xml:space="preserve">the </w:t>
      </w:r>
      <w:r w:rsidRPr="00FE3086">
        <w:t>du</w:t>
      </w:r>
      <w:r>
        <w:t>ration and scope of protection</w:t>
      </w:r>
      <w:r w:rsidR="00C72C55">
        <w:t>,</w:t>
      </w:r>
      <w:r>
        <w:t xml:space="preserve"> and </w:t>
      </w:r>
      <w:r w:rsidRPr="00FE3086">
        <w:t xml:space="preserve">significantly curtail </w:t>
      </w:r>
      <w:r>
        <w:t>Australia’s</w:t>
      </w:r>
      <w:r w:rsidRPr="00FE3086">
        <w:t xml:space="preserve"> capacity to change domestic policy arrangements.</w:t>
      </w:r>
    </w:p>
    <w:p w:rsidR="006F3267" w:rsidRDefault="006F3267" w:rsidP="006F3267">
      <w:pPr>
        <w:pStyle w:val="BodyText"/>
      </w:pPr>
      <w:r>
        <w:t>There are also practical constraints to independent IP policy</w:t>
      </w:r>
      <w:r>
        <w:noBreakHyphen/>
        <w:t xml:space="preserve">making. IP is a globally tradeable asset and Australia is a relatively small market. Significantly departing from the IP arrangements in other countries could frustrate Australia’s access to overseas innovations. </w:t>
      </w:r>
    </w:p>
    <w:p w:rsidR="006F3267" w:rsidRDefault="006F3267" w:rsidP="000034F5">
      <w:pPr>
        <w:pStyle w:val="BodyText"/>
        <w:keepNext/>
      </w:pPr>
      <w:r>
        <w:lastRenderedPageBreak/>
        <w:t>While these constraints may see Australia fall short of achieving a balance across all aspects of IP arrangements, the Commission has identified much we can do to progress reform. Doing so necessitates an approach that:</w:t>
      </w:r>
    </w:p>
    <w:p w:rsidR="006F3267" w:rsidRDefault="006F3267" w:rsidP="000034F5">
      <w:pPr>
        <w:pStyle w:val="ListBullet"/>
        <w:keepNext/>
      </w:pPr>
      <w:r>
        <w:t>examines reform opportunities within the limits imposed by our international obligations</w:t>
      </w:r>
    </w:p>
    <w:p w:rsidR="006F3267" w:rsidRDefault="006F3267" w:rsidP="000034F5">
      <w:pPr>
        <w:pStyle w:val="ListBullet"/>
        <w:keepNext/>
      </w:pPr>
      <w:r>
        <w:t xml:space="preserve">embeds institutional and governance arrangements that promote transparent, informed and coherent policy outcomes </w:t>
      </w:r>
    </w:p>
    <w:p w:rsidR="006F3267" w:rsidRDefault="006F3267" w:rsidP="000034F5">
      <w:pPr>
        <w:pStyle w:val="ListBullet"/>
        <w:keepNext/>
      </w:pPr>
      <w:r>
        <w:t>advocates for multilateral change where the stakes are sufficiently high.</w:t>
      </w:r>
    </w:p>
    <w:p w:rsidR="006F3267" w:rsidRDefault="006F3267" w:rsidP="006F3267">
      <w:pPr>
        <w:pStyle w:val="BodyText"/>
      </w:pPr>
      <w:r>
        <w:t xml:space="preserve">It also requires a dedicated reform champion with resolve to pursue change in the face of strong vested interests. </w:t>
      </w:r>
    </w:p>
    <w:p w:rsidR="006F3267" w:rsidRDefault="006F3267" w:rsidP="006F3267">
      <w:pPr>
        <w:pStyle w:val="Heading2"/>
      </w:pPr>
      <w:r>
        <w:rPr>
          <w:noProof/>
        </w:rPr>
        <w:t>2</w:t>
      </w:r>
      <w:r>
        <w:tab/>
        <w:t xml:space="preserve">Copy(not)right — looking at the evidence </w:t>
      </w:r>
    </w:p>
    <w:p w:rsidR="006F3267" w:rsidRPr="009D45A3" w:rsidRDefault="006F3267" w:rsidP="006F3267">
      <w:pPr>
        <w:pStyle w:val="BodyText"/>
      </w:pPr>
      <w:r w:rsidRPr="009D45A3">
        <w:t>Copyright protects the material expression of literary, dramatic, artistic and musical works, as well as books, photographs, sound recordings, films and broadcasts.</w:t>
      </w:r>
    </w:p>
    <w:p w:rsidR="006F3267" w:rsidRDefault="006F3267" w:rsidP="006F3267">
      <w:pPr>
        <w:pStyle w:val="BodyText"/>
      </w:pPr>
      <w:r w:rsidRPr="009D45A3">
        <w:t>In addition to being instrumental in rewarding creative and artistic endeavour, many creators value the recognition that the copyright system provides. It does so by granting creators the exclusive right to reproduce or adapt their work in material form, as well as to</w:t>
      </w:r>
      <w:r w:rsidRPr="00817783">
        <w:t xml:space="preserve"> publish, perform, </w:t>
      </w:r>
      <w:r>
        <w:t xml:space="preserve">and </w:t>
      </w:r>
      <w:r w:rsidRPr="00817783">
        <w:t xml:space="preserve">communicate </w:t>
      </w:r>
      <w:r>
        <w:t xml:space="preserve">their work </w:t>
      </w:r>
      <w:r w:rsidRPr="00817783">
        <w:t>to the public. Exercise of these rights is commonly licen</w:t>
      </w:r>
      <w:r w:rsidR="000034F5">
        <w:t>s</w:t>
      </w:r>
      <w:r w:rsidRPr="00817783">
        <w:t>ed to intermediaries, such as publishers, record companies, film studios, broadcas</w:t>
      </w:r>
      <w:r w:rsidR="005052F2">
        <w:t>ters, and copyright collecting societies</w:t>
      </w:r>
      <w:r w:rsidRPr="00817783">
        <w:t>.</w:t>
      </w:r>
    </w:p>
    <w:p w:rsidR="006F3267" w:rsidRDefault="006F3267" w:rsidP="006F3267">
      <w:pPr>
        <w:pStyle w:val="BodyText"/>
      </w:pPr>
      <w:r>
        <w:t>However, c</w:t>
      </w:r>
      <w:r w:rsidRPr="005F067A">
        <w:t>opyright</w:t>
      </w:r>
      <w:r>
        <w:t xml:space="preserve"> protection in Australia</w:t>
      </w:r>
      <w:r w:rsidRPr="005F067A">
        <w:t xml:space="preserve"> </w:t>
      </w:r>
      <w:r>
        <w:t xml:space="preserve">suffers from a number of shortcomings. It </w:t>
      </w:r>
      <w:r w:rsidRPr="005F067A">
        <w:t xml:space="preserve">is </w:t>
      </w:r>
      <w:r>
        <w:t>overly broad, applying equally</w:t>
      </w:r>
      <w:r w:rsidRPr="005F067A">
        <w:t xml:space="preserve"> to</w:t>
      </w:r>
      <w:r>
        <w:t>:</w:t>
      </w:r>
      <w:r w:rsidRPr="005F067A">
        <w:t xml:space="preserve"> commercial and non</w:t>
      </w:r>
      <w:r>
        <w:noBreakHyphen/>
      </w:r>
      <w:r w:rsidRPr="005F067A">
        <w:t>commercial works</w:t>
      </w:r>
      <w:r>
        <w:t>; works with very low levels of creative input</w:t>
      </w:r>
      <w:r w:rsidR="00935FF5">
        <w:t>;</w:t>
      </w:r>
      <w:r>
        <w:t xml:space="preserve"> </w:t>
      </w:r>
      <w:r w:rsidR="00935FF5">
        <w:t>works</w:t>
      </w:r>
      <w:r w:rsidRPr="005F067A">
        <w:t xml:space="preserve"> that are no longer being supplied to the market</w:t>
      </w:r>
      <w:r>
        <w:t>;</w:t>
      </w:r>
      <w:r w:rsidRPr="005F067A">
        <w:t xml:space="preserve"> and works where ownership can no longer be identified. </w:t>
      </w:r>
      <w:r>
        <w:t>Further, c</w:t>
      </w:r>
      <w:r w:rsidRPr="005F067A">
        <w:t xml:space="preserve">opyright </w:t>
      </w:r>
      <w:r>
        <w:t xml:space="preserve">does not </w:t>
      </w:r>
      <w:r w:rsidRPr="005F067A">
        <w:t>target those works where ‘freeriding’ by users would undermine incentives to create</w:t>
      </w:r>
      <w:r>
        <w:t xml:space="preserve"> new works</w:t>
      </w:r>
      <w:r w:rsidRPr="005F067A">
        <w:t xml:space="preserve">. </w:t>
      </w:r>
      <w:r>
        <w:t>As such, Australia’s copyright arrangements are skewed too far in favour of copyright owners to the detriment of consumers and intermediate users.</w:t>
      </w:r>
    </w:p>
    <w:p w:rsidR="006F3267" w:rsidRDefault="006F3267" w:rsidP="006F3267">
      <w:pPr>
        <w:pStyle w:val="BodyText"/>
      </w:pPr>
      <w:r w:rsidDel="00FF7A2D">
        <w:t>Despite many claims to the contrary, the Commission is not recommending any changes to the length of copyright term — doing so</w:t>
      </w:r>
      <w:r w:rsidRPr="005E1AB6" w:rsidDel="00FF7A2D">
        <w:t xml:space="preserve"> would require </w:t>
      </w:r>
      <w:r>
        <w:t>amendments to</w:t>
      </w:r>
      <w:r w:rsidRPr="005E1AB6" w:rsidDel="00FF7A2D">
        <w:t xml:space="preserve"> international agreements such as </w:t>
      </w:r>
      <w:r w:rsidDel="00FF7A2D">
        <w:t xml:space="preserve">the </w:t>
      </w:r>
      <w:r w:rsidRPr="005E1AB6" w:rsidDel="00FF7A2D">
        <w:t xml:space="preserve">Berne </w:t>
      </w:r>
      <w:r w:rsidRPr="0020797E" w:rsidDel="00FF7A2D">
        <w:t xml:space="preserve">Convention, TRIPS </w:t>
      </w:r>
      <w:r w:rsidRPr="005E1AB6" w:rsidDel="00FF7A2D">
        <w:t xml:space="preserve">and </w:t>
      </w:r>
      <w:proofErr w:type="spellStart"/>
      <w:r w:rsidRPr="005E1AB6" w:rsidDel="00FF7A2D">
        <w:t>AUSFTA</w:t>
      </w:r>
      <w:proofErr w:type="spellEnd"/>
      <w:r w:rsidDel="00FF7A2D">
        <w:t xml:space="preserve">. </w:t>
      </w:r>
      <w:r>
        <w:t xml:space="preserve">But even within the limits of these agreements, there is scope to do more. </w:t>
      </w:r>
    </w:p>
    <w:p w:rsidR="006F3267" w:rsidRDefault="006F3267" w:rsidP="006F3267">
      <w:pPr>
        <w:pStyle w:val="Heading3"/>
      </w:pPr>
      <w:r>
        <w:t>Overly long term reduces community access to valuable works</w:t>
      </w:r>
    </w:p>
    <w:p w:rsidR="006F3267" w:rsidRDefault="006F3267" w:rsidP="006F3267">
      <w:pPr>
        <w:pStyle w:val="BodyText"/>
      </w:pPr>
      <w:r>
        <w:t xml:space="preserve">Copyright protects literary, musical, dramatic and artistic works for the duration of the creator’s life plus 70 years, sound recordings and films for 70 years, television and sound broadcasts for 50 years, and published editions for 25 years. </w:t>
      </w:r>
      <w:r w:rsidRPr="008928B5">
        <w:t xml:space="preserve">To provide a concrete </w:t>
      </w:r>
      <w:r w:rsidRPr="008928B5">
        <w:lastRenderedPageBreak/>
        <w:t>example, a ne</w:t>
      </w:r>
      <w:r>
        <w:t>w work produced in 2016 by a 35 </w:t>
      </w:r>
      <w:r w:rsidRPr="008928B5">
        <w:t>yea</w:t>
      </w:r>
      <w:r>
        <w:t>r old author who lives until 85 </w:t>
      </w:r>
      <w:r w:rsidRPr="008928B5">
        <w:t xml:space="preserve">years </w:t>
      </w:r>
      <w:r>
        <w:t xml:space="preserve">of age </w:t>
      </w:r>
      <w:r w:rsidRPr="008928B5">
        <w:t xml:space="preserve">will be </w:t>
      </w:r>
      <w:r>
        <w:t>protected</w:t>
      </w:r>
      <w:r w:rsidRPr="008928B5">
        <w:t xml:space="preserve"> until 2136.</w:t>
      </w:r>
    </w:p>
    <w:p w:rsidR="006F3267" w:rsidRPr="005E1AB6" w:rsidRDefault="006F3267" w:rsidP="006F3267">
      <w:pPr>
        <w:pStyle w:val="BodyText"/>
      </w:pPr>
      <w:r>
        <w:t xml:space="preserve">Evidence (and logic) suggests copyright protection lasts far longer than is needed. Few, if any, creators are motivated by the promise of financial returns long after death, particularly when the commercial life </w:t>
      </w:r>
      <w:r w:rsidRPr="00554C1A">
        <w:t xml:space="preserve">of </w:t>
      </w:r>
      <w:r w:rsidRPr="009E165A">
        <w:t>most</w:t>
      </w:r>
      <w:r>
        <w:t xml:space="preserve"> copyright material is less than 5 years. Studies have found that a term of around 25 years enables rights holders to generate revenue </w:t>
      </w:r>
      <w:r w:rsidRPr="00F97E21">
        <w:rPr>
          <w:i/>
        </w:rPr>
        <w:t>comparable</w:t>
      </w:r>
      <w:r>
        <w:t xml:space="preserve"> to what they would receive in perpetuity (in present value terms). Of course, some very successful works have commercial lives well beyond a few years, as repeatedly cited by inquiry participants in submissions and public hearings. But it remains the case that these are exceptions to the norm.</w:t>
      </w:r>
    </w:p>
    <w:p w:rsidR="006F3267" w:rsidRDefault="006F3267" w:rsidP="006F3267">
      <w:pPr>
        <w:pStyle w:val="BodyText"/>
      </w:pPr>
      <w:r>
        <w:t>While some copyright holders claim that there are few, if any, costs associated with excessive term, this has not been borne out in practice. Many</w:t>
      </w:r>
      <w:r w:rsidRPr="005E2B2D">
        <w:t xml:space="preserve"> works becom</w:t>
      </w:r>
      <w:r>
        <w:t>e</w:t>
      </w:r>
      <w:r w:rsidRPr="005E2B2D">
        <w:t xml:space="preserve"> commercially unavailable</w:t>
      </w:r>
      <w:r>
        <w:t xml:space="preserve"> during their period of copyright protection. Overly long copyright term perversely increases the likelihood and duration for which works are unavailable.</w:t>
      </w:r>
      <w:r w:rsidRPr="005E2B2D">
        <w:t xml:space="preserve"> Demand for works that have been created, but are not </w:t>
      </w:r>
      <w:r>
        <w:t>being supplied while under copyright protection,</w:t>
      </w:r>
      <w:r w:rsidRPr="005E2B2D">
        <w:t xml:space="preserve"> reduces </w:t>
      </w:r>
      <w:r>
        <w:t>community</w:t>
      </w:r>
      <w:r w:rsidRPr="005E2B2D">
        <w:t xml:space="preserve"> </w:t>
      </w:r>
      <w:r>
        <w:t>welfare</w:t>
      </w:r>
      <w:r w:rsidRPr="005E2B2D">
        <w:t xml:space="preserve"> </w:t>
      </w:r>
      <w:r>
        <w:t>and returns to</w:t>
      </w:r>
      <w:r w:rsidRPr="005E2B2D">
        <w:t xml:space="preserve"> </w:t>
      </w:r>
      <w:r>
        <w:t xml:space="preserve">original rights holders and </w:t>
      </w:r>
      <w:r w:rsidRPr="005E2B2D">
        <w:t xml:space="preserve">potential new </w:t>
      </w:r>
      <w:r>
        <w:t>providers</w:t>
      </w:r>
      <w:r w:rsidRPr="005E2B2D">
        <w:t xml:space="preserve">. </w:t>
      </w:r>
      <w:r>
        <w:t>Nothing better exemplifies the costs of excessive copyright term than the fact that</w:t>
      </w:r>
      <w:r w:rsidRPr="005E2B2D">
        <w:t xml:space="preserve"> once copyright expires and works enter the public domain</w:t>
      </w:r>
      <w:r>
        <w:t>,</w:t>
      </w:r>
      <w:r w:rsidRPr="005E2B2D">
        <w:t xml:space="preserve"> many become commercially available </w:t>
      </w:r>
      <w:r>
        <w:t>again.</w:t>
      </w:r>
    </w:p>
    <w:p w:rsidR="006F3267" w:rsidRDefault="006F3267" w:rsidP="006F3267">
      <w:pPr>
        <w:pStyle w:val="BodyText"/>
      </w:pPr>
      <w:r>
        <w:t xml:space="preserve">Long periods of copyright protection, coupled with automatic application and no registration requirements, also result in ‘orphan works’ — works protected by copyright but unusable by consumers, libraries, and archives because the rights holder cannot be identified. </w:t>
      </w:r>
      <w:r w:rsidRPr="00897E95">
        <w:t xml:space="preserve">The existence of orphan works has become </w:t>
      </w:r>
      <w:r>
        <w:t>a greater</w:t>
      </w:r>
      <w:r w:rsidRPr="00897E95">
        <w:t xml:space="preserve"> issue as libraries and archives have sought </w:t>
      </w:r>
      <w:r>
        <w:t xml:space="preserve">to </w:t>
      </w:r>
      <w:r w:rsidRPr="00897E95">
        <w:t xml:space="preserve">make </w:t>
      </w:r>
      <w:r>
        <w:t xml:space="preserve">their collections </w:t>
      </w:r>
      <w:r w:rsidRPr="00897E95">
        <w:t>available online</w:t>
      </w:r>
      <w:r>
        <w:t>.</w:t>
      </w:r>
      <w:r w:rsidRPr="00897E95">
        <w:t xml:space="preserve"> The Australian National Film and So</w:t>
      </w:r>
      <w:r>
        <w:t>und Archive estimated as much as 20 </w:t>
      </w:r>
      <w:r w:rsidRPr="00897E95">
        <w:t>per</w:t>
      </w:r>
      <w:r>
        <w:t> </w:t>
      </w:r>
      <w:r w:rsidRPr="00897E95">
        <w:t xml:space="preserve">cent of its collection is orphaned or abandoned </w:t>
      </w:r>
      <w:r>
        <w:t>and</w:t>
      </w:r>
      <w:r w:rsidRPr="00897E95">
        <w:t xml:space="preserve"> highlight</w:t>
      </w:r>
      <w:r>
        <w:t>ed</w:t>
      </w:r>
      <w:r w:rsidRPr="00897E95">
        <w:t xml:space="preserve"> </w:t>
      </w:r>
      <w:r>
        <w:t>examples of projects that have been shelved, and opportunities to celebrate Australia’s heritage foregone, due to the time and expense of identifying the relevant rights holders.</w:t>
      </w:r>
    </w:p>
    <w:p w:rsidR="006F3267" w:rsidRDefault="006F3267" w:rsidP="006F3267">
      <w:pPr>
        <w:pStyle w:val="BodyText"/>
      </w:pPr>
      <w:r>
        <w:t xml:space="preserve">Governments and academics, here and overseas, continue to explore innovative options for promoting a better balance on copyright term. In the United States (US), for example, </w:t>
      </w:r>
      <w:r w:rsidRPr="0020797E">
        <w:t xml:space="preserve">the </w:t>
      </w:r>
      <w:r>
        <w:t xml:space="preserve">Register of </w:t>
      </w:r>
      <w:r w:rsidRPr="0020797E">
        <w:t>Copyrigh</w:t>
      </w:r>
      <w:r>
        <w:t>ts has publicly discussed the idea of requiring registration for rights holders to benefit from copyright term in excess of life plus 50 years (registration is already required to bring a court action for infringement</w:t>
      </w:r>
      <w:r w:rsidR="00620C3B">
        <w:t xml:space="preserve"> in the US</w:t>
      </w:r>
      <w:r>
        <w:t xml:space="preserve">). Such arrangements would </w:t>
      </w:r>
      <w:r w:rsidRPr="005E1AB6">
        <w:t xml:space="preserve">underscore the notion that </w:t>
      </w:r>
      <w:r w:rsidRPr="0020797E">
        <w:t>rights</w:t>
      </w:r>
      <w:r w:rsidRPr="005E1AB6">
        <w:t xml:space="preserve"> holders should face obligations </w:t>
      </w:r>
      <w:r w:rsidRPr="0020797E">
        <w:t>in order to benefit from protections</w:t>
      </w:r>
      <w:r>
        <w:t>.</w:t>
      </w:r>
    </w:p>
    <w:p w:rsidR="006F3267" w:rsidRDefault="006F3267" w:rsidP="006F3267">
      <w:pPr>
        <w:pStyle w:val="Heading3"/>
      </w:pPr>
      <w:r>
        <w:t>A fairer system of user rights</w:t>
      </w:r>
    </w:p>
    <w:p w:rsidR="006F3267" w:rsidRDefault="006F3267" w:rsidP="006F3267">
      <w:pPr>
        <w:pStyle w:val="BodyText"/>
      </w:pPr>
      <w:r>
        <w:t xml:space="preserve">Australia’s current limited exceptions, fair dealing being the most well-known, do little to restore the copyright balance. </w:t>
      </w:r>
    </w:p>
    <w:p w:rsidR="006F3267" w:rsidRDefault="006F3267" w:rsidP="006F3267">
      <w:pPr>
        <w:pStyle w:val="BodyText"/>
      </w:pPr>
      <w:r>
        <w:lastRenderedPageBreak/>
        <w:t xml:space="preserve">Australia’s exceptions are too narrow and prescriptive, do not reflect the way people today consume and use content, and do not readily accommodate new legitimate uses of copyright material. Legislative change is required to expand the categories of use deemed to be fair. Even when this occurs, changes have simply ‘caught up’ with existing community practice — </w:t>
      </w:r>
      <w:r w:rsidRPr="000A32BC">
        <w:t>Australia did not legalise the wide-spread practice of home VCR recording until as late as 2006</w:t>
      </w:r>
      <w:r>
        <w:t xml:space="preserve">, by which time most VCRs were household relics. Universities Australia summarised the extent of the problem: </w:t>
      </w:r>
    </w:p>
    <w:p w:rsidR="006F3267" w:rsidRDefault="006F3267" w:rsidP="006F3267">
      <w:pPr>
        <w:pStyle w:val="Quote"/>
      </w:pPr>
      <w:r>
        <w:t>After 20 years of reviews that have considered this question, the evidence is in: Australia’s existing inflexible, purpose-based copyright exceptions are no longer fit for purpose. They are holding Australia back, not just in our universities and schools, but also in our digital industries. Innovative and useful technologies, and new ways of using content in socially beneficial ways, automatically infringe copyright in Australia unless their use falls within one of the existing narrow, purpose-based exceptions. (sub. </w:t>
      </w:r>
      <w:proofErr w:type="spellStart"/>
      <w:r>
        <w:t>DR453</w:t>
      </w:r>
      <w:proofErr w:type="spellEnd"/>
      <w:r>
        <w:t>, p. 1)</w:t>
      </w:r>
    </w:p>
    <w:p w:rsidR="006F3267" w:rsidRDefault="006F3267" w:rsidP="006F3267">
      <w:pPr>
        <w:pStyle w:val="BodyText"/>
      </w:pPr>
      <w:r>
        <w:t xml:space="preserve">Australia’s narrow purpose-based exceptions should be replaced with a principles-based, </w:t>
      </w:r>
      <w:r>
        <w:rPr>
          <w:iCs/>
        </w:rPr>
        <w:t>fair </w:t>
      </w:r>
      <w:r w:rsidRPr="006F63D1">
        <w:rPr>
          <w:iCs/>
        </w:rPr>
        <w:t>use</w:t>
      </w:r>
      <w:r>
        <w:t xml:space="preserve"> exception, similar to the well-established system operating in the US and other countries. As part of modernising its copyright arrangements, Israel recently adopted fair use to enable better access to copyright material ‘for the advancement of culture and knowledge’. Fair use would similarly allow Australia’s copyright arrangements to adapt to new circumstances, technologies, and uses over time. </w:t>
      </w:r>
    </w:p>
    <w:p w:rsidR="006F3267" w:rsidRDefault="006F3267" w:rsidP="006F3267">
      <w:pPr>
        <w:pStyle w:val="BodyText"/>
      </w:pPr>
      <w:r>
        <w:t xml:space="preserve">Some inquiry participants suggested that the benefits from fair use are largely academic because, although current exceptions do not reflect how people use copyright material in the digital age, rights holders do not pursue infringements for ‘ordinary’ uses. </w:t>
      </w:r>
      <w:r w:rsidRPr="00A932D5">
        <w:t>The example of teenagers sampling music and videos to make mash ups was raised more than once.</w:t>
      </w:r>
      <w:r>
        <w:t xml:space="preserve"> </w:t>
      </w:r>
    </w:p>
    <w:p w:rsidR="006F3267" w:rsidRDefault="006F3267" w:rsidP="006F3267">
      <w:pPr>
        <w:pStyle w:val="BodyText"/>
      </w:pPr>
      <w:r>
        <w:t>But the opportunities Australian businesses and consumers forego because of the current inflexible exceptions are much more extensive. Participants argued that Australia’s current exceptions frustrate the efforts of online business</w:t>
      </w:r>
      <w:r w:rsidR="00D36B93">
        <w:t>es</w:t>
      </w:r>
      <w:r>
        <w:t xml:space="preserve"> seeking to provide cloud computing solutions, prevent medical and scientific researchers from taking full advantage of text and data mining</w:t>
      </w:r>
      <w:r w:rsidR="00D36B93">
        <w:t>,</w:t>
      </w:r>
      <w:r>
        <w:t xml:space="preserve"> and limit universities from offering flexible Massive Open Online Courses. The education sector has also indicated that fair use would avoid the current perverse situation where Australian schools </w:t>
      </w:r>
      <w:r w:rsidRPr="00113C07">
        <w:t xml:space="preserve">pay millions of dollars each year to use materials </w:t>
      </w:r>
      <w:r>
        <w:t xml:space="preserve">that are </w:t>
      </w:r>
      <w:r w:rsidRPr="00113C07">
        <w:t xml:space="preserve">freely available </w:t>
      </w:r>
      <w:r>
        <w:t>online</w:t>
      </w:r>
      <w:r w:rsidRPr="00113C07">
        <w:t xml:space="preserve">. </w:t>
      </w:r>
    </w:p>
    <w:p w:rsidR="006F3267" w:rsidRDefault="006F3267" w:rsidP="006F3267">
      <w:pPr>
        <w:pStyle w:val="BodyText"/>
      </w:pPr>
      <w:r w:rsidRPr="007F3934">
        <w:t xml:space="preserve">Recent analysis undertaken by </w:t>
      </w:r>
      <w:proofErr w:type="spellStart"/>
      <w:r w:rsidRPr="007F3934">
        <w:t>EY</w:t>
      </w:r>
      <w:proofErr w:type="spellEnd"/>
      <w:r w:rsidRPr="007F3934">
        <w:t xml:space="preserve"> for the Australian Government assessed the benefits and costs of introducing a broad US-style fair use exception, </w:t>
      </w:r>
      <w:r w:rsidR="00D36B93">
        <w:t xml:space="preserve">and </w:t>
      </w:r>
      <w:r w:rsidRPr="007F3934">
        <w:t>conclud</w:t>
      </w:r>
      <w:r w:rsidR="00D36B93">
        <w:t xml:space="preserve">ed </w:t>
      </w:r>
      <w:r w:rsidRPr="007F3934">
        <w:t xml:space="preserve">that adoption of fair use in Australia would be a net benefit to the Australian community. While intrinsically difficult to assess, the analysis (unlike others commissioned by inquiry participants) </w:t>
      </w:r>
      <w:r w:rsidR="0098411F">
        <w:t>examined</w:t>
      </w:r>
      <w:r w:rsidRPr="007F3934">
        <w:t xml:space="preserve"> the impact of fair use on Australian consumers and the broader community, users of copyright material </w:t>
      </w:r>
      <w:r>
        <w:t>such as</w:t>
      </w:r>
      <w:r w:rsidRPr="007F3934">
        <w:t xml:space="preserve"> schools and libraries, and rights holders. Some aspects of fair use offer larger gains, </w:t>
      </w:r>
      <w:r>
        <w:t>including</w:t>
      </w:r>
      <w:r w:rsidRPr="007F3934">
        <w:t xml:space="preserve"> education and government use, and improved community access to orphan works. Other changes reduce uncertainty for consumers and business</w:t>
      </w:r>
      <w:r>
        <w:t>es</w:t>
      </w:r>
      <w:r w:rsidRPr="007F3934">
        <w:t>, improving Australia’s innovation environment.</w:t>
      </w:r>
    </w:p>
    <w:p w:rsidR="006F3267" w:rsidRDefault="006F3267" w:rsidP="006F3267">
      <w:pPr>
        <w:pStyle w:val="BodyText"/>
      </w:pPr>
      <w:r>
        <w:lastRenderedPageBreak/>
        <w:t>Rights holders have argued against the adoption of fair use in Australia. They claim that by design, fair use is imprecise and would create significant legal uncertainty for both rights holders and users</w:t>
      </w:r>
      <w:r w:rsidR="0098411F">
        <w:t>.</w:t>
      </w:r>
      <w:r>
        <w:t xml:space="preserve"> </w:t>
      </w:r>
      <w:r w:rsidR="0098411F">
        <w:t>Initial uncertainty</w:t>
      </w:r>
      <w:r>
        <w:t xml:space="preserve"> is not a compelling reason to eschew a fair use exception, especially if it serves to preserve poor policy outcomes. Australia’s current exceptions are themselves subject to legal uncertainty, and evidence suggests that fair use cases, as shown in the US, are more predictable than rights holders argue. Moreover, courts routinely apply principles-based law to new cases, such as in consumer and employment law, updating case law when the circumstances warrant doing so. </w:t>
      </w:r>
    </w:p>
    <w:p w:rsidR="006F3267" w:rsidRDefault="006F3267" w:rsidP="006F3267">
      <w:pPr>
        <w:pStyle w:val="BodyText"/>
      </w:pPr>
      <w:r>
        <w:t xml:space="preserve">And over time, both rights holders and users will become increasingly comfortable with making judgements about when uses of copyright material are likely to be fair. Where the courts are called on to determine whether a new use </w:t>
      </w:r>
      <w:r w:rsidR="003E2FE9">
        <w:t>is</w:t>
      </w:r>
      <w:r>
        <w:t xml:space="preserve"> fair, legislation would require that they be guided by four fairness factors:</w:t>
      </w:r>
    </w:p>
    <w:p w:rsidR="006F3267" w:rsidRPr="005B2C92" w:rsidRDefault="006F3267" w:rsidP="006F3267">
      <w:pPr>
        <w:pStyle w:val="ListBullet"/>
      </w:pPr>
      <w:r>
        <w:t>the purpose and character of the use</w:t>
      </w:r>
    </w:p>
    <w:p w:rsidR="006F3267" w:rsidRPr="005B2C92" w:rsidRDefault="006F3267" w:rsidP="006F3267">
      <w:pPr>
        <w:pStyle w:val="ListBullet"/>
      </w:pPr>
      <w:r>
        <w:t>the nature of the copyright material</w:t>
      </w:r>
    </w:p>
    <w:p w:rsidR="006F3267" w:rsidRPr="005B2C92" w:rsidRDefault="006F3267" w:rsidP="006F3267">
      <w:pPr>
        <w:pStyle w:val="ListBullet"/>
      </w:pPr>
      <w:r>
        <w:t>the amount and substantiality of the part used</w:t>
      </w:r>
    </w:p>
    <w:p w:rsidR="006F3267" w:rsidRPr="005B2C92" w:rsidRDefault="006F3267" w:rsidP="006F3267">
      <w:pPr>
        <w:pStyle w:val="ListBullet"/>
      </w:pPr>
      <w:r>
        <w:t>the effect of the use upon the potential market for, or value of, the copyright material.</w:t>
      </w:r>
    </w:p>
    <w:p w:rsidR="006F3267" w:rsidRDefault="006F3267" w:rsidP="006F3267">
      <w:pPr>
        <w:pStyle w:val="BodyText"/>
      </w:pPr>
      <w:r>
        <w:t>Rights holders also argued fair use would significantly reduce their incentives to create and invest in new works, holding up Canada as an example. Some have proclaimed that fair use will equate with ‘free use’, particularly by the education sector. But these concerns are ill-founded and premised on flawed (and self-interested) assumptions. Changes in Canada’s publishing industry had little to do with copyright exceptions (where fair dealing still prevails) and more to do with other market factors. Notably, the Australian education sector has repeatedly made clear that fair use would coexist with the current education statutory licence scheme.</w:t>
      </w:r>
    </w:p>
    <w:p w:rsidR="006F3267" w:rsidRDefault="006F3267" w:rsidP="006F3267">
      <w:pPr>
        <w:pStyle w:val="BodyText"/>
      </w:pPr>
      <w:r>
        <w:t>Indeed, rather than ignore the interests of rights holders, under fair use the effect on the rights holder is one of the factors to be considered. Where a use of copyright material harms a rights holder, the use is less likely to be</w:t>
      </w:r>
      <w:r w:rsidR="005D74C8">
        <w:t xml:space="preserve"> considered</w:t>
      </w:r>
      <w:r>
        <w:t xml:space="preserve"> fair. In the US, where fair use is long established, creative industries thrive.</w:t>
      </w:r>
    </w:p>
    <w:p w:rsidR="006F3267" w:rsidRDefault="006F3267" w:rsidP="006F3267">
      <w:pPr>
        <w:pStyle w:val="BodyText"/>
      </w:pPr>
      <w:r>
        <w:t>In addition to the fairness factors above, uncertainty would be further limited by including a non</w:t>
      </w:r>
      <w:r>
        <w:noBreakHyphen/>
        <w:t>exhaustive list of illustrative fair uses to guide rights holders and users. By drafting the fairness factors to closely follow the wording of Australia’s existing fair dealing exceptions, as well as the wording of fair use overseas, existing Australian and foreign case law (particularly from the US where fair use has operated for some time) would provide an additional source of guidance. The use of foreign case law to reduce uncertainty was a key factor in Israel’s successful implementation and transition to a fair use regime. Among heavy users of copyright material, such as education and government users, as well as those in the creative sector, the Commission notes the abundance of guidelines developed collaboratively to further assist users in how to make judgements.</w:t>
      </w:r>
    </w:p>
    <w:p w:rsidR="006F3267" w:rsidRDefault="006F3267" w:rsidP="006F3267">
      <w:pPr>
        <w:pStyle w:val="Heading3"/>
      </w:pPr>
      <w:r>
        <w:lastRenderedPageBreak/>
        <w:t xml:space="preserve">Making it easier for users to access legitimate content </w:t>
      </w:r>
    </w:p>
    <w:p w:rsidR="006F3267" w:rsidRDefault="006F3267" w:rsidP="006F3267">
      <w:pPr>
        <w:pStyle w:val="BodyText"/>
      </w:pPr>
      <w:r>
        <w:t>Rights holders and consumer organisations raised concerns about online copyright infringement. Some see Australia’s efforts to curb unauthorised downloading as woefully inadequate; others consider existing steps as overreach. Arguments made in submissions reflect the polarised stance on this issue.</w:t>
      </w:r>
    </w:p>
    <w:p w:rsidR="006F3267" w:rsidRDefault="006F3267" w:rsidP="006F3267">
      <w:pPr>
        <w:pStyle w:val="BodyText"/>
      </w:pPr>
      <w:r>
        <w:t>Research consistently demonstrates that timely and cost</w:t>
      </w:r>
      <w:r w:rsidR="00760E83">
        <w:t xml:space="preserve"> </w:t>
      </w:r>
      <w:r>
        <w:t>effective access to copyright</w:t>
      </w:r>
      <w:r>
        <w:noBreakHyphen/>
        <w:t>protected works is the best way for industry to reduce online copyright infringement. Therefore, in addition to implementing a new exception for fair use, the Commission is recommending making it easier for users to access legitimate copyright</w:t>
      </w:r>
      <w:r>
        <w:noBreakHyphen/>
        <w:t xml:space="preserve">protected content. </w:t>
      </w:r>
    </w:p>
    <w:p w:rsidR="006F3267" w:rsidRDefault="006F3267" w:rsidP="006F3267">
      <w:pPr>
        <w:pStyle w:val="Heading4"/>
      </w:pPr>
      <w:proofErr w:type="spellStart"/>
      <w:r>
        <w:t>Geoblocking</w:t>
      </w:r>
      <w:proofErr w:type="spellEnd"/>
    </w:p>
    <w:p w:rsidR="006F3267" w:rsidRDefault="006F3267" w:rsidP="006F3267">
      <w:pPr>
        <w:pStyle w:val="BodyText"/>
      </w:pPr>
      <w:proofErr w:type="spellStart"/>
      <w:r>
        <w:t>Geoblocking</w:t>
      </w:r>
      <w:proofErr w:type="spellEnd"/>
      <w:r>
        <w:t xml:space="preserve"> restricts a consumer’s access to digital products, enabling rights holders and intermediaries to segment the </w:t>
      </w:r>
      <w:proofErr w:type="spellStart"/>
      <w:r>
        <w:t>Internet</w:t>
      </w:r>
      <w:proofErr w:type="spellEnd"/>
      <w:r>
        <w:t xml:space="preserve"> into different markets and charge different prices (or offer different services) to consumers depending on their location.</w:t>
      </w:r>
    </w:p>
    <w:p w:rsidR="006F3267" w:rsidRDefault="006F3267" w:rsidP="006F3267">
      <w:pPr>
        <w:pStyle w:val="BodyText"/>
      </w:pPr>
      <w:r>
        <w:t xml:space="preserve">The use of </w:t>
      </w:r>
      <w:proofErr w:type="spellStart"/>
      <w:r>
        <w:t>geoblocking</w:t>
      </w:r>
      <w:proofErr w:type="spellEnd"/>
      <w:r>
        <w:t xml:space="preserve"> technology is pervasive, and frequently results in Australian consumers being offered a lower level of digital service (such as a more limited music or TV streaming catalogue) at a higher price than in overseas markets. Studies show Australian consumers systematically pay higher prices for professional software, music, games and e</w:t>
      </w:r>
      <w:r>
        <w:noBreakHyphen/>
        <w:t xml:space="preserve">books than consumers in comparable overseas markets. While some digital savvy consumers are able to avoid these costs (such as through the use of proxy servers and Virtual Private Networks), most pay inflated prices for lower standard services and some will ultimately infringe. </w:t>
      </w:r>
    </w:p>
    <w:p w:rsidR="006F3267" w:rsidRDefault="006F3267" w:rsidP="006F3267">
      <w:pPr>
        <w:pStyle w:val="BodyText"/>
      </w:pPr>
      <w:r>
        <w:t xml:space="preserve">The Australian Government should make clear that it is not an infringement of Australia’s copyright system for consumers to circumvent </w:t>
      </w:r>
      <w:proofErr w:type="spellStart"/>
      <w:r>
        <w:t>geoblocking</w:t>
      </w:r>
      <w:proofErr w:type="spellEnd"/>
      <w:r>
        <w:t xml:space="preserve"> technology and should avoid international obligations that would preclude such practices.</w:t>
      </w:r>
    </w:p>
    <w:p w:rsidR="006F3267" w:rsidRPr="00D13F6C" w:rsidRDefault="006F3267" w:rsidP="006F3267">
      <w:pPr>
        <w:pStyle w:val="Heading4"/>
      </w:pPr>
      <w:r w:rsidRPr="00D13F6C">
        <w:t xml:space="preserve">Parallel </w:t>
      </w:r>
      <w:r>
        <w:t>i</w:t>
      </w:r>
      <w:r w:rsidRPr="00D13F6C">
        <w:t xml:space="preserve">mportation of </w:t>
      </w:r>
      <w:r>
        <w:t>b</w:t>
      </w:r>
      <w:r w:rsidRPr="00D13F6C">
        <w:t>ooks</w:t>
      </w:r>
    </w:p>
    <w:p w:rsidR="006F3267" w:rsidRDefault="006F3267" w:rsidP="006F3267">
      <w:pPr>
        <w:pStyle w:val="BodyText"/>
      </w:pPr>
      <w:r w:rsidRPr="00560DE1">
        <w:t xml:space="preserve">Parallel import restrictions </w:t>
      </w:r>
      <w:r>
        <w:t>(</w:t>
      </w:r>
      <w:proofErr w:type="spellStart"/>
      <w:r>
        <w:t>PIRs</w:t>
      </w:r>
      <w:proofErr w:type="spellEnd"/>
      <w:r>
        <w:t xml:space="preserve">) </w:t>
      </w:r>
      <w:r w:rsidRPr="00560DE1">
        <w:t xml:space="preserve">on books are the </w:t>
      </w:r>
      <w:r>
        <w:t>physical</w:t>
      </w:r>
      <w:r w:rsidRPr="00560DE1">
        <w:t xml:space="preserve"> equivalent of </w:t>
      </w:r>
      <w:proofErr w:type="spellStart"/>
      <w:r w:rsidRPr="00560DE1">
        <w:t>geoblocking</w:t>
      </w:r>
      <w:proofErr w:type="spellEnd"/>
      <w:r w:rsidRPr="00560DE1">
        <w:t xml:space="preserve">. </w:t>
      </w:r>
      <w:r>
        <w:t>Except in limited cases, Australian booksellers are prevented from purchasing stock from lower priced suppliers overseas, but must purchase from an Australian publisher regardless of the price. This restriction applies to booksellers only — Australian consumers can purchase books themselves from overseas online retailers. The restrictions can put Australian booksellers</w:t>
      </w:r>
      <w:r w:rsidRPr="007F4472">
        <w:t xml:space="preserve"> </w:t>
      </w:r>
      <w:r>
        <w:t>at a competitive disadvantage, and result in those Australians unable to purchase online paying higher prices.</w:t>
      </w:r>
      <w:r w:rsidRPr="00FD784A">
        <w:t xml:space="preserve"> </w:t>
      </w:r>
    </w:p>
    <w:p w:rsidR="006F3267" w:rsidRDefault="006F3267" w:rsidP="006F3267">
      <w:pPr>
        <w:pStyle w:val="BodyText"/>
      </w:pPr>
      <w:r w:rsidRPr="00560DE1">
        <w:t>N</w:t>
      </w:r>
      <w:r>
        <w:t xml:space="preserve">o fewer than eight past </w:t>
      </w:r>
      <w:r w:rsidRPr="00560DE1">
        <w:t xml:space="preserve">reviews, including by the Commission, and most recently by the Harper Competition Policy </w:t>
      </w:r>
      <w:r>
        <w:t>Review</w:t>
      </w:r>
      <w:r w:rsidRPr="00560DE1">
        <w:t>, have recommended that prohibitions on parallel imports be repealed. The Australian Government support</w:t>
      </w:r>
      <w:r>
        <w:t>s</w:t>
      </w:r>
      <w:r w:rsidRPr="00560DE1">
        <w:t xml:space="preserve"> the removal of the restrictions </w:t>
      </w:r>
      <w:r w:rsidRPr="00560DE1">
        <w:lastRenderedPageBreak/>
        <w:t xml:space="preserve">and agreed to progress this reform subject to the </w:t>
      </w:r>
      <w:r>
        <w:t>recommendations</w:t>
      </w:r>
      <w:r w:rsidRPr="00560DE1">
        <w:t xml:space="preserve"> of this inquiry</w:t>
      </w:r>
      <w:r>
        <w:t xml:space="preserve"> regarding transitional issues</w:t>
      </w:r>
      <w:r w:rsidRPr="00560DE1">
        <w:t xml:space="preserve">. </w:t>
      </w:r>
    </w:p>
    <w:p w:rsidR="006F3267" w:rsidRDefault="006F3267" w:rsidP="006F3267">
      <w:pPr>
        <w:pStyle w:val="BodyText"/>
      </w:pPr>
      <w:r w:rsidRPr="007D3629">
        <w:t xml:space="preserve">In responding to a range of false claims and flawed analyses made by participants, the Commission has undertaken a comprehensive analysis of book prices, comparing the price of over 1000 like-for-like titles sold in Australia and the UK (and 400 in Australia and the US). Over three quarters of the books in the sample were more expensive in Australia than the UK, with Australian prices around 20 per cent higher. </w:t>
      </w:r>
      <w:r>
        <w:t>Under reasonable assumptions regarding discounting and freight costs, the Commission estimates the benefits to Australians from repealing the restrictions could be around $25 million per year.</w:t>
      </w:r>
    </w:p>
    <w:p w:rsidR="006F3267" w:rsidRDefault="006F3267" w:rsidP="006F3267">
      <w:pPr>
        <w:pStyle w:val="BodyText"/>
        <w:keepNext/>
      </w:pPr>
      <w:r>
        <w:t>The publishing industry has stridently opposed the removal of the restrictions. In doing so it has put forth a number of (often contradictory) arguments, including that the:</w:t>
      </w:r>
    </w:p>
    <w:p w:rsidR="006F3267" w:rsidRDefault="006F3267" w:rsidP="006F3267">
      <w:pPr>
        <w:pStyle w:val="ListBullet"/>
      </w:pPr>
      <w:r>
        <w:t>restrictions do not raise the price of books in Australia, but at the same time are crucial to supporting the production of Australian literature (which would require a premium on Australian book prices)</w:t>
      </w:r>
    </w:p>
    <w:p w:rsidR="006F3267" w:rsidRDefault="006F3267" w:rsidP="006F3267">
      <w:pPr>
        <w:pStyle w:val="ListBullet"/>
      </w:pPr>
      <w:r>
        <w:t xml:space="preserve">price of Australian books is competitive with those in the US and UK, yet removal of </w:t>
      </w:r>
      <w:proofErr w:type="spellStart"/>
      <w:r>
        <w:t>PIRs</w:t>
      </w:r>
      <w:proofErr w:type="spellEnd"/>
      <w:r>
        <w:t xml:space="preserve"> would result in importation of cheaper books and the demise of local publishing</w:t>
      </w:r>
    </w:p>
    <w:p w:rsidR="006F3267" w:rsidRDefault="006F3267" w:rsidP="006F3267">
      <w:pPr>
        <w:pStyle w:val="ListBullet"/>
      </w:pPr>
      <w:r>
        <w:t>removal of the restrictions would unduly harm local authors</w:t>
      </w:r>
      <w:r w:rsidR="00760E83">
        <w:t>. Y</w:t>
      </w:r>
      <w:r>
        <w:t xml:space="preserve">et the </w:t>
      </w:r>
      <w:r w:rsidR="00760E83">
        <w:t xml:space="preserve">Commission has found the </w:t>
      </w:r>
      <w:r>
        <w:t>benefits of the restrictions are overwhelmingly enjoyed by global publishers and offshore authors.</w:t>
      </w:r>
    </w:p>
    <w:p w:rsidR="006F3267" w:rsidRDefault="006F3267" w:rsidP="006F3267">
      <w:pPr>
        <w:pStyle w:val="BodyText"/>
      </w:pPr>
      <w:r>
        <w:t xml:space="preserve">The Commission found arguments about the role of publishers in supporting local authors particularly unconvincing. In order for this to occur, publishers would need to charge higher prices (which they deny) and channel the revenues from these higher prices back to Australian authors. During public hearings the Commission sought (but did not receive) evidence from publishers on the quantum of support they provide to Australian writers and </w:t>
      </w:r>
      <w:r w:rsidRPr="00FC3315">
        <w:t xml:space="preserve">how their support differs from that provided by publishers in other jurisdictions where </w:t>
      </w:r>
      <w:proofErr w:type="spellStart"/>
      <w:r w:rsidRPr="00FC3315">
        <w:t>PIRs</w:t>
      </w:r>
      <w:proofErr w:type="spellEnd"/>
      <w:r w:rsidRPr="00FC3315">
        <w:t xml:space="preserve"> do not apply, such as the US.</w:t>
      </w:r>
    </w:p>
    <w:p w:rsidR="006F3267" w:rsidRDefault="006F3267" w:rsidP="006F3267">
      <w:pPr>
        <w:pStyle w:val="BodyText"/>
      </w:pPr>
      <w:r>
        <w:t xml:space="preserve">The Commission recognises the cultural and educational value of books is significant. While most of these benefits are captured in the price readers are willing to pay, some are not. However, these broader benefits are </w:t>
      </w:r>
      <w:r w:rsidRPr="0067240D">
        <w:t>best targeted by direct</w:t>
      </w:r>
      <w:r>
        <w:t xml:space="preserve"> public</w:t>
      </w:r>
      <w:r w:rsidRPr="0067240D">
        <w:t xml:space="preserve"> support — as is already provided by Australian Governments (</w:t>
      </w:r>
      <w:r>
        <w:t xml:space="preserve">of </w:t>
      </w:r>
      <w:r w:rsidRPr="0067240D">
        <w:t>around $</w:t>
      </w:r>
      <w:r w:rsidRPr="004756AE">
        <w:t>40</w:t>
      </w:r>
      <w:r>
        <w:t> </w:t>
      </w:r>
      <w:r w:rsidRPr="0067240D">
        <w:t>million each year for Australian books and authors) — rather than through</w:t>
      </w:r>
      <w:r>
        <w:t xml:space="preserve"> the ill-targeted</w:t>
      </w:r>
      <w:r w:rsidRPr="0067240D">
        <w:t xml:space="preserve"> </w:t>
      </w:r>
      <w:proofErr w:type="spellStart"/>
      <w:r w:rsidRPr="0067240D">
        <w:t>PIR</w:t>
      </w:r>
      <w:r>
        <w:t>s</w:t>
      </w:r>
      <w:proofErr w:type="spellEnd"/>
      <w:r>
        <w:t>.</w:t>
      </w:r>
    </w:p>
    <w:p w:rsidR="006F3267" w:rsidRDefault="006F3267" w:rsidP="006F3267">
      <w:pPr>
        <w:pStyle w:val="BodyText"/>
      </w:pPr>
      <w:r>
        <w:t xml:space="preserve">Publishers also expressed concern that removing </w:t>
      </w:r>
      <w:proofErr w:type="spellStart"/>
      <w:r>
        <w:t>PIRs</w:t>
      </w:r>
      <w:proofErr w:type="spellEnd"/>
      <w:r>
        <w:t xml:space="preserve"> will harm Australian booksellers. Yet the Commission received evidence that Australian publishers act as the local supplier when individuals import books from foreign online retailers. In this way, publishers appear less concerned about Australian consumers accessing books at lower prices than they are about ensuring their continued primacy in the local supply chain. Dymocks highlighted how </w:t>
      </w:r>
      <w:proofErr w:type="spellStart"/>
      <w:r>
        <w:t>PIRs</w:t>
      </w:r>
      <w:proofErr w:type="spellEnd"/>
      <w:r>
        <w:t xml:space="preserve"> unequally discriminate against Australian booksellers:</w:t>
      </w:r>
    </w:p>
    <w:p w:rsidR="006F3267" w:rsidRDefault="006F3267" w:rsidP="006F3267">
      <w:pPr>
        <w:pStyle w:val="Quote"/>
      </w:pPr>
      <w:r>
        <w:t xml:space="preserve">… when an Australian customer makes a purchase from UK based Book Depository the order is fulfilled through a local Australian publisher rather than being sent from the UK. Australian </w:t>
      </w:r>
      <w:r>
        <w:lastRenderedPageBreak/>
        <w:t>booksellers — unable to source supply from overseas — are not given the same freedom. (sub. </w:t>
      </w:r>
      <w:proofErr w:type="spellStart"/>
      <w:r>
        <w:t>DR613</w:t>
      </w:r>
      <w:proofErr w:type="spellEnd"/>
      <w:r>
        <w:t>, p. 1)</w:t>
      </w:r>
    </w:p>
    <w:p w:rsidR="006F3267" w:rsidRDefault="006F3267" w:rsidP="006F3267">
      <w:pPr>
        <w:pStyle w:val="BodyText"/>
      </w:pPr>
      <w:r>
        <w:t xml:space="preserve">And concern that overstocked books in foreign markets (remainders) would harm Australian publishers ignores the fact that, for the majority of books, the same publishing house holds both the Australian and foreign rights. For example, the Commission matched 1126 book titles across the Australian and UK market and found that 95 per cent were published in both markets by the same publisher or an owned subsidiary. </w:t>
      </w:r>
      <w:r w:rsidRPr="007D6E8A">
        <w:t>Claims that lower priced books from overseas</w:t>
      </w:r>
      <w:r>
        <w:t xml:space="preserve"> — especially those of Australian authors —</w:t>
      </w:r>
      <w:r w:rsidRPr="007D6E8A">
        <w:t xml:space="preserve"> will be ‘dumped’ in Australia are unsubstantiated and misleading, and</w:t>
      </w:r>
      <w:r>
        <w:t xml:space="preserve"> may</w:t>
      </w:r>
      <w:r w:rsidRPr="007D6E8A">
        <w:t xml:space="preserve"> reflect </w:t>
      </w:r>
      <w:r>
        <w:t>a</w:t>
      </w:r>
      <w:r w:rsidRPr="007D6E8A">
        <w:t xml:space="preserve"> desire by some </w:t>
      </w:r>
      <w:r>
        <w:t xml:space="preserve">publishers </w:t>
      </w:r>
      <w:r w:rsidRPr="007D6E8A">
        <w:t>to continue price discriminating against Australian readers.</w:t>
      </w:r>
    </w:p>
    <w:p w:rsidR="006F3267" w:rsidRPr="00560DE1" w:rsidRDefault="006F3267" w:rsidP="006F3267">
      <w:pPr>
        <w:pStyle w:val="BodyText"/>
      </w:pPr>
      <w:r>
        <w:t xml:space="preserve">In short, </w:t>
      </w:r>
      <w:r w:rsidRPr="00560DE1">
        <w:t xml:space="preserve">no new evidence </w:t>
      </w:r>
      <w:r>
        <w:t>was presented in this inquiry that overturns the existing case f</w:t>
      </w:r>
      <w:r w:rsidRPr="00125126">
        <w:t>or removing the restrictions.</w:t>
      </w:r>
      <w:r>
        <w:t xml:space="preserve"> The Australian</w:t>
      </w:r>
      <w:r w:rsidRPr="00560DE1">
        <w:t xml:space="preserve"> </w:t>
      </w:r>
      <w:r>
        <w:t>Government should proceed with its announced plans to repeal parallel import restrictions, with effect</w:t>
      </w:r>
      <w:r w:rsidRPr="00560DE1">
        <w:t xml:space="preserve"> no later than the end of 2017.</w:t>
      </w:r>
      <w:r>
        <w:t xml:space="preserve"> </w:t>
      </w:r>
      <w:r w:rsidRPr="002B6468">
        <w:t xml:space="preserve">Additional transitional arrangements are not needed given </w:t>
      </w:r>
      <w:r>
        <w:t>the positive confluence of efficiencies made by the Australian</w:t>
      </w:r>
      <w:r w:rsidRPr="002B6468">
        <w:t xml:space="preserve"> publishing </w:t>
      </w:r>
      <w:r>
        <w:t>industry</w:t>
      </w:r>
      <w:r w:rsidRPr="002B6468">
        <w:t xml:space="preserve"> and broader economic circumstances.</w:t>
      </w:r>
    </w:p>
    <w:p w:rsidR="006F3267" w:rsidRDefault="006F3267" w:rsidP="006F3267">
      <w:pPr>
        <w:pStyle w:val="Heading2"/>
      </w:pPr>
      <w:r>
        <w:rPr>
          <w:noProof/>
        </w:rPr>
        <w:t>3</w:t>
      </w:r>
      <w:r>
        <w:tab/>
        <w:t>Patents — getting the fundamentals right</w:t>
      </w:r>
    </w:p>
    <w:p w:rsidR="006F3267" w:rsidRDefault="006F3267" w:rsidP="006F3267">
      <w:pPr>
        <w:pStyle w:val="BodyText"/>
      </w:pPr>
      <w:r>
        <w:t>Patents can advance human knowledge by encouraging socially valuable innovation that would not have otherwise occurred. However, if poorly calibrated, they also impose net costs on the community. By design, pa</w:t>
      </w:r>
      <w:r w:rsidRPr="006A4E3B">
        <w:t xml:space="preserve">tent protection inhibits competitors from freely using an inventor’s technology, </w:t>
      </w:r>
      <w:r>
        <w:t xml:space="preserve">but </w:t>
      </w:r>
      <w:r w:rsidRPr="006A4E3B">
        <w:t>over-protection can stifle competition more broadly, leading to reduced innovation and excessive prices.</w:t>
      </w:r>
      <w:r>
        <w:t xml:space="preserve"> Moreover, by blocking subsequent innovators, patent protection can perversely inhibit the advancement of knowledge through ‘follow-on’ innovation. </w:t>
      </w:r>
    </w:p>
    <w:p w:rsidR="006F3267" w:rsidRPr="008C4BA3" w:rsidRDefault="006F3267" w:rsidP="006F3267">
      <w:pPr>
        <w:pStyle w:val="BodyText"/>
      </w:pPr>
      <w:r>
        <w:t xml:space="preserve">Notwithstanding reforms introduced under the 2012 </w:t>
      </w:r>
      <w:r w:rsidRPr="00DF7C2A">
        <w:rPr>
          <w:i/>
        </w:rPr>
        <w:t>Raising the Bar</w:t>
      </w:r>
      <w:r>
        <w:t xml:space="preserve"> initiative, Australia’s patent system remains tipped in favour of rights holders and against the interests of the </w:t>
      </w:r>
      <w:r w:rsidRPr="008C4BA3">
        <w:t xml:space="preserve">broader community. </w:t>
      </w:r>
    </w:p>
    <w:p w:rsidR="006F3267" w:rsidRDefault="006F3267" w:rsidP="006F3267">
      <w:pPr>
        <w:pStyle w:val="ListBullet"/>
      </w:pPr>
      <w:r>
        <w:t xml:space="preserve">A multitude of low-value patents make it harder for innovators to signal the value of their inventions to investors, and also frustrate follow-on innovators and researchers who are forced to invest in costly workarounds. Costs are ultimately borne by the users of technology. </w:t>
      </w:r>
    </w:p>
    <w:p w:rsidR="006F3267" w:rsidRDefault="006F3267" w:rsidP="006F3267">
      <w:pPr>
        <w:pStyle w:val="ListBullet"/>
      </w:pPr>
      <w:r w:rsidRPr="008C4BA3">
        <w:rPr>
          <w:spacing w:val="-4"/>
        </w:rPr>
        <w:t xml:space="preserve">Australia provides stronger patent rights than most other advanced </w:t>
      </w:r>
      <w:r>
        <w:rPr>
          <w:spacing w:val="-4"/>
        </w:rPr>
        <w:t>economies</w:t>
      </w:r>
      <w:r w:rsidRPr="008C4BA3">
        <w:rPr>
          <w:spacing w:val="-4"/>
        </w:rPr>
        <w:t xml:space="preserve">. </w:t>
      </w:r>
      <w:r w:rsidRPr="00E7752F">
        <w:t>As a net i</w:t>
      </w:r>
      <w:r>
        <w:t>mporter of patented technology</w:t>
      </w:r>
      <w:r w:rsidRPr="00E7752F">
        <w:t>, the strength of rights is particularly costly for Australia.</w:t>
      </w:r>
      <w:r>
        <w:t xml:space="preserve"> </w:t>
      </w:r>
    </w:p>
    <w:p w:rsidR="006F3267" w:rsidRDefault="006F3267" w:rsidP="006F3267">
      <w:pPr>
        <w:pStyle w:val="BodyText"/>
      </w:pPr>
      <w:r>
        <w:t xml:space="preserve">As in other areas of IP, reform options are restricted by Australia’s international obligations. However, within these constraints, the Commission has identified a package of reforms that would go some way to striking a better balance. </w:t>
      </w:r>
    </w:p>
    <w:p w:rsidR="006F3267" w:rsidRDefault="006F3267" w:rsidP="006F3267">
      <w:pPr>
        <w:pStyle w:val="Heading3"/>
      </w:pPr>
      <w:r>
        <w:lastRenderedPageBreak/>
        <w:t xml:space="preserve">Making clear what Australians want from their patent system </w:t>
      </w:r>
    </w:p>
    <w:p w:rsidR="006F3267" w:rsidRDefault="006F3267" w:rsidP="006F3267">
      <w:pPr>
        <w:pStyle w:val="BodyText"/>
      </w:pPr>
      <w:r>
        <w:t xml:space="preserve">Consistent with the absence of overarching principles to guide IP policy, the Patents Act </w:t>
      </w:r>
      <w:r w:rsidRPr="0074311E">
        <w:t>does not have an objects clause to guide</w:t>
      </w:r>
      <w:r>
        <w:t xml:space="preserve"> legal </w:t>
      </w:r>
      <w:r w:rsidRPr="004F4664">
        <w:t>interpretation.</w:t>
      </w:r>
      <w:r w:rsidRPr="00590063">
        <w:t xml:space="preserve"> Many participants supported the principle of introducing an objects clause to provide greater guidance</w:t>
      </w:r>
      <w:r>
        <w:t xml:space="preserve"> to decision makers involved in the design and application of the Act.</w:t>
      </w:r>
    </w:p>
    <w:p w:rsidR="006F3267" w:rsidRDefault="006F3267" w:rsidP="006F3267">
      <w:pPr>
        <w:pStyle w:val="BodyText"/>
      </w:pPr>
      <w:r>
        <w:t>An objects clause would provide a number of benefits. G</w:t>
      </w:r>
      <w:r w:rsidRPr="004C05FE">
        <w:t xml:space="preserve">reater guidance </w:t>
      </w:r>
      <w:r>
        <w:t xml:space="preserve">would play an important role given the scope for administrative and judicial interpretation to diverge over time from policy intent. Setting out broad objectives would also help the Act remain adaptable and fit for purpose as technologies emerge and economies and business models evolve. </w:t>
      </w:r>
    </w:p>
    <w:p w:rsidR="006F3267" w:rsidRPr="007601BD" w:rsidRDefault="006F3267" w:rsidP="006F3267">
      <w:pPr>
        <w:pStyle w:val="BodyText"/>
      </w:pPr>
      <w:r w:rsidRPr="007601BD">
        <w:t xml:space="preserve">An objects clause should make clear that the principal purpose of the patent system is to enhance the wellbeing of Australians by promoting technological innovation, and by promoting the transfer and dissemination of technology. In so doing, the patent system should balance the interests of producers, owners and users of technology. </w:t>
      </w:r>
    </w:p>
    <w:p w:rsidR="006F3267" w:rsidRDefault="006F3267" w:rsidP="006F3267">
      <w:pPr>
        <w:pStyle w:val="Heading3"/>
      </w:pPr>
      <w:r>
        <w:t>Reforming the inventive step</w:t>
      </w:r>
    </w:p>
    <w:p w:rsidR="006F3267" w:rsidRDefault="006F3267" w:rsidP="006F3267">
      <w:pPr>
        <w:pStyle w:val="BodyText"/>
      </w:pPr>
      <w:r>
        <w:t xml:space="preserve">An invention must satisfy five criteria to qualify for patent protection, including that it involve a non-obvious ‘inventive step’ (box 1). </w:t>
      </w:r>
      <w:r w:rsidRPr="002E4CF4">
        <w:t xml:space="preserve">The test for inventive step is </w:t>
      </w:r>
      <w:r>
        <w:t>particularly important</w:t>
      </w:r>
      <w:r w:rsidRPr="002E4CF4">
        <w:t xml:space="preserve"> </w:t>
      </w:r>
      <w:r>
        <w:t xml:space="preserve">because it provides the </w:t>
      </w:r>
      <w:r w:rsidRPr="002E4CF4">
        <w:t xml:space="preserve">closest proxy for an invention’s </w:t>
      </w:r>
      <w:r>
        <w:t>technological advance.</w:t>
      </w:r>
      <w:r w:rsidRPr="005E007F">
        <w:t xml:space="preserve"> </w:t>
      </w:r>
      <w:r>
        <w:t xml:space="preserve">A high inventive step means that only significant improvements on existing inventions achieve patent protection, while a </w:t>
      </w:r>
      <w:r w:rsidR="00DE1327">
        <w:t>low</w:t>
      </w:r>
      <w:r>
        <w:t xml:space="preserve"> inventive step means that incremental advances can secure the same term and scope of protection.</w:t>
      </w:r>
    </w:p>
    <w:p w:rsidR="006F3267" w:rsidRDefault="006F3267" w:rsidP="006F3267">
      <w:pPr>
        <w:pStyle w:val="BodyText"/>
        <w:keepN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6F3267" w:rsidTr="0034446A">
        <w:trPr>
          <w:tblHeader/>
        </w:trPr>
        <w:tc>
          <w:tcPr>
            <w:tcW w:w="8771" w:type="dxa"/>
            <w:tcBorders>
              <w:top w:val="single" w:sz="6" w:space="0" w:color="78A22F"/>
              <w:left w:val="nil"/>
              <w:bottom w:val="nil"/>
              <w:right w:val="nil"/>
            </w:tcBorders>
            <w:shd w:val="clear" w:color="auto" w:fill="F2F2F2"/>
          </w:tcPr>
          <w:p w:rsidR="006F3267" w:rsidRDefault="006F3267" w:rsidP="0034446A">
            <w:pPr>
              <w:pStyle w:val="BoxTitle"/>
            </w:pPr>
            <w:r>
              <w:rPr>
                <w:b w:val="0"/>
              </w:rPr>
              <w:t xml:space="preserve">Box </w:t>
            </w:r>
            <w:r>
              <w:rPr>
                <w:b w:val="0"/>
                <w:noProof/>
              </w:rPr>
              <w:t>1</w:t>
            </w:r>
            <w:r>
              <w:tab/>
              <w:t>What are the criteria for granting a patent?</w:t>
            </w:r>
          </w:p>
        </w:tc>
      </w:tr>
      <w:tr w:rsidR="006F3267" w:rsidTr="0034446A">
        <w:tc>
          <w:tcPr>
            <w:tcW w:w="8771" w:type="dxa"/>
            <w:tcBorders>
              <w:top w:val="nil"/>
              <w:left w:val="nil"/>
              <w:bottom w:val="nil"/>
              <w:right w:val="nil"/>
            </w:tcBorders>
            <w:shd w:val="clear" w:color="auto" w:fill="F2F2F2"/>
          </w:tcPr>
          <w:p w:rsidR="006F3267" w:rsidRDefault="006F3267" w:rsidP="0034446A">
            <w:pPr>
              <w:pStyle w:val="Box"/>
            </w:pPr>
            <w:r>
              <w:t xml:space="preserve">IP Australia grants patents to inventions that meet the criteria outlined in the </w:t>
            </w:r>
            <w:r w:rsidRPr="00DF7C2A">
              <w:t>Patents Act</w:t>
            </w:r>
            <w:r>
              <w:t>. To satisfy the criteria for a standard patent, inventions must:</w:t>
            </w:r>
          </w:p>
          <w:p w:rsidR="006F3267" w:rsidRDefault="006F3267" w:rsidP="0034446A">
            <w:pPr>
              <w:pStyle w:val="BoxListBullet"/>
            </w:pPr>
            <w:r>
              <w:t>be a ‘</w:t>
            </w:r>
            <w:r w:rsidRPr="00C2611D">
              <w:rPr>
                <w:i/>
              </w:rPr>
              <w:t>manner of manufacture</w:t>
            </w:r>
            <w:r>
              <w:t xml:space="preserve">’ — described by the courts to be </w:t>
            </w:r>
            <w:r w:rsidRPr="00A43029">
              <w:t xml:space="preserve">an </w:t>
            </w:r>
            <w:r>
              <w:t>invention that involves human intervention to achieve an end result, and has an economic use</w:t>
            </w:r>
          </w:p>
          <w:p w:rsidR="006F3267" w:rsidRDefault="006F3267" w:rsidP="0034446A">
            <w:pPr>
              <w:pStyle w:val="BoxListBullet"/>
            </w:pPr>
            <w:r>
              <w:t xml:space="preserve">be </w:t>
            </w:r>
            <w:r w:rsidRPr="00C2611D">
              <w:rPr>
                <w:i/>
              </w:rPr>
              <w:t>novel</w:t>
            </w:r>
            <w:r>
              <w:t xml:space="preserve"> — the invention must be novel in light of ‘prior art information’ (information about the current state of technology)</w:t>
            </w:r>
          </w:p>
          <w:p w:rsidR="006F3267" w:rsidRDefault="006F3267" w:rsidP="0034446A">
            <w:pPr>
              <w:pStyle w:val="BoxListBullet"/>
            </w:pPr>
            <w:r>
              <w:t xml:space="preserve">involve an </w:t>
            </w:r>
            <w:r w:rsidRPr="00C2611D">
              <w:rPr>
                <w:i/>
              </w:rPr>
              <w:t>inventive step</w:t>
            </w:r>
            <w:r>
              <w:t xml:space="preserve"> compared with the prior art base — the invention must not be obvious to a person skilled in the relevant art in light of ‘common general knowledge’ (knowledge of a worker in the field)</w:t>
            </w:r>
          </w:p>
          <w:p w:rsidR="006F3267" w:rsidRDefault="006F3267" w:rsidP="0034446A">
            <w:pPr>
              <w:pStyle w:val="BoxListBullet"/>
            </w:pPr>
            <w:r>
              <w:t xml:space="preserve">be </w:t>
            </w:r>
            <w:r w:rsidRPr="00C2611D">
              <w:rPr>
                <w:i/>
              </w:rPr>
              <w:t>useful</w:t>
            </w:r>
            <w:r>
              <w:t xml:space="preserve"> — there must be a specific, substantial and credible use for the disclosed invention </w:t>
            </w:r>
          </w:p>
          <w:p w:rsidR="006F3267" w:rsidRPr="00C2611D" w:rsidRDefault="006F3267" w:rsidP="0034446A">
            <w:pPr>
              <w:pStyle w:val="BoxListBullet"/>
            </w:pPr>
            <w:r>
              <w:t xml:space="preserve">have </w:t>
            </w:r>
            <w:r w:rsidRPr="00C2611D">
              <w:rPr>
                <w:i/>
              </w:rPr>
              <w:t>not been secretly used</w:t>
            </w:r>
            <w:r>
              <w:t xml:space="preserve"> — the invention cannot be used before the priority date (the date from which a patent application is assessed against the patent criteria — typically the date when a party first files an application).</w:t>
            </w:r>
          </w:p>
        </w:tc>
      </w:tr>
      <w:tr w:rsidR="006F3267" w:rsidTr="0034446A">
        <w:tc>
          <w:tcPr>
            <w:tcW w:w="8771" w:type="dxa"/>
            <w:tcBorders>
              <w:top w:val="nil"/>
              <w:left w:val="nil"/>
              <w:bottom w:val="single" w:sz="6" w:space="0" w:color="78A22F"/>
              <w:right w:val="nil"/>
            </w:tcBorders>
            <w:shd w:val="clear" w:color="auto" w:fill="F2F2F2"/>
          </w:tcPr>
          <w:p w:rsidR="006F3267" w:rsidRDefault="006F3267" w:rsidP="0034446A">
            <w:pPr>
              <w:pStyle w:val="Box"/>
              <w:spacing w:before="0" w:line="120" w:lineRule="exact"/>
            </w:pPr>
          </w:p>
        </w:tc>
      </w:tr>
      <w:tr w:rsidR="006F3267" w:rsidRPr="000863A5" w:rsidTr="0034446A">
        <w:tc>
          <w:tcPr>
            <w:tcW w:w="8771" w:type="dxa"/>
            <w:tcBorders>
              <w:top w:val="single" w:sz="6" w:space="0" w:color="78A22F"/>
              <w:left w:val="nil"/>
              <w:bottom w:val="nil"/>
              <w:right w:val="nil"/>
            </w:tcBorders>
          </w:tcPr>
          <w:p w:rsidR="006F3267" w:rsidRPr="00626D32" w:rsidRDefault="006F3267" w:rsidP="0034446A">
            <w:pPr>
              <w:pStyle w:val="BoxSpaceBelow"/>
            </w:pPr>
          </w:p>
        </w:tc>
      </w:tr>
    </w:tbl>
    <w:p w:rsidR="006F3267" w:rsidRDefault="006F3267" w:rsidP="006F3267">
      <w:pPr>
        <w:pStyle w:val="BodyText"/>
      </w:pPr>
      <w:r>
        <w:lastRenderedPageBreak/>
        <w:t>In assessing whether an application has an inventive step, IP Australia must consider a number of factors, including the:</w:t>
      </w:r>
    </w:p>
    <w:p w:rsidR="006F3267" w:rsidRDefault="006F3267" w:rsidP="006F3267">
      <w:pPr>
        <w:pStyle w:val="ListBullet"/>
      </w:pPr>
      <w:r>
        <w:t>definition of the invention</w:t>
      </w:r>
    </w:p>
    <w:p w:rsidR="006F3267" w:rsidRDefault="006F3267" w:rsidP="006F3267">
      <w:pPr>
        <w:pStyle w:val="ListBullet"/>
      </w:pPr>
      <w:r>
        <w:t>‘prior art’, or current state of technology</w:t>
      </w:r>
    </w:p>
    <w:p w:rsidR="006F3267" w:rsidRPr="00DF7C2A" w:rsidRDefault="006F3267" w:rsidP="006F3267">
      <w:pPr>
        <w:pStyle w:val="ListBullet"/>
        <w:rPr>
          <w:spacing w:val="-4"/>
        </w:rPr>
      </w:pPr>
      <w:r>
        <w:rPr>
          <w:spacing w:val="-4"/>
        </w:rPr>
        <w:t>m</w:t>
      </w:r>
      <w:r w:rsidRPr="00DF7C2A">
        <w:rPr>
          <w:spacing w:val="-4"/>
        </w:rPr>
        <w:t>inimum advance over the prior art required to meet the test, or ‘obviousness test’</w:t>
      </w:r>
    </w:p>
    <w:p w:rsidR="006F3267" w:rsidRDefault="006F3267" w:rsidP="006F3267">
      <w:pPr>
        <w:pStyle w:val="ListBullet"/>
      </w:pPr>
      <w:r>
        <w:t>‘person skilled in the art’, who is assumed to have common general knowledge.</w:t>
      </w:r>
    </w:p>
    <w:p w:rsidR="006F3267" w:rsidRPr="00987E25" w:rsidRDefault="006F3267" w:rsidP="006F3267">
      <w:pPr>
        <w:pStyle w:val="BodyText"/>
      </w:pPr>
      <w:r>
        <w:t xml:space="preserve">The inventive step has been subject to ongoing reform. Most recently, the </w:t>
      </w:r>
      <w:r w:rsidRPr="007601BD">
        <w:rPr>
          <w:i/>
        </w:rPr>
        <w:t>Raising the Bar</w:t>
      </w:r>
      <w:r>
        <w:t xml:space="preserve"> initiative increased the inventive step threshold by reforming the definitions of prior art and common general knowledge. This has moved Australia’s requirements closer to the thresholds applied in the </w:t>
      </w:r>
      <w:r w:rsidRPr="00987E25">
        <w:t xml:space="preserve">US and the European Union (EU). </w:t>
      </w:r>
    </w:p>
    <w:p w:rsidR="006F3267" w:rsidRDefault="006F3267" w:rsidP="006F3267">
      <w:pPr>
        <w:pStyle w:val="BodyText"/>
      </w:pPr>
      <w:r w:rsidRPr="00987E25">
        <w:t>These reforms have moved the inventive step in the right direction, but there are grounds to go further. Measures of patent quality suggest that thresholds in the US and EU</w:t>
      </w:r>
      <w:r>
        <w:t xml:space="preserve"> fall short of the ideal, and so are not sufficiently high benchmarks. And post</w:t>
      </w:r>
      <w:r>
        <w:noBreakHyphen/>
      </w:r>
      <w:r w:rsidRPr="007601BD">
        <w:rPr>
          <w:i/>
        </w:rPr>
        <w:t>Raising the Bar</w:t>
      </w:r>
      <w:r>
        <w:t xml:space="preserve"> </w:t>
      </w:r>
      <w:proofErr w:type="spellStart"/>
      <w:r>
        <w:t>patent</w:t>
      </w:r>
      <w:proofErr w:type="spellEnd"/>
      <w:r>
        <w:t xml:space="preserve"> outcomes (analysed by the Commission) indicate IP Australia still has a greater propensity to </w:t>
      </w:r>
      <w:r w:rsidRPr="00925331">
        <w:t>grant patent applications that have been rejected by the European Patent Office (</w:t>
      </w:r>
      <w:proofErr w:type="spellStart"/>
      <w:r w:rsidRPr="00925331">
        <w:t>EPO</w:t>
      </w:r>
      <w:proofErr w:type="spellEnd"/>
      <w:r w:rsidRPr="00925331">
        <w:t xml:space="preserve">). </w:t>
      </w:r>
    </w:p>
    <w:p w:rsidR="006F3267" w:rsidRDefault="006F3267" w:rsidP="006F3267">
      <w:pPr>
        <w:pStyle w:val="BodyText"/>
      </w:pPr>
      <w:r>
        <w:t>Ongoing disparities between outcomes in Australia and the EU are not surprising, as Australia still applies a less rigorous test for obviousness. In particular, t</w:t>
      </w:r>
      <w:r w:rsidRPr="002E4CF4">
        <w:t xml:space="preserve">he </w:t>
      </w:r>
      <w:r>
        <w:t xml:space="preserve">required </w:t>
      </w:r>
      <w:r w:rsidRPr="002E4CF4">
        <w:t xml:space="preserve">minimum advance </w:t>
      </w:r>
      <w:r>
        <w:t>over</w:t>
      </w:r>
      <w:r w:rsidRPr="002E4CF4">
        <w:t xml:space="preserve"> the prior art </w:t>
      </w:r>
      <w:r>
        <w:t xml:space="preserve">in </w:t>
      </w:r>
      <w:r w:rsidRPr="00987E25">
        <w:t>Australia is a mere ‘scintilla of invention’</w:t>
      </w:r>
      <w:r>
        <w:t xml:space="preserve">, which is highlighted by some patent </w:t>
      </w:r>
      <w:r w:rsidRPr="00987E25">
        <w:t>attorneys and referenced in</w:t>
      </w:r>
      <w:r>
        <w:t xml:space="preserve"> IP Australia’s Patent Examiners Manual</w:t>
      </w:r>
      <w:r w:rsidRPr="002E4CF4">
        <w:t>.</w:t>
      </w:r>
      <w:r>
        <w:t xml:space="preserve"> Evidence also suggests that the inventive step is not always effective in filtering out patents that fail to advance technology. </w:t>
      </w:r>
    </w:p>
    <w:p w:rsidR="006F3267" w:rsidRDefault="006F3267" w:rsidP="006F3267">
      <w:pPr>
        <w:pStyle w:val="BodyText"/>
      </w:pPr>
      <w:r>
        <w:t>A</w:t>
      </w:r>
      <w:r w:rsidRPr="00DF7C2A">
        <w:rPr>
          <w:spacing w:val="-2"/>
        </w:rPr>
        <w:t xml:space="preserve"> </w:t>
      </w:r>
      <w:r>
        <w:rPr>
          <w:spacing w:val="-2"/>
        </w:rPr>
        <w:t xml:space="preserve">robust case exists </w:t>
      </w:r>
      <w:r w:rsidRPr="00DF7C2A">
        <w:rPr>
          <w:spacing w:val="-2"/>
        </w:rPr>
        <w:t xml:space="preserve">for </w:t>
      </w:r>
      <w:r>
        <w:rPr>
          <w:spacing w:val="-2"/>
        </w:rPr>
        <w:t>raising the inventive step further to reduce the proliferation of low</w:t>
      </w:r>
      <w:r>
        <w:rPr>
          <w:spacing w:val="-2"/>
        </w:rPr>
        <w:noBreakHyphen/>
        <w:t xml:space="preserve">value patents. Raising the threshold would also help to address specific concerns with pharmaceutical and software patents (see below). </w:t>
      </w:r>
      <w:r>
        <w:t xml:space="preserve">To raise the threshold, the </w:t>
      </w:r>
      <w:r w:rsidRPr="004B112B">
        <w:t xml:space="preserve">required advance over the prior art </w:t>
      </w:r>
      <w:r>
        <w:t xml:space="preserve">should be increased and efforts should be taken to better ensure only technological inventions pass the inventive step. </w:t>
      </w:r>
    </w:p>
    <w:p w:rsidR="006F3267" w:rsidRDefault="006F3267" w:rsidP="006F3267">
      <w:pPr>
        <w:pStyle w:val="BodyText"/>
      </w:pPr>
      <w:r>
        <w:t>Given the weight of evidence that patent systems are out of balance, these unilateral reform options would leave the inventive step below the optimal level. Going further and significantly raising the threshold above the level applied in other countries would, however, entail risks. Such endeavour is best pursued in collaboration with like-minded countries.</w:t>
      </w:r>
      <w:r w:rsidRPr="0098799B">
        <w:t xml:space="preserve"> </w:t>
      </w:r>
    </w:p>
    <w:p w:rsidR="006F3267" w:rsidRDefault="006F3267" w:rsidP="006F3267">
      <w:pPr>
        <w:pStyle w:val="Heading3"/>
      </w:pPr>
      <w:r>
        <w:t>Improving the evidence base for granting patents</w:t>
      </w:r>
    </w:p>
    <w:p w:rsidR="006F3267" w:rsidRDefault="006F3267" w:rsidP="006F3267">
      <w:pPr>
        <w:pStyle w:val="BodyText"/>
      </w:pPr>
      <w:r>
        <w:t xml:space="preserve">As </w:t>
      </w:r>
      <w:r w:rsidRPr="003B21DB">
        <w:t>patent</w:t>
      </w:r>
      <w:r>
        <w:t>s</w:t>
      </w:r>
      <w:r w:rsidRPr="003B21DB">
        <w:t xml:space="preserve"> </w:t>
      </w:r>
      <w:r>
        <w:t xml:space="preserve">may </w:t>
      </w:r>
      <w:r w:rsidRPr="003B21DB">
        <w:t xml:space="preserve">impose </w:t>
      </w:r>
      <w:r>
        <w:t xml:space="preserve">costs </w:t>
      </w:r>
      <w:r w:rsidRPr="003B21DB">
        <w:t xml:space="preserve">on the community, judgements about whether or not to grant a patent </w:t>
      </w:r>
      <w:r>
        <w:t>must be well informed</w:t>
      </w:r>
      <w:r w:rsidRPr="003B21DB">
        <w:t xml:space="preserve">. </w:t>
      </w:r>
    </w:p>
    <w:p w:rsidR="006F3267" w:rsidRDefault="006F3267" w:rsidP="006F3267">
      <w:pPr>
        <w:pStyle w:val="BodyText"/>
      </w:pPr>
      <w:r>
        <w:lastRenderedPageBreak/>
        <w:t>P</w:t>
      </w:r>
      <w:r w:rsidRPr="003B21DB">
        <w:t xml:space="preserve">atent </w:t>
      </w:r>
      <w:r>
        <w:t>examiners draw on a significant amount of information when deciding whether to grant a patent, including on the current state of technology. In many cases an applicant will have better access to such information than patent examiners</w:t>
      </w:r>
      <w:r w:rsidRPr="00F03BE6">
        <w:t xml:space="preserve">. </w:t>
      </w:r>
    </w:p>
    <w:p w:rsidR="006F3267" w:rsidRDefault="006F3267" w:rsidP="006F3267">
      <w:pPr>
        <w:pStyle w:val="BodyText"/>
      </w:pPr>
      <w:r>
        <w:t>In Europe, a patent applicant must identify the technical features of the invention</w:t>
      </w:r>
      <w:r w:rsidRPr="00F703B3">
        <w:t xml:space="preserve"> </w:t>
      </w:r>
      <w:r>
        <w:t xml:space="preserve">in their set of claims. This enables the patent office to better target genuine advances in technology, establishes a clearer link between the prior art and the market protection being sought, and allows follow-on innovators to identify the core technical element of a patent claim. </w:t>
      </w:r>
    </w:p>
    <w:p w:rsidR="006F3267" w:rsidRPr="006C27DF" w:rsidRDefault="006F3267" w:rsidP="006F3267">
      <w:pPr>
        <w:pStyle w:val="BodyText"/>
      </w:pPr>
      <w:r>
        <w:t xml:space="preserve">Given applicants are best placed to identify the technical features of their invention, requiring them to do so as part of an application for an Australian patent would impose minimal burden while helping to ensure only technological inventions are granted patent protection. </w:t>
      </w:r>
    </w:p>
    <w:p w:rsidR="006F3267" w:rsidRDefault="006F3267" w:rsidP="006F3267">
      <w:pPr>
        <w:pStyle w:val="Heading3"/>
      </w:pPr>
      <w:r>
        <w:t>Making better use of patent fees</w:t>
      </w:r>
    </w:p>
    <w:p w:rsidR="006F3267" w:rsidRDefault="006F3267" w:rsidP="006F3267">
      <w:pPr>
        <w:pStyle w:val="BodyText"/>
      </w:pPr>
      <w:r>
        <w:rPr>
          <w:spacing w:val="-2"/>
        </w:rPr>
        <w:t>T</w:t>
      </w:r>
      <w:r w:rsidRPr="005F2A36">
        <w:rPr>
          <w:spacing w:val="-2"/>
        </w:rPr>
        <w:t>he structure and level of patent fees</w:t>
      </w:r>
      <w:r w:rsidRPr="00710F83">
        <w:t xml:space="preserve"> </w:t>
      </w:r>
      <w:r>
        <w:t xml:space="preserve">is another </w:t>
      </w:r>
      <w:r w:rsidRPr="005F2A36">
        <w:rPr>
          <w:spacing w:val="-2"/>
        </w:rPr>
        <w:t>policy lever for improving the patent system.</w:t>
      </w:r>
      <w:r>
        <w:rPr>
          <w:spacing w:val="-2"/>
        </w:rPr>
        <w:t xml:space="preserve"> The Australian Government should set patent fees to promote broader IP policy objectives, rather than the current primary objective of achieving cost recovery. </w:t>
      </w:r>
    </w:p>
    <w:p w:rsidR="006F3267" w:rsidRDefault="006F3267" w:rsidP="006F3267">
      <w:pPr>
        <w:pStyle w:val="BodyText"/>
      </w:pPr>
      <w:r w:rsidRPr="007D6867">
        <w:rPr>
          <w:i/>
        </w:rPr>
        <w:t>Renewal fees</w:t>
      </w:r>
      <w:r>
        <w:t xml:space="preserve"> influence decisions about whether to maintain a patent. As such, they can help achieve a number of policy aims, including reducing economic rents that arise from patent holders exercising market power, limiting the risk that patents are used strategically, and </w:t>
      </w:r>
      <w:r w:rsidRPr="00532187">
        <w:t>ensur</w:t>
      </w:r>
      <w:r>
        <w:t>ing</w:t>
      </w:r>
      <w:r w:rsidRPr="00532187">
        <w:t xml:space="preserve"> only valuable patents are held in force</w:t>
      </w:r>
      <w:r>
        <w:t xml:space="preserve">. </w:t>
      </w:r>
    </w:p>
    <w:p w:rsidR="006F3267" w:rsidRDefault="006F3267" w:rsidP="006F3267">
      <w:pPr>
        <w:pStyle w:val="BodyText"/>
      </w:pPr>
      <w:r>
        <w:t>As a policy lever, renewal fees are underutilised. Many patented inventions require less than 20 years protection</w:t>
      </w:r>
      <w:r>
        <w:rPr>
          <w:spacing w:val="-2"/>
        </w:rPr>
        <w:t xml:space="preserve">. </w:t>
      </w:r>
      <w:r>
        <w:t xml:space="preserve">Yet renewal fees only increase in three stages across the life of a standard patent. The structure of renewal fees in Australia should be reformed to increase more steeply with patent age, akin to the approach in the UK. </w:t>
      </w:r>
    </w:p>
    <w:p w:rsidR="006F3267" w:rsidRDefault="006F3267" w:rsidP="006F3267">
      <w:pPr>
        <w:pStyle w:val="BodyText"/>
      </w:pPr>
      <w:r w:rsidRPr="007D6867">
        <w:rPr>
          <w:i/>
        </w:rPr>
        <w:t>Claim fees</w:t>
      </w:r>
      <w:r>
        <w:t xml:space="preserve">, in combination with effective rules on how claims are constructed, can decrease the scope of claims, and in so doing the breadth of market protection. Fewer claims also decrease the time taken to review applications. </w:t>
      </w:r>
    </w:p>
    <w:p w:rsidR="006F3267" w:rsidRDefault="006F3267" w:rsidP="006F3267">
      <w:pPr>
        <w:pStyle w:val="BodyText"/>
      </w:pPr>
      <w:r>
        <w:t>The structure of claim fees in Australia suggests they can be better deployed to discourage rights holders casting claims too widely and from using the system strategically</w:t>
      </w:r>
      <w:r>
        <w:rPr>
          <w:spacing w:val="-2"/>
        </w:rPr>
        <w:t xml:space="preserve">. Currently, </w:t>
      </w:r>
      <w:r>
        <w:t xml:space="preserve">applicants only pay a flat fee for each claim in excess of 20 claims. Australia should adopt a similar approach to Japan, South Korea and Europe by lowering the initial threshold for claim fees, and applying much higher fees for applications with a large number of claims. </w:t>
      </w:r>
    </w:p>
    <w:p w:rsidR="006F3267" w:rsidRDefault="006F3267" w:rsidP="006F3267">
      <w:pPr>
        <w:pStyle w:val="Heading2"/>
      </w:pPr>
      <w:r>
        <w:rPr>
          <w:noProof/>
        </w:rPr>
        <w:lastRenderedPageBreak/>
        <w:t>4</w:t>
      </w:r>
      <w:r>
        <w:tab/>
        <w:t>Other patent system improvements</w:t>
      </w:r>
    </w:p>
    <w:p w:rsidR="006F3267" w:rsidRDefault="006F3267" w:rsidP="006F3267">
      <w:pPr>
        <w:pStyle w:val="Heading3"/>
        <w:spacing w:before="360"/>
      </w:pPr>
      <w:r>
        <w:t>The ‘second</w:t>
      </w:r>
      <w:r>
        <w:noBreakHyphen/>
        <w:t>tier’ patent experiment has failed</w:t>
      </w:r>
    </w:p>
    <w:p w:rsidR="006F3267" w:rsidRDefault="006F3267" w:rsidP="006F3267">
      <w:pPr>
        <w:pStyle w:val="BodyText"/>
        <w:rPr>
          <w:spacing w:val="-2"/>
        </w:rPr>
      </w:pPr>
      <w:r>
        <w:t>In addition to standard patents, Australia has a (second</w:t>
      </w:r>
      <w:r>
        <w:noBreakHyphen/>
        <w:t>tier) innovation patent system (</w:t>
      </w:r>
      <w:proofErr w:type="spellStart"/>
      <w:r>
        <w:t>IPS</w:t>
      </w:r>
      <w:proofErr w:type="spellEnd"/>
      <w:r>
        <w:t>). The system’s objective (and that of comparable systems overseas) is to promote innovation by small</w:t>
      </w:r>
      <w:r>
        <w:noBreakHyphen/>
        <w:t xml:space="preserve"> and medium</w:t>
      </w:r>
      <w:r>
        <w:noBreakHyphen/>
        <w:t>sized enterprises (</w:t>
      </w:r>
      <w:proofErr w:type="spellStart"/>
      <w:r>
        <w:t>SMEs</w:t>
      </w:r>
      <w:proofErr w:type="spellEnd"/>
      <w:r>
        <w:t xml:space="preserve">). Compared to the standard patent system, the </w:t>
      </w:r>
      <w:proofErr w:type="spellStart"/>
      <w:r>
        <w:t>IPS</w:t>
      </w:r>
      <w:proofErr w:type="spellEnd"/>
      <w:r>
        <w:t xml:space="preserve"> provides more contained rights — innovation patents are limited to five claims and the maximum duration of protection is </w:t>
      </w:r>
      <w:r w:rsidR="00931C15">
        <w:t>eight</w:t>
      </w:r>
      <w:r>
        <w:t xml:space="preserve"> years. </w:t>
      </w:r>
      <w:r>
        <w:rPr>
          <w:spacing w:val="-2"/>
        </w:rPr>
        <w:t xml:space="preserve">Australia’s </w:t>
      </w:r>
      <w:proofErr w:type="spellStart"/>
      <w:r>
        <w:rPr>
          <w:spacing w:val="-2"/>
        </w:rPr>
        <w:t>IPS</w:t>
      </w:r>
      <w:proofErr w:type="spellEnd"/>
      <w:r>
        <w:rPr>
          <w:spacing w:val="-2"/>
        </w:rPr>
        <w:t xml:space="preserve"> is little used. In</w:t>
      </w:r>
      <w:r w:rsidRPr="005611C6">
        <w:rPr>
          <w:spacing w:val="-2"/>
        </w:rPr>
        <w:t xml:space="preserve"> 201</w:t>
      </w:r>
      <w:r>
        <w:rPr>
          <w:spacing w:val="-2"/>
        </w:rPr>
        <w:t>5, innovation patents made up fewer than 5 per cent of patents in force</w:t>
      </w:r>
      <w:r w:rsidRPr="00343C01">
        <w:rPr>
          <w:spacing w:val="-2"/>
        </w:rPr>
        <w:t xml:space="preserve">. </w:t>
      </w:r>
    </w:p>
    <w:p w:rsidR="006F3267" w:rsidRDefault="006F3267" w:rsidP="006F3267">
      <w:pPr>
        <w:pStyle w:val="BodyText"/>
        <w:rPr>
          <w:spacing w:val="-2"/>
        </w:rPr>
      </w:pPr>
      <w:r>
        <w:t xml:space="preserve">The </w:t>
      </w:r>
      <w:proofErr w:type="spellStart"/>
      <w:r>
        <w:t>IPS</w:t>
      </w:r>
      <w:proofErr w:type="spellEnd"/>
      <w:r>
        <w:t xml:space="preserve"> was introduced in response to concerns that the previous petty patent system was not meeting the needs of firms (especially </w:t>
      </w:r>
      <w:proofErr w:type="spellStart"/>
      <w:r>
        <w:t>SMEs</w:t>
      </w:r>
      <w:proofErr w:type="spellEnd"/>
      <w:r>
        <w:t xml:space="preserve">) that invested in ‘incremental innovations’. </w:t>
      </w:r>
      <w:r>
        <w:rPr>
          <w:spacing w:val="-2"/>
        </w:rPr>
        <w:t>Reflecting this, the ‘innovative step’ required to receive an innovation patent is lower than the inventive step for standard patents; e</w:t>
      </w:r>
      <w:r>
        <w:t>ven where innovation patents apply to obvious contributions, they have been found valid by the courts.</w:t>
      </w:r>
    </w:p>
    <w:p w:rsidR="006F3267" w:rsidRDefault="006F3267" w:rsidP="006F3267">
      <w:pPr>
        <w:pStyle w:val="BodyText"/>
      </w:pPr>
      <w:r>
        <w:rPr>
          <w:spacing w:val="-2"/>
        </w:rPr>
        <w:t xml:space="preserve">The low innovative threshold has proven more harmful than helpful, including (perversely) for </w:t>
      </w:r>
      <w:proofErr w:type="spellStart"/>
      <w:r>
        <w:rPr>
          <w:spacing w:val="-2"/>
        </w:rPr>
        <w:t>SMEs</w:t>
      </w:r>
      <w:proofErr w:type="spellEnd"/>
      <w:r>
        <w:rPr>
          <w:spacing w:val="-2"/>
        </w:rPr>
        <w:t xml:space="preserve">. </w:t>
      </w:r>
      <w:r>
        <w:t>It has encouraged a multitude of low value patents,</w:t>
      </w:r>
      <w:r w:rsidR="00DE13FF">
        <w:t xml:space="preserve"> covering everything from a pet bed to</w:t>
      </w:r>
      <w:r>
        <w:t xml:space="preserve"> a pizza box that converts to a bib. This, in turn, has </w:t>
      </w:r>
      <w:r w:rsidRPr="00B7266D">
        <w:t>reduce</w:t>
      </w:r>
      <w:r>
        <w:t>d</w:t>
      </w:r>
      <w:r w:rsidRPr="00B7266D">
        <w:t xml:space="preserve"> the credibility </w:t>
      </w:r>
      <w:r>
        <w:t xml:space="preserve">that </w:t>
      </w:r>
      <w:r w:rsidRPr="00B7266D">
        <w:t>patents</w:t>
      </w:r>
      <w:r>
        <w:t xml:space="preserve"> provide for attracting finance for commercialisation, and created </w:t>
      </w:r>
      <w:r w:rsidRPr="00B7266D">
        <w:t>uncertainty for other innovators</w:t>
      </w:r>
      <w:r>
        <w:t xml:space="preserve"> who are unsure whether they are infringing on another party’s patent. Patent attorneys openly advertise ways in which users can game the system, including to improve their bargaining position in </w:t>
      </w:r>
      <w:r w:rsidRPr="001F119C">
        <w:t>patent disputes and to frustrate entry by competitors.</w:t>
      </w:r>
      <w:r>
        <w:t xml:space="preserve"> </w:t>
      </w:r>
    </w:p>
    <w:p w:rsidR="006F3267" w:rsidRDefault="006F3267" w:rsidP="006F3267">
      <w:pPr>
        <w:pStyle w:val="BodyText"/>
      </w:pPr>
      <w:r>
        <w:t xml:space="preserve">Some participants have called for the </w:t>
      </w:r>
      <w:proofErr w:type="spellStart"/>
      <w:r>
        <w:t>IPS</w:t>
      </w:r>
      <w:proofErr w:type="spellEnd"/>
      <w:r>
        <w:t xml:space="preserve"> to be abolished; others have called for its reform. Were the </w:t>
      </w:r>
      <w:proofErr w:type="spellStart"/>
      <w:r>
        <w:t>IPS</w:t>
      </w:r>
      <w:proofErr w:type="spellEnd"/>
      <w:r>
        <w:t xml:space="preserve"> to be reformed, there would be strong grounds to exclude obvious inventions by setting the innovative step at the same level as the inventive step for standard patents</w:t>
      </w:r>
      <w:r w:rsidRPr="004F58DA">
        <w:rPr>
          <w:spacing w:val="-2"/>
        </w:rPr>
        <w:t xml:space="preserve">. </w:t>
      </w:r>
      <w:r>
        <w:rPr>
          <w:spacing w:val="-2"/>
        </w:rPr>
        <w:t xml:space="preserve">It would also be necessary to address strategic behaviour, most likely by reintroducing a mandatory examination process, and limiting </w:t>
      </w:r>
      <w:r>
        <w:t xml:space="preserve">the period in which damages could apply. However, reforming </w:t>
      </w:r>
      <w:r>
        <w:rPr>
          <w:spacing w:val="-2"/>
        </w:rPr>
        <w:t xml:space="preserve">the </w:t>
      </w:r>
      <w:proofErr w:type="spellStart"/>
      <w:r w:rsidRPr="004402B5">
        <w:rPr>
          <w:spacing w:val="-2"/>
        </w:rPr>
        <w:t>IPS</w:t>
      </w:r>
      <w:proofErr w:type="spellEnd"/>
      <w:r w:rsidRPr="004402B5">
        <w:rPr>
          <w:spacing w:val="-2"/>
        </w:rPr>
        <w:t xml:space="preserve"> </w:t>
      </w:r>
      <w:r>
        <w:rPr>
          <w:spacing w:val="-2"/>
        </w:rPr>
        <w:t xml:space="preserve">along these lines </w:t>
      </w:r>
      <w:r w:rsidRPr="004402B5">
        <w:rPr>
          <w:spacing w:val="-2"/>
        </w:rPr>
        <w:t xml:space="preserve">would see innovation patents </w:t>
      </w:r>
      <w:r>
        <w:rPr>
          <w:spacing w:val="-2"/>
        </w:rPr>
        <w:t xml:space="preserve">resemble </w:t>
      </w:r>
      <w:r w:rsidRPr="004402B5">
        <w:rPr>
          <w:spacing w:val="-2"/>
        </w:rPr>
        <w:t>petty patents</w:t>
      </w:r>
      <w:r>
        <w:rPr>
          <w:spacing w:val="-2"/>
        </w:rPr>
        <w:t>, and so represent a</w:t>
      </w:r>
      <w:r w:rsidRPr="004402B5">
        <w:rPr>
          <w:spacing w:val="-2"/>
        </w:rPr>
        <w:t xml:space="preserve"> return to an approach already found to be lacking</w:t>
      </w:r>
      <w:r>
        <w:rPr>
          <w:spacing w:val="-2"/>
        </w:rPr>
        <w:t xml:space="preserve"> — tantamount to a policy ‘Groundhog Day’</w:t>
      </w:r>
      <w:r w:rsidRPr="004402B5">
        <w:rPr>
          <w:spacing w:val="-2"/>
        </w:rPr>
        <w:t>.</w:t>
      </w:r>
      <w:r>
        <w:rPr>
          <w:spacing w:val="-2"/>
        </w:rPr>
        <w:t xml:space="preserve"> </w:t>
      </w:r>
      <w:r>
        <w:t xml:space="preserve">The community’s interests, and the interests of </w:t>
      </w:r>
      <w:proofErr w:type="spellStart"/>
      <w:r>
        <w:t>SMEs</w:t>
      </w:r>
      <w:proofErr w:type="spellEnd"/>
      <w:r>
        <w:t xml:space="preserve">, would be better served by abolishing innovation patents and directly tackling the IP issues of greatest concern to </w:t>
      </w:r>
      <w:proofErr w:type="spellStart"/>
      <w:r>
        <w:t>SMEs</w:t>
      </w:r>
      <w:proofErr w:type="spellEnd"/>
      <w:r>
        <w:t xml:space="preserve">, such as patent infringement and enforcement costs. </w:t>
      </w:r>
    </w:p>
    <w:p w:rsidR="006F3267" w:rsidRPr="00D42AC5" w:rsidRDefault="006F3267" w:rsidP="006F3267">
      <w:pPr>
        <w:pStyle w:val="Heading3"/>
        <w:rPr>
          <w:spacing w:val="-6"/>
        </w:rPr>
      </w:pPr>
      <w:r>
        <w:rPr>
          <w:spacing w:val="-6"/>
        </w:rPr>
        <w:t>Software patents — staying on track</w:t>
      </w:r>
    </w:p>
    <w:p w:rsidR="006F3267" w:rsidRDefault="006F3267" w:rsidP="006F3267">
      <w:pPr>
        <w:pStyle w:val="BodyText"/>
      </w:pPr>
      <w:r>
        <w:t>The rise of the digital economy means that software is now a part of many everyday goods and services, and is a vital building block for new ideas and technologies. But while software represents the future, the legal constructs of software patents are stuck in the past — using concepts that stem from England’s 1624 Statute of Monopolies. Unsurprisingly, the use of a four century old definition has proven challenging to apply to contemporary innovations.</w:t>
      </w:r>
    </w:p>
    <w:p w:rsidR="006F3267" w:rsidRDefault="006F3267" w:rsidP="006F3267">
      <w:pPr>
        <w:pStyle w:val="BodyText"/>
      </w:pPr>
      <w:r>
        <w:lastRenderedPageBreak/>
        <w:t>Software innovations are also increasingly at odds with the economic underpinnings of the patent system. Software development typically occurs rapidly, builds sequentially on existing ideas, and is getting cheaper. In contrast, patents provide a long period of protection and can frustrate follow-on innovation. Over the last decade, there has been growing concern that software patents are being used to protect simple or straightforward ideas, and to gain exclusivity over existing business processes that are merely automated using a computer, rather than being particularly novel.</w:t>
      </w:r>
    </w:p>
    <w:p w:rsidR="006F3267" w:rsidRDefault="006F3267" w:rsidP="006F3267">
      <w:pPr>
        <w:pStyle w:val="BodyText"/>
      </w:pPr>
      <w:r>
        <w:t>Recent court decisions have helped to narrow the circumstances where computer</w:t>
      </w:r>
      <w:r w:rsidR="00DE1327">
        <w:noBreakHyphen/>
      </w:r>
      <w:r>
        <w:t xml:space="preserve">implemented innovations can gain patent protection. Business methods are no longer patentable, and other software innovations must now embody some technical contribution in order to qualify for patent protection. The Commission’s proposed patent reforms would assist further in limiting low-value software patents. </w:t>
      </w:r>
    </w:p>
    <w:p w:rsidR="006F3267" w:rsidRPr="00DF6A8C" w:rsidRDefault="006F3267" w:rsidP="006F3267">
      <w:pPr>
        <w:pStyle w:val="BodyText"/>
      </w:pPr>
      <w:r>
        <w:t xml:space="preserve">The patentability of software merits close and ongoing scrutiny given its importance to the modern economy, and to ensure that the effect of recent legal decisions has been in the best interests of the community.  </w:t>
      </w:r>
    </w:p>
    <w:p w:rsidR="006F3267" w:rsidRDefault="006F3267" w:rsidP="006F3267">
      <w:pPr>
        <w:pStyle w:val="Heading2"/>
      </w:pPr>
      <w:r>
        <w:rPr>
          <w:noProof/>
        </w:rPr>
        <w:t>5</w:t>
      </w:r>
      <w:r>
        <w:tab/>
        <w:t xml:space="preserve">Pharmaceuticals — a better policy prescription </w:t>
      </w:r>
    </w:p>
    <w:p w:rsidR="006F3267" w:rsidRPr="007C1957" w:rsidRDefault="006F3267" w:rsidP="006F3267">
      <w:pPr>
        <w:pStyle w:val="BodyText"/>
      </w:pPr>
      <w:r>
        <w:t xml:space="preserve">The pharmaceutical sector relies on IP protection more than most, since many pharmaceutical advances require large upfront investment in research and development and are easy to copy. In </w:t>
      </w:r>
      <w:r w:rsidRPr="007C1957">
        <w:t xml:space="preserve">addition to </w:t>
      </w:r>
      <w:r>
        <w:t>the standard suite of IP protections</w:t>
      </w:r>
      <w:r w:rsidRPr="007C1957">
        <w:t xml:space="preserve">, the pharmaceutical sector benefits from </w:t>
      </w:r>
      <w:r>
        <w:t>bespoke</w:t>
      </w:r>
      <w:r w:rsidRPr="007C1957">
        <w:t xml:space="preserve"> </w:t>
      </w:r>
      <w:r>
        <w:t xml:space="preserve">IP </w:t>
      </w:r>
      <w:r w:rsidRPr="007C1957">
        <w:t>arrangements</w:t>
      </w:r>
      <w:r>
        <w:t xml:space="preserve">. </w:t>
      </w:r>
    </w:p>
    <w:p w:rsidR="006F3267" w:rsidRDefault="006F3267" w:rsidP="006F3267">
      <w:pPr>
        <w:pStyle w:val="Heading3"/>
        <w:spacing w:before="360"/>
      </w:pPr>
      <w:r>
        <w:t xml:space="preserve">Extensions of term </w:t>
      </w:r>
    </w:p>
    <w:p w:rsidR="006F3267" w:rsidRDefault="006F3267" w:rsidP="006F3267">
      <w:pPr>
        <w:pStyle w:val="BodyText"/>
      </w:pPr>
      <w:r w:rsidRPr="007C1957">
        <w:t xml:space="preserve">Further </w:t>
      </w:r>
      <w:r w:rsidRPr="003C1E36">
        <w:t>to the 20</w:t>
      </w:r>
      <w:r>
        <w:noBreakHyphen/>
      </w:r>
      <w:r w:rsidRPr="003C1E36">
        <w:t xml:space="preserve">year term </w:t>
      </w:r>
      <w:r>
        <w:t>applying</w:t>
      </w:r>
      <w:r w:rsidRPr="003C1E36">
        <w:t xml:space="preserve"> to all patents, pharmaceutical patents can qualify for an additional five years of protection. </w:t>
      </w:r>
      <w:r w:rsidR="005440ED">
        <w:t>E</w:t>
      </w:r>
      <w:r w:rsidRPr="003C1E36">
        <w:t xml:space="preserve">xtensions </w:t>
      </w:r>
      <w:r>
        <w:t>of term (</w:t>
      </w:r>
      <w:proofErr w:type="spellStart"/>
      <w:r>
        <w:t>EoT</w:t>
      </w:r>
      <w:proofErr w:type="spellEnd"/>
      <w:r>
        <w:t xml:space="preserve">) </w:t>
      </w:r>
      <w:r w:rsidRPr="003C1E36">
        <w:t>are capped at an effective market life of 15 years</w:t>
      </w:r>
      <w:r>
        <w:t xml:space="preserve">. These bespoke arrangements were intended to attract pharmaceutical research and development investment to Australia and to improve incentives for innovation by providing an effective market life for pharmaceuticals more in line with other technologies. </w:t>
      </w:r>
    </w:p>
    <w:p w:rsidR="006F3267" w:rsidRDefault="006F3267" w:rsidP="006F3267">
      <w:pPr>
        <w:pStyle w:val="BodyText"/>
      </w:pPr>
      <w:r>
        <w:t xml:space="preserve">However, Australia’s </w:t>
      </w:r>
      <w:proofErr w:type="spellStart"/>
      <w:r>
        <w:t>EoT</w:t>
      </w:r>
      <w:proofErr w:type="spellEnd"/>
      <w:r>
        <w:t xml:space="preserve"> scheme has had little effect on investment and innovation; Australia represents a meagre 0.3 per cent of global spending on pharmaceutical research and development. As pharmaceutical companies have acknowledged, the prospect of future returns in such a small market (accounting for only 2 per cent of global pharmaceutical revenues) provides little in the way of additional incentive. </w:t>
      </w:r>
    </w:p>
    <w:p w:rsidR="006F3267" w:rsidRDefault="006F3267" w:rsidP="006F3267">
      <w:pPr>
        <w:pStyle w:val="BodyText"/>
      </w:pPr>
      <w:r w:rsidRPr="00987E25">
        <w:t xml:space="preserve">Moreover, the benefits sought from </w:t>
      </w:r>
      <w:proofErr w:type="spellStart"/>
      <w:r w:rsidRPr="00987E25">
        <w:t>EoT</w:t>
      </w:r>
      <w:proofErr w:type="spellEnd"/>
      <w:r w:rsidRPr="00987E25">
        <w:t xml:space="preserve"> arrangements have proven largely illusory, resulting in a costly policy placebo. Poor targeting means that more than half of new</w:t>
      </w:r>
      <w:r>
        <w:t xml:space="preserve"> chemical entities approved for sale in Australia enjoy an extension in patent term, and consumers and governments face higher prices for medicines. </w:t>
      </w:r>
    </w:p>
    <w:p w:rsidR="006F3267" w:rsidRPr="002672A5" w:rsidRDefault="006F3267" w:rsidP="006F3267">
      <w:pPr>
        <w:pStyle w:val="BodyText"/>
      </w:pPr>
      <w:r>
        <w:lastRenderedPageBreak/>
        <w:t xml:space="preserve">Rather than compensating firms for being slow to introduce drugs to the Australian market, extensions should only be allowed </w:t>
      </w:r>
      <w:r w:rsidRPr="002672A5">
        <w:t xml:space="preserve">where the </w:t>
      </w:r>
      <w:r>
        <w:t xml:space="preserve">actions of the regulator result in an </w:t>
      </w:r>
      <w:r w:rsidRPr="00694D16">
        <w:rPr>
          <w:i/>
        </w:rPr>
        <w:t>unreasonable</w:t>
      </w:r>
      <w:r>
        <w:t xml:space="preserve"> delay. Timeframes (of around one year) set by Government for the Therapeutic Goods Administration (</w:t>
      </w:r>
      <w:proofErr w:type="spellStart"/>
      <w:r>
        <w:t>TGA</w:t>
      </w:r>
      <w:proofErr w:type="spellEnd"/>
      <w:r>
        <w:t xml:space="preserve">) provide a ready benchmark for determining what constitutes a reasonable processing period. </w:t>
      </w:r>
      <w:proofErr w:type="spellStart"/>
      <w:r>
        <w:t>EoT</w:t>
      </w:r>
      <w:proofErr w:type="spellEnd"/>
      <w:r>
        <w:t xml:space="preserve"> should only be granted where the time taken by the regulator exceeds this period. The Commission estimates that this approach would lower the cost of pharmaceuticals in Australia and save consumers and taxpayers more than $250</w:t>
      </w:r>
      <w:r w:rsidRPr="00466C6A">
        <w:rPr>
          <w:color w:val="FF0000"/>
        </w:rPr>
        <w:t xml:space="preserve"> </w:t>
      </w:r>
      <w:r>
        <w:t>million per year.</w:t>
      </w:r>
    </w:p>
    <w:p w:rsidR="006F3267" w:rsidRDefault="006F3267" w:rsidP="006F3267">
      <w:pPr>
        <w:pStyle w:val="Heading3"/>
        <w:spacing w:before="360"/>
      </w:pPr>
      <w:r>
        <w:t>Sharing rather than protecting data</w:t>
      </w:r>
    </w:p>
    <w:p w:rsidR="006F3267" w:rsidRPr="008B5B72" w:rsidRDefault="006F3267" w:rsidP="006F3267">
      <w:pPr>
        <w:pStyle w:val="BodyText"/>
      </w:pPr>
      <w:r>
        <w:t>The confidential</w:t>
      </w:r>
      <w:r w:rsidRPr="003C1E36">
        <w:t xml:space="preserve"> data submitted in support of regulatory approval processes are </w:t>
      </w:r>
      <w:r>
        <w:t>also protected for a period of five </w:t>
      </w:r>
      <w:r w:rsidRPr="003C1E36">
        <w:t>years.</w:t>
      </w:r>
      <w:r>
        <w:t xml:space="preserve"> During this period,</w:t>
      </w:r>
      <w:r w:rsidRPr="003C1E36">
        <w:t xml:space="preserve"> </w:t>
      </w:r>
      <w:r>
        <w:t>m</w:t>
      </w:r>
      <w:r w:rsidRPr="003C1E36">
        <w:t>anufacturers</w:t>
      </w:r>
      <w:r>
        <w:t xml:space="preserve"> of generic pharmaceuticals </w:t>
      </w:r>
      <w:r w:rsidRPr="003C1E36">
        <w:t>must independently</w:t>
      </w:r>
      <w:r>
        <w:t xml:space="preserve"> </w:t>
      </w:r>
      <w:r w:rsidRPr="003C1E36">
        <w:t xml:space="preserve">prove that their </w:t>
      </w:r>
      <w:r>
        <w:t>products</w:t>
      </w:r>
      <w:r w:rsidRPr="003C1E36">
        <w:t xml:space="preserve"> are safe and effective, even though </w:t>
      </w:r>
      <w:r>
        <w:t>they</w:t>
      </w:r>
      <w:r w:rsidRPr="003C1E36">
        <w:t xml:space="preserve"> are chemically identical to </w:t>
      </w:r>
      <w:r>
        <w:t>already approved</w:t>
      </w:r>
      <w:r w:rsidRPr="003C1E36">
        <w:t xml:space="preserve"> drugs</w:t>
      </w:r>
      <w:r>
        <w:t>.</w:t>
      </w:r>
      <w:r w:rsidRPr="008B5B72">
        <w:t xml:space="preserve"> </w:t>
      </w:r>
    </w:p>
    <w:p w:rsidR="006F3267" w:rsidRPr="00575D45" w:rsidRDefault="006F3267" w:rsidP="006F3267">
      <w:pPr>
        <w:pStyle w:val="BodyText"/>
        <w:rPr>
          <w:b/>
        </w:rPr>
      </w:pPr>
      <w:r>
        <w:t xml:space="preserve">Pharmaceutical companies have pressed the Australian Government to extend the duration of data protection. They view data protection as an insurance policy to guard against what they see as inadequate patent protection. Most recently, negotiations for </w:t>
      </w:r>
      <w:r w:rsidRPr="00B702CC">
        <w:t>the Trans</w:t>
      </w:r>
      <w:r>
        <w:noBreakHyphen/>
      </w:r>
      <w:r w:rsidRPr="00B702CC">
        <w:t xml:space="preserve">Pacific Partnership Agreement saw </w:t>
      </w:r>
      <w:r>
        <w:t xml:space="preserve">(unsuccessful) </w:t>
      </w:r>
      <w:r w:rsidRPr="00B702CC">
        <w:t xml:space="preserve">calls to extend data protection </w:t>
      </w:r>
      <w:r>
        <w:t xml:space="preserve">for biologics </w:t>
      </w:r>
      <w:r w:rsidRPr="00B702CC">
        <w:t>from 5 to 12 years</w:t>
      </w:r>
      <w:r>
        <w:t xml:space="preserve">. </w:t>
      </w:r>
    </w:p>
    <w:p w:rsidR="006F3267" w:rsidRPr="00307CB4" w:rsidRDefault="006F3267" w:rsidP="006F3267">
      <w:pPr>
        <w:pStyle w:val="BodyText"/>
      </w:pPr>
      <w:r>
        <w:t>Despite decade</w:t>
      </w:r>
      <w:r>
        <w:noBreakHyphen/>
        <w:t>long claims of inadequate patent protection, there is little evidence of a problem</w:t>
      </w:r>
      <w:r w:rsidRPr="005B2195">
        <w:t xml:space="preserve">. </w:t>
      </w:r>
      <w:r>
        <w:t>E</w:t>
      </w:r>
      <w:r w:rsidRPr="005B2195">
        <w:t xml:space="preserve">ven </w:t>
      </w:r>
      <w:r>
        <w:t>if</w:t>
      </w:r>
      <w:r w:rsidRPr="005B2195">
        <w:t xml:space="preserve"> isolated cases </w:t>
      </w:r>
      <w:r>
        <w:t>were verified as genuine</w:t>
      </w:r>
      <w:r w:rsidRPr="005B2195">
        <w:t xml:space="preserve">, extending protection to a broad class of products to </w:t>
      </w:r>
      <w:r w:rsidRPr="00224E01">
        <w:t xml:space="preserve">address exceptional cases </w:t>
      </w:r>
      <w:r>
        <w:t>would represent a blunt and costly response. And using</w:t>
      </w:r>
      <w:r w:rsidRPr="00224E01">
        <w:t xml:space="preserve"> data protection as a proxy for patent protection has drawbacks. Beyond the obvious absence of disclosure of information to promote further innovation, data protection lacks other important balances that apply to patents. Data protection </w:t>
      </w:r>
      <w:r>
        <w:t>arises automatically</w:t>
      </w:r>
      <w:r w:rsidRPr="00307CB4">
        <w:t xml:space="preserve"> and cannot be challenged in court. </w:t>
      </w:r>
    </w:p>
    <w:p w:rsidR="006F3267" w:rsidRPr="005B266F" w:rsidRDefault="006F3267" w:rsidP="006F3267">
      <w:pPr>
        <w:pStyle w:val="BodyText"/>
      </w:pPr>
      <w:r>
        <w:t>As well as there being strong grounds for resisting further calls to extend</w:t>
      </w:r>
      <w:r w:rsidRPr="00307CB4">
        <w:t xml:space="preserve"> the period of data protection, </w:t>
      </w:r>
      <w:r w:rsidRPr="005B266F">
        <w:t>there is a case for making data more widely available. At present, not only are follow</w:t>
      </w:r>
      <w:r>
        <w:noBreakHyphen/>
      </w:r>
      <w:r w:rsidRPr="005B266F">
        <w:t xml:space="preserve">on manufacturers prevented from relying on clinical data for a period of </w:t>
      </w:r>
      <w:r w:rsidR="007A01EB">
        <w:t xml:space="preserve">five </w:t>
      </w:r>
      <w:r w:rsidRPr="005B266F">
        <w:t xml:space="preserve">years, the data is kept confidential indefinitely. </w:t>
      </w:r>
      <w:r>
        <w:t>A</w:t>
      </w:r>
      <w:r w:rsidRPr="005B266F">
        <w:t>llowing researchers access to this data could provide substantial public health benefits</w:t>
      </w:r>
      <w:r>
        <w:t>.</w:t>
      </w:r>
      <w:r w:rsidRPr="005B266F">
        <w:t xml:space="preserve"> But doing so </w:t>
      </w:r>
      <w:r>
        <w:t xml:space="preserve">unilaterally </w:t>
      </w:r>
      <w:r w:rsidRPr="005B266F">
        <w:t xml:space="preserve">would </w:t>
      </w:r>
      <w:r>
        <w:t>have some</w:t>
      </w:r>
      <w:r w:rsidRPr="005B266F">
        <w:t xml:space="preserve"> downsides. Companies may respond by d</w:t>
      </w:r>
      <w:r>
        <w:t xml:space="preserve">elaying the release of </w:t>
      </w:r>
      <w:r w:rsidRPr="005B266F">
        <w:t xml:space="preserve">medicines in the Australian market. Accordingly, any moves to </w:t>
      </w:r>
      <w:r>
        <w:t>publish the relevant data need to</w:t>
      </w:r>
      <w:r w:rsidRPr="005B266F">
        <w:t xml:space="preserve"> be internationally coordinated. </w:t>
      </w:r>
    </w:p>
    <w:p w:rsidR="006F3267" w:rsidRDefault="006F3267" w:rsidP="006F3267">
      <w:pPr>
        <w:pStyle w:val="Heading3"/>
        <w:spacing w:before="360"/>
      </w:pPr>
      <w:r>
        <w:t>Reducing the scope for strategic behaviour</w:t>
      </w:r>
    </w:p>
    <w:p w:rsidR="006F3267" w:rsidRPr="00016B0B" w:rsidRDefault="006F3267" w:rsidP="006F3267">
      <w:pPr>
        <w:pStyle w:val="BodyText"/>
      </w:pPr>
      <w:r>
        <w:t>The ability of companies to leverage their IP rights to forestall entry by generics</w:t>
      </w:r>
      <w:r w:rsidR="00B5324E">
        <w:br/>
      </w:r>
      <w:r>
        <w:t>—</w:t>
      </w:r>
      <w:r w:rsidR="00B5324E">
        <w:t xml:space="preserve"> </w:t>
      </w:r>
      <w:r>
        <w:t xml:space="preserve">effectively extending the term of exclusivity — </w:t>
      </w:r>
      <w:r w:rsidR="00C74ED7">
        <w:t xml:space="preserve">can have </w:t>
      </w:r>
      <w:r>
        <w:t>a significant negative impact on consumers and (through the Pharmaceutical Benefits Scheme (</w:t>
      </w:r>
      <w:proofErr w:type="spellStart"/>
      <w:r>
        <w:t>PBS</w:t>
      </w:r>
      <w:proofErr w:type="spellEnd"/>
      <w:r>
        <w:t xml:space="preserve">)) on taxpayers. </w:t>
      </w:r>
      <w:r>
        <w:lastRenderedPageBreak/>
        <w:t xml:space="preserve">Firms can use a variety of strategies </w:t>
      </w:r>
      <w:r w:rsidRPr="003A139E">
        <w:t xml:space="preserve">to </w:t>
      </w:r>
      <w:r>
        <w:t xml:space="preserve">further </w:t>
      </w:r>
      <w:r w:rsidRPr="003A139E">
        <w:t xml:space="preserve">extend the commercial life of their </w:t>
      </w:r>
      <w:r>
        <w:t>products including (so</w:t>
      </w:r>
      <w:r>
        <w:noBreakHyphen/>
        <w:t xml:space="preserve">called) </w:t>
      </w:r>
      <w:proofErr w:type="spellStart"/>
      <w:r>
        <w:t>evergreening</w:t>
      </w:r>
      <w:proofErr w:type="spellEnd"/>
      <w:r>
        <w:t xml:space="preserve"> and pay</w:t>
      </w:r>
      <w:r>
        <w:noBreakHyphen/>
        <w:t>for</w:t>
      </w:r>
      <w:r>
        <w:noBreakHyphen/>
        <w:t xml:space="preserve">delay. </w:t>
      </w:r>
    </w:p>
    <w:p w:rsidR="006F3267" w:rsidRPr="005A50FF" w:rsidRDefault="006F3267" w:rsidP="006F3267">
      <w:pPr>
        <w:pStyle w:val="BodyText"/>
      </w:pPr>
      <w:proofErr w:type="spellStart"/>
      <w:r>
        <w:t>Evergreening</w:t>
      </w:r>
      <w:proofErr w:type="spellEnd"/>
      <w:r>
        <w:t xml:space="preserve"> refers to the strategy of obtaining multiple patents that cover different aspects of the same product, typically on improved versions of existing products</w:t>
      </w:r>
      <w:r w:rsidRPr="00FF4486">
        <w:t xml:space="preserve">. Some </w:t>
      </w:r>
      <w:r>
        <w:t>of these patents relate to genuine improvements</w:t>
      </w:r>
      <w:r w:rsidRPr="00FF4486">
        <w:t xml:space="preserve"> </w:t>
      </w:r>
      <w:r>
        <w:t>that increase</w:t>
      </w:r>
      <w:r w:rsidRPr="00FF4486">
        <w:t xml:space="preserve"> consumer wellbeing</w:t>
      </w:r>
      <w:r>
        <w:t>,</w:t>
      </w:r>
      <w:r w:rsidRPr="00FF4486">
        <w:t xml:space="preserve"> </w:t>
      </w:r>
      <w:r>
        <w:t xml:space="preserve">such as </w:t>
      </w:r>
      <w:r w:rsidRPr="00FF4486">
        <w:t xml:space="preserve">significantly reducing side </w:t>
      </w:r>
      <w:r w:rsidRPr="005A50FF">
        <w:t>effects</w:t>
      </w:r>
      <w:r>
        <w:t xml:space="preserve"> of certain medications</w:t>
      </w:r>
      <w:r w:rsidRPr="005A50FF">
        <w:t>. However</w:t>
      </w:r>
      <w:r>
        <w:t>,</w:t>
      </w:r>
      <w:r w:rsidRPr="005A50FF">
        <w:t xml:space="preserve"> some ‘improvements’ may involve </w:t>
      </w:r>
      <w:r>
        <w:t xml:space="preserve">a </w:t>
      </w:r>
      <w:r w:rsidRPr="005A50FF">
        <w:t xml:space="preserve">slightly different chemical combination or </w:t>
      </w:r>
      <w:r>
        <w:t>process of production,</w:t>
      </w:r>
      <w:r w:rsidRPr="005A50FF">
        <w:t xml:space="preserve"> </w:t>
      </w:r>
      <w:r>
        <w:t>which</w:t>
      </w:r>
      <w:r w:rsidRPr="005A50FF">
        <w:t xml:space="preserve"> show no appreciable difference to the user</w:t>
      </w:r>
      <w:r>
        <w:t>.</w:t>
      </w:r>
      <w:r w:rsidRPr="005A50FF">
        <w:t xml:space="preserve"> An additional benefit of changing the inventive step is it would </w:t>
      </w:r>
      <w:r>
        <w:t>reduce the scope for</w:t>
      </w:r>
      <w:r w:rsidRPr="005A50FF">
        <w:t xml:space="preserve"> </w:t>
      </w:r>
      <w:r>
        <w:t xml:space="preserve">the latter type of behaviour </w:t>
      </w:r>
      <w:r w:rsidRPr="005A50FF">
        <w:t xml:space="preserve">— </w:t>
      </w:r>
      <w:r>
        <w:t xml:space="preserve">by </w:t>
      </w:r>
      <w:r w:rsidRPr="005A50FF">
        <w:t xml:space="preserve">granting </w:t>
      </w:r>
      <w:r>
        <w:t>new patents only for genuinely inventive</w:t>
      </w:r>
      <w:r w:rsidRPr="005A50FF">
        <w:t xml:space="preserve"> products.</w:t>
      </w:r>
    </w:p>
    <w:p w:rsidR="006F3267" w:rsidRDefault="006F3267" w:rsidP="006F3267">
      <w:pPr>
        <w:pStyle w:val="BodyText"/>
      </w:pPr>
      <w:r>
        <w:t>Pay</w:t>
      </w:r>
      <w:r>
        <w:noBreakHyphen/>
        <w:t>for</w:t>
      </w:r>
      <w:r>
        <w:noBreakHyphen/>
        <w:t xml:space="preserve">delay refers to the practice whereby patent holders pay generic manufacturers, as part of a settlement for a patent infringement case, to keep their products off the market beyond the scope of a patent. Delays of this kind limit competition by restricting the number of products on the market and any subsequent price reductions, including those triggered under the </w:t>
      </w:r>
      <w:proofErr w:type="spellStart"/>
      <w:r>
        <w:t>PBS</w:t>
      </w:r>
      <w:proofErr w:type="spellEnd"/>
      <w:r>
        <w:t xml:space="preserve">. </w:t>
      </w:r>
    </w:p>
    <w:p w:rsidR="006F3267" w:rsidRDefault="006F3267" w:rsidP="006F3267">
      <w:pPr>
        <w:pStyle w:val="BodyText"/>
      </w:pPr>
      <w:r>
        <w:t xml:space="preserve">In contrast to the US and </w:t>
      </w:r>
      <w:r w:rsidRPr="00710438">
        <w:t>Europe</w:t>
      </w:r>
      <w:r>
        <w:t>, which have arrangements to detect suspect agreements, Australia has taken a ‘see no evil’ approach to pay</w:t>
      </w:r>
      <w:r>
        <w:noBreakHyphen/>
        <w:t>for</w:t>
      </w:r>
      <w:r>
        <w:noBreakHyphen/>
        <w:t>delay settlements. A</w:t>
      </w:r>
      <w:r w:rsidRPr="005A50FF">
        <w:t xml:space="preserve"> transparent reporting and monitoring system </w:t>
      </w:r>
      <w:r>
        <w:t xml:space="preserve">should be put in place </w:t>
      </w:r>
      <w:r w:rsidRPr="005A50FF">
        <w:t>to detect pay</w:t>
      </w:r>
      <w:r>
        <w:noBreakHyphen/>
      </w:r>
      <w:r w:rsidRPr="005A50FF">
        <w:t>for</w:t>
      </w:r>
      <w:r>
        <w:noBreakHyphen/>
      </w:r>
      <w:r w:rsidRPr="005A50FF">
        <w:t xml:space="preserve">delay settlements. </w:t>
      </w:r>
      <w:r>
        <w:t xml:space="preserve">This </w:t>
      </w:r>
      <w:r w:rsidRPr="005A50FF">
        <w:t xml:space="preserve">would require reporting </w:t>
      </w:r>
      <w:r>
        <w:t>to the Australian Competition and Consumer Commission (</w:t>
      </w:r>
      <w:proofErr w:type="spellStart"/>
      <w:r>
        <w:t>ACCC</w:t>
      </w:r>
      <w:proofErr w:type="spellEnd"/>
      <w:r>
        <w:t xml:space="preserve">) settlement </w:t>
      </w:r>
      <w:r w:rsidRPr="005A50FF">
        <w:t xml:space="preserve">arrangements between originator and follower pharmaceutical companies that affect the timing of </w:t>
      </w:r>
      <w:r>
        <w:t xml:space="preserve">market </w:t>
      </w:r>
      <w:r w:rsidRPr="005A50FF">
        <w:t xml:space="preserve">entry </w:t>
      </w:r>
      <w:r>
        <w:t xml:space="preserve">for </w:t>
      </w:r>
      <w:r w:rsidRPr="005A50FF">
        <w:t xml:space="preserve">a generic version of a product into the Australian market. </w:t>
      </w:r>
      <w:r>
        <w:t xml:space="preserve">To minimise compliance and transition costs, monitoring arrangements should be based on those employed by the </w:t>
      </w:r>
      <w:r w:rsidR="000C5315">
        <w:t>US</w:t>
      </w:r>
      <w:r>
        <w:t xml:space="preserve"> Federal Trade Commission.</w:t>
      </w:r>
    </w:p>
    <w:p w:rsidR="006F3267" w:rsidRDefault="006F3267" w:rsidP="006F3267">
      <w:pPr>
        <w:pStyle w:val="Heading2"/>
      </w:pPr>
      <w:r>
        <w:rPr>
          <w:noProof/>
        </w:rPr>
        <w:t>6</w:t>
      </w:r>
      <w:r>
        <w:tab/>
        <w:t>Other IP rights</w:t>
      </w:r>
    </w:p>
    <w:p w:rsidR="006F3267" w:rsidRDefault="006F3267" w:rsidP="006F3267">
      <w:pPr>
        <w:pStyle w:val="BodyText"/>
      </w:pPr>
      <w:r>
        <w:t xml:space="preserve">Australia’s IP arrangements encompass other protections. Protections are available for the physical features of products (designs) and their branding or styling (trade marks). </w:t>
      </w:r>
      <w:r w:rsidRPr="00E11C47">
        <w:rPr>
          <w:i/>
        </w:rPr>
        <w:t>S</w:t>
      </w:r>
      <w:r w:rsidRPr="000A167E">
        <w:rPr>
          <w:i/>
        </w:rPr>
        <w:t>ui generis</w:t>
      </w:r>
      <w:r>
        <w:t xml:space="preserve"> rights are intended to fill apparent gaps in established IP protection, such as in plant varieties and circuit layouts.</w:t>
      </w:r>
    </w:p>
    <w:p w:rsidR="006F3267" w:rsidRDefault="006F3267" w:rsidP="006F3267">
      <w:pPr>
        <w:pStyle w:val="Heading3"/>
      </w:pPr>
      <w:r>
        <w:t>Registered d</w:t>
      </w:r>
      <w:r w:rsidRPr="00F71CC8">
        <w:t>esigns</w:t>
      </w:r>
    </w:p>
    <w:p w:rsidR="006F3267" w:rsidRDefault="006F3267" w:rsidP="006F3267">
      <w:pPr>
        <w:pStyle w:val="BodyText"/>
      </w:pPr>
      <w:r>
        <w:t>Registered design rights serve a niche yet important role in Australia’s IP rights system — protecting the appearance of products that have an industrial or commercial use.</w:t>
      </w:r>
    </w:p>
    <w:p w:rsidR="006F3267" w:rsidRPr="00EE4307" w:rsidRDefault="006F3267" w:rsidP="006F3267">
      <w:pPr>
        <w:pStyle w:val="BodyText"/>
      </w:pPr>
      <w:r>
        <w:t>Inquiry p</w:t>
      </w:r>
      <w:r w:rsidRPr="00EE4307">
        <w:t>articipants expressed concerns about Australia’s design rights system, including the low uptake of design rights due to the cost of registration and enforcement</w:t>
      </w:r>
      <w:r>
        <w:t xml:space="preserve">, </w:t>
      </w:r>
      <w:r w:rsidRPr="00EE4307">
        <w:t xml:space="preserve">and </w:t>
      </w:r>
      <w:r>
        <w:t xml:space="preserve">a </w:t>
      </w:r>
      <w:r w:rsidRPr="00EE4307">
        <w:t>poor understanding of design law</w:t>
      </w:r>
      <w:r>
        <w:t>, which can lead to designers inadvertently losing their rights or failing to seek protection in the first place.</w:t>
      </w:r>
    </w:p>
    <w:p w:rsidR="006F3267" w:rsidRPr="00EE4307" w:rsidRDefault="006F3267" w:rsidP="006F3267">
      <w:pPr>
        <w:pStyle w:val="BodyText"/>
      </w:pPr>
      <w:r w:rsidRPr="00EE4307">
        <w:lastRenderedPageBreak/>
        <w:t xml:space="preserve">The Australian Government has committed to </w:t>
      </w:r>
      <w:r>
        <w:t xml:space="preserve">making changes that would partly address these issues. Following a review by the Advisory Council on Intellectual Property, the Government has agreed, among other things, to </w:t>
      </w:r>
      <w:r w:rsidRPr="00EE4307">
        <w:t>the introduction of a grace period for filing registered design applications</w:t>
      </w:r>
      <w:r>
        <w:t>. This</w:t>
      </w:r>
      <w:r w:rsidRPr="00EE4307">
        <w:t xml:space="preserve"> will help ensure designers do not inadvertently lose eligibility for design protection and allow the</w:t>
      </w:r>
      <w:r>
        <w:t>m</w:t>
      </w:r>
      <w:r w:rsidRPr="00EE4307">
        <w:t xml:space="preserve"> to undertake some market testing prior to incurring the cost of filing.</w:t>
      </w:r>
    </w:p>
    <w:p w:rsidR="006F3267" w:rsidRDefault="006F3267" w:rsidP="006F3267">
      <w:pPr>
        <w:pStyle w:val="BodyText"/>
      </w:pPr>
      <w:r>
        <w:t>The Commission is also recommending some general measures to improve dispute resolution processes, discussed below. These reforms would go some way to addressing concerns among designers about enforcement costs and access to dispute resolution options.</w:t>
      </w:r>
    </w:p>
    <w:p w:rsidR="006F3267" w:rsidRDefault="006F3267" w:rsidP="006F3267">
      <w:pPr>
        <w:pStyle w:val="BodyText"/>
      </w:pPr>
      <w:r>
        <w:t xml:space="preserve">Many participants see joining the Hague Agreement as offering the potential for lowering the costs of registration. Under Hague, Australian designers would be able to seek protection in multiple countries through a single international application. But the benefits to Australian firms, and in particular </w:t>
      </w:r>
      <w:proofErr w:type="spellStart"/>
      <w:r>
        <w:t>SMEs</w:t>
      </w:r>
      <w:proofErr w:type="spellEnd"/>
      <w:r>
        <w:t xml:space="preserve">, are likely to be much smaller than some anticipate. Filing for protection under the Hague Agreement is not necessarily cheaper than directly filing for protection, particularly where firms seek protection in a limited number of countries. More importantly, joining the Hague Agreement would involve extending the </w:t>
      </w:r>
      <w:r w:rsidR="00BD3094">
        <w:t xml:space="preserve">maximum </w:t>
      </w:r>
      <w:r>
        <w:t>term of protection for registered designs from 10 to 15 years.</w:t>
      </w:r>
    </w:p>
    <w:p w:rsidR="006F3267" w:rsidRDefault="006F3267" w:rsidP="006F3267">
      <w:pPr>
        <w:pStyle w:val="BodyText"/>
      </w:pPr>
      <w:r>
        <w:t xml:space="preserve">The Australian Government has already agreed to further investigate the costs and benefits before making a decision to sign on to Hague. Consistent with the approach taken by the Commission in this inquiry, such a process should ensure the gains from ‘harmonisation’ outweigh the costs of extending term, and that the interests of Australian consumers are adequately considered. </w:t>
      </w:r>
    </w:p>
    <w:p w:rsidR="006F3267" w:rsidRDefault="006F3267" w:rsidP="006F3267">
      <w:pPr>
        <w:pStyle w:val="Heading3"/>
      </w:pPr>
      <w:r>
        <w:t xml:space="preserve">Trade marks </w:t>
      </w:r>
    </w:p>
    <w:p w:rsidR="006F3267" w:rsidRDefault="006F3267" w:rsidP="006F3267">
      <w:pPr>
        <w:pStyle w:val="BodyText"/>
      </w:pPr>
      <w:r w:rsidRPr="00C417CA">
        <w:t>Trade</w:t>
      </w:r>
      <w:r>
        <w:t> </w:t>
      </w:r>
      <w:r w:rsidRPr="00C417CA">
        <w:t xml:space="preserve">marks </w:t>
      </w:r>
      <w:r>
        <w:t>help</w:t>
      </w:r>
      <w:r w:rsidRPr="00C417CA">
        <w:t xml:space="preserve"> consumers </w:t>
      </w:r>
      <w:r>
        <w:t>to identify</w:t>
      </w:r>
      <w:r w:rsidRPr="00C417CA">
        <w:t xml:space="preserve"> goods and services </w:t>
      </w:r>
      <w:r>
        <w:t xml:space="preserve">and </w:t>
      </w:r>
      <w:r w:rsidRPr="00C417CA">
        <w:t xml:space="preserve">provide </w:t>
      </w:r>
      <w:r>
        <w:t>a means</w:t>
      </w:r>
      <w:r w:rsidRPr="00C417CA">
        <w:t xml:space="preserve"> for businesses to build and maintain a positive reputation</w:t>
      </w:r>
      <w:r>
        <w:t xml:space="preserve">. </w:t>
      </w:r>
    </w:p>
    <w:p w:rsidR="006F3267" w:rsidRDefault="006F3267" w:rsidP="006F3267">
      <w:pPr>
        <w:pStyle w:val="BodyText"/>
      </w:pPr>
      <w:r>
        <w:t xml:space="preserve">But when </w:t>
      </w:r>
      <w:proofErr w:type="spellStart"/>
      <w:r w:rsidRPr="00D175ED">
        <w:t>trade marks</w:t>
      </w:r>
      <w:proofErr w:type="spellEnd"/>
      <w:r w:rsidRPr="00D175ED">
        <w:t xml:space="preserve"> are </w:t>
      </w:r>
      <w:r>
        <w:t>granted</w:t>
      </w:r>
      <w:r w:rsidRPr="00D175ED">
        <w:t xml:space="preserve"> too broadly</w:t>
      </w:r>
      <w:r>
        <w:t xml:space="preserve"> or in too great a number, they </w:t>
      </w:r>
      <w:r w:rsidRPr="00D175ED">
        <w:t xml:space="preserve">can </w:t>
      </w:r>
      <w:r>
        <w:t>inhibit</w:t>
      </w:r>
      <w:r w:rsidRPr="00D175ED">
        <w:t xml:space="preserve"> new market </w:t>
      </w:r>
      <w:r>
        <w:t xml:space="preserve">entrants </w:t>
      </w:r>
      <w:r w:rsidRPr="00D175ED">
        <w:t xml:space="preserve">by </w:t>
      </w:r>
      <w:r>
        <w:t xml:space="preserve">making </w:t>
      </w:r>
      <w:r w:rsidRPr="00D175ED">
        <w:t>brand</w:t>
      </w:r>
      <w:r>
        <w:t>ing</w:t>
      </w:r>
      <w:r w:rsidRPr="00D175ED">
        <w:t xml:space="preserve"> </w:t>
      </w:r>
      <w:r>
        <w:t xml:space="preserve">difficult — an outcome known as ‘cluttering’. These difficulties have been exacerbated by legislative change, which has broadened the ‘presumption of </w:t>
      </w:r>
      <w:proofErr w:type="spellStart"/>
      <w:r>
        <w:t>registrability</w:t>
      </w:r>
      <w:proofErr w:type="spellEnd"/>
      <w:r>
        <w:t>’, resulting in protection being sought and granted more often.</w:t>
      </w:r>
    </w:p>
    <w:p w:rsidR="006F3267" w:rsidRDefault="006F3267" w:rsidP="006F3267">
      <w:pPr>
        <w:pStyle w:val="BodyText"/>
      </w:pPr>
      <w:r>
        <w:t>While legislative change has made it easier to achieve trade mark protection, there has been less effort to ensure unused marks — such as those held by defunct firms — are removed quickly from the trade mark register. Requiring trade mark applicants to nominate whether they are using the mark applied for, and if not, to later provide evidence of use in order to retain trade mark rights would remedy this problem.</w:t>
      </w:r>
    </w:p>
    <w:p w:rsidR="006F3267" w:rsidRDefault="006F3267" w:rsidP="006F3267">
      <w:pPr>
        <w:pStyle w:val="BodyText"/>
      </w:pPr>
      <w:r>
        <w:lastRenderedPageBreak/>
        <w:t xml:space="preserve">The protection and information that </w:t>
      </w:r>
      <w:proofErr w:type="spellStart"/>
      <w:r>
        <w:t>trade marks</w:t>
      </w:r>
      <w:proofErr w:type="spellEnd"/>
      <w:r>
        <w:t xml:space="preserve"> convey is also causing confusion for consumers.</w:t>
      </w:r>
      <w:r w:rsidRPr="008A09CD">
        <w:t xml:space="preserve"> </w:t>
      </w:r>
      <w:r>
        <w:t xml:space="preserve">Marks are being used to convey an ‘impression’ of provenance or quality. For example, there have been recent cases where goods have been marked with terms or logos to indicate they are handmade in </w:t>
      </w:r>
      <w:r w:rsidRPr="008A09CD">
        <w:t>picturesque</w:t>
      </w:r>
      <w:r>
        <w:t xml:space="preserve"> locales like the Barossa Valley or Byron Bay, when in fact they are factory produced in industrial centres. Strengthening the existing requirements for marks not to be misleading or confusing would address this issue.</w:t>
      </w:r>
    </w:p>
    <w:p w:rsidR="006F3267" w:rsidRDefault="006F3267" w:rsidP="006F3267">
      <w:pPr>
        <w:pStyle w:val="BodyText"/>
      </w:pPr>
      <w:r>
        <w:t>Firms also find the trade mark regime confusing, often conflating the protection afforded by a trade mark with that of registering a business name. This confusion can result in firms undertaking costly rebranding after unintentionally infringing on a trade mark.</w:t>
      </w:r>
      <w:r w:rsidRPr="008A09CD">
        <w:t xml:space="preserve"> </w:t>
      </w:r>
      <w:r>
        <w:t>Linking the trade mark and business name registers would reduce this confusion.</w:t>
      </w:r>
    </w:p>
    <w:p w:rsidR="006F3267" w:rsidRDefault="006F3267" w:rsidP="006F3267">
      <w:pPr>
        <w:pStyle w:val="BodyText"/>
      </w:pPr>
      <w:r w:rsidRPr="00492B6C">
        <w:t xml:space="preserve">The law that governs the importation of legitimately </w:t>
      </w:r>
      <w:proofErr w:type="spellStart"/>
      <w:r w:rsidRPr="00492B6C">
        <w:t>trade marked</w:t>
      </w:r>
      <w:proofErr w:type="spellEnd"/>
      <w:r w:rsidRPr="00492B6C">
        <w:t xml:space="preserve"> goods produced in other countries also</w:t>
      </w:r>
      <w:r>
        <w:t xml:space="preserve"> needs reforming</w:t>
      </w:r>
      <w:r w:rsidRPr="00492B6C">
        <w:t xml:space="preserve">. While the </w:t>
      </w:r>
      <w:r w:rsidRPr="009972A8">
        <w:t>Trade Marks Act</w:t>
      </w:r>
      <w:r w:rsidRPr="00492B6C">
        <w:t xml:space="preserve"> contains provisions about when parallel imports may be allowed, recent legal cases have ‘muddied the waters’ to the point where firms are unsure if they are able to import marked goods legally. Amending the Act to make clear that parallel imports are allowed, would resolve the uncertainty and ultimately benefit </w:t>
      </w:r>
      <w:r>
        <w:t>the community</w:t>
      </w:r>
      <w:r w:rsidRPr="00492B6C">
        <w:t xml:space="preserve">. </w:t>
      </w:r>
    </w:p>
    <w:p w:rsidR="006F3267" w:rsidRDefault="006F3267" w:rsidP="006F3267">
      <w:pPr>
        <w:pStyle w:val="Heading3"/>
      </w:pPr>
      <w:r>
        <w:t xml:space="preserve">Plant breeder’s rights </w:t>
      </w:r>
    </w:p>
    <w:p w:rsidR="006F3267" w:rsidRDefault="006F3267" w:rsidP="006F3267">
      <w:pPr>
        <w:pStyle w:val="BodyText"/>
      </w:pPr>
      <w:r>
        <w:t>Plant breeder’s rights (</w:t>
      </w:r>
      <w:proofErr w:type="spellStart"/>
      <w:r>
        <w:t>PBR</w:t>
      </w:r>
      <w:r w:rsidR="00234090">
        <w:t>s</w:t>
      </w:r>
      <w:proofErr w:type="spellEnd"/>
      <w:r>
        <w:t xml:space="preserve">) </w:t>
      </w:r>
      <w:r w:rsidRPr="00C77A7E">
        <w:t xml:space="preserve">provide </w:t>
      </w:r>
      <w:r>
        <w:t>their holders with exclusive, time-limited</w:t>
      </w:r>
      <w:r w:rsidRPr="00C77A7E">
        <w:t xml:space="preserve"> </w:t>
      </w:r>
      <w:r>
        <w:t xml:space="preserve">control over the sale and propagation of registered plant varieties. </w:t>
      </w:r>
      <w:proofErr w:type="spellStart"/>
      <w:r>
        <w:t>PBR</w:t>
      </w:r>
      <w:proofErr w:type="spellEnd"/>
      <w:r>
        <w:t xml:space="preserve"> protection is less extensive than patent protection because of</w:t>
      </w:r>
      <w:r w:rsidDel="00492C85">
        <w:t xml:space="preserve"> </w:t>
      </w:r>
      <w:r>
        <w:t>the breeder’s exception, which recognises the incremental and long</w:t>
      </w:r>
      <w:r>
        <w:noBreakHyphen/>
        <w:t xml:space="preserve">term nature of conventional plant breeding, and allows new plant varieties to be used in further breeding programs. </w:t>
      </w:r>
    </w:p>
    <w:p w:rsidR="006F3267" w:rsidRDefault="006F3267" w:rsidP="006F3267">
      <w:pPr>
        <w:pStyle w:val="BodyText"/>
      </w:pPr>
      <w:proofErr w:type="spellStart"/>
      <w:r>
        <w:t>PBRs</w:t>
      </w:r>
      <w:proofErr w:type="spellEnd"/>
      <w:r>
        <w:t xml:space="preserve"> have helped transform agricultural plant breeding in Australia by introducing competition and price signals to a market that was previously characterised by a high degree of state provision. Growers pay directly for access to new plant varieties, and their willingness to pay rewards successful breeders. </w:t>
      </w:r>
    </w:p>
    <w:p w:rsidR="006F3267" w:rsidRDefault="006F3267" w:rsidP="006F3267">
      <w:pPr>
        <w:pStyle w:val="BodyText"/>
      </w:pPr>
      <w:r>
        <w:t xml:space="preserve">Notwithstanding the success of the regime in encouraging greater private sector activity, plant breeders and other stakeholders have expressed concern that the scope of protection provided by </w:t>
      </w:r>
      <w:proofErr w:type="spellStart"/>
      <w:r>
        <w:t>PBRs</w:t>
      </w:r>
      <w:proofErr w:type="spellEnd"/>
      <w:r>
        <w:t xml:space="preserve"> is being undermined by technological changes. This may have opened the door to greater free</w:t>
      </w:r>
      <w:r>
        <w:noBreakHyphen/>
        <w:t xml:space="preserve">riding on protected varieties. Currently, so long as they do not register copied varieties with IP Australia, breeders are potentially able to copy and sell </w:t>
      </w:r>
      <w:proofErr w:type="spellStart"/>
      <w:r>
        <w:t>PBR</w:t>
      </w:r>
      <w:proofErr w:type="spellEnd"/>
      <w:r>
        <w:t>-protected variet</w:t>
      </w:r>
      <w:r w:rsidR="009972A8">
        <w:t xml:space="preserve">ies with only minor variations, </w:t>
      </w:r>
      <w:r>
        <w:t>undermining the protection affor</w:t>
      </w:r>
      <w:r w:rsidR="009972A8">
        <w:t>ded by the right</w:t>
      </w:r>
      <w:r>
        <w:t>. Amending the Act would address this.</w:t>
      </w:r>
    </w:p>
    <w:p w:rsidR="006F3267" w:rsidRDefault="006F3267" w:rsidP="006F3267">
      <w:pPr>
        <w:pStyle w:val="BodyText"/>
      </w:pPr>
      <w:r>
        <w:t>M</w:t>
      </w:r>
      <w:r w:rsidRPr="00107A31">
        <w:t xml:space="preserve">isrepresentation of varieties and </w:t>
      </w:r>
      <w:r>
        <w:t>refusal to pay royalties remain</w:t>
      </w:r>
      <w:r w:rsidRPr="00107A31">
        <w:t xml:space="preserve"> concern</w:t>
      </w:r>
      <w:r>
        <w:t xml:space="preserve">s, particularly for </w:t>
      </w:r>
      <w:r w:rsidR="00163764">
        <w:t xml:space="preserve">breeders of </w:t>
      </w:r>
      <w:r>
        <w:t xml:space="preserve">pasture crops. Improving compliance with </w:t>
      </w:r>
      <w:proofErr w:type="spellStart"/>
      <w:r>
        <w:t>PBR</w:t>
      </w:r>
      <w:proofErr w:type="spellEnd"/>
      <w:r>
        <w:t xml:space="preserve"> and licensing agreements is best achieved through closer cooperation and consultation, with industry groups best placed to lead these efforts. </w:t>
      </w:r>
    </w:p>
    <w:p w:rsidR="006F3267" w:rsidRDefault="006F3267" w:rsidP="006F3267">
      <w:pPr>
        <w:pStyle w:val="Heading3"/>
      </w:pPr>
      <w:r>
        <w:lastRenderedPageBreak/>
        <w:t xml:space="preserve">Circuit layout rights </w:t>
      </w:r>
    </w:p>
    <w:p w:rsidR="006F3267" w:rsidRDefault="006F3267" w:rsidP="006F3267">
      <w:pPr>
        <w:pStyle w:val="BodyText"/>
      </w:pPr>
      <w:r w:rsidRPr="00780ABE">
        <w:t>Circuit layout rights (</w:t>
      </w:r>
      <w:proofErr w:type="spellStart"/>
      <w:r w:rsidRPr="00780ABE">
        <w:t>CLRs</w:t>
      </w:r>
      <w:proofErr w:type="spellEnd"/>
      <w:r w:rsidRPr="00780ABE">
        <w:t xml:space="preserve">) </w:t>
      </w:r>
      <w:r>
        <w:t xml:space="preserve">protect the </w:t>
      </w:r>
      <w:r w:rsidRPr="00780ABE">
        <w:t>layout</w:t>
      </w:r>
      <w:r>
        <w:t xml:space="preserve"> designs</w:t>
      </w:r>
      <w:r w:rsidRPr="00780ABE">
        <w:t xml:space="preserve"> (three</w:t>
      </w:r>
      <w:r>
        <w:noBreakHyphen/>
      </w:r>
      <w:r w:rsidRPr="00780ABE">
        <w:t>dimensional topography) of integrated circuits</w:t>
      </w:r>
      <w:r>
        <w:t xml:space="preserve">. The rights granted to circuit designers are narrow, and rapid change in the industry has brought the need for </w:t>
      </w:r>
      <w:proofErr w:type="spellStart"/>
      <w:r>
        <w:t>CLRs</w:t>
      </w:r>
      <w:proofErr w:type="spellEnd"/>
      <w:r>
        <w:t xml:space="preserve"> into question. Most circuits are custom designed for specific purposes and not generally adaptable for other uses. </w:t>
      </w:r>
    </w:p>
    <w:p w:rsidR="006F3267" w:rsidRDefault="006F3267" w:rsidP="006F3267">
      <w:pPr>
        <w:pStyle w:val="BodyText"/>
      </w:pPr>
      <w:r>
        <w:t xml:space="preserve">Australia’s adoption of </w:t>
      </w:r>
      <w:proofErr w:type="spellStart"/>
      <w:r>
        <w:t>CLRs</w:t>
      </w:r>
      <w:proofErr w:type="spellEnd"/>
      <w:r>
        <w:t xml:space="preserve"> is illustrative of the ‘protect first, assess later’ way IP rights have been expanded in the past. While the legislative protection for circuit layouts was premature, given international obligations, the removal of such rights would cause more problems than solutions. Retaining </w:t>
      </w:r>
      <w:proofErr w:type="spellStart"/>
      <w:r>
        <w:t>CLRs</w:t>
      </w:r>
      <w:proofErr w:type="spellEnd"/>
      <w:r>
        <w:t xml:space="preserve"> remains the ‘least worst’ option.</w:t>
      </w:r>
    </w:p>
    <w:p w:rsidR="006F3267" w:rsidRDefault="006F3267" w:rsidP="006F3267">
      <w:pPr>
        <w:pStyle w:val="Heading2"/>
      </w:pPr>
      <w:r>
        <w:rPr>
          <w:noProof/>
        </w:rPr>
        <w:t>7</w:t>
      </w:r>
      <w:r>
        <w:tab/>
        <w:t>Improving the broader landscape</w:t>
      </w:r>
    </w:p>
    <w:p w:rsidR="006F3267" w:rsidRDefault="006F3267" w:rsidP="006F3267">
      <w:pPr>
        <w:pStyle w:val="Heading3"/>
      </w:pPr>
      <w:r>
        <w:t>Improving interactions between IP rights and competition policy</w:t>
      </w:r>
    </w:p>
    <w:p w:rsidR="006F3267" w:rsidRDefault="006F3267" w:rsidP="006F3267">
      <w:pPr>
        <w:pStyle w:val="BodyText"/>
      </w:pPr>
      <w:r>
        <w:t>IP rights holders currently enjoy an exemption from aspects of Australia’s competition law. But t</w:t>
      </w:r>
      <w:r w:rsidRPr="000E02B8">
        <w:t>he rationale for the exemption has largely fallen away. IP rights and competition are no longer thought to be in ‘fundamental conflict’. IP rights do not, in and of themselves, have significant competition implications.</w:t>
      </w:r>
      <w:r>
        <w:t xml:space="preserve"> </w:t>
      </w:r>
    </w:p>
    <w:p w:rsidR="006F3267" w:rsidRDefault="006F3267" w:rsidP="006F3267">
      <w:pPr>
        <w:pStyle w:val="BodyText"/>
      </w:pPr>
      <w:r>
        <w:t>Recognising that competition and IP policy are not at odds, a</w:t>
      </w:r>
      <w:r>
        <w:rPr>
          <w:color w:val="000000"/>
          <w:szCs w:val="24"/>
        </w:rPr>
        <w:t xml:space="preserve"> better approach would allow </w:t>
      </w:r>
      <w:r>
        <w:t xml:space="preserve">the </w:t>
      </w:r>
      <w:proofErr w:type="spellStart"/>
      <w:r>
        <w:t>ACCC</w:t>
      </w:r>
      <w:proofErr w:type="spellEnd"/>
      <w:r>
        <w:t xml:space="preserve"> to address any anticompetitive conduct, while minimising uncertainty for rights holders and licensees. Repealing the exemption, combined with </w:t>
      </w:r>
      <w:proofErr w:type="spellStart"/>
      <w:r>
        <w:t>ACCC</w:t>
      </w:r>
      <w:proofErr w:type="spellEnd"/>
      <w:r>
        <w:t xml:space="preserve"> guidance on the application of competition law to IP transactions, would achieve this outcome. </w:t>
      </w:r>
    </w:p>
    <w:p w:rsidR="006F3267" w:rsidRDefault="006F3267" w:rsidP="006F3267">
      <w:pPr>
        <w:pStyle w:val="BodyText"/>
      </w:pPr>
      <w:r w:rsidRPr="00B7302C">
        <w:t xml:space="preserve">No less than seven reviews have recommended repealing the exemption. The only remaining obstacle to doing </w:t>
      </w:r>
      <w:r>
        <w:t xml:space="preserve">so will be </w:t>
      </w:r>
      <w:r w:rsidRPr="00B7302C">
        <w:t xml:space="preserve">removed </w:t>
      </w:r>
      <w:r>
        <w:t xml:space="preserve">when recommendations of the Harper </w:t>
      </w:r>
      <w:r w:rsidRPr="00B7302C">
        <w:t>Competition Policy Review</w:t>
      </w:r>
      <w:r>
        <w:t xml:space="preserve">, to </w:t>
      </w:r>
      <w:r w:rsidRPr="00B7302C">
        <w:t>limit the scope of ‘per se’ prohibitions on anticompetitive conduct</w:t>
      </w:r>
      <w:r>
        <w:t>, are given effect</w:t>
      </w:r>
      <w:r w:rsidRPr="00B7302C">
        <w:t>.</w:t>
      </w:r>
    </w:p>
    <w:p w:rsidR="006F3267" w:rsidRDefault="006F3267" w:rsidP="006F3267">
      <w:pPr>
        <w:pStyle w:val="Heading3"/>
      </w:pPr>
      <w:r>
        <w:t>Commercialisation of publicly-funded research</w:t>
      </w:r>
    </w:p>
    <w:p w:rsidR="006F3267" w:rsidRDefault="006F3267" w:rsidP="006F3267">
      <w:pPr>
        <w:pStyle w:val="ListBullet"/>
        <w:numPr>
          <w:ilvl w:val="0"/>
          <w:numId w:val="0"/>
        </w:numPr>
        <w:rPr>
          <w:szCs w:val="24"/>
        </w:rPr>
      </w:pPr>
      <w:r>
        <w:t xml:space="preserve">IP arrangements can facilitate commercialisation of publicly-funded research by allowing exclusivity over certain inventions created with the benefit of public funding. Where IP rights are used in combination with broader innovation policies, such as direct funding for research, it is important that the neutrality of public sector funding allocation is not compromised. </w:t>
      </w:r>
    </w:p>
    <w:p w:rsidR="006F3267" w:rsidRDefault="006F3267" w:rsidP="006F3267">
      <w:pPr>
        <w:pStyle w:val="BodyText"/>
      </w:pPr>
      <w:r>
        <w:t>The current policy settings for publicly</w:t>
      </w:r>
      <w:r w:rsidR="00163764">
        <w:noBreakHyphen/>
      </w:r>
      <w:r>
        <w:t>funded research, whereby recipients of funding own any resultant IP</w:t>
      </w:r>
      <w:r w:rsidR="00163764">
        <w:t>,</w:t>
      </w:r>
      <w:r>
        <w:t xml:space="preserve"> and specialised technology transfer offices facilitate the dissemination of research results, are generally sound.</w:t>
      </w:r>
      <w:r w:rsidRPr="000C1C29">
        <w:t xml:space="preserve"> </w:t>
      </w:r>
    </w:p>
    <w:p w:rsidR="006F3267" w:rsidRDefault="006F3267" w:rsidP="006F3267">
      <w:pPr>
        <w:pStyle w:val="BodyText"/>
      </w:pPr>
      <w:r>
        <w:lastRenderedPageBreak/>
        <w:t>However,</w:t>
      </w:r>
      <w:r w:rsidRPr="000C1C29">
        <w:t xml:space="preserve"> c</w:t>
      </w:r>
      <w:r>
        <w:t>opyright restrictions on access to publicly-funded research publications limit the dissemination of knowledge, and digitisation has significantly diminished the rationale for limiting access in this way. Publicly-funded research publications should be available to the public under open access arrangements after a 12 month embargo period.</w:t>
      </w:r>
    </w:p>
    <w:p w:rsidR="006F3267" w:rsidRDefault="006F3267" w:rsidP="006F3267">
      <w:pPr>
        <w:pStyle w:val="BodyText"/>
      </w:pPr>
      <w:r w:rsidRPr="00500B72">
        <w:t>Suggestions for a ‘use it or lose it’ approach to university-owned IP are not supported by the available evidence, and may impose a higher barrier to access than existing compulsory licensing arrangements. Recent concerns around low rates of research collaboration have prompted government</w:t>
      </w:r>
      <w:r>
        <w:t>, academic</w:t>
      </w:r>
      <w:r w:rsidRPr="00500B72">
        <w:t xml:space="preserve"> and industry-led initiatives to improve the commercialisation of publicly</w:t>
      </w:r>
      <w:r w:rsidRPr="00500B72">
        <w:noBreakHyphen/>
        <w:t xml:space="preserve">funded research. These initiatives should be given time to work before </w:t>
      </w:r>
      <w:r>
        <w:t xml:space="preserve">any further </w:t>
      </w:r>
      <w:r w:rsidRPr="00500B72">
        <w:t>interventionist approaches are considered.</w:t>
      </w:r>
    </w:p>
    <w:p w:rsidR="006F3267" w:rsidRDefault="006F3267" w:rsidP="006F3267">
      <w:pPr>
        <w:pStyle w:val="Heading3"/>
      </w:pPr>
      <w:r>
        <w:t>Making it easier to resolve IP disputes</w:t>
      </w:r>
    </w:p>
    <w:p w:rsidR="006F3267" w:rsidRPr="006131AA" w:rsidRDefault="006F3267" w:rsidP="006F3267">
      <w:pPr>
        <w:pStyle w:val="BodyText"/>
      </w:pPr>
      <w:r w:rsidRPr="006131AA">
        <w:t>While large</w:t>
      </w:r>
      <w:r>
        <w:t>, well-resourced</w:t>
      </w:r>
      <w:r w:rsidRPr="006131AA">
        <w:t xml:space="preserve"> firms</w:t>
      </w:r>
      <w:r>
        <w:t xml:space="preserve"> are able to satisfactorily resolve their IP disputes</w:t>
      </w:r>
      <w:r w:rsidRPr="006131AA">
        <w:t xml:space="preserve">, </w:t>
      </w:r>
      <w:proofErr w:type="spellStart"/>
      <w:r w:rsidRPr="006131AA">
        <w:t>SMEs</w:t>
      </w:r>
      <w:proofErr w:type="spellEnd"/>
      <w:r>
        <w:t xml:space="preserve"> are often deterred from doing so due to the high costs and </w:t>
      </w:r>
      <w:r w:rsidRPr="007171A8">
        <w:t>risks involved</w:t>
      </w:r>
      <w:r w:rsidRPr="006131AA">
        <w:t xml:space="preserve">. </w:t>
      </w:r>
      <w:r>
        <w:t>Participants pointed to</w:t>
      </w:r>
      <w:r w:rsidRPr="006131AA">
        <w:t xml:space="preserve"> the UK’s Intellectual Property Enterprise Court (</w:t>
      </w:r>
      <w:proofErr w:type="spellStart"/>
      <w:r w:rsidRPr="006131AA">
        <w:t>IPEC</w:t>
      </w:r>
      <w:proofErr w:type="spellEnd"/>
      <w:r w:rsidRPr="006131AA">
        <w:t xml:space="preserve">) </w:t>
      </w:r>
      <w:r>
        <w:t>as one</w:t>
      </w:r>
      <w:r w:rsidRPr="006131AA">
        <w:t xml:space="preserve"> </w:t>
      </w:r>
      <w:r>
        <w:t>model</w:t>
      </w:r>
      <w:r w:rsidRPr="006131AA">
        <w:t xml:space="preserve"> for addressing </w:t>
      </w:r>
      <w:r>
        <w:t xml:space="preserve">these </w:t>
      </w:r>
      <w:r w:rsidRPr="006131AA">
        <w:t>concerns</w:t>
      </w:r>
      <w:r>
        <w:t>. The Commission has examined this model and the e</w:t>
      </w:r>
      <w:r w:rsidRPr="0091673F">
        <w:t xml:space="preserve">vidence suggests that the </w:t>
      </w:r>
      <w:proofErr w:type="spellStart"/>
      <w:r w:rsidRPr="0091673F">
        <w:t>IPEC</w:t>
      </w:r>
      <w:proofErr w:type="spellEnd"/>
      <w:r w:rsidRPr="0091673F">
        <w:t xml:space="preserve"> </w:t>
      </w:r>
      <w:r>
        <w:t xml:space="preserve">has improved access to justice for </w:t>
      </w:r>
      <w:proofErr w:type="spellStart"/>
      <w:r w:rsidRPr="0091673F">
        <w:t>SMEs</w:t>
      </w:r>
      <w:proofErr w:type="spellEnd"/>
      <w:r>
        <w:t>, who now have an avenue for timely and low cost dispute resolution.</w:t>
      </w:r>
    </w:p>
    <w:p w:rsidR="006F3267" w:rsidRDefault="006F3267" w:rsidP="006F3267">
      <w:pPr>
        <w:pStyle w:val="BodyText"/>
      </w:pPr>
      <w:r>
        <w:t>The</w:t>
      </w:r>
      <w:r w:rsidRPr="0041541B">
        <w:t xml:space="preserve"> Federal Court </w:t>
      </w:r>
      <w:r>
        <w:t>has already initiated reforms to</w:t>
      </w:r>
      <w:r w:rsidRPr="0041541B">
        <w:t xml:space="preserve"> improve </w:t>
      </w:r>
      <w:r>
        <w:t xml:space="preserve">the </w:t>
      </w:r>
      <w:r w:rsidRPr="0041541B">
        <w:t>efficiency o</w:t>
      </w:r>
      <w:r>
        <w:t>f IP litigation in Australia. While welcome, these reforms</w:t>
      </w:r>
      <w:r w:rsidRPr="0041541B">
        <w:t xml:space="preserve"> are unlikely to </w:t>
      </w:r>
      <w:r>
        <w:t>provide the</w:t>
      </w:r>
      <w:r w:rsidRPr="0041541B">
        <w:t xml:space="preserve"> savings to litigants</w:t>
      </w:r>
      <w:r>
        <w:t xml:space="preserve"> afforded by the</w:t>
      </w:r>
      <w:r w:rsidRPr="0041541B">
        <w:t xml:space="preserve"> </w:t>
      </w:r>
      <w:proofErr w:type="spellStart"/>
      <w:r w:rsidRPr="0041541B">
        <w:t>IPEC</w:t>
      </w:r>
      <w:proofErr w:type="spellEnd"/>
      <w:r w:rsidRPr="0041541B">
        <w:t xml:space="preserve"> </w:t>
      </w:r>
      <w:r>
        <w:t>model</w:t>
      </w:r>
      <w:r w:rsidRPr="0041541B">
        <w:t>.</w:t>
      </w:r>
      <w:r w:rsidRPr="0027600D">
        <w:t xml:space="preserve"> </w:t>
      </w:r>
      <w:r>
        <w:t xml:space="preserve">The benefits of the </w:t>
      </w:r>
      <w:proofErr w:type="spellStart"/>
      <w:r>
        <w:t>IPEC</w:t>
      </w:r>
      <w:proofErr w:type="spellEnd"/>
      <w:r>
        <w:t xml:space="preserve"> derive from its ability to minimise parties’ court appearances and the limits on claimable damages and costs. Some see t</w:t>
      </w:r>
      <w:r w:rsidRPr="00CD2956">
        <w:t xml:space="preserve">he specialist nature of the </w:t>
      </w:r>
      <w:r>
        <w:t xml:space="preserve">court as further contributing to its </w:t>
      </w:r>
      <w:r w:rsidRPr="00CD2956">
        <w:t>success</w:t>
      </w:r>
      <w:r>
        <w:t>.</w:t>
      </w:r>
    </w:p>
    <w:p w:rsidR="006F3267" w:rsidRDefault="006F3267" w:rsidP="006F3267">
      <w:pPr>
        <w:pStyle w:val="BodyText"/>
      </w:pPr>
      <w:r>
        <w:t xml:space="preserve">The Federal Circuit Court was established to be a lower cost court with less formal rules. </w:t>
      </w:r>
      <w:r w:rsidRPr="0091673F">
        <w:t xml:space="preserve">Consistent with </w:t>
      </w:r>
      <w:r>
        <w:t>this</w:t>
      </w:r>
      <w:r w:rsidRPr="0091673F">
        <w:t xml:space="preserve"> approach, the Federal Circuit Court </w:t>
      </w:r>
      <w:r>
        <w:t xml:space="preserve">routinely </w:t>
      </w:r>
      <w:r w:rsidRPr="0091673F">
        <w:t>refers IP cases to mediation prior to litigation.</w:t>
      </w:r>
      <w:r>
        <w:t xml:space="preserve"> </w:t>
      </w:r>
      <w:proofErr w:type="spellStart"/>
      <w:r>
        <w:t>Its</w:t>
      </w:r>
      <w:proofErr w:type="spellEnd"/>
      <w:r>
        <w:t xml:space="preserve"> ‘low-cost DNA’ and informal approach makes it well</w:t>
      </w:r>
      <w:r>
        <w:noBreakHyphen/>
        <w:t>placed to play a greater role in resolving lower value IP disputes.</w:t>
      </w:r>
    </w:p>
    <w:p w:rsidR="006F3267" w:rsidRDefault="006F3267" w:rsidP="006F3267">
      <w:pPr>
        <w:pStyle w:val="BodyText"/>
      </w:pPr>
      <w:r w:rsidRPr="0041541B">
        <w:t xml:space="preserve">The Commission </w:t>
      </w:r>
      <w:r>
        <w:t>recommends</w:t>
      </w:r>
      <w:r w:rsidRPr="0041541B">
        <w:t xml:space="preserve"> </w:t>
      </w:r>
      <w:r>
        <w:t xml:space="preserve">the Federal Circuit Court </w:t>
      </w:r>
      <w:r w:rsidRPr="00CD2956">
        <w:t>introduc</w:t>
      </w:r>
      <w:r>
        <w:t>e</w:t>
      </w:r>
      <w:r w:rsidRPr="00CD2956">
        <w:t xml:space="preserve"> a specialist IP</w:t>
      </w:r>
      <w:r>
        <w:t> </w:t>
      </w:r>
      <w:r w:rsidRPr="00CD2956">
        <w:t>list</w:t>
      </w:r>
      <w:r>
        <w:t xml:space="preserve">, with procedural rules similar to the </w:t>
      </w:r>
      <w:proofErr w:type="spellStart"/>
      <w:r>
        <w:t>IPEC</w:t>
      </w:r>
      <w:proofErr w:type="spellEnd"/>
      <w:r w:rsidRPr="00CD2956">
        <w:t>.</w:t>
      </w:r>
      <w:r>
        <w:t xml:space="preserve"> The Court’s jurisdiction should be expanded to cover the full range of IP matters, mandatory caps should apply to cost and damages awards, and </w:t>
      </w:r>
      <w:r w:rsidRPr="0041541B">
        <w:t>strict case management</w:t>
      </w:r>
      <w:r>
        <w:t xml:space="preserve"> adopted to minimise court events. </w:t>
      </w:r>
      <w:r w:rsidRPr="0041541B">
        <w:t xml:space="preserve">A separate small claims </w:t>
      </w:r>
      <w:r>
        <w:t>track suitable for self-represented litigants</w:t>
      </w:r>
      <w:r w:rsidRPr="0041541B">
        <w:t xml:space="preserve"> </w:t>
      </w:r>
      <w:r>
        <w:t>should</w:t>
      </w:r>
      <w:r w:rsidRPr="0041541B">
        <w:t xml:space="preserve"> pr</w:t>
      </w:r>
      <w:r>
        <w:t>ovide an informal forum for low</w:t>
      </w:r>
      <w:r>
        <w:noBreakHyphen/>
      </w:r>
      <w:r w:rsidRPr="0041541B">
        <w:t>value cases.</w:t>
      </w:r>
      <w:r w:rsidRPr="00BF30F4">
        <w:t xml:space="preserve"> </w:t>
      </w:r>
    </w:p>
    <w:p w:rsidR="006F3267" w:rsidRDefault="006F3267" w:rsidP="006F3267">
      <w:pPr>
        <w:pStyle w:val="BodyText"/>
      </w:pPr>
      <w:r w:rsidRPr="00BF30F4">
        <w:t xml:space="preserve">The Commission anticipates </w:t>
      </w:r>
      <w:r>
        <w:t>that these reforms</w:t>
      </w:r>
      <w:r w:rsidRPr="00BF30F4">
        <w:t xml:space="preserve"> </w:t>
      </w:r>
      <w:r>
        <w:t>will result in some additional</w:t>
      </w:r>
      <w:r w:rsidRPr="00BF30F4">
        <w:t xml:space="preserve"> demand for</w:t>
      </w:r>
      <w:r>
        <w:t xml:space="preserve"> the Court’s services. The C</w:t>
      </w:r>
      <w:r w:rsidRPr="00BF30F4">
        <w:t xml:space="preserve">ourt should be adequately resourced to ensure </w:t>
      </w:r>
      <w:r>
        <w:t xml:space="preserve">that any increase in its workload does not result in </w:t>
      </w:r>
      <w:r w:rsidRPr="00BF30F4">
        <w:t xml:space="preserve">longer resolution times. </w:t>
      </w:r>
    </w:p>
    <w:p w:rsidR="006F3267" w:rsidRDefault="006F3267" w:rsidP="006F3267">
      <w:pPr>
        <w:pStyle w:val="Heading2"/>
      </w:pPr>
      <w:r>
        <w:rPr>
          <w:noProof/>
        </w:rPr>
        <w:lastRenderedPageBreak/>
        <w:t>8</w:t>
      </w:r>
      <w:r>
        <w:tab/>
        <w:t>Charting a new course in IP policy</w:t>
      </w:r>
    </w:p>
    <w:p w:rsidR="006F3267" w:rsidRDefault="006F3267" w:rsidP="006F3267">
      <w:pPr>
        <w:pStyle w:val="Heading3"/>
      </w:pPr>
      <w:r>
        <w:t>Strengthening domestic governance arrangements</w:t>
      </w:r>
    </w:p>
    <w:p w:rsidR="006F3267" w:rsidRDefault="006F3267" w:rsidP="006F3267">
      <w:pPr>
        <w:pStyle w:val="BodyText"/>
      </w:pPr>
      <w:r>
        <w:t xml:space="preserve">Australia has strayed on IP policy for a number of reasons. The absence of an overarching objective, policy framework and reform champion have collectively contributed to poor policy outcomes. </w:t>
      </w:r>
    </w:p>
    <w:p w:rsidR="006F3267" w:rsidRDefault="006F3267" w:rsidP="006F3267">
      <w:pPr>
        <w:pStyle w:val="BodyText"/>
      </w:pPr>
      <w:r>
        <w:t xml:space="preserve">To promote a more coherent, </w:t>
      </w:r>
      <w:proofErr w:type="spellStart"/>
      <w:r>
        <w:t>economywide</w:t>
      </w:r>
      <w:proofErr w:type="spellEnd"/>
      <w:r>
        <w:t xml:space="preserve"> perspective, t</w:t>
      </w:r>
      <w:r w:rsidRPr="00F87E6F">
        <w:t xml:space="preserve">here </w:t>
      </w:r>
      <w:r>
        <w:t>would</w:t>
      </w:r>
      <w:r w:rsidRPr="00F87E6F">
        <w:t xml:space="preserve"> be</w:t>
      </w:r>
      <w:r>
        <w:t xml:space="preserve"> value in</w:t>
      </w:r>
      <w:r w:rsidRPr="00F87E6F">
        <w:t xml:space="preserve"> specifying the overarching objectives of the IP system to </w:t>
      </w:r>
      <w:r>
        <w:t xml:space="preserve">inform the broader community and </w:t>
      </w:r>
      <w:r w:rsidRPr="00F87E6F">
        <w:t xml:space="preserve">guide agencies and departments </w:t>
      </w:r>
      <w:r>
        <w:t xml:space="preserve">involved in </w:t>
      </w:r>
      <w:r w:rsidRPr="00F87E6F">
        <w:t>IP</w:t>
      </w:r>
      <w:r>
        <w:t> </w:t>
      </w:r>
      <w:r w:rsidRPr="00F87E6F">
        <w:t>policy development and administration.</w:t>
      </w:r>
      <w:r w:rsidRPr="00D22EE3">
        <w:t xml:space="preserve"> </w:t>
      </w:r>
      <w:r w:rsidRPr="00F87E6F">
        <w:t xml:space="preserve">A common framework for formulating </w:t>
      </w:r>
      <w:r>
        <w:t>IP policy would</w:t>
      </w:r>
      <w:r w:rsidRPr="00F87E6F">
        <w:t xml:space="preserve"> also assist</w:t>
      </w:r>
      <w:r>
        <w:t>;</w:t>
      </w:r>
      <w:r w:rsidRPr="00F87E6F">
        <w:t xml:space="preserve"> the four principles employed by the Commission throughout this report provide a </w:t>
      </w:r>
      <w:r>
        <w:t xml:space="preserve">ready </w:t>
      </w:r>
      <w:r w:rsidRPr="00F87E6F">
        <w:t>starting point</w:t>
      </w:r>
      <w:r>
        <w:t xml:space="preserve"> (figure 3)</w:t>
      </w:r>
      <w:r w:rsidRPr="00F87E6F">
        <w:t>.</w:t>
      </w:r>
      <w:r>
        <w:t xml:space="preserve"> </w:t>
      </w:r>
    </w:p>
    <w:p w:rsidR="006F3267" w:rsidRDefault="006F3267" w:rsidP="006F3267">
      <w:pPr>
        <w:pStyle w:val="BodyText"/>
      </w:pPr>
      <w:r>
        <w:t>Responsibility for policy development and advice being shared across multiple agencies has further contributed to poor policy outcomes. The Department of Industry, Innovation and Science (</w:t>
      </w:r>
      <w:proofErr w:type="spellStart"/>
      <w:r>
        <w:t>DIIS</w:t>
      </w:r>
      <w:proofErr w:type="spellEnd"/>
      <w:r>
        <w:t>) has kept a low profile in IP policy debates and has afforded few resources to this responsibility. IP Australia has played a more active policy role, but in doing so has blurred the line between policy development and administration.</w:t>
      </w:r>
      <w:r w:rsidRPr="00233F86">
        <w:t xml:space="preserve"> </w:t>
      </w:r>
      <w:r>
        <w:t xml:space="preserve">To help clarify the respective roles of the IP administrator and the department, and to increase transparency, the Minister responsible for IP should outline the functions and responsibilities for IP Australia through a public statement of expectations. The statement could cover issues such as the Government’s overall objectives for the IP system (mentioned above) and how IP Australia should contribute to IP policy development. </w:t>
      </w:r>
    </w:p>
    <w:p w:rsidR="006F3267" w:rsidRPr="000C4B85" w:rsidRDefault="006F3267" w:rsidP="006F3267">
      <w:pPr>
        <w:pStyle w:val="BodyText"/>
      </w:pPr>
      <w:r w:rsidRPr="000C4B85">
        <w:t xml:space="preserve">The Commission also considered whether consolidating responsibility for IP policy (including for copyright) into a single department would promote a more coherent approach. </w:t>
      </w:r>
      <w:r>
        <w:t>While such an approach has merit, on balance t</w:t>
      </w:r>
      <w:r w:rsidRPr="000C4B85">
        <w:t xml:space="preserve">he Commission considers that the Government should </w:t>
      </w:r>
      <w:r>
        <w:t xml:space="preserve">instead </w:t>
      </w:r>
      <w:r w:rsidRPr="000C4B85">
        <w:t xml:space="preserve">introduce an interdepartmental IP </w:t>
      </w:r>
      <w:r>
        <w:t>Policy G</w:t>
      </w:r>
      <w:r w:rsidRPr="000C4B85">
        <w:t>roup that is responsible for overseeing IP policy development</w:t>
      </w:r>
      <w:r>
        <w:t>.</w:t>
      </w:r>
      <w:r w:rsidRPr="000C4B85">
        <w:t xml:space="preserve"> </w:t>
      </w:r>
      <w:r>
        <w:t xml:space="preserve">Doing so </w:t>
      </w:r>
      <w:r w:rsidRPr="006752C2">
        <w:t xml:space="preserve">would provide many of the same benefits of policy consolidation, but with relatively low costs and disruption to the system. </w:t>
      </w:r>
      <w:r>
        <w:t>This should be complemented with</w:t>
      </w:r>
      <w:r w:rsidRPr="000C4B85">
        <w:t xml:space="preserve"> formal arrangements specify</w:t>
      </w:r>
      <w:r>
        <w:t>ing</w:t>
      </w:r>
      <w:r w:rsidRPr="000C4B85">
        <w:t xml:space="preserve"> how agencies and departments will work together to achieve the objectives of the IP system and adhere to the common policy framework.</w:t>
      </w:r>
    </w:p>
    <w:p w:rsidR="006F3267" w:rsidRDefault="006F3267" w:rsidP="006F3267">
      <w:pPr>
        <w:pStyle w:val="BodyText"/>
      </w:pPr>
      <w:r>
        <w:t>Good governance is equally important for private sector intermediaries. In Australia, as well as overseas, copyright collecting societies issue collective licences, collect payments from users, and distribute royalties to their rights holder members. C</w:t>
      </w:r>
      <w:r w:rsidRPr="008A57A2">
        <w:t xml:space="preserve">ollective licensing </w:t>
      </w:r>
      <w:r>
        <w:t xml:space="preserve">has merit to the extent that it </w:t>
      </w:r>
      <w:r w:rsidRPr="008A57A2">
        <w:t xml:space="preserve">can help </w:t>
      </w:r>
      <w:r>
        <w:t>reduce</w:t>
      </w:r>
      <w:r w:rsidRPr="008A57A2">
        <w:t xml:space="preserve"> transaction costs, particularly for high</w:t>
      </w:r>
      <w:r>
        <w:t xml:space="preserve"> volume, low-value transactions. But the </w:t>
      </w:r>
      <w:r w:rsidRPr="008A57A2">
        <w:t>ability to collectively licen</w:t>
      </w:r>
      <w:r w:rsidR="000E7362">
        <w:t>s</w:t>
      </w:r>
      <w:r w:rsidRPr="008A57A2">
        <w:t>e IP rights</w:t>
      </w:r>
      <w:r>
        <w:t xml:space="preserve"> can also give rise to market power. </w:t>
      </w:r>
    </w:p>
    <w:p w:rsidR="006F3267" w:rsidRDefault="006F3267" w:rsidP="006F3267">
      <w:pPr>
        <w:pStyle w:val="BodyText"/>
      </w:pPr>
      <w:r>
        <w:lastRenderedPageBreak/>
        <w:t xml:space="preserve">It is for this reason that </w:t>
      </w:r>
      <w:r w:rsidRPr="00C701BC">
        <w:t xml:space="preserve">Australia’s collecting societies are governed by a voluntary code of conduct and (while lesser known) subject to </w:t>
      </w:r>
      <w:proofErr w:type="spellStart"/>
      <w:r w:rsidRPr="00C701BC">
        <w:t>ACCC</w:t>
      </w:r>
      <w:proofErr w:type="spellEnd"/>
      <w:r w:rsidRPr="00C701BC">
        <w:t xml:space="preserve"> scrutiny.</w:t>
      </w:r>
      <w:r>
        <w:t xml:space="preserve"> However, participants raised concerns about the efficacy of the current code of conduct and the extent to which it constrains the behaviour of collecting societies. </w:t>
      </w:r>
    </w:p>
    <w:p w:rsidR="006F3267" w:rsidRPr="004F4664" w:rsidRDefault="006F3267" w:rsidP="006F3267">
      <w:pPr>
        <w:pStyle w:val="BodyText"/>
      </w:pPr>
      <w:r>
        <w:t xml:space="preserve">There are grounds for bolstering these arrangements. The code is voluntary and does not appear to be as robust as those operating in other jurisdictions, such as Europe. The </w:t>
      </w:r>
      <w:proofErr w:type="spellStart"/>
      <w:r>
        <w:t>ACCC</w:t>
      </w:r>
      <w:proofErr w:type="spellEnd"/>
      <w:r>
        <w:t xml:space="preserve"> should review the guidelines to ensure that they not only reflect contemporary international best practice, but are being followed. This review would also inform whether the guidelines are made mandatory.</w:t>
      </w:r>
    </w:p>
    <w:p w:rsidR="006F3267" w:rsidRDefault="006F3267" w:rsidP="006F3267">
      <w:pPr>
        <w:pStyle w:val="Heading3"/>
      </w:pPr>
      <w:r>
        <w:t>Better understanding and pursuing our international interests</w:t>
      </w:r>
    </w:p>
    <w:p w:rsidR="006F3267" w:rsidRDefault="006F3267" w:rsidP="006F3267">
      <w:pPr>
        <w:pStyle w:val="BodyText"/>
      </w:pPr>
      <w:r>
        <w:t>A ‘more is better’ mindset, and poor consultation and transparency, have proven problematic in Australia’s international IP dealings. I</w:t>
      </w:r>
      <w:r w:rsidRPr="006311A2">
        <w:t>nternational agreements</w:t>
      </w:r>
      <w:r>
        <w:t xml:space="preserve"> that commit Australia to implement specific IP provisions — such as the duration of patent or copyright protection — have worked against Australia’s interests. These agreements typically involve trade-offs, and keen to cut a deal, Australia has capitulated too readily.</w:t>
      </w:r>
    </w:p>
    <w:p w:rsidR="006F3267" w:rsidRDefault="006F3267" w:rsidP="006F3267">
      <w:pPr>
        <w:pStyle w:val="BodyText"/>
      </w:pPr>
      <w:r>
        <w:rPr>
          <w:szCs w:val="24"/>
          <w:lang w:val="en-US"/>
        </w:rPr>
        <w:t xml:space="preserve">Australia’s cooperation with other countries on IP arrangements should focus on </w:t>
      </w:r>
      <w:r w:rsidRPr="008453A2">
        <w:rPr>
          <w:szCs w:val="24"/>
        </w:rPr>
        <w:t>minimis</w:t>
      </w:r>
      <w:r>
        <w:rPr>
          <w:szCs w:val="24"/>
        </w:rPr>
        <w:t>ing</w:t>
      </w:r>
      <w:r>
        <w:rPr>
          <w:szCs w:val="24"/>
          <w:lang w:val="en-US"/>
        </w:rPr>
        <w:t xml:space="preserve"> the transaction costs associated with assigning, using and enforcing IP rights, and encouraging more balanced policy arrangements for patents and copyright</w:t>
      </w:r>
      <w:r w:rsidRPr="0098799B">
        <w:rPr>
          <w:lang w:val="en-US"/>
        </w:rPr>
        <w:t>.</w:t>
      </w:r>
      <w:r w:rsidRPr="000D4F63">
        <w:t xml:space="preserve"> </w:t>
      </w:r>
      <w:r>
        <w:t>Supporting global cooperation among international patent offices through the World Intellectual Property Organization is a good example.</w:t>
      </w:r>
    </w:p>
    <w:p w:rsidR="006F3267" w:rsidRDefault="006F3267" w:rsidP="006F3267">
      <w:pPr>
        <w:pStyle w:val="BodyText"/>
      </w:pPr>
      <w:r>
        <w:t>Good policy outcomes also depend on a high-</w:t>
      </w:r>
      <w:r w:rsidRPr="00F171F6">
        <w:t xml:space="preserve">quality information and evidence base, </w:t>
      </w:r>
      <w:r>
        <w:t>underpinned by transparent</w:t>
      </w:r>
      <w:r w:rsidRPr="00F171F6">
        <w:t xml:space="preserve"> policy </w:t>
      </w:r>
      <w:r>
        <w:t>development.</w:t>
      </w:r>
      <w:r w:rsidRPr="00F171F6">
        <w:t xml:space="preserve"> </w:t>
      </w:r>
      <w:r>
        <w:t>Many inquiry participants expressed concerns with Australia’s approach to negotiating IP provisions in international agreements, and the absence of meaningful stakeholder consultation. As international treaties strongly influence Australia’s IP settings, and are difficult to reverse, transparency and substantive public consultation processes are critical.</w:t>
      </w:r>
    </w:p>
    <w:p w:rsidR="006F3267" w:rsidRDefault="006F3267" w:rsidP="006F3267">
      <w:pPr>
        <w:pStyle w:val="BodyText"/>
      </w:pPr>
      <w:r>
        <w:t xml:space="preserve">As the Commission and others have previously recommended, greater use of independent and public reviews, and more effective consultation, would improve treaty-making processes. These recommendations are </w:t>
      </w:r>
      <w:r w:rsidRPr="007D4DC1">
        <w:t xml:space="preserve">equally </w:t>
      </w:r>
      <w:r>
        <w:t xml:space="preserve">applicable to agreements dealing with Australia’s IP arrangements. </w:t>
      </w:r>
    </w:p>
    <w:p w:rsidR="006F3267" w:rsidRDefault="006F3267" w:rsidP="006F3267">
      <w:pPr>
        <w:pStyle w:val="BodyText"/>
      </w:pPr>
      <w:r>
        <w:t>There is also scope to better identify and articulate defensive and offensive interests. Some examples could include maintaining</w:t>
      </w:r>
      <w:r w:rsidRPr="00F40456">
        <w:t xml:space="preserve"> the right to draft exceptions and limitations</w:t>
      </w:r>
      <w:r>
        <w:t xml:space="preserve"> (such as in public health) and identifying ‘no go’ outcomes (such as</w:t>
      </w:r>
      <w:r w:rsidRPr="00F40456">
        <w:t xml:space="preserve"> </w:t>
      </w:r>
      <w:r>
        <w:t>retrospective extensions of IP</w:t>
      </w:r>
      <w:r w:rsidR="00035562">
        <w:t> </w:t>
      </w:r>
      <w:r>
        <w:t xml:space="preserve">rights). </w:t>
      </w:r>
    </w:p>
    <w:p w:rsidR="006F3267" w:rsidRDefault="006F3267" w:rsidP="006F3267">
      <w:pPr>
        <w:pStyle w:val="BodyText"/>
      </w:pPr>
      <w:r>
        <w:t xml:space="preserve">Finally, the Commission has identified specific reforms that Australia should pursue with like-minded countries in the ‘long game’ of achieving more balanced IP settings. These include introducing formalities for copyright, improving the quality of patents, and </w:t>
      </w:r>
      <w:r>
        <w:lastRenderedPageBreak/>
        <w:t xml:space="preserve">allowing manufacture of pharmaceuticals for export, as well as the publication of clinical trial data. This should not be seen as an exercise in horse-trading or cajoling. Many of the issues are equally problematic in other countries. An overdue review of the TRIPS Agreement by the World Trade Organization would be a helpful first step. </w:t>
      </w:r>
    </w:p>
    <w:p w:rsidR="006F3267" w:rsidRDefault="006F3267" w:rsidP="006F3267">
      <w:pPr>
        <w:pStyle w:val="Heading2"/>
      </w:pPr>
      <w:r>
        <w:rPr>
          <w:noProof/>
        </w:rPr>
        <w:t>9</w:t>
      </w:r>
      <w:r>
        <w:tab/>
      </w:r>
      <w:r w:rsidRPr="00247C3B">
        <w:t>A</w:t>
      </w:r>
      <w:r>
        <w:t>n improved</w:t>
      </w:r>
      <w:r w:rsidRPr="00247C3B">
        <w:t xml:space="preserve"> IP system has broad benefits</w:t>
      </w:r>
    </w:p>
    <w:p w:rsidR="006F3267" w:rsidRDefault="006F3267" w:rsidP="006F3267">
      <w:pPr>
        <w:pStyle w:val="BodyText"/>
      </w:pPr>
      <w:r>
        <w:t>International agreements significantly constrain Australia’s flexibility for IP policy reform. Nonetheless, the Commission has identified improvements to better target IP protection while not unduly disadvantaging rights holders. The package of reforms is expected to improve community wellbeing.</w:t>
      </w:r>
    </w:p>
    <w:p w:rsidR="006F3267" w:rsidRDefault="006F3267" w:rsidP="006F3267">
      <w:pPr>
        <w:pStyle w:val="ListBullet"/>
      </w:pPr>
      <w:r>
        <w:t xml:space="preserve">Consumers would benefit from access to new and cheaper goods and services, and more easily avoid unintentional infringement. </w:t>
      </w:r>
    </w:p>
    <w:p w:rsidR="006F3267" w:rsidRDefault="006F3267" w:rsidP="006F3267">
      <w:pPr>
        <w:pStyle w:val="ListBullet"/>
      </w:pPr>
      <w:r>
        <w:t xml:space="preserve">Government and ultimately taxpayers would benefit from a substantial reduction in health costs through a more efficient </w:t>
      </w:r>
      <w:proofErr w:type="spellStart"/>
      <w:r>
        <w:t>PBS</w:t>
      </w:r>
      <w:proofErr w:type="spellEnd"/>
      <w:r>
        <w:t>.</w:t>
      </w:r>
    </w:p>
    <w:p w:rsidR="006F3267" w:rsidRDefault="006F3267" w:rsidP="006F3267">
      <w:pPr>
        <w:pStyle w:val="ListBullet"/>
      </w:pPr>
      <w:r>
        <w:t>Rather than hindering innovation and creativity as claimed by some participants, IP reform would also</w:t>
      </w:r>
      <w:r w:rsidRPr="00776ADD">
        <w:t xml:space="preserve"> </w:t>
      </w:r>
      <w:r>
        <w:t>invigorate innovation as:</w:t>
      </w:r>
    </w:p>
    <w:p w:rsidR="006F3267" w:rsidRDefault="006F3267" w:rsidP="006F3267">
      <w:pPr>
        <w:pStyle w:val="ListBullet2"/>
      </w:pPr>
      <w:r>
        <w:t xml:space="preserve">Australian firms will be able to take full advantage of opportunities in cloud computing solutions </w:t>
      </w:r>
    </w:p>
    <w:p w:rsidR="006F3267" w:rsidRDefault="006F3267" w:rsidP="006F3267">
      <w:pPr>
        <w:pStyle w:val="ListBullet2"/>
      </w:pPr>
      <w:r>
        <w:t xml:space="preserve">medical and scientific researchers will be able to better utilise text and data mining </w:t>
      </w:r>
    </w:p>
    <w:p w:rsidR="006F3267" w:rsidRDefault="006F3267" w:rsidP="006F3267">
      <w:pPr>
        <w:pStyle w:val="ListBullet2"/>
      </w:pPr>
      <w:r>
        <w:t xml:space="preserve">universities will have the flexibility to offer Massive Open Online Courses </w:t>
      </w:r>
    </w:p>
    <w:p w:rsidR="006F3267" w:rsidRDefault="006F3267" w:rsidP="006F3267">
      <w:pPr>
        <w:pStyle w:val="ListBullet2"/>
      </w:pPr>
      <w:r>
        <w:t xml:space="preserve">the education sector will avoid </w:t>
      </w:r>
      <w:r w:rsidRPr="00113C07">
        <w:t>pay</w:t>
      </w:r>
      <w:r>
        <w:t>ing</w:t>
      </w:r>
      <w:r w:rsidRPr="00113C07">
        <w:t xml:space="preserve"> millions of dollars each year to use materials </w:t>
      </w:r>
      <w:r>
        <w:t xml:space="preserve">that are </w:t>
      </w:r>
      <w:r w:rsidRPr="00113C07">
        <w:t xml:space="preserve">freely available </w:t>
      </w:r>
      <w:r>
        <w:t>online</w:t>
      </w:r>
      <w:r w:rsidRPr="00113C07">
        <w:t xml:space="preserve"> </w:t>
      </w:r>
    </w:p>
    <w:p w:rsidR="006F3267" w:rsidRDefault="006F3267" w:rsidP="006F3267">
      <w:pPr>
        <w:pStyle w:val="ListBullet2"/>
      </w:pPr>
      <w:r>
        <w:t xml:space="preserve">innovative </w:t>
      </w:r>
      <w:proofErr w:type="spellStart"/>
      <w:r>
        <w:t>SMEs</w:t>
      </w:r>
      <w:proofErr w:type="spellEnd"/>
      <w:r>
        <w:t xml:space="preserve"> will be able to innovate without fear of infringing frivolous or strategic patents and be better able to enforce legitimate rights through low-cost dispute resolution mechanisms.</w:t>
      </w:r>
    </w:p>
    <w:p w:rsidR="006F3267" w:rsidRDefault="006F3267" w:rsidP="006F3267">
      <w:pPr>
        <w:pStyle w:val="BodyText"/>
      </w:pPr>
      <w:r>
        <w:t xml:space="preserve">Table 1 summarises the anticipated benefits from pursuing the Commission’s recommendations. </w:t>
      </w:r>
    </w:p>
    <w:p w:rsidR="006F3267" w:rsidRDefault="006F3267" w:rsidP="006F3267">
      <w:pPr>
        <w:pStyle w:val="BodyText"/>
      </w:pPr>
      <w:r w:rsidRPr="0008551B">
        <w:t xml:space="preserve">But achieving reform will not </w:t>
      </w:r>
      <w:r>
        <w:t>be easy</w:t>
      </w:r>
      <w:r w:rsidRPr="0008551B">
        <w:t xml:space="preserve">. </w:t>
      </w:r>
      <w:r>
        <w:t>Some v</w:t>
      </w:r>
      <w:r w:rsidRPr="0008551B">
        <w:t xml:space="preserve">ocal interest groups have </w:t>
      </w:r>
      <w:r>
        <w:t xml:space="preserve">long </w:t>
      </w:r>
      <w:r w:rsidRPr="0008551B">
        <w:t xml:space="preserve">shaped Australia’s IP arrangements to advance their own interests. </w:t>
      </w:r>
      <w:r>
        <w:t>And in the past, r</w:t>
      </w:r>
      <w:r w:rsidRPr="0008551B">
        <w:t xml:space="preserve">eform efforts have </w:t>
      </w:r>
      <w:r>
        <w:t xml:space="preserve">more often than not </w:t>
      </w:r>
      <w:r w:rsidRPr="0008551B">
        <w:t xml:space="preserve">succumbed to misinformation and scare campaigns. </w:t>
      </w:r>
      <w:r w:rsidRPr="007D3595">
        <w:t xml:space="preserve">The same tactic has been </w:t>
      </w:r>
      <w:r>
        <w:t>deployed here, with some parties publishing more fiction than fact about the Commission’s draft report</w:t>
      </w:r>
      <w:r w:rsidRPr="007D3595">
        <w:t>.</w:t>
      </w:r>
      <w:r>
        <w:t xml:space="preserve"> Government will need to show steely resolve to pursue a better balanced IP system in the face of strong vested interests. </w:t>
      </w:r>
    </w:p>
    <w:p w:rsidR="006F3267" w:rsidRDefault="006F3267" w:rsidP="006F3267">
      <w:pPr>
        <w:rPr>
          <w:szCs w:val="20"/>
        </w:rPr>
      </w:pPr>
      <w:r>
        <w:br w:type="page"/>
      </w:r>
    </w:p>
    <w:p w:rsidR="006F3267" w:rsidRPr="00DD145A" w:rsidRDefault="006F3267" w:rsidP="006F3267">
      <w:pPr>
        <w:pStyle w:val="Heading2"/>
        <w:spacing w:before="0"/>
        <w:ind w:left="0" w:firstLine="0"/>
      </w:pPr>
      <w:r>
        <w:lastRenderedPageBreak/>
        <w:t xml:space="preserve">Table 1: </w:t>
      </w:r>
      <w:r w:rsidRPr="00DD145A">
        <w:t xml:space="preserve">Summary </w:t>
      </w:r>
      <w:r>
        <w:t>of reforms and their expected benefits</w:t>
      </w:r>
    </w:p>
    <w:p w:rsidR="006F3267" w:rsidRDefault="006F3267" w:rsidP="006F3267">
      <w:pPr>
        <w:pStyle w:val="BoxSpaceAbove"/>
      </w:pPr>
    </w:p>
    <w:tbl>
      <w:tblPr>
        <w:tblW w:w="0" w:type="auto"/>
        <w:tblInd w:w="164" w:type="dxa"/>
        <w:tblBorders>
          <w:top w:val="single" w:sz="4" w:space="0" w:color="78A22F"/>
          <w:bottom w:val="single" w:sz="4" w:space="0" w:color="78A22F"/>
        </w:tblBorders>
        <w:tblCellMar>
          <w:left w:w="142" w:type="dxa"/>
          <w:right w:w="142" w:type="dxa"/>
        </w:tblCellMar>
        <w:tblLook w:val="0000" w:firstRow="0" w:lastRow="0" w:firstColumn="0" w:lastColumn="0" w:noHBand="0" w:noVBand="0"/>
      </w:tblPr>
      <w:tblGrid>
        <w:gridCol w:w="3806"/>
        <w:gridCol w:w="5103"/>
      </w:tblGrid>
      <w:tr w:rsidR="006F3267" w:rsidTr="00432C11">
        <w:trPr>
          <w:tblHeader/>
        </w:trPr>
        <w:tc>
          <w:tcPr>
            <w:tcW w:w="3806" w:type="dxa"/>
            <w:tcBorders>
              <w:bottom w:val="nil"/>
            </w:tcBorders>
            <w:shd w:val="clear" w:color="auto" w:fill="auto"/>
          </w:tcPr>
          <w:p w:rsidR="006F3267" w:rsidRPr="00784A05" w:rsidRDefault="006F3267" w:rsidP="0034446A">
            <w:pPr>
              <w:pStyle w:val="TableColumnHeading"/>
              <w:tabs>
                <w:tab w:val="left" w:pos="1740"/>
              </w:tabs>
              <w:jc w:val="left"/>
            </w:pPr>
            <w:r w:rsidRPr="00DD145A">
              <w:t>Proposed reform</w:t>
            </w:r>
            <w:r>
              <w:tab/>
            </w:r>
          </w:p>
        </w:tc>
        <w:tc>
          <w:tcPr>
            <w:tcW w:w="5103" w:type="dxa"/>
            <w:tcBorders>
              <w:bottom w:val="nil"/>
            </w:tcBorders>
            <w:shd w:val="clear" w:color="auto" w:fill="auto"/>
          </w:tcPr>
          <w:p w:rsidR="006F3267" w:rsidRPr="00784A05" w:rsidRDefault="006F3267" w:rsidP="0034446A">
            <w:pPr>
              <w:pStyle w:val="TableColumnHeading"/>
              <w:tabs>
                <w:tab w:val="left" w:pos="1740"/>
              </w:tabs>
              <w:ind w:left="-142"/>
              <w:jc w:val="left"/>
            </w:pPr>
            <w:r>
              <w:t>Expected benefits</w:t>
            </w:r>
          </w:p>
        </w:tc>
      </w:tr>
      <w:tr w:rsidR="006F3267" w:rsidTr="00432C11">
        <w:tc>
          <w:tcPr>
            <w:tcW w:w="8909" w:type="dxa"/>
            <w:gridSpan w:val="2"/>
            <w:tcBorders>
              <w:top w:val="nil"/>
              <w:bottom w:val="nil"/>
            </w:tcBorders>
            <w:shd w:val="clear" w:color="auto" w:fill="auto"/>
          </w:tcPr>
          <w:tbl>
            <w:tblPr>
              <w:tblW w:w="8625" w:type="dxa"/>
              <w:tblCellMar>
                <w:top w:w="28" w:type="dxa"/>
                <w:left w:w="0" w:type="dxa"/>
                <w:right w:w="0" w:type="dxa"/>
              </w:tblCellMar>
              <w:tblLook w:val="0000" w:firstRow="0" w:lastRow="0" w:firstColumn="0" w:lastColumn="0" w:noHBand="0" w:noVBand="0"/>
            </w:tblPr>
            <w:tblGrid>
              <w:gridCol w:w="3664"/>
              <w:gridCol w:w="4961"/>
            </w:tblGrid>
            <w:tr w:rsidR="006F3267" w:rsidTr="0034446A">
              <w:trPr>
                <w:trHeight w:val="342"/>
              </w:trPr>
              <w:tc>
                <w:tcPr>
                  <w:tcW w:w="5000" w:type="pct"/>
                  <w:gridSpan w:val="2"/>
                  <w:tcBorders>
                    <w:top w:val="single" w:sz="6" w:space="0" w:color="BFBFBF"/>
                  </w:tcBorders>
                  <w:shd w:val="pct10" w:color="auto" w:fill="auto"/>
                  <w:vAlign w:val="center"/>
                </w:tcPr>
                <w:p w:rsidR="006F3267" w:rsidRDefault="006F3267" w:rsidP="0034446A">
                  <w:pPr>
                    <w:pStyle w:val="TableBodyText"/>
                    <w:spacing w:after="0"/>
                    <w:jc w:val="left"/>
                    <w:rPr>
                      <w:b/>
                      <w:i/>
                      <w:sz w:val="20"/>
                    </w:rPr>
                  </w:pPr>
                  <w:r>
                    <w:rPr>
                      <w:b/>
                      <w:i/>
                      <w:sz w:val="20"/>
                    </w:rPr>
                    <w:t>PATENTS</w:t>
                  </w:r>
                </w:p>
              </w:tc>
            </w:tr>
            <w:tr w:rsidR="006F3267" w:rsidTr="0034446A">
              <w:tc>
                <w:tcPr>
                  <w:tcW w:w="2124" w:type="pct"/>
                  <w:tcBorders>
                    <w:top w:val="single" w:sz="6" w:space="0" w:color="BFBFBF"/>
                    <w:bottom w:val="single" w:sz="6" w:space="0" w:color="BFBFBF"/>
                  </w:tcBorders>
                </w:tcPr>
                <w:p w:rsidR="006F3267" w:rsidRPr="00A725AE" w:rsidRDefault="006F3267" w:rsidP="0034446A">
                  <w:pPr>
                    <w:pStyle w:val="TableBodyText"/>
                    <w:keepNext w:val="0"/>
                    <w:keepLines w:val="0"/>
                    <w:widowControl w:val="0"/>
                    <w:spacing w:before="80"/>
                    <w:jc w:val="left"/>
                  </w:pPr>
                  <w:r w:rsidRPr="00A725AE">
                    <w:t>Raise the inventive step for patent eligibility</w:t>
                  </w:r>
                  <w:r>
                    <w:t>,</w:t>
                  </w:r>
                  <w:r w:rsidRPr="00A725AE">
                    <w:t xml:space="preserve"> add an objects clause to the Patent</w:t>
                  </w:r>
                  <w:r>
                    <w:t>s</w:t>
                  </w:r>
                  <w:r w:rsidRPr="00A725AE">
                    <w:t xml:space="preserve"> Act, </w:t>
                  </w:r>
                  <w:r>
                    <w:t>improve patent filing processes,</w:t>
                  </w:r>
                  <w:r w:rsidRPr="00A725AE">
                    <w:t xml:space="preserve"> restructure patent fees</w:t>
                  </w:r>
                  <w:r>
                    <w:t xml:space="preserve"> and abolish the innovation patent system</w:t>
                  </w:r>
                  <w:r w:rsidRPr="00A725AE">
                    <w:t xml:space="preserve"> (</w:t>
                  </w:r>
                  <w:r>
                    <w:t>7.1, 7.2,</w:t>
                  </w:r>
                  <w:r w:rsidR="00217111">
                    <w:t xml:space="preserve"> 7.3,</w:t>
                  </w:r>
                  <w:r>
                    <w:t xml:space="preserve"> 7.4 and 8.1</w:t>
                  </w:r>
                  <w:r w:rsidRPr="00A725AE">
                    <w:t>)</w:t>
                  </w:r>
                  <w:r>
                    <w:t>.</w:t>
                  </w:r>
                  <w:r w:rsidRPr="00412E73">
                    <w:rPr>
                      <w:color w:val="FF0000"/>
                    </w:rPr>
                    <w:t xml:space="preserve"> </w:t>
                  </w:r>
                </w:p>
              </w:tc>
              <w:tc>
                <w:tcPr>
                  <w:tcW w:w="2876" w:type="pct"/>
                  <w:tcBorders>
                    <w:top w:val="single" w:sz="6" w:space="0" w:color="BFBFBF"/>
                    <w:bottom w:val="single" w:sz="6" w:space="0" w:color="BFBFBF"/>
                  </w:tcBorders>
                </w:tcPr>
                <w:p w:rsidR="006F3267" w:rsidRDefault="006F3267" w:rsidP="0034446A">
                  <w:pPr>
                    <w:pStyle w:val="TableBodyText"/>
                    <w:keepNext w:val="0"/>
                    <w:keepLines w:val="0"/>
                    <w:widowControl w:val="0"/>
                    <w:spacing w:before="80"/>
                    <w:jc w:val="left"/>
                  </w:pPr>
                  <w:r>
                    <w:t xml:space="preserve">Elevate patent quality over time to improve the signal value of patents, reducing thickets, limiting strategic misuse and shortening pendency, stimulating innovation and business activity. </w:t>
                  </w:r>
                </w:p>
                <w:p w:rsidR="006F3267" w:rsidRPr="00DC15B8" w:rsidRDefault="006F3267" w:rsidP="0034446A">
                  <w:pPr>
                    <w:pStyle w:val="TableBodyText"/>
                    <w:keepNext w:val="0"/>
                    <w:keepLines w:val="0"/>
                    <w:widowControl w:val="0"/>
                    <w:spacing w:before="80"/>
                    <w:jc w:val="left"/>
                  </w:pPr>
                  <w:r>
                    <w:t>R</w:t>
                  </w:r>
                  <w:r w:rsidRPr="00E54D32">
                    <w:t xml:space="preserve">estructuring renewal </w:t>
                  </w:r>
                  <w:r>
                    <w:t>fees will reduce the risk that poor quality patents remain entrenched.</w:t>
                  </w:r>
                </w:p>
              </w:tc>
            </w:tr>
            <w:tr w:rsidR="006F3267" w:rsidTr="0034446A">
              <w:tc>
                <w:tcPr>
                  <w:tcW w:w="2124" w:type="pct"/>
                  <w:tcBorders>
                    <w:bottom w:val="single" w:sz="6" w:space="0" w:color="BFBFBF"/>
                  </w:tcBorders>
                  <w:shd w:val="clear" w:color="auto" w:fill="auto"/>
                </w:tcPr>
                <w:p w:rsidR="006F3267" w:rsidRPr="002972E5" w:rsidRDefault="006F3267" w:rsidP="0034446A">
                  <w:pPr>
                    <w:pStyle w:val="TableBodyText"/>
                    <w:keepNext w:val="0"/>
                    <w:keepLines w:val="0"/>
                    <w:widowControl w:val="0"/>
                    <w:spacing w:before="40"/>
                    <w:jc w:val="left"/>
                  </w:pPr>
                  <w:r w:rsidRPr="002972E5">
                    <w:t xml:space="preserve">Reform extensions of term for pharmaceutical patents </w:t>
                  </w:r>
                  <w:r>
                    <w:t>(10.1).</w:t>
                  </w:r>
                  <w:r w:rsidRPr="002972E5">
                    <w:t xml:space="preserve"> </w:t>
                  </w:r>
                </w:p>
                <w:p w:rsidR="006F3267" w:rsidRPr="002972E5" w:rsidRDefault="006F3267" w:rsidP="0034446A">
                  <w:pPr>
                    <w:pStyle w:val="TableBodyText"/>
                    <w:keepNext w:val="0"/>
                    <w:keepLines w:val="0"/>
                    <w:widowControl w:val="0"/>
                    <w:spacing w:before="40"/>
                    <w:jc w:val="left"/>
                  </w:pPr>
                </w:p>
              </w:tc>
              <w:tc>
                <w:tcPr>
                  <w:tcW w:w="2876" w:type="pct"/>
                  <w:tcBorders>
                    <w:bottom w:val="single" w:sz="6" w:space="0" w:color="BFBFBF"/>
                  </w:tcBorders>
                  <w:shd w:val="clear" w:color="auto" w:fill="auto"/>
                </w:tcPr>
                <w:p w:rsidR="006F3267" w:rsidRPr="002972E5" w:rsidRDefault="006F3267" w:rsidP="0034446A">
                  <w:pPr>
                    <w:pStyle w:val="TableBodyText"/>
                    <w:spacing w:after="120"/>
                    <w:jc w:val="left"/>
                  </w:pPr>
                  <w:r w:rsidRPr="002972E5">
                    <w:t xml:space="preserve">Reforming extensions of term </w:t>
                  </w:r>
                  <w:r>
                    <w:t>will lower the cost of pharmaceuticals, benefiting consumers and</w:t>
                  </w:r>
                  <w:r w:rsidRPr="002972E5">
                    <w:t xml:space="preserve"> </w:t>
                  </w:r>
                  <w:r>
                    <w:t xml:space="preserve">saving the government an estimated </w:t>
                  </w:r>
                  <w:r w:rsidRPr="00856C62">
                    <w:t>$2</w:t>
                  </w:r>
                  <w:r>
                    <w:t xml:space="preserve">58 </w:t>
                  </w:r>
                  <w:r w:rsidRPr="002972E5">
                    <w:t>million each year</w:t>
                  </w:r>
                  <w:r>
                    <w:t>.</w:t>
                  </w:r>
                  <w:r w:rsidRPr="002972E5">
                    <w:t xml:space="preserve"> </w:t>
                  </w:r>
                  <w:r>
                    <w:t>A</w:t>
                  </w:r>
                  <w:r w:rsidRPr="002972E5">
                    <w:t xml:space="preserve">dditional public health benefits </w:t>
                  </w:r>
                  <w:r>
                    <w:t xml:space="preserve">will arise </w:t>
                  </w:r>
                  <w:r w:rsidRPr="002972E5">
                    <w:t xml:space="preserve">from improved access to affordable medicines. </w:t>
                  </w:r>
                </w:p>
              </w:tc>
            </w:tr>
            <w:tr w:rsidR="006F3267" w:rsidTr="00F01845">
              <w:tc>
                <w:tcPr>
                  <w:tcW w:w="2124" w:type="pct"/>
                  <w:tcBorders>
                    <w:bottom w:val="single" w:sz="6" w:space="0" w:color="BFBFBF"/>
                  </w:tcBorders>
                  <w:shd w:val="clear" w:color="auto" w:fill="auto"/>
                </w:tcPr>
                <w:p w:rsidR="006F3267" w:rsidRPr="002972E5" w:rsidRDefault="006F3267" w:rsidP="0034446A">
                  <w:pPr>
                    <w:pStyle w:val="TableBodyText"/>
                    <w:keepNext w:val="0"/>
                    <w:keepLines w:val="0"/>
                    <w:widowControl w:val="0"/>
                    <w:spacing w:before="40"/>
                    <w:jc w:val="left"/>
                  </w:pPr>
                  <w:r>
                    <w:t>I</w:t>
                  </w:r>
                  <w:r w:rsidRPr="002972E5">
                    <w:t xml:space="preserve">mprove monitoring of </w:t>
                  </w:r>
                  <w:r>
                    <w:t>settlements</w:t>
                  </w:r>
                  <w:r w:rsidRPr="002972E5">
                    <w:t xml:space="preserve"> between originator and generic drug companies (10.</w:t>
                  </w:r>
                  <w:r>
                    <w:t>2</w:t>
                  </w:r>
                  <w:r w:rsidRPr="002972E5">
                    <w:t>).</w:t>
                  </w:r>
                </w:p>
              </w:tc>
              <w:tc>
                <w:tcPr>
                  <w:tcW w:w="2876" w:type="pct"/>
                  <w:tcBorders>
                    <w:bottom w:val="single" w:sz="6" w:space="0" w:color="BFBFBF"/>
                  </w:tcBorders>
                  <w:shd w:val="clear" w:color="auto" w:fill="auto"/>
                </w:tcPr>
                <w:p w:rsidR="006F3267" w:rsidRPr="002972E5" w:rsidRDefault="006F3267" w:rsidP="0034446A">
                  <w:pPr>
                    <w:pStyle w:val="TableBodyText"/>
                    <w:spacing w:after="120"/>
                    <w:jc w:val="left"/>
                  </w:pPr>
                  <w:r>
                    <w:t>Reducing opportunities for pay-for-delay settlements will ensure timely access to affordable medicines and improve competition in the pharmaceuticals market for the benefit of consumers.</w:t>
                  </w:r>
                </w:p>
              </w:tc>
            </w:tr>
            <w:tr w:rsidR="006F3267" w:rsidRPr="001400E0" w:rsidTr="00F01845">
              <w:trPr>
                <w:trHeight w:val="324"/>
              </w:trPr>
              <w:tc>
                <w:tcPr>
                  <w:tcW w:w="5000" w:type="pct"/>
                  <w:gridSpan w:val="2"/>
                  <w:tcBorders>
                    <w:top w:val="single" w:sz="6" w:space="0" w:color="BFBFBF"/>
                    <w:bottom w:val="single" w:sz="6" w:space="0" w:color="BFBFBF"/>
                  </w:tcBorders>
                  <w:shd w:val="pct10" w:color="auto" w:fill="auto"/>
                  <w:vAlign w:val="center"/>
                </w:tcPr>
                <w:p w:rsidR="006F3267" w:rsidRDefault="006F3267" w:rsidP="0034446A">
                  <w:pPr>
                    <w:pStyle w:val="TableBodyText"/>
                    <w:spacing w:after="0"/>
                    <w:jc w:val="left"/>
                    <w:rPr>
                      <w:b/>
                      <w:i/>
                      <w:sz w:val="20"/>
                    </w:rPr>
                  </w:pPr>
                  <w:r>
                    <w:rPr>
                      <w:b/>
                      <w:i/>
                      <w:sz w:val="20"/>
                    </w:rPr>
                    <w:t>COPYRIGHT</w:t>
                  </w:r>
                </w:p>
              </w:tc>
            </w:tr>
            <w:tr w:rsidR="006F3267" w:rsidTr="00F01845">
              <w:tc>
                <w:tcPr>
                  <w:tcW w:w="2124" w:type="pct"/>
                  <w:tcBorders>
                    <w:top w:val="single" w:sz="6" w:space="0" w:color="BFBFBF"/>
                    <w:bottom w:val="single" w:sz="6" w:space="0" w:color="BFBFBF"/>
                  </w:tcBorders>
                  <w:shd w:val="clear" w:color="auto" w:fill="auto"/>
                </w:tcPr>
                <w:p w:rsidR="006F3267" w:rsidRPr="00E561FB" w:rsidRDefault="006F3267" w:rsidP="0034446A">
                  <w:pPr>
                    <w:pStyle w:val="TableBodyText"/>
                    <w:keepNext w:val="0"/>
                    <w:keepLines w:val="0"/>
                    <w:widowControl w:val="0"/>
                    <w:spacing w:before="40"/>
                    <w:jc w:val="left"/>
                  </w:pPr>
                  <w:r w:rsidRPr="00D67F60">
                    <w:t xml:space="preserve">Replace Australia’s existing </w:t>
                  </w:r>
                  <w:r>
                    <w:t xml:space="preserve">fair dealing </w:t>
                  </w:r>
                  <w:r w:rsidRPr="00D67F60">
                    <w:t>exceptions in the Copyright Act with a broad</w:t>
                  </w:r>
                  <w:r w:rsidRPr="00E561FB">
                    <w:t xml:space="preserve"> and open-ended fair use exception (6.1).</w:t>
                  </w:r>
                </w:p>
              </w:tc>
              <w:tc>
                <w:tcPr>
                  <w:tcW w:w="2876" w:type="pct"/>
                  <w:tcBorders>
                    <w:top w:val="single" w:sz="6" w:space="0" w:color="BFBFBF"/>
                    <w:bottom w:val="single" w:sz="6" w:space="0" w:color="BFBFBF"/>
                  </w:tcBorders>
                  <w:shd w:val="clear" w:color="auto" w:fill="auto"/>
                </w:tcPr>
                <w:p w:rsidR="006F3267" w:rsidRPr="00411D65" w:rsidRDefault="006F3267" w:rsidP="0034446A">
                  <w:pPr>
                    <w:pStyle w:val="TableBodyText"/>
                    <w:spacing w:after="120"/>
                    <w:jc w:val="left"/>
                  </w:pPr>
                  <w:r>
                    <w:t xml:space="preserve">Australia’s copyright system will better </w:t>
                  </w:r>
                  <w:r w:rsidRPr="00411D65">
                    <w:t xml:space="preserve">adapt to technological </w:t>
                  </w:r>
                  <w:r>
                    <w:t>change</w:t>
                  </w:r>
                  <w:r w:rsidRPr="00411D65">
                    <w:t xml:space="preserve"> and </w:t>
                  </w:r>
                  <w:r>
                    <w:t>new</w:t>
                  </w:r>
                  <w:r w:rsidRPr="00411D65">
                    <w:t xml:space="preserve"> uses of copyright material</w:t>
                  </w:r>
                  <w:r>
                    <w:t>, without compromising incentives to create</w:t>
                  </w:r>
                  <w:r w:rsidRPr="00411D65">
                    <w:t>.</w:t>
                  </w:r>
                </w:p>
                <w:p w:rsidR="006F3267" w:rsidRDefault="006F3267" w:rsidP="0034446A">
                  <w:pPr>
                    <w:pStyle w:val="TableBodyText"/>
                    <w:spacing w:after="120"/>
                    <w:jc w:val="left"/>
                  </w:pPr>
                  <w:r w:rsidRPr="00411D65">
                    <w:t xml:space="preserve">Improved access to copyright </w:t>
                  </w:r>
                  <w:r>
                    <w:t>works</w:t>
                  </w:r>
                  <w:r w:rsidRPr="00411D65">
                    <w:t xml:space="preserve"> would increase economic activity and community welfare. </w:t>
                  </w:r>
                  <w:r>
                    <w:t xml:space="preserve">Material gains include: </w:t>
                  </w:r>
                </w:p>
                <w:p w:rsidR="006F3267" w:rsidRPr="00411D65" w:rsidRDefault="006F3267" w:rsidP="0034446A">
                  <w:pPr>
                    <w:pStyle w:val="TableBullet"/>
                  </w:pPr>
                  <w:r w:rsidRPr="00411D65">
                    <w:t xml:space="preserve">In the case of orphan works, flexible exceptions that improve access are </w:t>
                  </w:r>
                  <w:r>
                    <w:t xml:space="preserve">conservatively </w:t>
                  </w:r>
                  <w:r w:rsidRPr="00411D65">
                    <w:t>estimated to generate new economic activity worth between $10 million and $</w:t>
                  </w:r>
                  <w:r>
                    <w:t>20</w:t>
                  </w:r>
                  <w:r w:rsidRPr="00411D65">
                    <w:t xml:space="preserve"> million per year. </w:t>
                  </w:r>
                </w:p>
                <w:p w:rsidR="006F3267" w:rsidRPr="00411D65" w:rsidRDefault="006F3267" w:rsidP="0034446A">
                  <w:pPr>
                    <w:pStyle w:val="TableBullet"/>
                  </w:pPr>
                  <w:r w:rsidRPr="00411D65">
                    <w:t xml:space="preserve">Consumers would enjoy better access to archived, commercially-unavailable, or otherwise </w:t>
                  </w:r>
                  <w:r>
                    <w:br/>
                  </w:r>
                  <w:r w:rsidRPr="00411D65">
                    <w:t>hard</w:t>
                  </w:r>
                  <w:r>
                    <w:t>-</w:t>
                  </w:r>
                  <w:r w:rsidRPr="00411D65">
                    <w:t>to</w:t>
                  </w:r>
                  <w:r>
                    <w:t>-</w:t>
                  </w:r>
                  <w:r w:rsidRPr="00411D65">
                    <w:t xml:space="preserve">access works. </w:t>
                  </w:r>
                </w:p>
                <w:p w:rsidR="006F3267" w:rsidRPr="00D67F60" w:rsidRDefault="006F3267" w:rsidP="0034446A">
                  <w:pPr>
                    <w:pStyle w:val="TableBullet"/>
                  </w:pPr>
                  <w:r w:rsidRPr="00411D65">
                    <w:t>Fair use would end the practice where education and government users pay statutory licence fees for freely available online material, saving taxpayers an estimated $18 million per annum.</w:t>
                  </w:r>
                </w:p>
              </w:tc>
            </w:tr>
            <w:tr w:rsidR="006F3267" w:rsidTr="0034446A">
              <w:tc>
                <w:tcPr>
                  <w:tcW w:w="2124" w:type="pct"/>
                  <w:tcBorders>
                    <w:bottom w:val="single" w:sz="6" w:space="0" w:color="BFBFBF"/>
                  </w:tcBorders>
                  <w:shd w:val="clear" w:color="auto" w:fill="auto"/>
                </w:tcPr>
                <w:p w:rsidR="006F3267" w:rsidRPr="00A725AE" w:rsidRDefault="006F3267" w:rsidP="0034446A">
                  <w:pPr>
                    <w:pStyle w:val="TableBodyText"/>
                    <w:keepNext w:val="0"/>
                    <w:keepLines w:val="0"/>
                    <w:widowControl w:val="0"/>
                    <w:spacing w:before="80"/>
                    <w:jc w:val="left"/>
                  </w:pPr>
                  <w:r>
                    <w:t xml:space="preserve">Repeal parallel import restrictions for books (5.3). </w:t>
                  </w:r>
                </w:p>
              </w:tc>
              <w:tc>
                <w:tcPr>
                  <w:tcW w:w="2876" w:type="pct"/>
                  <w:tcBorders>
                    <w:bottom w:val="single" w:sz="6" w:space="0" w:color="BFBFBF"/>
                  </w:tcBorders>
                  <w:shd w:val="clear" w:color="auto" w:fill="auto"/>
                </w:tcPr>
                <w:p w:rsidR="006F3267" w:rsidRPr="00A725AE" w:rsidRDefault="006F3267" w:rsidP="0034446A">
                  <w:pPr>
                    <w:pStyle w:val="TableBodyText"/>
                    <w:keepNext w:val="0"/>
                    <w:keepLines w:val="0"/>
                    <w:widowControl w:val="0"/>
                    <w:spacing w:before="80"/>
                    <w:jc w:val="left"/>
                  </w:pPr>
                  <w:r>
                    <w:t>Australian consumers will be able to directly access competitively priced books in Australian bookstores. Compared to average selling prices in the UK, prices in Australia are higher by an average of 20 per cent. This will benefit consumers (especially students), Australian bookstores, and overall community welfare.</w:t>
                  </w:r>
                </w:p>
              </w:tc>
            </w:tr>
            <w:tr w:rsidR="006F3267" w:rsidTr="00A43837">
              <w:tc>
                <w:tcPr>
                  <w:tcW w:w="2124" w:type="pct"/>
                  <w:tcBorders>
                    <w:bottom w:val="single" w:sz="6" w:space="0" w:color="BFBFBF"/>
                  </w:tcBorders>
                  <w:shd w:val="clear" w:color="auto" w:fill="auto"/>
                </w:tcPr>
                <w:p w:rsidR="006F3267" w:rsidRPr="00A725AE" w:rsidRDefault="006F3267" w:rsidP="0034446A">
                  <w:pPr>
                    <w:pStyle w:val="TableBodyText"/>
                    <w:keepNext w:val="0"/>
                    <w:keepLines w:val="0"/>
                    <w:widowControl w:val="0"/>
                    <w:spacing w:before="40"/>
                    <w:jc w:val="left"/>
                  </w:pPr>
                  <w:r>
                    <w:t xml:space="preserve">Strengthen the Copyright Act to make clear circumventing </w:t>
                  </w:r>
                  <w:proofErr w:type="spellStart"/>
                  <w:r>
                    <w:t>geoblocking</w:t>
                  </w:r>
                  <w:proofErr w:type="spellEnd"/>
                  <w:r>
                    <w:t xml:space="preserve"> technology is not a copyright infringement (5.2).</w:t>
                  </w:r>
                </w:p>
              </w:tc>
              <w:tc>
                <w:tcPr>
                  <w:tcW w:w="2876" w:type="pct"/>
                  <w:tcBorders>
                    <w:bottom w:val="single" w:sz="6" w:space="0" w:color="BFBFBF"/>
                  </w:tcBorders>
                  <w:shd w:val="clear" w:color="auto" w:fill="auto"/>
                </w:tcPr>
                <w:p w:rsidR="006B6CFB" w:rsidRDefault="006F3267" w:rsidP="00A43837">
                  <w:pPr>
                    <w:pStyle w:val="TableBodyText"/>
                    <w:spacing w:after="0"/>
                    <w:jc w:val="left"/>
                  </w:pPr>
                  <w:r>
                    <w:t xml:space="preserve">Consumers of software, TV shows, movies, music and games gain from better access and more competitive prices. Greater consumer certainty will drive competition and reduce price differentials between Australian and overseas markets — which were about 49 per cent in professional software, 67 per cent in music, and 61 per cent in games in 2013. </w:t>
                  </w:r>
                </w:p>
                <w:p w:rsidR="006B6CFB" w:rsidRPr="00A725AE" w:rsidRDefault="006B6CFB" w:rsidP="0034446A">
                  <w:pPr>
                    <w:pStyle w:val="TableBodyText"/>
                    <w:spacing w:after="120"/>
                    <w:jc w:val="left"/>
                  </w:pPr>
                </w:p>
              </w:tc>
            </w:tr>
            <w:tr w:rsidR="00A43837" w:rsidTr="00432C11">
              <w:trPr>
                <w:trHeight w:val="141"/>
              </w:trPr>
              <w:tc>
                <w:tcPr>
                  <w:tcW w:w="2124" w:type="pct"/>
                  <w:tcBorders>
                    <w:top w:val="single" w:sz="6" w:space="0" w:color="BFBFBF"/>
                  </w:tcBorders>
                  <w:shd w:val="clear" w:color="auto" w:fill="auto"/>
                </w:tcPr>
                <w:p w:rsidR="00A43837" w:rsidRDefault="00A43837" w:rsidP="0034446A">
                  <w:pPr>
                    <w:pStyle w:val="TableBodyText"/>
                    <w:keepNext w:val="0"/>
                    <w:keepLines w:val="0"/>
                    <w:widowControl w:val="0"/>
                    <w:spacing w:before="40"/>
                    <w:jc w:val="left"/>
                  </w:pPr>
                </w:p>
              </w:tc>
              <w:tc>
                <w:tcPr>
                  <w:tcW w:w="2876" w:type="pct"/>
                  <w:tcBorders>
                    <w:top w:val="single" w:sz="6" w:space="0" w:color="BFBFBF"/>
                  </w:tcBorders>
                  <w:shd w:val="clear" w:color="auto" w:fill="auto"/>
                </w:tcPr>
                <w:p w:rsidR="00A43837" w:rsidRPr="00A43837" w:rsidRDefault="00A43837" w:rsidP="00432C11">
                  <w:pPr>
                    <w:pStyle w:val="TableBodyText"/>
                    <w:spacing w:after="0"/>
                    <w:rPr>
                      <w:sz w:val="16"/>
                      <w:szCs w:val="16"/>
                    </w:rPr>
                  </w:pPr>
                </w:p>
              </w:tc>
            </w:tr>
          </w:tbl>
          <w:p w:rsidR="00A43837" w:rsidRPr="0080723D" w:rsidRDefault="00A43837" w:rsidP="009D6639">
            <w:pPr>
              <w:rPr>
                <w:sz w:val="4"/>
                <w:szCs w:val="4"/>
              </w:rPr>
            </w:pPr>
          </w:p>
          <w:tbl>
            <w:tblPr>
              <w:tblW w:w="8625" w:type="dxa"/>
              <w:tblCellMar>
                <w:top w:w="28" w:type="dxa"/>
                <w:left w:w="0" w:type="dxa"/>
                <w:right w:w="0" w:type="dxa"/>
              </w:tblCellMar>
              <w:tblLook w:val="0000" w:firstRow="0" w:lastRow="0" w:firstColumn="0" w:lastColumn="0" w:noHBand="0" w:noVBand="0"/>
            </w:tblPr>
            <w:tblGrid>
              <w:gridCol w:w="3664"/>
              <w:gridCol w:w="4961"/>
            </w:tblGrid>
            <w:tr w:rsidR="006F3267" w:rsidTr="00432C11">
              <w:tc>
                <w:tcPr>
                  <w:tcW w:w="2124" w:type="pct"/>
                  <w:tcBorders>
                    <w:top w:val="single" w:sz="6" w:space="0" w:color="BFBFBF"/>
                    <w:bottom w:val="single" w:sz="6" w:space="0" w:color="BFBFBF"/>
                  </w:tcBorders>
                  <w:shd w:val="clear" w:color="auto" w:fill="auto"/>
                </w:tcPr>
                <w:p w:rsidR="006F3267" w:rsidRPr="00705C3F" w:rsidRDefault="006F3267" w:rsidP="0080723D">
                  <w:pPr>
                    <w:pStyle w:val="TableBodyText"/>
                    <w:widowControl w:val="0"/>
                    <w:spacing w:before="240"/>
                    <w:jc w:val="left"/>
                  </w:pPr>
                  <w:proofErr w:type="spellStart"/>
                  <w:r>
                    <w:lastRenderedPageBreak/>
                    <w:t>ACCC</w:t>
                  </w:r>
                  <w:proofErr w:type="spellEnd"/>
                  <w:r>
                    <w:t xml:space="preserve"> review to ensure best practice in </w:t>
                  </w:r>
                  <w:r w:rsidRPr="00BD0194">
                    <w:t>governance</w:t>
                  </w:r>
                  <w:r>
                    <w:t>, reporting</w:t>
                  </w:r>
                  <w:r w:rsidRPr="00BD0194">
                    <w:t xml:space="preserve"> and transparency arrangements for collecting societies</w:t>
                  </w:r>
                  <w:r>
                    <w:t xml:space="preserve"> (5.4).</w:t>
                  </w:r>
                </w:p>
              </w:tc>
              <w:tc>
                <w:tcPr>
                  <w:tcW w:w="2876" w:type="pct"/>
                  <w:tcBorders>
                    <w:top w:val="single" w:sz="6" w:space="0" w:color="BFBFBF"/>
                    <w:bottom w:val="single" w:sz="6" w:space="0" w:color="BFBFBF"/>
                  </w:tcBorders>
                  <w:shd w:val="clear" w:color="auto" w:fill="auto"/>
                </w:tcPr>
                <w:p w:rsidR="006F3267" w:rsidRDefault="006F3267" w:rsidP="0034446A">
                  <w:pPr>
                    <w:pStyle w:val="TableBodyText"/>
                    <w:spacing w:after="120"/>
                    <w:jc w:val="left"/>
                  </w:pPr>
                  <w:r>
                    <w:t xml:space="preserve">Best practice governance and transparency will improve the efficiency of collecting societies and their distribution practices, and facilitate fair negotiations between users and rights holders. </w:t>
                  </w:r>
                </w:p>
                <w:p w:rsidR="006F3267" w:rsidRPr="00A725AE" w:rsidRDefault="006F3267" w:rsidP="0034446A">
                  <w:pPr>
                    <w:pStyle w:val="TableBodyText"/>
                    <w:spacing w:after="120"/>
                    <w:jc w:val="left"/>
                  </w:pPr>
                  <w:r>
                    <w:t xml:space="preserve">Separate accounting of statutory and voluntary licence revenue will ensure taxpayer funds achieve value for money. </w:t>
                  </w:r>
                </w:p>
              </w:tc>
            </w:tr>
            <w:tr w:rsidR="006F3267" w:rsidRPr="001400E0" w:rsidTr="00F01845">
              <w:trPr>
                <w:trHeight w:val="322"/>
              </w:trPr>
              <w:tc>
                <w:tcPr>
                  <w:tcW w:w="5000" w:type="pct"/>
                  <w:gridSpan w:val="2"/>
                  <w:tcBorders>
                    <w:top w:val="single" w:sz="6" w:space="0" w:color="BFBFBF"/>
                    <w:bottom w:val="single" w:sz="6" w:space="0" w:color="BFBFBF"/>
                  </w:tcBorders>
                  <w:shd w:val="pct10" w:color="auto" w:fill="auto"/>
                </w:tcPr>
                <w:p w:rsidR="006F3267" w:rsidRPr="00CD751C" w:rsidRDefault="006F3267" w:rsidP="0034446A">
                  <w:pPr>
                    <w:pStyle w:val="TableBodyText"/>
                    <w:spacing w:after="0"/>
                    <w:jc w:val="left"/>
                    <w:rPr>
                      <w:b/>
                      <w:i/>
                      <w:sz w:val="20"/>
                    </w:rPr>
                  </w:pPr>
                  <w:r w:rsidRPr="001400E0">
                    <w:rPr>
                      <w:b/>
                      <w:i/>
                      <w:sz w:val="20"/>
                    </w:rPr>
                    <w:t>OTHER IP RIGHTS</w:t>
                  </w:r>
                </w:p>
              </w:tc>
            </w:tr>
            <w:tr w:rsidR="006F3267" w:rsidTr="00F01845">
              <w:tc>
                <w:tcPr>
                  <w:tcW w:w="2124" w:type="pct"/>
                  <w:tcBorders>
                    <w:top w:val="single" w:sz="6" w:space="0" w:color="BFBFBF"/>
                    <w:bottom w:val="single" w:sz="6" w:space="0" w:color="BFBFBF"/>
                  </w:tcBorders>
                  <w:shd w:val="clear" w:color="auto" w:fill="auto"/>
                </w:tcPr>
                <w:p w:rsidR="006F3267" w:rsidRDefault="006F3267" w:rsidP="0034446A">
                  <w:pPr>
                    <w:pStyle w:val="TableBodyText"/>
                    <w:keepNext w:val="0"/>
                    <w:keepLines w:val="0"/>
                    <w:widowControl w:val="0"/>
                    <w:spacing w:before="40"/>
                    <w:jc w:val="left"/>
                  </w:pPr>
                  <w:r>
                    <w:rPr>
                      <w:b/>
                      <w:i/>
                      <w:sz w:val="20"/>
                    </w:rPr>
                    <w:t>Trade marks</w:t>
                  </w:r>
                </w:p>
              </w:tc>
              <w:tc>
                <w:tcPr>
                  <w:tcW w:w="2876" w:type="pct"/>
                  <w:tcBorders>
                    <w:top w:val="single" w:sz="6" w:space="0" w:color="BFBFBF"/>
                    <w:bottom w:val="single" w:sz="6" w:space="0" w:color="BFBFBF"/>
                  </w:tcBorders>
                  <w:shd w:val="clear" w:color="auto" w:fill="auto"/>
                </w:tcPr>
                <w:p w:rsidR="006F3267" w:rsidRPr="00326CCC" w:rsidRDefault="006F3267" w:rsidP="0034446A">
                  <w:pPr>
                    <w:pStyle w:val="TableBodyText"/>
                    <w:spacing w:after="120"/>
                    <w:jc w:val="left"/>
                  </w:pPr>
                </w:p>
              </w:tc>
            </w:tr>
            <w:tr w:rsidR="006F3267" w:rsidTr="0034446A">
              <w:tc>
                <w:tcPr>
                  <w:tcW w:w="2124" w:type="pct"/>
                  <w:tcBorders>
                    <w:bottom w:val="single" w:sz="6" w:space="0" w:color="BFBFBF"/>
                  </w:tcBorders>
                  <w:shd w:val="clear" w:color="auto" w:fill="auto"/>
                </w:tcPr>
                <w:p w:rsidR="006F3267" w:rsidRPr="00326CCC" w:rsidRDefault="006F3267" w:rsidP="0034446A">
                  <w:pPr>
                    <w:pStyle w:val="TableBodyText"/>
                    <w:keepNext w:val="0"/>
                    <w:keepLines w:val="0"/>
                    <w:widowControl w:val="0"/>
                    <w:spacing w:before="40"/>
                    <w:jc w:val="left"/>
                  </w:pPr>
                  <w:r>
                    <w:t>Expedite</w:t>
                  </w:r>
                  <w:r w:rsidRPr="00326CCC">
                    <w:t xml:space="preserve"> the removal of unused marks, and mak</w:t>
                  </w:r>
                  <w:r>
                    <w:t>e</w:t>
                  </w:r>
                  <w:r w:rsidRPr="00326CCC">
                    <w:t xml:space="preserve"> it harder to register misleading marks (12.1)</w:t>
                  </w:r>
                  <w:r>
                    <w:t>.</w:t>
                  </w:r>
                </w:p>
              </w:tc>
              <w:tc>
                <w:tcPr>
                  <w:tcW w:w="2876" w:type="pct"/>
                  <w:tcBorders>
                    <w:bottom w:val="single" w:sz="6" w:space="0" w:color="BFBFBF"/>
                  </w:tcBorders>
                  <w:shd w:val="clear" w:color="auto" w:fill="auto"/>
                </w:tcPr>
                <w:p w:rsidR="006F3267" w:rsidRDefault="006F3267" w:rsidP="0034446A">
                  <w:pPr>
                    <w:pStyle w:val="TableBodyText"/>
                    <w:spacing w:after="120"/>
                    <w:jc w:val="left"/>
                  </w:pPr>
                  <w:r w:rsidRPr="00326CCC">
                    <w:t xml:space="preserve">Fewer </w:t>
                  </w:r>
                  <w:r>
                    <w:t xml:space="preserve">but more accurate </w:t>
                  </w:r>
                  <w:proofErr w:type="spellStart"/>
                  <w:r>
                    <w:t>trade marks</w:t>
                  </w:r>
                  <w:proofErr w:type="spellEnd"/>
                  <w:r w:rsidRPr="00326CCC">
                    <w:t xml:space="preserve"> </w:t>
                  </w:r>
                  <w:r>
                    <w:t>will</w:t>
                  </w:r>
                  <w:r w:rsidRPr="00326CCC">
                    <w:t xml:space="preserve"> </w:t>
                  </w:r>
                  <w:r>
                    <w:t xml:space="preserve">enhance their value to </w:t>
                  </w:r>
                  <w:r w:rsidRPr="00326CCC">
                    <w:t xml:space="preserve">businesses </w:t>
                  </w:r>
                  <w:r>
                    <w:t xml:space="preserve">and </w:t>
                  </w:r>
                  <w:r w:rsidRPr="00326CCC">
                    <w:t>consumers.</w:t>
                  </w:r>
                  <w:r>
                    <w:t xml:space="preserve"> </w:t>
                  </w:r>
                </w:p>
                <w:p w:rsidR="006F3267" w:rsidRPr="00326CCC" w:rsidRDefault="006F3267" w:rsidP="0034446A">
                  <w:pPr>
                    <w:pStyle w:val="TableBodyText"/>
                    <w:spacing w:after="120"/>
                    <w:jc w:val="left"/>
                  </w:pPr>
                </w:p>
              </w:tc>
            </w:tr>
            <w:tr w:rsidR="006F3267" w:rsidTr="0034446A">
              <w:tc>
                <w:tcPr>
                  <w:tcW w:w="2124" w:type="pct"/>
                  <w:tcBorders>
                    <w:bottom w:val="single" w:sz="6" w:space="0" w:color="BFBFBF"/>
                  </w:tcBorders>
                  <w:shd w:val="clear" w:color="auto" w:fill="auto"/>
                </w:tcPr>
                <w:p w:rsidR="006F3267" w:rsidRDefault="006F3267" w:rsidP="0034446A">
                  <w:pPr>
                    <w:pStyle w:val="TableBodyText"/>
                    <w:keepNext w:val="0"/>
                    <w:keepLines w:val="0"/>
                    <w:widowControl w:val="0"/>
                    <w:spacing w:before="40"/>
                    <w:jc w:val="left"/>
                  </w:pPr>
                  <w:r>
                    <w:t>L</w:t>
                  </w:r>
                  <w:r w:rsidRPr="00326CCC">
                    <w:t>ink the business name and trade mark registers</w:t>
                  </w:r>
                  <w:r>
                    <w:t>, and a</w:t>
                  </w:r>
                  <w:r w:rsidRPr="00326CCC">
                    <w:t>llow the importation of legitimately marked goods (12.</w:t>
                  </w:r>
                  <w:r>
                    <w:t>1</w:t>
                  </w:r>
                  <w:r w:rsidRPr="00326CCC">
                    <w:t>)</w:t>
                  </w:r>
                  <w:r>
                    <w:t>.</w:t>
                  </w:r>
                </w:p>
              </w:tc>
              <w:tc>
                <w:tcPr>
                  <w:tcW w:w="2876" w:type="pct"/>
                  <w:tcBorders>
                    <w:bottom w:val="single" w:sz="6" w:space="0" w:color="BFBFBF"/>
                  </w:tcBorders>
                  <w:shd w:val="clear" w:color="auto" w:fill="auto"/>
                </w:tcPr>
                <w:p w:rsidR="006F3267" w:rsidRPr="00326CCC" w:rsidRDefault="006F3267" w:rsidP="0034446A">
                  <w:pPr>
                    <w:pStyle w:val="TableBodyText"/>
                    <w:spacing w:after="120"/>
                    <w:jc w:val="left"/>
                  </w:pPr>
                  <w:r w:rsidRPr="00326CCC">
                    <w:t>Li</w:t>
                  </w:r>
                  <w:r>
                    <w:t>nking the trade mark and business name registers will reduce</w:t>
                  </w:r>
                  <w:r w:rsidRPr="00326CCC">
                    <w:t xml:space="preserve"> renaming and rebranding costs caused by unintentional infringement</w:t>
                  </w:r>
                  <w:r>
                    <w:t>, while a</w:t>
                  </w:r>
                  <w:r w:rsidRPr="00326CCC">
                    <w:t xml:space="preserve">llowing legitimate imports </w:t>
                  </w:r>
                  <w:r>
                    <w:t>will</w:t>
                  </w:r>
                  <w:r w:rsidRPr="00326CCC">
                    <w:t xml:space="preserve"> </w:t>
                  </w:r>
                  <w:r>
                    <w:t>lead to lower prices and greater choice</w:t>
                  </w:r>
                  <w:r w:rsidRPr="00326CCC">
                    <w:t xml:space="preserve"> for consumers.</w:t>
                  </w:r>
                </w:p>
              </w:tc>
            </w:tr>
            <w:tr w:rsidR="006F3267" w:rsidTr="0034446A">
              <w:tc>
                <w:tcPr>
                  <w:tcW w:w="2124" w:type="pct"/>
                  <w:tcBorders>
                    <w:bottom w:val="single" w:sz="6" w:space="0" w:color="BFBFBF"/>
                  </w:tcBorders>
                  <w:shd w:val="clear" w:color="auto" w:fill="auto"/>
                </w:tcPr>
                <w:p w:rsidR="006F3267" w:rsidRDefault="006F3267" w:rsidP="0034446A">
                  <w:pPr>
                    <w:pStyle w:val="TableBodyText"/>
                    <w:keepNext w:val="0"/>
                    <w:keepLines w:val="0"/>
                    <w:widowControl w:val="0"/>
                    <w:spacing w:before="40"/>
                    <w:jc w:val="left"/>
                  </w:pPr>
                  <w:r w:rsidRPr="009B0865">
                    <w:rPr>
                      <w:b/>
                      <w:i/>
                      <w:sz w:val="20"/>
                    </w:rPr>
                    <w:t>Plant Breeders’ Rights</w:t>
                  </w:r>
                </w:p>
              </w:tc>
              <w:tc>
                <w:tcPr>
                  <w:tcW w:w="2876" w:type="pct"/>
                  <w:tcBorders>
                    <w:bottom w:val="single" w:sz="6" w:space="0" w:color="BFBFBF"/>
                  </w:tcBorders>
                  <w:shd w:val="clear" w:color="auto" w:fill="auto"/>
                </w:tcPr>
                <w:p w:rsidR="006F3267" w:rsidRDefault="006F3267" w:rsidP="0034446A">
                  <w:pPr>
                    <w:pStyle w:val="TableBodyText"/>
                    <w:spacing w:after="120"/>
                    <w:jc w:val="left"/>
                  </w:pPr>
                </w:p>
              </w:tc>
            </w:tr>
            <w:tr w:rsidR="006F3267" w:rsidTr="00F01845">
              <w:tc>
                <w:tcPr>
                  <w:tcW w:w="2124" w:type="pct"/>
                  <w:tcBorders>
                    <w:bottom w:val="single" w:sz="6" w:space="0" w:color="BFBFBF"/>
                  </w:tcBorders>
                  <w:shd w:val="clear" w:color="auto" w:fill="auto"/>
                </w:tcPr>
                <w:p w:rsidR="006F3267" w:rsidRPr="007728FF" w:rsidRDefault="006F3267" w:rsidP="0034446A">
                  <w:pPr>
                    <w:pStyle w:val="TableBodyText"/>
                    <w:spacing w:after="120"/>
                    <w:jc w:val="left"/>
                  </w:pPr>
                  <w:r>
                    <w:t xml:space="preserve">Enable IP Australia to make </w:t>
                  </w:r>
                  <w:r w:rsidRPr="007728FF">
                    <w:t xml:space="preserve">essentially derived variety declarations in respect of any </w:t>
                  </w:r>
                  <w:r>
                    <w:t xml:space="preserve">new plant </w:t>
                  </w:r>
                  <w:r w:rsidRPr="007728FF">
                    <w:t>variety (1</w:t>
                  </w:r>
                  <w:r>
                    <w:t>3</w:t>
                  </w:r>
                  <w:r w:rsidRPr="007728FF">
                    <w:t>.1).</w:t>
                  </w:r>
                </w:p>
              </w:tc>
              <w:tc>
                <w:tcPr>
                  <w:tcW w:w="2876" w:type="pct"/>
                  <w:tcBorders>
                    <w:bottom w:val="single" w:sz="6" w:space="0" w:color="BFBFBF"/>
                  </w:tcBorders>
                  <w:shd w:val="clear" w:color="auto" w:fill="auto"/>
                </w:tcPr>
                <w:p w:rsidR="006F3267" w:rsidRPr="00A725AE" w:rsidRDefault="006F3267" w:rsidP="0034446A">
                  <w:pPr>
                    <w:pStyle w:val="TableBodyText"/>
                    <w:spacing w:after="120"/>
                    <w:jc w:val="left"/>
                  </w:pPr>
                  <w:r>
                    <w:t xml:space="preserve">Improved enforcement and compliance will increase incentives to invest in pasture and fodder crop breeding, contributing to genetic gain increases and boosting livestock farming productivity and profitability. </w:t>
                  </w:r>
                </w:p>
              </w:tc>
            </w:tr>
            <w:tr w:rsidR="006F3267" w:rsidRPr="001400E0" w:rsidTr="00F01845">
              <w:trPr>
                <w:trHeight w:val="312"/>
              </w:trPr>
              <w:tc>
                <w:tcPr>
                  <w:tcW w:w="5000" w:type="pct"/>
                  <w:gridSpan w:val="2"/>
                  <w:tcBorders>
                    <w:top w:val="single" w:sz="6" w:space="0" w:color="BFBFBF"/>
                    <w:bottom w:val="single" w:sz="6" w:space="0" w:color="BFBFBF"/>
                  </w:tcBorders>
                  <w:shd w:val="pct10" w:color="auto" w:fill="auto"/>
                </w:tcPr>
                <w:p w:rsidR="006F3267" w:rsidRPr="00CD751C" w:rsidRDefault="006F3267" w:rsidP="0034446A">
                  <w:pPr>
                    <w:pStyle w:val="TableBodyText"/>
                    <w:spacing w:after="0"/>
                    <w:jc w:val="left"/>
                    <w:rPr>
                      <w:b/>
                      <w:i/>
                      <w:sz w:val="20"/>
                    </w:rPr>
                  </w:pPr>
                  <w:r>
                    <w:rPr>
                      <w:b/>
                      <w:i/>
                      <w:sz w:val="20"/>
                    </w:rPr>
                    <w:t>ENFORCEMENT AND GOVERNANCE</w:t>
                  </w:r>
                </w:p>
              </w:tc>
            </w:tr>
            <w:tr w:rsidR="006F3267" w:rsidTr="00F01845">
              <w:tc>
                <w:tcPr>
                  <w:tcW w:w="2124" w:type="pct"/>
                  <w:tcBorders>
                    <w:top w:val="single" w:sz="6" w:space="0" w:color="BFBFBF"/>
                    <w:bottom w:val="single" w:sz="6" w:space="0" w:color="BFBFBF"/>
                  </w:tcBorders>
                  <w:shd w:val="clear" w:color="auto" w:fill="auto"/>
                </w:tcPr>
                <w:p w:rsidR="006F3267" w:rsidRPr="00A725AE" w:rsidRDefault="006F3267" w:rsidP="0034446A">
                  <w:pPr>
                    <w:pStyle w:val="TableBodyText"/>
                    <w:keepNext w:val="0"/>
                    <w:keepLines w:val="0"/>
                    <w:widowControl w:val="0"/>
                    <w:spacing w:before="40"/>
                    <w:jc w:val="left"/>
                  </w:pPr>
                  <w:r>
                    <w:t>Enhance the role of the Federal Circuit Court by introducing a dedicated IP list with caps on claimable costs and damages (19.2).</w:t>
                  </w:r>
                </w:p>
              </w:tc>
              <w:tc>
                <w:tcPr>
                  <w:tcW w:w="2876" w:type="pct"/>
                  <w:tcBorders>
                    <w:top w:val="single" w:sz="6" w:space="0" w:color="BFBFBF"/>
                    <w:bottom w:val="single" w:sz="6" w:space="0" w:color="BFBFBF"/>
                  </w:tcBorders>
                  <w:shd w:val="clear" w:color="auto" w:fill="auto"/>
                </w:tcPr>
                <w:p w:rsidR="006F3267" w:rsidRPr="00A725AE" w:rsidRDefault="006F3267" w:rsidP="0034446A">
                  <w:pPr>
                    <w:pStyle w:val="TableBodyText"/>
                    <w:spacing w:after="120"/>
                    <w:jc w:val="left"/>
                  </w:pPr>
                  <w:r>
                    <w:t xml:space="preserve">Individuals and </w:t>
                  </w:r>
                  <w:proofErr w:type="spellStart"/>
                  <w:r>
                    <w:t>SMEs</w:t>
                  </w:r>
                  <w:proofErr w:type="spellEnd"/>
                  <w:r>
                    <w:t xml:space="preserve"> would face lower costs to resolve IP disputes through the court system. Lower risks and costs provide rights holders with greater certainty while improving access to enforcement and justice.</w:t>
                  </w:r>
                </w:p>
              </w:tc>
            </w:tr>
            <w:tr w:rsidR="006F3267" w:rsidTr="0034446A">
              <w:tc>
                <w:tcPr>
                  <w:tcW w:w="2124" w:type="pct"/>
                  <w:tcBorders>
                    <w:bottom w:val="single" w:sz="6" w:space="0" w:color="BFBFBF"/>
                  </w:tcBorders>
                  <w:shd w:val="clear" w:color="auto" w:fill="auto"/>
                </w:tcPr>
                <w:p w:rsidR="006F3267" w:rsidRPr="00A725AE" w:rsidRDefault="006F3267" w:rsidP="0034446A">
                  <w:pPr>
                    <w:pStyle w:val="TableBodyText"/>
                    <w:keepNext w:val="0"/>
                    <w:keepLines w:val="0"/>
                    <w:widowControl w:val="0"/>
                    <w:spacing w:before="40"/>
                    <w:jc w:val="left"/>
                  </w:pPr>
                  <w:r w:rsidRPr="00A725AE">
                    <w:t xml:space="preserve">Expand the safe harbour scheme to cover </w:t>
                  </w:r>
                  <w:r>
                    <w:t xml:space="preserve">all </w:t>
                  </w:r>
                  <w:r w:rsidRPr="00A725AE">
                    <w:t>online service providers</w:t>
                  </w:r>
                  <w:r>
                    <w:t xml:space="preserve"> (19.1).</w:t>
                  </w:r>
                </w:p>
              </w:tc>
              <w:tc>
                <w:tcPr>
                  <w:tcW w:w="2876" w:type="pct"/>
                  <w:tcBorders>
                    <w:bottom w:val="single" w:sz="6" w:space="0" w:color="BFBFBF"/>
                  </w:tcBorders>
                  <w:shd w:val="clear" w:color="auto" w:fill="auto"/>
                </w:tcPr>
                <w:p w:rsidR="006F3267" w:rsidRPr="00A725AE" w:rsidRDefault="006F3267" w:rsidP="0034446A">
                  <w:pPr>
                    <w:pStyle w:val="TableBodyText"/>
                    <w:spacing w:after="120"/>
                    <w:jc w:val="left"/>
                  </w:pPr>
                  <w:r w:rsidRPr="003305F7">
                    <w:t>Online service providers, such as cloud computing firms, would face fewer impediments to establish operations in Australia. The copyright system will be more adaptable as new services and technologies are developed, facilitating greater innovation. Aligning with international systems further reduces business uncertainty.</w:t>
                  </w:r>
                  <w:r>
                    <w:t xml:space="preserve"> </w:t>
                  </w:r>
                </w:p>
              </w:tc>
            </w:tr>
            <w:tr w:rsidR="006F3267" w:rsidTr="0034446A">
              <w:tc>
                <w:tcPr>
                  <w:tcW w:w="2124" w:type="pct"/>
                  <w:tcBorders>
                    <w:bottom w:val="single" w:sz="6" w:space="0" w:color="BFBFBF"/>
                  </w:tcBorders>
                  <w:shd w:val="clear" w:color="auto" w:fill="auto"/>
                </w:tcPr>
                <w:p w:rsidR="006F3267" w:rsidRPr="00A725AE" w:rsidRDefault="006F3267" w:rsidP="0034446A">
                  <w:pPr>
                    <w:pStyle w:val="TableBodyText"/>
                    <w:keepNext w:val="0"/>
                    <w:keepLines w:val="0"/>
                    <w:widowControl w:val="0"/>
                    <w:spacing w:before="40"/>
                    <w:jc w:val="left"/>
                  </w:pPr>
                  <w:r w:rsidRPr="00A725AE">
                    <w:t>Implement an open access policy for publicly-funded research (1</w:t>
                  </w:r>
                  <w:r>
                    <w:t>6</w:t>
                  </w:r>
                  <w:r w:rsidRPr="00A725AE">
                    <w:t>.1)</w:t>
                  </w:r>
                  <w:r>
                    <w:t>.</w:t>
                  </w:r>
                </w:p>
              </w:tc>
              <w:tc>
                <w:tcPr>
                  <w:tcW w:w="2876" w:type="pct"/>
                  <w:tcBorders>
                    <w:bottom w:val="single" w:sz="6" w:space="0" w:color="BFBFBF"/>
                  </w:tcBorders>
                  <w:shd w:val="clear" w:color="auto" w:fill="auto"/>
                </w:tcPr>
                <w:p w:rsidR="006F3267" w:rsidRPr="00A725AE" w:rsidRDefault="006F3267" w:rsidP="0034446A">
                  <w:pPr>
                    <w:pStyle w:val="TableBodyText"/>
                    <w:spacing w:after="120"/>
                    <w:jc w:val="left"/>
                  </w:pPr>
                  <w:r>
                    <w:t>P</w:t>
                  </w:r>
                  <w:r w:rsidRPr="00AE18D7">
                    <w:t xml:space="preserve">ublicly-funded </w:t>
                  </w:r>
                  <w:r>
                    <w:t xml:space="preserve">research </w:t>
                  </w:r>
                  <w:r w:rsidRPr="00AE18D7">
                    <w:t>publications</w:t>
                  </w:r>
                  <w:r>
                    <w:t xml:space="preserve"> will be cheaper to access, facilitating faster and wider</w:t>
                  </w:r>
                  <w:r w:rsidRPr="00AE18D7">
                    <w:t xml:space="preserve"> dissemination of</w:t>
                  </w:r>
                  <w:r>
                    <w:t xml:space="preserve"> the </w:t>
                  </w:r>
                  <w:r w:rsidRPr="00AE18D7">
                    <w:t>knowledge</w:t>
                  </w:r>
                  <w:r>
                    <w:t xml:space="preserve"> and ideas contained within them</w:t>
                  </w:r>
                  <w:r w:rsidRPr="00AE18D7">
                    <w:t>.</w:t>
                  </w:r>
                </w:p>
              </w:tc>
            </w:tr>
            <w:tr w:rsidR="006F3267" w:rsidTr="0034446A">
              <w:tc>
                <w:tcPr>
                  <w:tcW w:w="2124" w:type="pct"/>
                  <w:tcBorders>
                    <w:bottom w:val="single" w:sz="6" w:space="0" w:color="BFBFBF"/>
                  </w:tcBorders>
                  <w:shd w:val="clear" w:color="auto" w:fill="auto"/>
                </w:tcPr>
                <w:p w:rsidR="006F3267" w:rsidRDefault="006F3267" w:rsidP="0034446A">
                  <w:pPr>
                    <w:pStyle w:val="TableBodyText"/>
                    <w:spacing w:after="120"/>
                    <w:jc w:val="left"/>
                  </w:pPr>
                  <w:r>
                    <w:t xml:space="preserve">Identify </w:t>
                  </w:r>
                  <w:r w:rsidRPr="001400E0">
                    <w:t>overarching objective</w:t>
                  </w:r>
                  <w:r>
                    <w:t>s</w:t>
                  </w:r>
                  <w:r w:rsidRPr="001400E0">
                    <w:t xml:space="preserve"> and </w:t>
                  </w:r>
                  <w:r>
                    <w:t xml:space="preserve">a </w:t>
                  </w:r>
                  <w:r w:rsidRPr="001400E0">
                    <w:t>common framework for IP policy development</w:t>
                  </w:r>
                  <w:r>
                    <w:t xml:space="preserve">, and establish an interdepartmental policy group and other formal working arrangements between agencies (17.1). </w:t>
                  </w:r>
                </w:p>
                <w:p w:rsidR="006F3267" w:rsidRPr="00A725AE" w:rsidRDefault="006F3267" w:rsidP="0034446A">
                  <w:pPr>
                    <w:pStyle w:val="TableBodyText"/>
                    <w:keepNext w:val="0"/>
                    <w:keepLines w:val="0"/>
                    <w:widowControl w:val="0"/>
                    <w:spacing w:before="40"/>
                    <w:jc w:val="left"/>
                  </w:pPr>
                  <w:r>
                    <w:t>D</w:t>
                  </w:r>
                  <w:r w:rsidRPr="009B0865">
                    <w:t>evelop best practice guidance for developing IP provi</w:t>
                  </w:r>
                  <w:r>
                    <w:t>sions in international treaties (17.2).</w:t>
                  </w:r>
                </w:p>
              </w:tc>
              <w:tc>
                <w:tcPr>
                  <w:tcW w:w="2876" w:type="pct"/>
                  <w:tcBorders>
                    <w:bottom w:val="single" w:sz="6" w:space="0" w:color="BFBFBF"/>
                  </w:tcBorders>
                  <w:shd w:val="clear" w:color="auto" w:fill="auto"/>
                </w:tcPr>
                <w:p w:rsidR="006F3267" w:rsidRPr="001400E0" w:rsidRDefault="006F3267" w:rsidP="0034446A">
                  <w:pPr>
                    <w:pStyle w:val="TableBodyText"/>
                    <w:spacing w:after="120"/>
                    <w:jc w:val="left"/>
                  </w:pPr>
                  <w:r>
                    <w:t xml:space="preserve">Adherence to a whole-of-government policy framework </w:t>
                  </w:r>
                  <w:r w:rsidRPr="001400E0">
                    <w:t>will promote a more balanced and integrated approach to IP</w:t>
                  </w:r>
                  <w:r>
                    <w:t xml:space="preserve"> policy and its development.</w:t>
                  </w:r>
                </w:p>
                <w:p w:rsidR="006F3267" w:rsidRPr="00A725AE" w:rsidRDefault="006F3267" w:rsidP="0034446A">
                  <w:pPr>
                    <w:pStyle w:val="TableBodyText"/>
                    <w:spacing w:after="120"/>
                    <w:jc w:val="left"/>
                  </w:pPr>
                  <w:r w:rsidRPr="001400E0">
                    <w:t xml:space="preserve">More independent input and transparency in trade negotiations </w:t>
                  </w:r>
                  <w:r>
                    <w:t>involving</w:t>
                  </w:r>
                  <w:r w:rsidRPr="001400E0">
                    <w:t xml:space="preserve"> IP will promote public confidence and help ensure any changes to IP laws are in Australia’s interests.</w:t>
                  </w:r>
                </w:p>
              </w:tc>
            </w:tr>
            <w:tr w:rsidR="006F3267" w:rsidTr="0034446A">
              <w:tc>
                <w:tcPr>
                  <w:tcW w:w="2124" w:type="pct"/>
                  <w:tcBorders>
                    <w:bottom w:val="single" w:sz="6" w:space="0" w:color="BFBFBF"/>
                  </w:tcBorders>
                  <w:shd w:val="clear" w:color="auto" w:fill="auto"/>
                </w:tcPr>
                <w:p w:rsidR="006F3267" w:rsidRPr="00A725AE" w:rsidRDefault="006F3267" w:rsidP="0034446A">
                  <w:pPr>
                    <w:pStyle w:val="TableBodyText"/>
                    <w:keepNext w:val="0"/>
                    <w:keepLines w:val="0"/>
                    <w:widowControl w:val="0"/>
                    <w:spacing w:before="40"/>
                    <w:jc w:val="left"/>
                  </w:pPr>
                  <w:r>
                    <w:t>Work with like-minded countries through multilateral forums to achieve more balanced IP settings</w:t>
                  </w:r>
                  <w:r w:rsidRPr="00A725AE">
                    <w:t xml:space="preserve"> </w:t>
                  </w:r>
                  <w:r>
                    <w:t>and to reduce transaction costs (18.1).</w:t>
                  </w:r>
                </w:p>
              </w:tc>
              <w:tc>
                <w:tcPr>
                  <w:tcW w:w="2876" w:type="pct"/>
                  <w:tcBorders>
                    <w:bottom w:val="single" w:sz="6" w:space="0" w:color="BFBFBF"/>
                  </w:tcBorders>
                  <w:shd w:val="clear" w:color="auto" w:fill="auto"/>
                </w:tcPr>
                <w:p w:rsidR="006F3267" w:rsidRPr="00727332" w:rsidRDefault="006F3267" w:rsidP="0034446A">
                  <w:pPr>
                    <w:pStyle w:val="TableBodyText"/>
                    <w:spacing w:after="120"/>
                    <w:jc w:val="left"/>
                  </w:pPr>
                  <w:r>
                    <w:t xml:space="preserve">Greater balance in IP arrangements will facilitate the production of creative works and innovation (including follow-on innovation), boosting productivity. </w:t>
                  </w:r>
                  <w:r w:rsidRPr="00727332">
                    <w:t xml:space="preserve">Reducing the </w:t>
                  </w:r>
                  <w:r>
                    <w:t xml:space="preserve">risks and </w:t>
                  </w:r>
                  <w:r w:rsidRPr="00727332">
                    <w:t xml:space="preserve">costs of seeking protection abroad </w:t>
                  </w:r>
                  <w:r>
                    <w:t>will</w:t>
                  </w:r>
                  <w:r w:rsidRPr="00727332">
                    <w:t xml:space="preserve"> </w:t>
                  </w:r>
                  <w:r>
                    <w:t>facilitate the flow of IP and capital across borders.</w:t>
                  </w:r>
                </w:p>
              </w:tc>
            </w:tr>
          </w:tbl>
          <w:p w:rsidR="006F3267" w:rsidRDefault="006F3267" w:rsidP="0034446A">
            <w:pPr>
              <w:pStyle w:val="Box"/>
            </w:pPr>
          </w:p>
        </w:tc>
      </w:tr>
      <w:tr w:rsidR="006F3267" w:rsidTr="00432C11">
        <w:trPr>
          <w:trHeight w:val="71"/>
        </w:trPr>
        <w:tc>
          <w:tcPr>
            <w:tcW w:w="8909" w:type="dxa"/>
            <w:gridSpan w:val="2"/>
            <w:tcBorders>
              <w:top w:val="nil"/>
              <w:bottom w:val="single" w:sz="4" w:space="0" w:color="78A22F"/>
            </w:tcBorders>
            <w:shd w:val="clear" w:color="auto" w:fill="auto"/>
          </w:tcPr>
          <w:p w:rsidR="006F3267" w:rsidRDefault="006F3267" w:rsidP="0034446A">
            <w:pPr>
              <w:pStyle w:val="Box"/>
              <w:spacing w:before="0" w:line="120" w:lineRule="exact"/>
            </w:pPr>
          </w:p>
        </w:tc>
      </w:tr>
      <w:tr w:rsidR="006F3267" w:rsidRPr="000863A5" w:rsidTr="00432C11">
        <w:trPr>
          <w:trHeight w:val="98"/>
        </w:trPr>
        <w:tc>
          <w:tcPr>
            <w:tcW w:w="8909" w:type="dxa"/>
            <w:gridSpan w:val="2"/>
            <w:tcBorders>
              <w:top w:val="single" w:sz="4" w:space="0" w:color="78A22F"/>
              <w:bottom w:val="nil"/>
            </w:tcBorders>
          </w:tcPr>
          <w:p w:rsidR="006F3267" w:rsidRPr="00626D32" w:rsidRDefault="006F3267" w:rsidP="0034446A">
            <w:pPr>
              <w:pStyle w:val="BoxSpaceBelow"/>
            </w:pPr>
          </w:p>
        </w:tc>
      </w:tr>
    </w:tbl>
    <w:p w:rsidR="00F004EE" w:rsidRDefault="00F004EE" w:rsidP="00B62D93">
      <w:pPr>
        <w:pStyle w:val="Box"/>
      </w:pPr>
    </w:p>
    <w:p w:rsidR="00F004EE" w:rsidRDefault="00F004EE" w:rsidP="00B62D93">
      <w:pPr>
        <w:pStyle w:val="Box"/>
        <w:sectPr w:rsidR="00F004EE" w:rsidSect="00F004EE">
          <w:headerReference w:type="even" r:id="rId11"/>
          <w:headerReference w:type="default" r:id="rId12"/>
          <w:footerReference w:type="even" r:id="rId13"/>
          <w:footerReference w:type="default" r:id="rId14"/>
          <w:footnotePr>
            <w:numRestart w:val="eachSect"/>
          </w:footnotePr>
          <w:pgSz w:w="11907" w:h="16840" w:code="9"/>
          <w:pgMar w:top="1985" w:right="1304" w:bottom="1247" w:left="1814" w:header="1701" w:footer="397" w:gutter="0"/>
          <w:pgNumType w:chapSep="period"/>
          <w:cols w:space="720"/>
          <w:titlePg/>
          <w:docGrid w:linePitch="326"/>
        </w:sectPr>
      </w:pPr>
    </w:p>
    <w:p w:rsidR="00F004EE" w:rsidRDefault="00F004EE" w:rsidP="0034446A">
      <w:pPr>
        <w:pStyle w:val="Heading1"/>
        <w:spacing w:before="0"/>
      </w:pPr>
      <w:bookmarkStart w:id="4" w:name="_GoBack"/>
      <w:bookmarkEnd w:id="4"/>
      <w:r>
        <w:lastRenderedPageBreak/>
        <w:t>Recommendations and findings</w:t>
      </w:r>
    </w:p>
    <w:p w:rsidR="00F004EE" w:rsidRDefault="00F004EE" w:rsidP="0034446A">
      <w:pPr>
        <w:pStyle w:val="Heading3"/>
        <w:spacing w:before="840"/>
      </w:pPr>
      <w:r>
        <w:t xml:space="preserve">Chapter 2: </w:t>
      </w:r>
      <w:r w:rsidRPr="00FB26CB">
        <w:t>An analytical framework for assessing the IP system</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2.</w:t>
            </w:r>
            <w:r>
              <w:rPr>
                <w:noProof/>
              </w:rPr>
              <w:t>1</w:t>
            </w:r>
          </w:p>
          <w:p w:rsidR="00F004EE" w:rsidRDefault="00F004EE" w:rsidP="0034446A">
            <w:pPr>
              <w:pStyle w:val="Rec"/>
            </w:pPr>
            <w:r>
              <w:t>In formulating intellectual property policy, the Australian Government should be informed by a robust evidence base and be guided by the principles of:</w:t>
            </w:r>
          </w:p>
          <w:p w:rsidR="00F004EE" w:rsidRDefault="00F004EE" w:rsidP="0034446A">
            <w:pPr>
              <w:pStyle w:val="RecBullet"/>
            </w:pPr>
            <w:r w:rsidRPr="005901FF">
              <w:rPr>
                <w:i/>
              </w:rPr>
              <w:t>effectiveness</w:t>
            </w:r>
            <w:r>
              <w:t>, which balances providing protection to encourage additional innovation (which would not have otherwise occurred) and allowing ideas to be disseminated widely</w:t>
            </w:r>
          </w:p>
          <w:p w:rsidR="00F004EE" w:rsidRDefault="00F004EE" w:rsidP="0034446A">
            <w:pPr>
              <w:pStyle w:val="RecBullet"/>
            </w:pPr>
            <w:r w:rsidRPr="005901FF">
              <w:rPr>
                <w:i/>
              </w:rPr>
              <w:t>efficiency</w:t>
            </w:r>
            <w:r>
              <w:t>, which balances returns to innovators and to the wider community</w:t>
            </w:r>
          </w:p>
          <w:p w:rsidR="00F004EE" w:rsidRDefault="00F004EE" w:rsidP="0034446A">
            <w:pPr>
              <w:pStyle w:val="RecBullet"/>
            </w:pPr>
            <w:r w:rsidRPr="005901FF">
              <w:rPr>
                <w:i/>
              </w:rPr>
              <w:t>adaptability</w:t>
            </w:r>
            <w:r>
              <w:t>, which balances providing policy certainty and having a system that is agile in response to change</w:t>
            </w:r>
          </w:p>
          <w:p w:rsidR="00F004EE" w:rsidRPr="00A91E06" w:rsidRDefault="00F004EE" w:rsidP="0034446A">
            <w:pPr>
              <w:pStyle w:val="RecBullet"/>
              <w:rPr>
                <w:szCs w:val="24"/>
              </w:rPr>
            </w:pPr>
            <w:r w:rsidRPr="005901FF">
              <w:rPr>
                <w:i/>
              </w:rPr>
              <w:t>accountability</w:t>
            </w:r>
            <w:r>
              <w:t>, which balances the cost of collecting and analysing policy–relevant information against the benefits of having transparent and evidence–based policy that considers community wellbeing.</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34446A">
      <w:pPr>
        <w:pStyle w:val="Heading3"/>
        <w:spacing w:before="600"/>
      </w:pPr>
      <w:r>
        <w:t>Chapter 4: Copyright term and scope</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F2F2F2"/>
            <w:tcMar>
              <w:left w:w="170" w:type="dxa"/>
              <w:right w:w="170" w:type="dxa"/>
            </w:tcMar>
          </w:tcPr>
          <w:p w:rsidR="00F004EE" w:rsidRDefault="00F004EE" w:rsidP="0034446A">
            <w:pPr>
              <w:pStyle w:val="FindingTitle"/>
              <w:rPr>
                <w:noProof/>
              </w:rPr>
            </w:pPr>
            <w:r>
              <w:t>Finding 4.1</w:t>
            </w:r>
          </w:p>
          <w:p w:rsidR="00F004EE" w:rsidRPr="00CE4C64" w:rsidRDefault="00F004EE" w:rsidP="0034446A">
            <w:pPr>
              <w:pStyle w:val="Finding"/>
            </w:pPr>
            <w:r>
              <w:t xml:space="preserve">The scope and term of copyright protection in Australia has expanded over </w:t>
            </w:r>
            <w:r w:rsidR="00056A97">
              <w:t>time, often with no transparent</w:t>
            </w:r>
            <w:r>
              <w:t xml:space="preserve"> evidence-based analysis, and is now skewed too far in favour of copyright holders. While a single optimal copyright term is arguably elusive, it is likely to be considerably less than 70 years after death.</w:t>
            </w:r>
          </w:p>
        </w:tc>
      </w:tr>
      <w:tr w:rsidR="00F004EE" w:rsidTr="0034446A">
        <w:tc>
          <w:tcPr>
            <w:tcW w:w="8770" w:type="dxa"/>
            <w:tcBorders>
              <w:top w:val="nil"/>
              <w:left w:val="nil"/>
              <w:bottom w:val="single" w:sz="6" w:space="0" w:color="78A22F"/>
              <w:right w:val="nil"/>
            </w:tcBorders>
            <w:shd w:val="clear" w:color="auto" w:fill="F2F2F2"/>
            <w:tcMar>
              <w:left w:w="170" w:type="dxa"/>
              <w:right w:w="170" w:type="dxa"/>
            </w:tcMar>
          </w:tcPr>
          <w:p w:rsidR="00F004EE" w:rsidRDefault="00F004EE" w:rsidP="0034446A">
            <w:pPr>
              <w:pStyle w:val="Space"/>
              <w:keepNext w:val="0"/>
              <w:keepLines/>
              <w:ind w:firstLine="720"/>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34446A">
      <w:pPr>
        <w:pStyle w:val="Heading3"/>
      </w:pPr>
      <w:r>
        <w:lastRenderedPageBreak/>
        <w:t>Chapter 5: Copyright use and licensing</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5.</w:t>
            </w:r>
            <w:r>
              <w:rPr>
                <w:noProof/>
              </w:rPr>
              <w:t>1</w:t>
            </w:r>
          </w:p>
          <w:p w:rsidR="00F004EE" w:rsidRDefault="00F004EE" w:rsidP="0034446A">
            <w:pPr>
              <w:pStyle w:val="Rec"/>
            </w:pPr>
            <w:r w:rsidRPr="00A17A9F">
              <w:t xml:space="preserve">The Australian Government should amend the </w:t>
            </w:r>
            <w:r w:rsidRPr="00A17A9F">
              <w:rPr>
                <w:i/>
              </w:rPr>
              <w:t>Copyright Act 1968</w:t>
            </w:r>
            <w:r w:rsidRPr="00A17A9F">
              <w:t xml:space="preserve"> </w:t>
            </w:r>
            <w:r>
              <w:t>(</w:t>
            </w:r>
            <w:proofErr w:type="spellStart"/>
            <w:r>
              <w:t>Cth</w:t>
            </w:r>
            <w:proofErr w:type="spellEnd"/>
            <w:r>
              <w:t xml:space="preserve">) </w:t>
            </w:r>
            <w:r w:rsidRPr="00A17A9F">
              <w:t>to</w:t>
            </w:r>
            <w:r>
              <w:t>:</w:t>
            </w:r>
          </w:p>
          <w:p w:rsidR="00F004EE" w:rsidRDefault="00F004EE" w:rsidP="0034446A">
            <w:pPr>
              <w:pStyle w:val="RecBullet"/>
            </w:pPr>
            <w:r>
              <w:t xml:space="preserve">make unenforceable </w:t>
            </w:r>
            <w:r w:rsidRPr="00A17A9F">
              <w:t xml:space="preserve">any </w:t>
            </w:r>
            <w:r>
              <w:t>part</w:t>
            </w:r>
            <w:r w:rsidRPr="00A17A9F">
              <w:t xml:space="preserve"> of an agreement restrict</w:t>
            </w:r>
            <w:r>
              <w:t>ing</w:t>
            </w:r>
            <w:r w:rsidRPr="00A17A9F">
              <w:t xml:space="preserve"> or prevent</w:t>
            </w:r>
            <w:r>
              <w:t xml:space="preserve">ing a use of copyright material that is </w:t>
            </w:r>
            <w:r w:rsidRPr="00A17A9F">
              <w:t>permitted by</w:t>
            </w:r>
            <w:r>
              <w:t xml:space="preserve"> a copyright exception</w:t>
            </w:r>
          </w:p>
          <w:p w:rsidR="00F004EE" w:rsidRPr="00CE4C64" w:rsidRDefault="00F004EE" w:rsidP="0034446A">
            <w:pPr>
              <w:pStyle w:val="RecBullet"/>
            </w:pPr>
            <w:r>
              <w:t>permit consumers to circumvent technological protection measures for legitimate uses of copyright material.</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5.2</w:t>
            </w:r>
          </w:p>
          <w:p w:rsidR="00F004EE" w:rsidRDefault="00F004EE" w:rsidP="0034446A">
            <w:pPr>
              <w:pStyle w:val="Rec"/>
            </w:pPr>
            <w:r w:rsidRPr="00756DCB">
              <w:t>The Australian Government should</w:t>
            </w:r>
            <w:r>
              <w:t>:</w:t>
            </w:r>
          </w:p>
          <w:p w:rsidR="00F004EE" w:rsidRPr="00756DCB" w:rsidRDefault="00F004EE" w:rsidP="0034446A">
            <w:pPr>
              <w:pStyle w:val="RecBullet"/>
            </w:pPr>
            <w:r w:rsidRPr="00756DCB">
              <w:t xml:space="preserve">amend the </w:t>
            </w:r>
            <w:r w:rsidRPr="00756DCB">
              <w:rPr>
                <w:i/>
              </w:rPr>
              <w:t>Copyright Act 1968</w:t>
            </w:r>
            <w:r w:rsidRPr="00756DCB">
              <w:t xml:space="preserve"> (</w:t>
            </w:r>
            <w:proofErr w:type="spellStart"/>
            <w:r w:rsidRPr="00756DCB">
              <w:t>Cth</w:t>
            </w:r>
            <w:proofErr w:type="spellEnd"/>
            <w:r w:rsidRPr="00756DCB">
              <w:t xml:space="preserve">) to make clear that it is not an infringement for consumers to circumvent </w:t>
            </w:r>
            <w:proofErr w:type="spellStart"/>
            <w:r w:rsidRPr="00756DCB">
              <w:t>geoblocking</w:t>
            </w:r>
            <w:proofErr w:type="spellEnd"/>
            <w:r w:rsidRPr="00756DCB">
              <w:t xml:space="preserve"> technology</w:t>
            </w:r>
            <w:r>
              <w:t xml:space="preserve">, as recommended </w:t>
            </w:r>
            <w:r w:rsidRPr="00756DCB">
              <w:t xml:space="preserve">in the House of Representatives </w:t>
            </w:r>
            <w:r>
              <w:t xml:space="preserve">Standing </w:t>
            </w:r>
            <w:r w:rsidRPr="00756DCB">
              <w:t>Committee</w:t>
            </w:r>
            <w:r>
              <w:t xml:space="preserve"> on Infrastructure and Communications’</w:t>
            </w:r>
            <w:r w:rsidRPr="00756DCB">
              <w:t xml:space="preserve"> report </w:t>
            </w:r>
            <w:r w:rsidRPr="00756DCB">
              <w:rPr>
                <w:i/>
              </w:rPr>
              <w:t>At What Cost? IT pricing and the Australia tax</w:t>
            </w:r>
          </w:p>
          <w:p w:rsidR="00F004EE" w:rsidRPr="00CE4C64" w:rsidRDefault="00F004EE" w:rsidP="0034446A">
            <w:pPr>
              <w:pStyle w:val="RecBullet"/>
            </w:pPr>
            <w:r w:rsidRPr="00756DCB">
              <w:t xml:space="preserve">avoid any international agreements that would prevent or ban consumers from circumventing </w:t>
            </w:r>
            <w:proofErr w:type="spellStart"/>
            <w:r w:rsidRPr="00756DCB">
              <w:t>geoblocking</w:t>
            </w:r>
            <w:proofErr w:type="spellEnd"/>
            <w:r w:rsidRPr="00756DCB">
              <w:t xml:space="preserve"> technology.</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5.</w:t>
            </w:r>
            <w:r>
              <w:rPr>
                <w:noProof/>
              </w:rPr>
              <w:t>3</w:t>
            </w:r>
          </w:p>
          <w:p w:rsidR="00F004EE" w:rsidRPr="00CE4C64" w:rsidRDefault="00F004EE" w:rsidP="0034446A">
            <w:pPr>
              <w:pStyle w:val="Rec"/>
            </w:pPr>
            <w:r>
              <w:t>The Australian Government should proceed to repeal parallel import restrictions for books to take effect no later than the end of 2017.</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5.4</w:t>
            </w:r>
          </w:p>
          <w:p w:rsidR="00F004EE" w:rsidRDefault="00F004EE" w:rsidP="0034446A">
            <w:pPr>
              <w:pStyle w:val="Rec"/>
            </w:pPr>
            <w:r>
              <w:t>The Australian Government should strengthen the governance and transparency arrangements for collecting societies. In particular:</w:t>
            </w:r>
          </w:p>
          <w:p w:rsidR="00F004EE" w:rsidRDefault="00F004EE" w:rsidP="0034446A">
            <w:pPr>
              <w:pStyle w:val="RecBullet"/>
            </w:pPr>
            <w:r>
              <w:t xml:space="preserve">The Australian Competition and Consumer Commission should undertake a review of the current code, assessing its efficacy in balancing the interests of copyright collecting societies and licensees. </w:t>
            </w:r>
          </w:p>
          <w:p w:rsidR="00F004EE" w:rsidRPr="00CE4C64" w:rsidRDefault="00F004EE" w:rsidP="0034446A">
            <w:pPr>
              <w:pStyle w:val="RecBullet"/>
            </w:pPr>
            <w:r>
              <w:t xml:space="preserve">The review should consider whether the current voluntary code: represents best practice, contains sufficient monitoring and review mechanisms, and if the code should be mandatory for all collecting societies. </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34446A">
      <w:pPr>
        <w:pStyle w:val="Heading3"/>
      </w:pPr>
      <w:r>
        <w:lastRenderedPageBreak/>
        <w:t xml:space="preserve">Chapter 6: </w:t>
      </w:r>
      <w:r w:rsidRPr="00FB26CB">
        <w:t>Fair use or fair dealing — what is fair for Australia?</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6.1</w:t>
            </w:r>
          </w:p>
          <w:p w:rsidR="00F004EE" w:rsidRPr="00CE4C64" w:rsidRDefault="00F004EE" w:rsidP="0034446A">
            <w:pPr>
              <w:pStyle w:val="Rec"/>
            </w:pPr>
            <w:r>
              <w:t>The Australian Government should accept and implement the Australian Law Reform Commission’s final recommendations regarding a fair use exception in Australia.</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spacing w:before="120"/>
            </w:pPr>
            <w:r>
              <w:t>Recommendation 6.2</w:t>
            </w:r>
          </w:p>
          <w:p w:rsidR="00F004EE" w:rsidRPr="00CE4C64" w:rsidRDefault="00F004EE" w:rsidP="0034446A">
            <w:pPr>
              <w:pStyle w:val="Rec"/>
            </w:pPr>
            <w:r>
              <w:t>The Australian Government should enact the Australian Law Reform Commission recommendations to limit liability for the use of orphan works, where a user has undertaken a diligent search to locate the relevant rights holder.</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34446A">
      <w:pPr>
        <w:pStyle w:val="Heading3"/>
      </w:pPr>
      <w:r>
        <w:t xml:space="preserve">Chapter 7: </w:t>
      </w:r>
      <w:r w:rsidRPr="00FB26CB">
        <w:t>The patent system</w:t>
      </w:r>
      <w:r w:rsidR="0061731D">
        <w:t xml:space="preserve"> </w:t>
      </w:r>
      <w:r w:rsidR="0061731D" w:rsidRPr="00FB26CB">
        <w:t>—</w:t>
      </w:r>
      <w:r w:rsidRPr="00FB26CB">
        <w:t xml:space="preserve"> getting the fundamentals right</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7.1</w:t>
            </w:r>
          </w:p>
          <w:p w:rsidR="00F004EE" w:rsidRPr="002D125D" w:rsidRDefault="00F004EE" w:rsidP="0034446A">
            <w:pPr>
              <w:pStyle w:val="Rec"/>
              <w:rPr>
                <w:rStyle w:val="DraftingNote"/>
              </w:rPr>
            </w:pPr>
            <w:r>
              <w:t xml:space="preserve">The Australian Government should incorporate an objects clause into the </w:t>
            </w:r>
            <w:r w:rsidRPr="00377F40">
              <w:rPr>
                <w:i/>
              </w:rPr>
              <w:t xml:space="preserve">Patents Act 1990 </w:t>
            </w:r>
            <w:r>
              <w:t>(</w:t>
            </w:r>
            <w:proofErr w:type="spellStart"/>
            <w:r>
              <w:t>Cth</w:t>
            </w:r>
            <w:proofErr w:type="spellEnd"/>
            <w:r>
              <w:t xml:space="preserve">). The objects clause should describe the purpose of the legislation as enhancing the wellbeing of Australians by </w:t>
            </w:r>
            <w:r>
              <w:rPr>
                <w:spacing w:val="-2"/>
              </w:rPr>
              <w:t>promoting technological innovation and the transfer and dissemination of technology. In so doing, the patent system should balance over time the interests of producers, owners and users of technology.</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004EE" w:rsidTr="0034446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004EE" w:rsidRDefault="00F004EE" w:rsidP="0034446A">
            <w:pPr>
              <w:pStyle w:val="FindingTitle"/>
              <w:spacing w:before="120"/>
              <w:rPr>
                <w:noProof/>
              </w:rPr>
            </w:pPr>
            <w:r>
              <w:t>Finding 7.</w:t>
            </w:r>
            <w:r>
              <w:rPr>
                <w:noProof/>
              </w:rPr>
              <w:t>1</w:t>
            </w:r>
          </w:p>
          <w:p w:rsidR="00F004EE" w:rsidRPr="00CE4C64" w:rsidRDefault="00F004EE" w:rsidP="0034446A">
            <w:pPr>
              <w:pStyle w:val="Finding"/>
              <w:keepNext/>
            </w:pPr>
            <w:r>
              <w:t xml:space="preserve">The </w:t>
            </w:r>
            <w:r w:rsidRPr="00F36088">
              <w:rPr>
                <w:i/>
              </w:rPr>
              <w:t>Raising the Bar</w:t>
            </w:r>
            <w:r>
              <w:t xml:space="preserve"> initiative moved the inventive step and other elements of patent law in the right direction by raising the threshold for granting a patent. There is a strong case, however, for further raising the threshold. </w:t>
            </w:r>
          </w:p>
        </w:tc>
      </w:tr>
      <w:tr w:rsidR="00F004EE" w:rsidTr="0034446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004EE" w:rsidRDefault="00F004EE" w:rsidP="0034446A">
            <w:pPr>
              <w:pStyle w:val="Space"/>
              <w:keepLines/>
            </w:pPr>
          </w:p>
        </w:tc>
      </w:tr>
      <w:tr w:rsidR="00F004EE" w:rsidRPr="000863A5" w:rsidTr="0034446A">
        <w:trPr>
          <w:cantSplit/>
          <w:tblHeader/>
        </w:trPr>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pPr>
            <w:r>
              <w:t>Recommendation 7.2</w:t>
            </w:r>
          </w:p>
          <w:p w:rsidR="00F004EE" w:rsidRDefault="00F004EE" w:rsidP="0034446A">
            <w:pPr>
              <w:pStyle w:val="Rec"/>
            </w:pPr>
            <w:r>
              <w:t xml:space="preserve">The Australian Government should amend ss. 7(2) and 7(3) of the </w:t>
            </w:r>
            <w:r w:rsidRPr="00EE1AB8">
              <w:rPr>
                <w:i/>
              </w:rPr>
              <w:t>Patents Act 1990</w:t>
            </w:r>
            <w:r w:rsidRPr="00EE1AB8">
              <w:t xml:space="preserve"> </w:t>
            </w:r>
            <w:r>
              <w:t>(</w:t>
            </w:r>
            <w:proofErr w:type="spellStart"/>
            <w:r>
              <w:t>Cth</w:t>
            </w:r>
            <w:proofErr w:type="spellEnd"/>
            <w:r>
              <w:t>) such that an invention is taken to involve an inventive step if, having regard to the prior art base, it is not obvious to a person skilled in the relevant art. The Explanatory Memorandum should state:</w:t>
            </w:r>
          </w:p>
          <w:p w:rsidR="00F004EE" w:rsidRDefault="00F004EE" w:rsidP="0034446A">
            <w:pPr>
              <w:pStyle w:val="RecBullet"/>
            </w:pPr>
            <w:r w:rsidRPr="00EE1AB8">
              <w:t xml:space="preserve">a ‘scintilla’ of invention, or a scenario where </w:t>
            </w:r>
            <w:r>
              <w:t xml:space="preserve">the skilled person </w:t>
            </w:r>
            <w:r w:rsidRPr="00EE1AB8">
              <w:t>would</w:t>
            </w:r>
            <w:r>
              <w:t xml:space="preserve"> not</w:t>
            </w:r>
            <w:r w:rsidRPr="00EE1AB8">
              <w:t xml:space="preserve"> ‘directly be led as a matter of course’</w:t>
            </w:r>
            <w:r>
              <w:t>,</w:t>
            </w:r>
            <w:r w:rsidRPr="00EE1AB8">
              <w:t xml:space="preserve"> </w:t>
            </w:r>
            <w:r>
              <w:t>are insufficient thresholds for meeting the inventive step</w:t>
            </w:r>
            <w:r w:rsidRPr="00EE1AB8">
              <w:t xml:space="preserve"> </w:t>
            </w:r>
          </w:p>
          <w:p w:rsidR="00F004EE" w:rsidRPr="00BB55C0" w:rsidRDefault="00F004EE" w:rsidP="0034446A">
            <w:pPr>
              <w:pStyle w:val="RecBullet"/>
              <w:rPr>
                <w:spacing w:val="-2"/>
              </w:rPr>
            </w:pPr>
            <w:r w:rsidRPr="00605B69">
              <w:rPr>
                <w:spacing w:val="-2"/>
              </w:rPr>
              <w:t xml:space="preserve">the ‘obvious to try’ test applied in Europe would </w:t>
            </w:r>
            <w:r>
              <w:rPr>
                <w:spacing w:val="-2"/>
              </w:rPr>
              <w:t xml:space="preserve">in some instances </w:t>
            </w:r>
            <w:r w:rsidRPr="00605B69">
              <w:rPr>
                <w:spacing w:val="-2"/>
              </w:rPr>
              <w:t xml:space="preserve">be </w:t>
            </w:r>
            <w:r>
              <w:rPr>
                <w:spacing w:val="-2"/>
              </w:rPr>
              <w:t xml:space="preserve">a </w:t>
            </w:r>
            <w:r w:rsidRPr="00605B69">
              <w:rPr>
                <w:spacing w:val="-2"/>
              </w:rPr>
              <w:t>suitable</w:t>
            </w:r>
            <w:r>
              <w:rPr>
                <w:spacing w:val="-2"/>
              </w:rPr>
              <w:t xml:space="preserve"> test.</w:t>
            </w:r>
            <w:r w:rsidRPr="00BB55C0">
              <w:rPr>
                <w:spacing w:val="-2"/>
              </w:rPr>
              <w:t xml:space="preserve"> </w:t>
            </w:r>
          </w:p>
          <w:p w:rsidR="00F004EE" w:rsidRPr="00EE1AB8" w:rsidRDefault="00F004EE" w:rsidP="0034446A">
            <w:pPr>
              <w:pStyle w:val="Rec"/>
            </w:pPr>
            <w:r>
              <w:t xml:space="preserve">IP Australia should update the Australian Patent Office Manual of Practice and Procedure such that it will consider the technical features of an invention for the purpose of the inventive step and novelty tests. </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7.3</w:t>
            </w:r>
          </w:p>
          <w:p w:rsidR="00F004EE" w:rsidRPr="00CE4C64" w:rsidRDefault="00F004EE" w:rsidP="0034446A">
            <w:pPr>
              <w:pStyle w:val="Rec"/>
            </w:pPr>
            <w:r>
              <w:t>IP Australia should reform its patent filing processes to require applicants to identify the technical features of the invention in the set of claims.</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spacing w:before="200"/>
              <w:rPr>
                <w:noProof/>
              </w:rPr>
            </w:pPr>
            <w:r>
              <w:t>Recommendation 7.4</w:t>
            </w:r>
          </w:p>
          <w:p w:rsidR="00F004EE" w:rsidRDefault="00F004EE" w:rsidP="0034446A">
            <w:pPr>
              <w:pStyle w:val="Rec"/>
              <w:spacing w:before="60"/>
              <w:rPr>
                <w:lang w:eastAsia="en-US"/>
              </w:rPr>
            </w:pPr>
            <w:r>
              <w:rPr>
                <w:lang w:eastAsia="en-US"/>
              </w:rPr>
              <w:t>The Australian Government and IP Australia should set patent fees to promote broader intellectual property policy objectives, rather than the current primary objective of achieving cost recovery. To this end, the Australian Government, with input from IP Australia, should:</w:t>
            </w:r>
          </w:p>
          <w:p w:rsidR="00F004EE" w:rsidRDefault="00F004EE" w:rsidP="0034446A">
            <w:pPr>
              <w:pStyle w:val="RecBullet"/>
              <w:spacing w:before="60"/>
              <w:rPr>
                <w:lang w:eastAsia="en-US"/>
              </w:rPr>
            </w:pPr>
            <w:r>
              <w:rPr>
                <w:lang w:eastAsia="en-US"/>
              </w:rPr>
              <w:t>restructure patent renewal fees such that they rise each year at an increasing rate (including years in which patents receive an extension of term) — fees later in the life of a patent would well exceed current levels</w:t>
            </w:r>
          </w:p>
          <w:p w:rsidR="00F004EE" w:rsidRPr="00AB4A1E" w:rsidRDefault="00F004EE" w:rsidP="0034446A">
            <w:pPr>
              <w:pStyle w:val="RecBullet"/>
              <w:rPr>
                <w:rStyle w:val="DraftingNote"/>
                <w:b w:val="0"/>
                <w:color w:val="auto"/>
                <w:sz w:val="22"/>
                <w:u w:val="none"/>
              </w:rPr>
            </w:pPr>
            <w:r>
              <w:rPr>
                <w:lang w:eastAsia="en-US"/>
              </w:rPr>
              <w:t>reduce the initial threshold for claim fees, and increase claim fees for applications with a large number of claims.</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34446A">
      <w:pPr>
        <w:pStyle w:val="Heading3"/>
        <w:spacing w:before="440"/>
      </w:pPr>
      <w:r>
        <w:t xml:space="preserve">Chapter 8: </w:t>
      </w:r>
      <w:r w:rsidRPr="00FB26CB">
        <w:t>The innovation patent system</w:t>
      </w:r>
    </w:p>
    <w:p w:rsidR="00F004EE" w:rsidRPr="004E3B94" w:rsidRDefault="00F004EE" w:rsidP="0034446A">
      <w:pPr>
        <w:pStyle w:val="BoxSpaceAboveElement"/>
        <w:spacing w:before="220"/>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8.</w:t>
            </w:r>
            <w:r>
              <w:rPr>
                <w:noProof/>
              </w:rPr>
              <w:t>1</w:t>
            </w:r>
          </w:p>
          <w:p w:rsidR="00F004EE" w:rsidRPr="00CE4C64" w:rsidRDefault="00F004EE" w:rsidP="0034446A">
            <w:pPr>
              <w:pStyle w:val="Rec"/>
            </w:pPr>
            <w:r w:rsidRPr="00EE5229">
              <w:t>The Australian Government should abolish the innovation patent system.</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34446A">
      <w:pPr>
        <w:pStyle w:val="Heading3"/>
        <w:spacing w:before="440"/>
      </w:pPr>
      <w:r>
        <w:lastRenderedPageBreak/>
        <w:t>Chapter 9: Business method patents and software patents</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F2F2F2"/>
            <w:tcMar>
              <w:left w:w="170" w:type="dxa"/>
              <w:right w:w="170" w:type="dxa"/>
            </w:tcMar>
          </w:tcPr>
          <w:p w:rsidR="00F004EE" w:rsidRDefault="00F004EE" w:rsidP="0034446A">
            <w:pPr>
              <w:pStyle w:val="FindingTitle"/>
              <w:rPr>
                <w:noProof/>
              </w:rPr>
            </w:pPr>
            <w:r>
              <w:t>Finding 9.</w:t>
            </w:r>
            <w:r>
              <w:rPr>
                <w:noProof/>
              </w:rPr>
              <w:t>1</w:t>
            </w:r>
          </w:p>
          <w:p w:rsidR="00F004EE" w:rsidRPr="00CE4C64" w:rsidRDefault="00F004EE" w:rsidP="0034446A">
            <w:pPr>
              <w:pStyle w:val="Finding"/>
            </w:pPr>
            <w:r w:rsidRPr="00FD08DD">
              <w:t>Raising the inventive step</w:t>
            </w:r>
            <w:r>
              <w:t xml:space="preserve">, requiring technical features in patent claims, </w:t>
            </w:r>
            <w:r w:rsidRPr="00FD08DD">
              <w:t xml:space="preserve">and </w:t>
            </w:r>
            <w:r>
              <w:t xml:space="preserve">the </w:t>
            </w:r>
            <w:r w:rsidRPr="00FD08DD">
              <w:t xml:space="preserve">inclusion of </w:t>
            </w:r>
            <w:r>
              <w:t xml:space="preserve">an </w:t>
            </w:r>
            <w:r w:rsidRPr="00FD08DD">
              <w:t xml:space="preserve">objects clause </w:t>
            </w:r>
            <w:r>
              <w:t>would</w:t>
            </w:r>
            <w:r w:rsidRPr="00FD08DD">
              <w:t xml:space="preserve"> better balance the </w:t>
            </w:r>
            <w:r>
              <w:t>patent rights</w:t>
            </w:r>
            <w:r w:rsidRPr="00FD08DD">
              <w:t xml:space="preserve"> of software innovators and users</w:t>
            </w:r>
            <w:r>
              <w:t>.</w:t>
            </w:r>
          </w:p>
        </w:tc>
      </w:tr>
      <w:tr w:rsidR="00F004EE" w:rsidTr="0034446A">
        <w:tc>
          <w:tcPr>
            <w:tcW w:w="8770" w:type="dxa"/>
            <w:tcBorders>
              <w:top w:val="nil"/>
              <w:left w:val="nil"/>
              <w:bottom w:val="single" w:sz="6" w:space="0" w:color="78A22F"/>
              <w:right w:val="nil"/>
            </w:tcBorders>
            <w:shd w:val="clear" w:color="auto" w:fill="F2F2F2"/>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34446A">
      <w:pPr>
        <w:pStyle w:val="Heading3"/>
        <w:spacing w:before="400"/>
      </w:pPr>
      <w:r>
        <w:t xml:space="preserve">Chapter 10: </w:t>
      </w:r>
      <w:r w:rsidRPr="00FB26CB">
        <w:t>Pharmaceuticals - getting the right policy prescription</w:t>
      </w:r>
    </w:p>
    <w:p w:rsidR="00F004EE" w:rsidRPr="004E3B94" w:rsidRDefault="00F004EE" w:rsidP="0034446A">
      <w:pPr>
        <w:pStyle w:val="BoxSpaceAboveElement"/>
        <w:spacing w:before="220"/>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gridCol w:w="161"/>
      </w:tblGrid>
      <w:tr w:rsidR="00F004EE" w:rsidTr="0034446A">
        <w:tc>
          <w:tcPr>
            <w:tcW w:w="8931" w:type="dxa"/>
            <w:gridSpan w:val="2"/>
            <w:tcBorders>
              <w:top w:val="single" w:sz="6" w:space="0" w:color="78A22F"/>
              <w:left w:val="nil"/>
              <w:bottom w:val="nil"/>
              <w:right w:val="nil"/>
            </w:tcBorders>
            <w:shd w:val="clear" w:color="auto" w:fill="E5F1D0"/>
            <w:tcMar>
              <w:left w:w="170" w:type="dxa"/>
              <w:right w:w="170" w:type="dxa"/>
            </w:tcMar>
          </w:tcPr>
          <w:p w:rsidR="00F004EE" w:rsidRPr="00FE5C41" w:rsidRDefault="00F004EE" w:rsidP="0034446A">
            <w:pPr>
              <w:pStyle w:val="RecTitle"/>
              <w:rPr>
                <w:noProof/>
              </w:rPr>
            </w:pPr>
            <w:r w:rsidRPr="00FE5C41">
              <w:t xml:space="preserve">Recommendation </w:t>
            </w:r>
            <w:r>
              <w:t>10</w:t>
            </w:r>
            <w:r w:rsidRPr="00FE5C41">
              <w:t>.</w:t>
            </w:r>
            <w:r w:rsidRPr="00FE5C41">
              <w:rPr>
                <w:noProof/>
              </w:rPr>
              <w:t>1</w:t>
            </w:r>
          </w:p>
          <w:p w:rsidR="00F004EE" w:rsidRDefault="00F004EE" w:rsidP="0034446A">
            <w:pPr>
              <w:pStyle w:val="Rec"/>
            </w:pPr>
            <w:r w:rsidRPr="00FE5C41">
              <w:t>The Australian Government should reform extensions of patent term for pharmaceuticals such that they are</w:t>
            </w:r>
            <w:r>
              <w:t xml:space="preserve"> only: </w:t>
            </w:r>
          </w:p>
          <w:p w:rsidR="00F004EE" w:rsidRDefault="00F004EE" w:rsidP="00F004EE">
            <w:pPr>
              <w:pStyle w:val="Rec"/>
              <w:numPr>
                <w:ilvl w:val="0"/>
                <w:numId w:val="20"/>
              </w:numPr>
            </w:pPr>
            <w:r>
              <w:t>available for patents covering an active pharmaceutical ingredient, and</w:t>
            </w:r>
          </w:p>
          <w:p w:rsidR="00F004EE" w:rsidRDefault="00F004EE" w:rsidP="00F004EE">
            <w:pPr>
              <w:pStyle w:val="Rec"/>
              <w:numPr>
                <w:ilvl w:val="0"/>
                <w:numId w:val="20"/>
              </w:numPr>
            </w:pPr>
            <w:r w:rsidRPr="00FE5C41">
              <w:t>calculated based on the time taken</w:t>
            </w:r>
            <w:r>
              <w:t xml:space="preserve"> by the Therapeutic Goods Administration</w:t>
            </w:r>
            <w:r w:rsidRPr="00FE5C41">
              <w:t xml:space="preserve"> for regulatory approval over and above </w:t>
            </w:r>
            <w:r>
              <w:t>255 working days (</w:t>
            </w:r>
            <w:r w:rsidRPr="00FE5C41">
              <w:t>one year</w:t>
            </w:r>
            <w:r>
              <w:t>)</w:t>
            </w:r>
            <w:r w:rsidRPr="00FE5C41">
              <w:t>.</w:t>
            </w:r>
          </w:p>
          <w:p w:rsidR="00F004EE" w:rsidRPr="00E21D68" w:rsidRDefault="00F004EE" w:rsidP="0034446A">
            <w:pPr>
              <w:pStyle w:val="Rec"/>
            </w:pPr>
            <w:r w:rsidRPr="00FE5C41">
              <w:t>The Australian Government should reform s. </w:t>
            </w:r>
            <w:proofErr w:type="spellStart"/>
            <w:r w:rsidRPr="00FE5C41">
              <w:t>76A</w:t>
            </w:r>
            <w:proofErr w:type="spellEnd"/>
            <w:r w:rsidRPr="00FE5C41">
              <w:t xml:space="preserve"> of the </w:t>
            </w:r>
            <w:r w:rsidRPr="00FE5C41">
              <w:rPr>
                <w:i/>
              </w:rPr>
              <w:t xml:space="preserve">Patents Act 1990 </w:t>
            </w:r>
            <w:r w:rsidRPr="00FE5C41">
              <w:t>(</w:t>
            </w:r>
            <w:proofErr w:type="spellStart"/>
            <w:r w:rsidRPr="00FE5C41">
              <w:t>Cth</w:t>
            </w:r>
            <w:proofErr w:type="spellEnd"/>
            <w:r w:rsidRPr="00FE5C41">
              <w:t>) to improve data collection requirements</w:t>
            </w:r>
            <w:r>
              <w:t xml:space="preserve"> for extensions of term, drawing on the model applied in Canada</w:t>
            </w:r>
            <w:r w:rsidRPr="00FE5C41">
              <w:t xml:space="preserve">. Thereafter </w:t>
            </w:r>
            <w:r>
              <w:t xml:space="preserve">no </w:t>
            </w:r>
            <w:r w:rsidRPr="00FE5C41">
              <w:t xml:space="preserve">extensions of term should be granted until data is received in a satisfactory form. </w:t>
            </w:r>
          </w:p>
        </w:tc>
      </w:tr>
      <w:tr w:rsidR="00F004EE" w:rsidTr="0034446A">
        <w:tc>
          <w:tcPr>
            <w:tcW w:w="8931" w:type="dxa"/>
            <w:gridSpan w:val="2"/>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Tr="0034446A">
        <w:trPr>
          <w:gridAfter w:val="1"/>
          <w:wAfter w:w="161" w:type="dxa"/>
          <w:hidden/>
        </w:trPr>
        <w:tc>
          <w:tcPr>
            <w:tcW w:w="8770" w:type="dxa"/>
            <w:tcBorders>
              <w:top w:val="single" w:sz="6" w:space="0" w:color="78A22F"/>
              <w:left w:val="nil"/>
              <w:bottom w:val="nil"/>
              <w:right w:val="nil"/>
            </w:tcBorders>
            <w:tcMar>
              <w:left w:w="170" w:type="dxa"/>
              <w:right w:w="170" w:type="dxa"/>
            </w:tcMar>
          </w:tcPr>
          <w:p w:rsidR="00F004EE" w:rsidRPr="00787780" w:rsidRDefault="00F004EE" w:rsidP="0034446A">
            <w:pPr>
              <w:pStyle w:val="BoxSpaceBelow"/>
              <w:keepLines/>
              <w:rPr>
                <w:rFonts w:ascii="Times New Roman" w:hAnsi="Times New Roman"/>
                <w:b/>
                <w:vanish/>
                <w:color w:val="FF00FF"/>
              </w:rPr>
            </w:pPr>
          </w:p>
        </w:tc>
      </w:tr>
    </w:tbl>
    <w:p w:rsidR="00F004EE" w:rsidRPr="004E3B94" w:rsidRDefault="00F004EE" w:rsidP="0034446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004EE" w:rsidTr="0034446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004EE" w:rsidRDefault="00F004EE" w:rsidP="0034446A">
            <w:pPr>
              <w:pStyle w:val="FindingTitle"/>
              <w:spacing w:before="120"/>
              <w:rPr>
                <w:noProof/>
              </w:rPr>
            </w:pPr>
            <w:r>
              <w:t>Finding 10.1</w:t>
            </w:r>
          </w:p>
          <w:p w:rsidR="00F004EE" w:rsidRPr="00CE4C64" w:rsidRDefault="00F004EE" w:rsidP="0034446A">
            <w:pPr>
              <w:pStyle w:val="Finding"/>
              <w:keepNext/>
            </w:pPr>
            <w:r w:rsidRPr="003B4E6B">
              <w:t>There are no grounds to extend the period of data protection for any pharmaceutical products, including biologics.</w:t>
            </w:r>
          </w:p>
        </w:tc>
      </w:tr>
      <w:tr w:rsidR="00F004EE" w:rsidTr="0034446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004EE" w:rsidRDefault="00F004EE" w:rsidP="0034446A">
            <w:pPr>
              <w:pStyle w:val="Space"/>
              <w:keepLines/>
            </w:pPr>
          </w:p>
        </w:tc>
      </w:tr>
      <w:tr w:rsidR="00F004EE" w:rsidRPr="000863A5" w:rsidTr="0034446A">
        <w:trPr>
          <w:cantSplit/>
          <w:tblHeader/>
        </w:trPr>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0"/>
      </w:tblGrid>
      <w:tr w:rsidR="00F004EE" w:rsidTr="0034446A">
        <w:tc>
          <w:tcPr>
            <w:tcW w:w="8770" w:type="dxa"/>
            <w:tcBorders>
              <w:top w:val="single" w:sz="6" w:space="0" w:color="78A22F"/>
              <w:left w:val="nil"/>
              <w:bottom w:val="nil"/>
              <w:right w:val="nil"/>
            </w:tcBorders>
            <w:shd w:val="clear" w:color="auto" w:fill="E5F1D0"/>
            <w:tcMar>
              <w:top w:w="0" w:type="dxa"/>
              <w:left w:w="170" w:type="dxa"/>
              <w:bottom w:w="0" w:type="dxa"/>
              <w:right w:w="170" w:type="dxa"/>
            </w:tcMar>
            <w:hideMark/>
          </w:tcPr>
          <w:p w:rsidR="00F004EE" w:rsidRDefault="00F004EE" w:rsidP="0034446A">
            <w:pPr>
              <w:pStyle w:val="RecTitle"/>
              <w:rPr>
                <w:noProof/>
              </w:rPr>
            </w:pPr>
            <w:r>
              <w:t>Recommendation 10.2</w:t>
            </w:r>
          </w:p>
          <w:p w:rsidR="00F004EE" w:rsidRDefault="00F004EE" w:rsidP="0034446A">
            <w:pPr>
              <w:pStyle w:val="Rec"/>
            </w:pPr>
            <w:r>
              <w:t>The Australian Government should introduce a system for transparent reporting and monitoring of settlements between originator and generic pharmaceutical companies to detect potential pay</w:t>
            </w:r>
            <w:r>
              <w:noBreakHyphen/>
              <w:t>for</w:t>
            </w:r>
            <w:r>
              <w:noBreakHyphen/>
              <w:t xml:space="preserve">delay agreements. This system should be based on the model used in the United States, administered by the Australian Competition and Consumer Commission, and include guidelines on the approach to monitoring as part of the broader guidance on the </w:t>
            </w:r>
            <w:r w:rsidRPr="00DB3954">
              <w:t xml:space="preserve">application of the </w:t>
            </w:r>
            <w:r w:rsidRPr="00FA3F82">
              <w:rPr>
                <w:i/>
              </w:rPr>
              <w:t>Competition and Consumer Act</w:t>
            </w:r>
            <w:r w:rsidRPr="00DB3954">
              <w:t xml:space="preserve"> </w:t>
            </w:r>
            <w:r w:rsidRPr="00FA3F82">
              <w:rPr>
                <w:i/>
              </w:rPr>
              <w:t>2010</w:t>
            </w:r>
            <w:r>
              <w:t xml:space="preserve"> </w:t>
            </w:r>
            <w:r w:rsidRPr="00FA3F82">
              <w:t>(</w:t>
            </w:r>
            <w:proofErr w:type="spellStart"/>
            <w:r w:rsidRPr="00FA3F82">
              <w:t>Cth</w:t>
            </w:r>
            <w:proofErr w:type="spellEnd"/>
            <w:r w:rsidRPr="00FA3F82">
              <w:t>)</w:t>
            </w:r>
            <w:r>
              <w:t xml:space="preserve"> </w:t>
            </w:r>
            <w:r w:rsidRPr="00DB3954">
              <w:t>to intellectual property</w:t>
            </w:r>
            <w:r>
              <w:t xml:space="preserve"> (recommendation 15.1).</w:t>
            </w:r>
          </w:p>
          <w:p w:rsidR="00F004EE" w:rsidRDefault="00F004EE" w:rsidP="0034446A">
            <w:pPr>
              <w:pStyle w:val="Rec"/>
            </w:pPr>
            <w:r>
              <w:t>The monitoring should operate for a period of five years. Following this period, the Australian Government should review the regulation of pay</w:t>
            </w:r>
            <w:r>
              <w:noBreakHyphen/>
              <w:t>for</w:t>
            </w:r>
            <w:r>
              <w:noBreakHyphen/>
              <w:t>delay agreements (and other potentially anticompetitive arrangements specific to the pharmaceutical sector).</w:t>
            </w:r>
          </w:p>
        </w:tc>
      </w:tr>
      <w:tr w:rsidR="00F004EE" w:rsidTr="0034446A">
        <w:tc>
          <w:tcPr>
            <w:tcW w:w="8770" w:type="dxa"/>
            <w:tcBorders>
              <w:top w:val="nil"/>
              <w:left w:val="nil"/>
              <w:bottom w:val="single" w:sz="6" w:space="0" w:color="78A22F"/>
              <w:right w:val="nil"/>
            </w:tcBorders>
            <w:shd w:val="clear" w:color="auto" w:fill="E5F1D0"/>
            <w:tcMar>
              <w:top w:w="0" w:type="dxa"/>
              <w:left w:w="170" w:type="dxa"/>
              <w:bottom w:w="0" w:type="dxa"/>
              <w:right w:w="170" w:type="dxa"/>
            </w:tcMar>
          </w:tcPr>
          <w:p w:rsidR="00F004EE" w:rsidRDefault="00F004EE" w:rsidP="0034446A">
            <w:pPr>
              <w:pStyle w:val="Space"/>
              <w:keepNext w:val="0"/>
              <w:keepLines/>
            </w:pPr>
          </w:p>
        </w:tc>
      </w:tr>
      <w:tr w:rsidR="00F004EE" w:rsidTr="0034446A">
        <w:tc>
          <w:tcPr>
            <w:tcW w:w="8770" w:type="dxa"/>
            <w:tcBorders>
              <w:top w:val="single" w:sz="6" w:space="0" w:color="78A22F"/>
              <w:left w:val="nil"/>
              <w:bottom w:val="nil"/>
              <w:right w:val="nil"/>
            </w:tcBorders>
            <w:tcMar>
              <w:top w:w="0" w:type="dxa"/>
              <w:left w:w="170" w:type="dxa"/>
              <w:bottom w:w="0" w:type="dxa"/>
              <w:right w:w="170" w:type="dxa"/>
            </w:tcMar>
            <w:hideMark/>
          </w:tcPr>
          <w:p w:rsidR="00F004EE" w:rsidRDefault="00F004EE" w:rsidP="0034446A">
            <w:pPr>
              <w:pStyle w:val="BoxSpaceBelow"/>
              <w:keepLines/>
            </w:pPr>
          </w:p>
        </w:tc>
      </w:tr>
    </w:tbl>
    <w:p w:rsidR="00F004EE" w:rsidRDefault="00F004EE" w:rsidP="0034446A">
      <w:pPr>
        <w:pStyle w:val="Heading3"/>
        <w:spacing w:before="0"/>
      </w:pPr>
      <w:r>
        <w:lastRenderedPageBreak/>
        <w:t>Chapter 11: Registered designs</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F2F2F2"/>
            <w:tcMar>
              <w:left w:w="170" w:type="dxa"/>
              <w:right w:w="170" w:type="dxa"/>
            </w:tcMar>
          </w:tcPr>
          <w:p w:rsidR="00F004EE" w:rsidRDefault="00F004EE" w:rsidP="0034446A">
            <w:pPr>
              <w:pStyle w:val="FindingTitle"/>
              <w:rPr>
                <w:noProof/>
              </w:rPr>
            </w:pPr>
            <w:r>
              <w:t>Finding 11.</w:t>
            </w:r>
            <w:r>
              <w:rPr>
                <w:noProof/>
              </w:rPr>
              <w:t>1</w:t>
            </w:r>
          </w:p>
          <w:p w:rsidR="00F004EE" w:rsidRDefault="00F004EE" w:rsidP="0034446A">
            <w:pPr>
              <w:pStyle w:val="Finding"/>
            </w:pPr>
            <w:r>
              <w:t xml:space="preserve">The Australian Government has committed to implement many of the recommendations made by the </w:t>
            </w:r>
            <w:r w:rsidRPr="00403330">
              <w:t>Advisory C</w:t>
            </w:r>
            <w:r>
              <w:t xml:space="preserve">ouncil on Intellectual Property in its recent review of Australia’s designs system. These measures will help address participant concerns about the cost of acquiring registered design rights, and the lack of understanding of design law. </w:t>
            </w:r>
          </w:p>
          <w:p w:rsidR="00F004EE" w:rsidRPr="00CE4C64" w:rsidRDefault="00F004EE" w:rsidP="0034446A">
            <w:pPr>
              <w:pStyle w:val="Finding"/>
            </w:pPr>
            <w:r>
              <w:t xml:space="preserve">Recommendation 19.2 provides for a low-cost avenue for IP enforcement currently sought by designers. </w:t>
            </w:r>
          </w:p>
        </w:tc>
      </w:tr>
      <w:tr w:rsidR="00F004EE" w:rsidTr="0034446A">
        <w:tc>
          <w:tcPr>
            <w:tcW w:w="8770" w:type="dxa"/>
            <w:tcBorders>
              <w:top w:val="nil"/>
              <w:left w:val="nil"/>
              <w:bottom w:val="single" w:sz="6" w:space="0" w:color="78A22F"/>
              <w:right w:val="nil"/>
            </w:tcBorders>
            <w:shd w:val="clear" w:color="auto" w:fill="F2F2F2"/>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r w:rsidR="00F004EE" w:rsidTr="0034446A">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c>
          <w:tcPr>
            <w:tcW w:w="8770" w:type="dxa"/>
            <w:tcMar>
              <w:top w:w="0" w:type="dxa"/>
              <w:left w:w="170" w:type="dxa"/>
              <w:bottom w:w="0" w:type="dxa"/>
              <w:right w:w="170" w:type="dxa"/>
            </w:tcMar>
            <w:hideMark/>
          </w:tcPr>
          <w:p w:rsidR="00F004EE" w:rsidRDefault="00F004EE" w:rsidP="0034446A"/>
        </w:tc>
      </w:tr>
    </w:tbl>
    <w:p w:rsidR="00F004EE" w:rsidRDefault="00F004EE" w:rsidP="0034446A">
      <w:pPr>
        <w:pStyle w:val="Heading3"/>
      </w:pPr>
      <w:r>
        <w:t xml:space="preserve">Chapter 12: </w:t>
      </w:r>
      <w:proofErr w:type="spellStart"/>
      <w:r>
        <w:t>Trade marks</w:t>
      </w:r>
      <w:proofErr w:type="spellEnd"/>
      <w:r>
        <w:t xml:space="preserve"> and geographical indications</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12.1</w:t>
            </w:r>
          </w:p>
          <w:p w:rsidR="00F004EE" w:rsidRDefault="00F004EE" w:rsidP="0034446A">
            <w:pPr>
              <w:pStyle w:val="Rec"/>
            </w:pPr>
            <w:r>
              <w:t xml:space="preserve">The Australian Government should amend the </w:t>
            </w:r>
            <w:r>
              <w:rPr>
                <w:i/>
              </w:rPr>
              <w:t>Trade Marks Act</w:t>
            </w:r>
            <w:r>
              <w:t xml:space="preserve"> </w:t>
            </w:r>
            <w:r w:rsidRPr="00FD778C">
              <w:rPr>
                <w:i/>
              </w:rPr>
              <w:t>1995</w:t>
            </w:r>
            <w:r>
              <w:t xml:space="preserve"> (</w:t>
            </w:r>
            <w:proofErr w:type="spellStart"/>
            <w:r>
              <w:t>Cth</w:t>
            </w:r>
            <w:proofErr w:type="spellEnd"/>
            <w:r>
              <w:t>) to:</w:t>
            </w:r>
          </w:p>
          <w:p w:rsidR="00F004EE" w:rsidRPr="00AA3F34" w:rsidRDefault="00F004EE" w:rsidP="0034446A">
            <w:pPr>
              <w:pStyle w:val="RecBullet"/>
              <w:rPr>
                <w:i/>
                <w:szCs w:val="24"/>
              </w:rPr>
            </w:pPr>
            <w:r>
              <w:t>reduce the grace period from 5 years to 3 years before new registrations can be challenged for non</w:t>
            </w:r>
            <w:r w:rsidR="002249B0">
              <w:noBreakHyphen/>
            </w:r>
            <w:r>
              <w:t>use</w:t>
            </w:r>
          </w:p>
          <w:p w:rsidR="00F004EE" w:rsidRPr="00F62413" w:rsidRDefault="00F004EE" w:rsidP="0034446A">
            <w:pPr>
              <w:pStyle w:val="RecBullet"/>
            </w:pPr>
            <w:r>
              <w:t>remove the</w:t>
            </w:r>
            <w:r w:rsidRPr="00865467">
              <w:t xml:space="preserve"> presumption of </w:t>
            </w:r>
            <w:proofErr w:type="spellStart"/>
            <w:r w:rsidRPr="00865467">
              <w:t>registrability</w:t>
            </w:r>
            <w:proofErr w:type="spellEnd"/>
            <w:r w:rsidRPr="00865467">
              <w:t xml:space="preserve"> </w:t>
            </w:r>
            <w:r>
              <w:t>in assessing whether a mark could be misleading or confusing at application</w:t>
            </w:r>
          </w:p>
          <w:p w:rsidR="00F004EE" w:rsidRPr="00F846EC" w:rsidRDefault="00F004EE" w:rsidP="0034446A">
            <w:pPr>
              <w:pStyle w:val="RecBullet"/>
              <w:rPr>
                <w:i/>
                <w:szCs w:val="24"/>
              </w:rPr>
            </w:pPr>
            <w:r w:rsidRPr="0049555D">
              <w:t xml:space="preserve">ensure that parallel imports of marked goods do not infringe an Australian registered trade mark </w:t>
            </w:r>
            <w:r>
              <w:t>when</w:t>
            </w:r>
            <w:r w:rsidRPr="0049555D">
              <w:t xml:space="preserve"> the marked good has been brought to market elsewhere by the owner of the mark or its licensee. Section</w:t>
            </w:r>
            <w:r>
              <w:t> </w:t>
            </w:r>
            <w:proofErr w:type="spellStart"/>
            <w:r w:rsidRPr="0049555D">
              <w:t>97A</w:t>
            </w:r>
            <w:proofErr w:type="spellEnd"/>
            <w:r w:rsidRPr="0049555D">
              <w:t xml:space="preserve"> of the </w:t>
            </w:r>
            <w:r w:rsidRPr="00F846EC">
              <w:rPr>
                <w:i/>
              </w:rPr>
              <w:t>Trade Marks Act 2002</w:t>
            </w:r>
            <w:r w:rsidRPr="0049555D">
              <w:t xml:space="preserve"> (N</w:t>
            </w:r>
            <w:r>
              <w:t>ew </w:t>
            </w:r>
            <w:r w:rsidRPr="0049555D">
              <w:t>Z</w:t>
            </w:r>
            <w:r>
              <w:t>ealand</w:t>
            </w:r>
            <w:r w:rsidRPr="0049555D">
              <w:t>) could serve as a model clause in this regard.</w:t>
            </w:r>
          </w:p>
          <w:p w:rsidR="00F004EE" w:rsidRDefault="00F004EE" w:rsidP="0034446A">
            <w:pPr>
              <w:pStyle w:val="Rec"/>
              <w:rPr>
                <w:szCs w:val="24"/>
              </w:rPr>
            </w:pPr>
            <w:r>
              <w:t>IP Australia should:</w:t>
            </w:r>
          </w:p>
          <w:p w:rsidR="00F004EE" w:rsidRDefault="00F004EE" w:rsidP="0034446A">
            <w:pPr>
              <w:pStyle w:val="RecBullet"/>
            </w:pPr>
            <w:r>
              <w:t xml:space="preserve">require those seeking trade mark protection to state whether they are using the mark or ‘intending to use’ the mark at application, registration and renewal, and record this on the </w:t>
            </w:r>
            <w:r w:rsidRPr="00865467">
              <w:t>Australian Trade Mark On</w:t>
            </w:r>
            <w:r>
              <w:noBreakHyphen/>
            </w:r>
            <w:r w:rsidRPr="00865467">
              <w:t>line Search System (</w:t>
            </w:r>
            <w:proofErr w:type="spellStart"/>
            <w:r w:rsidRPr="00865467">
              <w:t>ATMOSS</w:t>
            </w:r>
            <w:proofErr w:type="spellEnd"/>
            <w:r w:rsidRPr="00865467">
              <w:t>)</w:t>
            </w:r>
            <w:r>
              <w:t xml:space="preserve">. It should also seek confirmation from trade mark holders that register with an ‘intent to use’ that their mark is actually in use following the grace period, with this information also recorded on the </w:t>
            </w:r>
            <w:proofErr w:type="spellStart"/>
            <w:r>
              <w:t>ATMOSS</w:t>
            </w:r>
            <w:proofErr w:type="spellEnd"/>
          </w:p>
          <w:p w:rsidR="00F004EE" w:rsidRDefault="00F004EE" w:rsidP="0034446A">
            <w:pPr>
              <w:pStyle w:val="RecBullet"/>
            </w:pPr>
            <w:r>
              <w:t>require the</w:t>
            </w:r>
            <w:r w:rsidRPr="00865467">
              <w:t xml:space="preserve"> Trade Marks Office </w:t>
            </w:r>
            <w:r>
              <w:t>to</w:t>
            </w:r>
            <w:r w:rsidRPr="00865467">
              <w:t xml:space="preserve"> return </w:t>
            </w:r>
            <w:r>
              <w:t>to</w:t>
            </w:r>
            <w:r w:rsidRPr="00865467">
              <w:t xml:space="preserve"> </w:t>
            </w:r>
            <w:r>
              <w:t xml:space="preserve">its previous practice of routinely </w:t>
            </w:r>
            <w:r w:rsidRPr="00865467">
              <w:t xml:space="preserve">challenging trade mark applications that contain contemporary geographical references </w:t>
            </w:r>
            <w:r>
              <w:t>(</w:t>
            </w:r>
            <w:r w:rsidRPr="00865467">
              <w:t xml:space="preserve">under </w:t>
            </w:r>
            <w:r>
              <w:t>s.</w:t>
            </w:r>
            <w:r w:rsidRPr="00865467">
              <w:t xml:space="preserve"> 43 of the Trade Marks Act</w:t>
            </w:r>
            <w:r>
              <w:t>)</w:t>
            </w:r>
            <w:r w:rsidRPr="00865467">
              <w:t xml:space="preserve"> </w:t>
            </w:r>
          </w:p>
          <w:p w:rsidR="00F004EE" w:rsidRPr="00CE4C64" w:rsidRDefault="00F004EE" w:rsidP="0034446A">
            <w:pPr>
              <w:pStyle w:val="RecBullet"/>
            </w:pPr>
            <w:r>
              <w:t xml:space="preserve">in conjunction with the </w:t>
            </w:r>
            <w:r w:rsidRPr="00865467">
              <w:t>A</w:t>
            </w:r>
            <w:r>
              <w:t xml:space="preserve">ustralian Securities and Investment Commission, </w:t>
            </w:r>
            <w:r w:rsidRPr="00865467">
              <w:t xml:space="preserve">link the </w:t>
            </w:r>
            <w:proofErr w:type="spellStart"/>
            <w:r>
              <w:t>ATMOSS</w:t>
            </w:r>
            <w:proofErr w:type="spellEnd"/>
            <w:r w:rsidRPr="00865467">
              <w:t xml:space="preserve"> database with the business registration portal</w:t>
            </w:r>
            <w:r>
              <w:t>, including to ensure a warning if a business registration may infringe an existing trade mark.</w:t>
            </w:r>
            <w:r w:rsidRPr="00865467">
              <w:t xml:space="preserve"> </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12.2</w:t>
            </w:r>
          </w:p>
          <w:p w:rsidR="00F004EE" w:rsidRPr="007C0D6E" w:rsidRDefault="00F004EE" w:rsidP="005C40EF">
            <w:pPr>
              <w:pStyle w:val="Rec"/>
              <w:rPr>
                <w:i/>
                <w:szCs w:val="24"/>
              </w:rPr>
            </w:pPr>
            <w:r>
              <w:t xml:space="preserve">The Australian Government should amend the </w:t>
            </w:r>
            <w:r>
              <w:rPr>
                <w:i/>
              </w:rPr>
              <w:t xml:space="preserve">Australian Grape and Wine Authority Act 2013 </w:t>
            </w:r>
            <w:r>
              <w:t>(</w:t>
            </w:r>
            <w:proofErr w:type="spellStart"/>
            <w:r>
              <w:t>Cth</w:t>
            </w:r>
            <w:proofErr w:type="spellEnd"/>
            <w:r>
              <w:t>) and associated regulations to allow</w:t>
            </w:r>
            <w:r w:rsidDel="00451FEA">
              <w:t xml:space="preserve"> </w:t>
            </w:r>
            <w:r>
              <w:t>the Geographical Indications (GIs) Committee to amend or omit existing GIs in a manner similar to existing arrangements for the determination of a GI (including preserving the avenues of appeal to the Administrative Appeals Tribunal). Any omissions or amendments to GIs determined in such a manner should only take effect after a ‘grace period’ determined by the GI Committee on a case</w:t>
            </w:r>
            <w:r w:rsidR="005C40EF">
              <w:noBreakHyphen/>
            </w:r>
            <w:r>
              <w:t>by</w:t>
            </w:r>
            <w:r w:rsidR="005C40EF">
              <w:noBreakHyphen/>
            </w:r>
            <w:r>
              <w:t>case basis.</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34446A">
      <w:pPr>
        <w:pStyle w:val="Heading3"/>
      </w:pPr>
      <w:r>
        <w:t>Chapter 13: Plant Breeder’s Rights</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13.</w:t>
            </w:r>
            <w:r>
              <w:rPr>
                <w:noProof/>
              </w:rPr>
              <w:t>1</w:t>
            </w:r>
          </w:p>
          <w:p w:rsidR="00F004EE" w:rsidRPr="00CE4C64" w:rsidRDefault="00F004EE" w:rsidP="0034446A">
            <w:pPr>
              <w:pStyle w:val="Rec"/>
            </w:pPr>
            <w:r w:rsidRPr="00F92EB0">
              <w:t xml:space="preserve">The Australian </w:t>
            </w:r>
            <w:r>
              <w:t>G</w:t>
            </w:r>
            <w:r w:rsidRPr="00F92EB0">
              <w:t xml:space="preserve">overnment should proceed to implement the </w:t>
            </w:r>
            <w:r>
              <w:t>Advisory Council on Intellectual Property’s</w:t>
            </w:r>
            <w:r w:rsidRPr="00F92EB0">
              <w:t xml:space="preserve"> 2010 recommendation to amend the </w:t>
            </w:r>
            <w:r w:rsidRPr="00377F40">
              <w:rPr>
                <w:i/>
              </w:rPr>
              <w:t xml:space="preserve">Plant Breeder’s Rights Act 1994 </w:t>
            </w:r>
            <w:r>
              <w:t>(</w:t>
            </w:r>
            <w:proofErr w:type="spellStart"/>
            <w:r>
              <w:t>Cth</w:t>
            </w:r>
            <w:proofErr w:type="spellEnd"/>
            <w:r>
              <w:t xml:space="preserve">) </w:t>
            </w:r>
            <w:r w:rsidRPr="00F92EB0">
              <w:t>to enable</w:t>
            </w:r>
            <w:r>
              <w:t xml:space="preserve"> essentially derived variety (</w:t>
            </w:r>
            <w:proofErr w:type="spellStart"/>
            <w:r>
              <w:t>EDV</w:t>
            </w:r>
            <w:proofErr w:type="spellEnd"/>
            <w:r>
              <w:t xml:space="preserve">) </w:t>
            </w:r>
            <w:r w:rsidRPr="00F92EB0">
              <w:t>declarations to be made in respect of any variety.</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34446A">
      <w:pPr>
        <w:pStyle w:val="Heading3"/>
      </w:pPr>
      <w:r>
        <w:t>Chapter 14: Circuit layout rights</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F2F2F2"/>
            <w:tcMar>
              <w:left w:w="170" w:type="dxa"/>
              <w:right w:w="170" w:type="dxa"/>
            </w:tcMar>
          </w:tcPr>
          <w:p w:rsidR="00F004EE" w:rsidRDefault="00F004EE" w:rsidP="0034446A">
            <w:pPr>
              <w:pStyle w:val="FindingTitle"/>
            </w:pPr>
            <w:r>
              <w:t>Finding 14.1</w:t>
            </w:r>
          </w:p>
          <w:p w:rsidR="00F004EE" w:rsidRPr="00CE4C64" w:rsidRDefault="00F004EE" w:rsidP="0034446A">
            <w:pPr>
              <w:pStyle w:val="Finding"/>
            </w:pPr>
            <w:r>
              <w:t>D</w:t>
            </w:r>
            <w:r w:rsidRPr="00D25EE6">
              <w:t xml:space="preserve">edicated </w:t>
            </w:r>
            <w:r>
              <w:t xml:space="preserve">intellectual property </w:t>
            </w:r>
            <w:r w:rsidR="004E4739">
              <w:t>protection</w:t>
            </w:r>
            <w:r w:rsidRPr="00D25EE6">
              <w:t xml:space="preserve"> for </w:t>
            </w:r>
            <w:r>
              <w:t>c</w:t>
            </w:r>
            <w:r w:rsidRPr="00D25EE6">
              <w:t xml:space="preserve">ircuit </w:t>
            </w:r>
            <w:r>
              <w:t>l</w:t>
            </w:r>
            <w:r w:rsidRPr="00D25EE6">
              <w:t xml:space="preserve">ayouts </w:t>
            </w:r>
            <w:r>
              <w:t>is</w:t>
            </w:r>
            <w:r w:rsidRPr="00D25EE6">
              <w:t xml:space="preserve"> not ideal and seldom used, </w:t>
            </w:r>
            <w:r>
              <w:t xml:space="preserve">but given </w:t>
            </w:r>
            <w:r w:rsidRPr="00D25EE6">
              <w:t xml:space="preserve">Australia’s international commitment to protect circuit layouts and </w:t>
            </w:r>
            <w:r>
              <w:t>no</w:t>
            </w:r>
            <w:r w:rsidRPr="00D25EE6">
              <w:t xml:space="preserve"> superior alternatives, the best policy option</w:t>
            </w:r>
            <w:r>
              <w:t xml:space="preserve"> is to maintain the status quo.</w:t>
            </w:r>
          </w:p>
        </w:tc>
      </w:tr>
      <w:tr w:rsidR="00F004EE" w:rsidTr="0034446A">
        <w:tc>
          <w:tcPr>
            <w:tcW w:w="8770" w:type="dxa"/>
            <w:tcBorders>
              <w:top w:val="nil"/>
              <w:left w:val="nil"/>
              <w:bottom w:val="single" w:sz="6" w:space="0" w:color="78A22F"/>
              <w:right w:val="nil"/>
            </w:tcBorders>
            <w:shd w:val="clear" w:color="auto" w:fill="F2F2F2"/>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34446A">
      <w:pPr>
        <w:pStyle w:val="Heading3"/>
      </w:pPr>
      <w:r>
        <w:t xml:space="preserve">Chapter 15: </w:t>
      </w:r>
      <w:r w:rsidRPr="00FB26CB">
        <w:t>Intellectual property rights and competition law</w:t>
      </w:r>
    </w:p>
    <w:p w:rsidR="00F004EE" w:rsidRPr="00DB3954" w:rsidRDefault="00F004EE" w:rsidP="0034446A">
      <w:pPr>
        <w:keepNext/>
        <w:spacing w:before="240" w:line="80" w:lineRule="exact"/>
        <w:rPr>
          <w:b/>
          <w:sz w:val="14"/>
          <w:szCs w:val="2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RPr="00DB3954"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Pr="00DB3954" w:rsidRDefault="00F004EE" w:rsidP="0034446A">
            <w:pPr>
              <w:keepNext/>
              <w:keepLines/>
              <w:spacing w:before="240" w:line="280" w:lineRule="atLeast"/>
              <w:jc w:val="both"/>
              <w:rPr>
                <w:rFonts w:ascii="Arial" w:hAnsi="Arial"/>
                <w:caps/>
                <w:noProof/>
                <w:sz w:val="18"/>
                <w:szCs w:val="20"/>
              </w:rPr>
            </w:pPr>
            <w:r w:rsidRPr="00DB3954">
              <w:rPr>
                <w:rFonts w:ascii="Arial" w:hAnsi="Arial"/>
                <w:caps/>
                <w:sz w:val="18"/>
                <w:szCs w:val="20"/>
              </w:rPr>
              <w:t xml:space="preserve">RECOMMENDATION </w:t>
            </w:r>
            <w:r>
              <w:rPr>
                <w:rFonts w:ascii="Arial" w:hAnsi="Arial"/>
                <w:caps/>
                <w:sz w:val="18"/>
                <w:szCs w:val="20"/>
              </w:rPr>
              <w:t>15.1</w:t>
            </w:r>
          </w:p>
          <w:p w:rsidR="00F004EE" w:rsidRPr="00DB3954" w:rsidRDefault="00F004EE" w:rsidP="0034446A">
            <w:pPr>
              <w:keepLines/>
              <w:spacing w:before="120" w:line="280" w:lineRule="atLeast"/>
              <w:jc w:val="both"/>
              <w:rPr>
                <w:rFonts w:ascii="Arial" w:hAnsi="Arial"/>
                <w:sz w:val="22"/>
                <w:szCs w:val="20"/>
              </w:rPr>
            </w:pPr>
            <w:r w:rsidRPr="00DB3954">
              <w:rPr>
                <w:rFonts w:ascii="Arial" w:hAnsi="Arial"/>
                <w:sz w:val="22"/>
                <w:szCs w:val="20"/>
              </w:rPr>
              <w:t xml:space="preserve">The Australian </w:t>
            </w:r>
            <w:r>
              <w:rPr>
                <w:rFonts w:ascii="Arial" w:hAnsi="Arial"/>
                <w:sz w:val="22"/>
                <w:szCs w:val="20"/>
              </w:rPr>
              <w:t>G</w:t>
            </w:r>
            <w:r w:rsidRPr="00DB3954">
              <w:rPr>
                <w:rFonts w:ascii="Arial" w:hAnsi="Arial"/>
                <w:sz w:val="22"/>
                <w:szCs w:val="20"/>
              </w:rPr>
              <w:t xml:space="preserve">overnment should repeal s. 51(3) of the </w:t>
            </w:r>
            <w:r w:rsidRPr="00DB3954">
              <w:rPr>
                <w:rFonts w:ascii="Arial" w:hAnsi="Arial"/>
                <w:i/>
                <w:sz w:val="22"/>
                <w:szCs w:val="20"/>
              </w:rPr>
              <w:t xml:space="preserve">Competition and Consumer Act 2010 </w:t>
            </w:r>
            <w:r w:rsidRPr="00DB3954">
              <w:rPr>
                <w:rFonts w:ascii="Arial" w:hAnsi="Arial"/>
                <w:sz w:val="22"/>
                <w:szCs w:val="20"/>
              </w:rPr>
              <w:t>(</w:t>
            </w:r>
            <w:proofErr w:type="spellStart"/>
            <w:r w:rsidRPr="00DB3954">
              <w:rPr>
                <w:rFonts w:ascii="Arial" w:hAnsi="Arial"/>
                <w:sz w:val="22"/>
                <w:szCs w:val="20"/>
              </w:rPr>
              <w:t>Cth</w:t>
            </w:r>
            <w:proofErr w:type="spellEnd"/>
            <w:r w:rsidRPr="00DB3954">
              <w:rPr>
                <w:rFonts w:ascii="Arial" w:hAnsi="Arial"/>
                <w:sz w:val="22"/>
                <w:szCs w:val="20"/>
              </w:rPr>
              <w:t xml:space="preserve">) (Competition and Consumer Act) </w:t>
            </w:r>
            <w:r>
              <w:rPr>
                <w:rFonts w:ascii="Arial" w:hAnsi="Arial"/>
                <w:sz w:val="22"/>
                <w:szCs w:val="20"/>
              </w:rPr>
              <w:t>at the same time as giving effect to recommendations of the (Harper) Competition Policy Review on the per se prohibitions</w:t>
            </w:r>
            <w:r w:rsidRPr="00DB3954">
              <w:rPr>
                <w:rFonts w:ascii="Arial" w:hAnsi="Arial"/>
                <w:sz w:val="22"/>
                <w:szCs w:val="20"/>
              </w:rPr>
              <w:t>.</w:t>
            </w:r>
          </w:p>
          <w:p w:rsidR="00F004EE" w:rsidRPr="00DB3954" w:rsidRDefault="00F004EE" w:rsidP="0034446A">
            <w:pPr>
              <w:keepLines/>
              <w:spacing w:before="80" w:line="280" w:lineRule="atLeast"/>
              <w:jc w:val="both"/>
              <w:rPr>
                <w:rFonts w:ascii="Arial" w:eastAsiaTheme="minorHAnsi" w:hAnsi="Arial" w:cstheme="minorBidi"/>
                <w:sz w:val="22"/>
                <w:szCs w:val="22"/>
                <w:lang w:eastAsia="en-US"/>
              </w:rPr>
            </w:pPr>
            <w:r w:rsidRPr="00DB3954">
              <w:rPr>
                <w:rFonts w:ascii="Arial" w:hAnsi="Arial"/>
                <w:sz w:val="22"/>
                <w:szCs w:val="20"/>
              </w:rPr>
              <w:t>The Australian Competition and Consumer Commission should issue guidance on the application of part IV of the Competition and Consumer Act to intellectual property.</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DB3954" w:rsidTr="0034446A">
        <w:tc>
          <w:tcPr>
            <w:tcW w:w="8770" w:type="dxa"/>
            <w:tcBorders>
              <w:top w:val="single" w:sz="6" w:space="0" w:color="78A22F"/>
              <w:left w:val="nil"/>
              <w:bottom w:val="nil"/>
              <w:right w:val="nil"/>
            </w:tcBorders>
            <w:tcMar>
              <w:left w:w="170" w:type="dxa"/>
              <w:right w:w="170" w:type="dxa"/>
            </w:tcMar>
          </w:tcPr>
          <w:p w:rsidR="00F004EE" w:rsidRPr="00DB3954" w:rsidRDefault="00F004EE" w:rsidP="0034446A">
            <w:pPr>
              <w:keepLines/>
              <w:spacing w:before="60" w:after="60" w:line="80" w:lineRule="exact"/>
              <w:jc w:val="both"/>
              <w:rPr>
                <w:rFonts w:ascii="Arial" w:hAnsi="Arial"/>
                <w:sz w:val="14"/>
                <w:szCs w:val="20"/>
              </w:rPr>
            </w:pPr>
          </w:p>
        </w:tc>
      </w:tr>
    </w:tbl>
    <w:p w:rsidR="00F004EE" w:rsidRDefault="00F004EE" w:rsidP="0034446A">
      <w:pPr>
        <w:pStyle w:val="Heading3"/>
      </w:pPr>
      <w:r>
        <w:lastRenderedPageBreak/>
        <w:t>Chapter 16: IP and public institutions</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pPr>
            <w:r>
              <w:t>Recommendation 16.1</w:t>
            </w:r>
          </w:p>
          <w:p w:rsidR="00F004EE" w:rsidRDefault="00F004EE" w:rsidP="0034446A">
            <w:pPr>
              <w:pStyle w:val="Rec"/>
            </w:pPr>
            <w:r>
              <w:t>The Austr</w:t>
            </w:r>
            <w:r w:rsidR="003E36F5">
              <w:t>alian, and State and Territory g</w:t>
            </w:r>
            <w:r>
              <w:t xml:space="preserve">overnments should implement an open access policy </w:t>
            </w:r>
            <w:r w:rsidRPr="006A5BAC">
              <w:rPr>
                <w:spacing w:val="-2"/>
              </w:rPr>
              <w:t xml:space="preserve">for </w:t>
            </w:r>
            <w:r>
              <w:rPr>
                <w:spacing w:val="-2"/>
              </w:rPr>
              <w:t>publicly</w:t>
            </w:r>
            <w:r>
              <w:rPr>
                <w:spacing w:val="-2"/>
              </w:rPr>
              <w:noBreakHyphen/>
              <w:t>funded</w:t>
            </w:r>
            <w:r w:rsidRPr="006A5BAC">
              <w:rPr>
                <w:spacing w:val="-2"/>
              </w:rPr>
              <w:t xml:space="preserve"> research. The policy should provide</w:t>
            </w:r>
            <w:r>
              <w:rPr>
                <w:spacing w:val="-2"/>
              </w:rPr>
              <w:t xml:space="preserve"> free and</w:t>
            </w:r>
            <w:r w:rsidRPr="006A5BAC">
              <w:rPr>
                <w:spacing w:val="-2"/>
              </w:rPr>
              <w:t xml:space="preserve"> open access </w:t>
            </w:r>
            <w:r>
              <w:rPr>
                <w:spacing w:val="-2"/>
              </w:rPr>
              <w:t>arrangements</w:t>
            </w:r>
            <w:r w:rsidRPr="006A5BAC">
              <w:rPr>
                <w:spacing w:val="-2"/>
              </w:rPr>
              <w:t xml:space="preserve"> for all publications funded by </w:t>
            </w:r>
            <w:r>
              <w:rPr>
                <w:spacing w:val="-2"/>
              </w:rPr>
              <w:t>g</w:t>
            </w:r>
            <w:r w:rsidRPr="006A5BAC">
              <w:rPr>
                <w:spacing w:val="-2"/>
              </w:rPr>
              <w:t>overnments, directly or through university funding, within 12 months of publication. The policy should minimise exemptions.</w:t>
            </w:r>
          </w:p>
          <w:p w:rsidR="00F004EE" w:rsidRPr="00CE4C64" w:rsidRDefault="00F004EE" w:rsidP="0034446A">
            <w:pPr>
              <w:pStyle w:val="Rec"/>
            </w:pPr>
            <w:r>
              <w:t>The Australian Government should seek to establish the same policy for international agencies to which it is a contributory funder, but which still charge for their publications, such as the Organisation for Economic Cooperation and Development.</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004EE" w:rsidTr="0034446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004EE" w:rsidRDefault="00F004EE" w:rsidP="0034446A">
            <w:pPr>
              <w:pStyle w:val="FindingTitle"/>
              <w:spacing w:before="120"/>
              <w:rPr>
                <w:noProof/>
              </w:rPr>
            </w:pPr>
            <w:r>
              <w:t>Finding 16.1</w:t>
            </w:r>
          </w:p>
          <w:p w:rsidR="00F004EE" w:rsidRPr="00CE4C64" w:rsidRDefault="00F004EE" w:rsidP="0034446A">
            <w:pPr>
              <w:pStyle w:val="Finding"/>
              <w:keepNext/>
            </w:pPr>
            <w:r>
              <w:t>The adoption of an additional ‘use it or lose it’ provision for patents owned by publicly</w:t>
            </w:r>
            <w:r>
              <w:noBreakHyphen/>
              <w:t>funded organisations is not warranted.</w:t>
            </w:r>
          </w:p>
        </w:tc>
      </w:tr>
      <w:tr w:rsidR="00F004EE" w:rsidTr="0034446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004EE" w:rsidRDefault="00F004EE" w:rsidP="0034446A">
            <w:pPr>
              <w:pStyle w:val="Space"/>
              <w:keepLines/>
            </w:pPr>
          </w:p>
        </w:tc>
      </w:tr>
      <w:tr w:rsidR="00F004EE" w:rsidRPr="000863A5" w:rsidTr="0034446A">
        <w:trPr>
          <w:cantSplit/>
          <w:tblHeader/>
        </w:trPr>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555B6F" w:rsidRDefault="00F004EE" w:rsidP="0034446A">
      <w:pPr>
        <w:pStyle w:val="Heading3"/>
        <w:spacing w:before="520"/>
      </w:pPr>
      <w:r>
        <w:t xml:space="preserve">Chapter 17: </w:t>
      </w:r>
      <w:r w:rsidRPr="00FB26CB">
        <w:t>Intellectual property’s institutional arrangements</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17.</w:t>
            </w:r>
            <w:r>
              <w:rPr>
                <w:noProof/>
              </w:rPr>
              <w:t>1</w:t>
            </w:r>
          </w:p>
          <w:p w:rsidR="00F004EE" w:rsidRDefault="00F004EE" w:rsidP="0034446A">
            <w:pPr>
              <w:pStyle w:val="Rec"/>
            </w:pPr>
            <w:r>
              <w:t>The Australian Government should promote a coherent and integrated approach to IP policy by:</w:t>
            </w:r>
          </w:p>
          <w:p w:rsidR="00F004EE" w:rsidRDefault="00F004EE" w:rsidP="0034446A">
            <w:pPr>
              <w:pStyle w:val="RecBullet"/>
            </w:pPr>
            <w:r>
              <w:t>establishing and maintaining greater IP policy expertise in the Department of Industry, Innovation and Science</w:t>
            </w:r>
          </w:p>
          <w:p w:rsidR="00F004EE" w:rsidRDefault="00F004EE" w:rsidP="0034446A">
            <w:pPr>
              <w:pStyle w:val="RecBullet"/>
            </w:pPr>
            <w:r>
              <w:t>ensuring the allocation of functions to IP Australia has regard to conflicts arising from IP Australia’s role as IP rights administrator and involvement in policy development and advice</w:t>
            </w:r>
          </w:p>
          <w:p w:rsidR="00F004EE" w:rsidRPr="00CE4C64" w:rsidRDefault="00F004EE" w:rsidP="0034446A">
            <w:pPr>
              <w:pStyle w:val="RecBullet"/>
            </w:pPr>
            <w:r>
              <w:t xml:space="preserve">establishing a standing (interdepartmental) IP Policy Group and formal working arrangements to ensure agencies work together within the policy framework </w:t>
            </w:r>
            <w:r w:rsidRPr="003C4AEF">
              <w:t>outlined in this report</w:t>
            </w:r>
            <w:r>
              <w:t>. The Group would comprise those departments with responsibility for industrial and creative IP rights, the Treasury, and others as needed, including IP Australia.</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004EE" w:rsidTr="0034446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004EE" w:rsidRDefault="00F004EE" w:rsidP="0034446A">
            <w:pPr>
              <w:pStyle w:val="FindingTitle"/>
              <w:spacing w:before="120"/>
              <w:rPr>
                <w:noProof/>
              </w:rPr>
            </w:pPr>
            <w:r>
              <w:t>Finding 17.1</w:t>
            </w:r>
          </w:p>
          <w:p w:rsidR="00F004EE" w:rsidRPr="00CE4C64" w:rsidRDefault="00F004EE" w:rsidP="0034446A">
            <w:pPr>
              <w:pStyle w:val="Finding"/>
              <w:keepNext/>
            </w:pPr>
            <w:r w:rsidRPr="00255CCA">
              <w:t>Australia’s approach to negotiating IP provisions in international treaties could be improved through greater use of independent impact assessment and more meaningful stakeholder consultation.</w:t>
            </w:r>
          </w:p>
        </w:tc>
      </w:tr>
      <w:tr w:rsidR="00F004EE" w:rsidTr="0034446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004EE" w:rsidRDefault="00F004EE" w:rsidP="0034446A">
            <w:pPr>
              <w:pStyle w:val="Space"/>
              <w:keepLines/>
            </w:pPr>
          </w:p>
        </w:tc>
      </w:tr>
      <w:tr w:rsidR="00F004EE" w:rsidRPr="000863A5" w:rsidTr="0034446A">
        <w:trPr>
          <w:cantSplit/>
          <w:tblHeader/>
        </w:trPr>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17.2</w:t>
            </w:r>
            <w:r>
              <w:rPr>
                <w:noProof/>
              </w:rPr>
              <w:t xml:space="preserve"> </w:t>
            </w:r>
          </w:p>
          <w:p w:rsidR="00F004EE" w:rsidRDefault="00F004EE" w:rsidP="0034446A">
            <w:pPr>
              <w:pStyle w:val="Rec"/>
              <w:keepNext/>
            </w:pPr>
            <w:r>
              <w:t>The Australian Government should charge the interdepartmental IP Policy Group (recommendation 17.1) and the Department of Foreign Affairs and Trade with the task of developing guidance for IP provisions in international treaties. This guidance should incorporate the following principles:</w:t>
            </w:r>
          </w:p>
          <w:p w:rsidR="00F004EE" w:rsidRDefault="00F004EE" w:rsidP="0034446A">
            <w:pPr>
              <w:pStyle w:val="RecBullet"/>
            </w:pPr>
            <w:r>
              <w:t xml:space="preserve">avoiding the inclusion of IP provisions in bilateral and regional trade agreements and leaving negotiations on IP standards to multilateral fora </w:t>
            </w:r>
          </w:p>
          <w:p w:rsidR="00F004EE" w:rsidRDefault="00F004EE" w:rsidP="0034446A">
            <w:pPr>
              <w:pStyle w:val="RecBullet"/>
            </w:pPr>
            <w:r>
              <w:t>protecting flexibility to achieve policy goals, such as by reserving the right to draft exceptions and limitations</w:t>
            </w:r>
          </w:p>
          <w:p w:rsidR="00F004EE" w:rsidRDefault="00F004EE" w:rsidP="0034446A">
            <w:pPr>
              <w:pStyle w:val="RecBullet"/>
            </w:pPr>
            <w:r>
              <w:t>explicitly considerin</w:t>
            </w:r>
            <w:r w:rsidR="00453ED9">
              <w:t>g the long</w:t>
            </w:r>
            <w:r w:rsidR="00453ED9">
              <w:noBreakHyphen/>
            </w:r>
            <w:r>
              <w:t xml:space="preserve">term consequences for the public interest and the domestic IP system in cases where IP demands of other countries are accepted in exchange for obtaining other benefits </w:t>
            </w:r>
          </w:p>
          <w:p w:rsidR="00F004EE" w:rsidRDefault="00F004EE" w:rsidP="0034446A">
            <w:pPr>
              <w:pStyle w:val="RecBullet"/>
            </w:pPr>
            <w:r>
              <w:t>identifying no go areas that are likely to be seldom or never in Australia’s interests, such as retrospective extensions of IP rights</w:t>
            </w:r>
          </w:p>
          <w:p w:rsidR="00F004EE" w:rsidRPr="00CE4C64" w:rsidRDefault="00F004EE" w:rsidP="0034446A">
            <w:pPr>
              <w:pStyle w:val="RecBullet"/>
            </w:pPr>
            <w:r>
              <w:t>conducting negotiations, as far as their nature makes it possible, in an open and transparent manner and ensuring that rights holders and industry groups do not enjoy preferential treatment over other stakeholders.</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34446A">
      <w:pPr>
        <w:pStyle w:val="Heading3"/>
        <w:spacing w:before="520"/>
      </w:pPr>
      <w:r>
        <w:t xml:space="preserve">Chapter 18: </w:t>
      </w:r>
      <w:r w:rsidRPr="00FB26CB">
        <w:t>International cooperation in IP</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18.1</w:t>
            </w:r>
          </w:p>
          <w:p w:rsidR="00F004EE" w:rsidRDefault="00F004EE" w:rsidP="0034446A">
            <w:pPr>
              <w:pStyle w:val="Rec"/>
            </w:pPr>
            <w:r>
              <w:t>The Australian Government should:</w:t>
            </w:r>
          </w:p>
          <w:p w:rsidR="00F004EE" w:rsidRDefault="00F004EE" w:rsidP="0034446A">
            <w:pPr>
              <w:pStyle w:val="RecBullet"/>
            </w:pPr>
            <w:r>
              <w:t>pursue international collaborative efforts to streamline IP administrative and licensing processes separately from efforts to align standards of IP protection. In so doing, it should consider a range of cooperative mechanisms, such as mutual recognition</w:t>
            </w:r>
          </w:p>
          <w:p w:rsidR="00F004EE" w:rsidRPr="00DD2025" w:rsidRDefault="00F004EE" w:rsidP="0034446A">
            <w:pPr>
              <w:pStyle w:val="RecBullet"/>
            </w:pPr>
            <w:r>
              <w:t>use multilateral forums when seeking to align standards of protection.</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0"/>
      </w:tblGrid>
      <w:tr w:rsidR="00F004EE" w:rsidTr="0034446A">
        <w:tc>
          <w:tcPr>
            <w:tcW w:w="8770" w:type="dxa"/>
            <w:tcBorders>
              <w:top w:val="single" w:sz="6" w:space="0" w:color="78A22F"/>
              <w:left w:val="nil"/>
              <w:bottom w:val="nil"/>
              <w:right w:val="nil"/>
            </w:tcBorders>
            <w:shd w:val="clear" w:color="auto" w:fill="E5F1D0"/>
            <w:tcMar>
              <w:top w:w="0" w:type="dxa"/>
              <w:left w:w="170" w:type="dxa"/>
              <w:bottom w:w="0" w:type="dxa"/>
              <w:right w:w="170" w:type="dxa"/>
            </w:tcMar>
            <w:hideMark/>
          </w:tcPr>
          <w:p w:rsidR="00F004EE" w:rsidRDefault="00F004EE" w:rsidP="0034446A">
            <w:pPr>
              <w:pStyle w:val="RecTitle"/>
              <w:rPr>
                <w:noProof/>
              </w:rPr>
            </w:pPr>
            <w:r>
              <w:t>Recommendation 18.</w:t>
            </w:r>
            <w:r>
              <w:rPr>
                <w:noProof/>
              </w:rPr>
              <w:t>2</w:t>
            </w:r>
          </w:p>
          <w:p w:rsidR="00F004EE" w:rsidRDefault="00F004EE" w:rsidP="0034446A">
            <w:pPr>
              <w:pStyle w:val="Rec"/>
            </w:pPr>
            <w:r>
              <w:t>The Australian Government should play a more active role in international forums on intellectual property policy — areas to pursue include:</w:t>
            </w:r>
          </w:p>
          <w:p w:rsidR="00F004EE" w:rsidRDefault="00F004EE" w:rsidP="0034446A">
            <w:pPr>
              <w:pStyle w:val="RecBullet"/>
            </w:pPr>
            <w:r>
              <w:t>calling for a review of the TRIPS Agreement (under Article 71.1) by the WTO</w:t>
            </w:r>
            <w:r w:rsidDel="00A83556">
              <w:t xml:space="preserve"> </w:t>
            </w:r>
          </w:p>
          <w:p w:rsidR="00F004EE" w:rsidRDefault="00F004EE" w:rsidP="0034446A">
            <w:pPr>
              <w:pStyle w:val="RecBullet"/>
            </w:pPr>
            <w:r>
              <w:t xml:space="preserve">exploring opportunities to further raise the threshold for inventive step for patents </w:t>
            </w:r>
          </w:p>
          <w:p w:rsidR="00F004EE" w:rsidRDefault="00F004EE" w:rsidP="0034446A">
            <w:pPr>
              <w:pStyle w:val="RecBullet"/>
            </w:pPr>
            <w:r>
              <w:t>pursuing the steps needed to explicitly allow the manufacture for export of pharmaceuticals in their patent extension period</w:t>
            </w:r>
          </w:p>
          <w:p w:rsidR="00F004EE" w:rsidRDefault="00F004EE" w:rsidP="0034446A">
            <w:pPr>
              <w:pStyle w:val="RecBullet"/>
            </w:pPr>
            <w:r w:rsidRPr="00FE5C41">
              <w:t>work</w:t>
            </w:r>
            <w:r>
              <w:t>ing</w:t>
            </w:r>
            <w:r w:rsidRPr="00FE5C41">
              <w:t xml:space="preserve"> towards a system of eventual publication of clinical trial data </w:t>
            </w:r>
            <w:r>
              <w:t xml:space="preserve">for pharmaceuticals </w:t>
            </w:r>
            <w:r w:rsidRPr="00FE5C41">
              <w:t>in exchange for statutory data protection</w:t>
            </w:r>
          </w:p>
          <w:p w:rsidR="00F004EE" w:rsidRDefault="00F004EE" w:rsidP="0034446A">
            <w:pPr>
              <w:pStyle w:val="RecBullet"/>
            </w:pPr>
            <w:r>
              <w:t>identifying and progressing reforms that would strike a better balance in respect of copyright scope and term.</w:t>
            </w:r>
          </w:p>
        </w:tc>
      </w:tr>
      <w:tr w:rsidR="00F004EE" w:rsidTr="0034446A">
        <w:tc>
          <w:tcPr>
            <w:tcW w:w="8770" w:type="dxa"/>
            <w:tcBorders>
              <w:top w:val="nil"/>
              <w:left w:val="nil"/>
              <w:bottom w:val="single" w:sz="6" w:space="0" w:color="78A22F"/>
              <w:right w:val="nil"/>
            </w:tcBorders>
            <w:shd w:val="clear" w:color="auto" w:fill="E5F1D0"/>
            <w:tcMar>
              <w:top w:w="0" w:type="dxa"/>
              <w:left w:w="170" w:type="dxa"/>
              <w:bottom w:w="0" w:type="dxa"/>
              <w:right w:w="170" w:type="dxa"/>
            </w:tcMar>
          </w:tcPr>
          <w:p w:rsidR="00F004EE" w:rsidRDefault="00F004EE" w:rsidP="0034446A">
            <w:pPr>
              <w:pStyle w:val="Space"/>
              <w:keepNext w:val="0"/>
              <w:keepLines/>
            </w:pPr>
          </w:p>
        </w:tc>
      </w:tr>
      <w:tr w:rsidR="00F004EE" w:rsidTr="0034446A">
        <w:tc>
          <w:tcPr>
            <w:tcW w:w="8770" w:type="dxa"/>
            <w:tcBorders>
              <w:top w:val="single" w:sz="6" w:space="0" w:color="78A22F"/>
              <w:left w:val="nil"/>
              <w:bottom w:val="nil"/>
              <w:right w:val="nil"/>
            </w:tcBorders>
            <w:tcMar>
              <w:top w:w="0" w:type="dxa"/>
              <w:left w:w="170" w:type="dxa"/>
              <w:bottom w:w="0" w:type="dxa"/>
              <w:right w:w="170" w:type="dxa"/>
            </w:tcMar>
            <w:hideMark/>
          </w:tcPr>
          <w:p w:rsidR="00F004EE" w:rsidRDefault="00F004EE" w:rsidP="0034446A">
            <w:pPr>
              <w:pStyle w:val="BoxSpaceBelow"/>
              <w:keepLines/>
            </w:pPr>
          </w:p>
        </w:tc>
      </w:tr>
    </w:tbl>
    <w:p w:rsidR="00F004EE" w:rsidRDefault="00F004EE" w:rsidP="0034446A">
      <w:pPr>
        <w:pStyle w:val="Heading3"/>
        <w:spacing w:before="520"/>
      </w:pPr>
      <w:r>
        <w:t xml:space="preserve">Chapter 19: </w:t>
      </w:r>
      <w:r w:rsidRPr="001E3DEB">
        <w:t>Compliance and enforcement of IP rights</w:t>
      </w:r>
    </w:p>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19.1</w:t>
            </w:r>
          </w:p>
          <w:p w:rsidR="00F004EE" w:rsidRPr="00CE4C64" w:rsidRDefault="00F004EE" w:rsidP="0034446A">
            <w:pPr>
              <w:pStyle w:val="Rec"/>
            </w:pPr>
            <w:r>
              <w:t>The Australian Government should expand the safe harbour scheme to cover not just carriage service providers, but all providers of online services.</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F2F2F2"/>
            <w:tcMar>
              <w:left w:w="170" w:type="dxa"/>
              <w:right w:w="170" w:type="dxa"/>
            </w:tcMar>
          </w:tcPr>
          <w:p w:rsidR="00F004EE" w:rsidRDefault="00F004EE" w:rsidP="0034446A">
            <w:pPr>
              <w:pStyle w:val="FindingTitle"/>
              <w:rPr>
                <w:noProof/>
              </w:rPr>
            </w:pPr>
            <w:r>
              <w:t>Finding 19.1</w:t>
            </w:r>
          </w:p>
          <w:p w:rsidR="00F004EE" w:rsidRPr="00CE4C64" w:rsidRDefault="00F004EE" w:rsidP="0034446A">
            <w:pPr>
              <w:pStyle w:val="Finding"/>
            </w:pPr>
            <w:r>
              <w:t>Timely and competitively</w:t>
            </w:r>
            <w:r>
              <w:noBreakHyphen/>
              <w:t>priced access to copyright-protected works is the most efficient and effective way to reduce online copyright infringement.</w:t>
            </w:r>
          </w:p>
        </w:tc>
      </w:tr>
      <w:tr w:rsidR="00F004EE" w:rsidTr="0034446A">
        <w:tc>
          <w:tcPr>
            <w:tcW w:w="8770" w:type="dxa"/>
            <w:tcBorders>
              <w:top w:val="nil"/>
              <w:left w:val="nil"/>
              <w:bottom w:val="single" w:sz="6" w:space="0" w:color="78A22F"/>
              <w:right w:val="nil"/>
            </w:tcBorders>
            <w:shd w:val="clear" w:color="auto" w:fill="F2F2F2"/>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Pr="004E3B94" w:rsidRDefault="00F004EE" w:rsidP="0034446A">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004EE" w:rsidTr="0034446A">
        <w:tc>
          <w:tcPr>
            <w:tcW w:w="8770" w:type="dxa"/>
            <w:tcBorders>
              <w:top w:val="single" w:sz="6" w:space="0" w:color="78A22F"/>
              <w:left w:val="nil"/>
              <w:bottom w:val="nil"/>
              <w:right w:val="nil"/>
            </w:tcBorders>
            <w:shd w:val="clear" w:color="auto" w:fill="E5F1D0"/>
            <w:tcMar>
              <w:left w:w="170" w:type="dxa"/>
              <w:right w:w="170" w:type="dxa"/>
            </w:tcMar>
          </w:tcPr>
          <w:p w:rsidR="00F004EE" w:rsidRDefault="00F004EE" w:rsidP="0034446A">
            <w:pPr>
              <w:pStyle w:val="RecTitle"/>
              <w:rPr>
                <w:noProof/>
              </w:rPr>
            </w:pPr>
            <w:r>
              <w:t>Recommendation 19.2</w:t>
            </w:r>
          </w:p>
          <w:p w:rsidR="00F004EE" w:rsidRDefault="00F004EE" w:rsidP="0034446A">
            <w:pPr>
              <w:pStyle w:val="Rec"/>
            </w:pPr>
            <w:r w:rsidRPr="009660BE">
              <w:t xml:space="preserve">The </w:t>
            </w:r>
            <w:r>
              <w:t xml:space="preserve">Australian </w:t>
            </w:r>
            <w:r w:rsidRPr="009660BE">
              <w:t>Government should introduce a specialist IP list in the Federal Circuit Court</w:t>
            </w:r>
            <w:r>
              <w:t xml:space="preserve">, encompassing features similar to those of the United Kingdom Intellectual Property Enterprise Court, including limiting </w:t>
            </w:r>
            <w:r w:rsidRPr="00C85208">
              <w:t>trials to two days, caps on costs and damages</w:t>
            </w:r>
            <w:r w:rsidRPr="009660BE">
              <w:t xml:space="preserve">, </w:t>
            </w:r>
            <w:r>
              <w:t>and</w:t>
            </w:r>
            <w:r w:rsidRPr="009660BE">
              <w:t xml:space="preserve"> a small claims procedure</w:t>
            </w:r>
            <w:r>
              <w:t xml:space="preserve">. </w:t>
            </w:r>
          </w:p>
          <w:p w:rsidR="00F004EE" w:rsidRDefault="00F004EE" w:rsidP="0034446A">
            <w:pPr>
              <w:pStyle w:val="Rec"/>
            </w:pPr>
            <w:r>
              <w:t>The jurisdiction of the Federal Circuit Court should be expanded so it can hear all IP matters. This would complement current r</w:t>
            </w:r>
            <w:r w:rsidRPr="00C85208">
              <w:t>eforms by the Federal Court for management of IP cases within the National Court Framework</w:t>
            </w:r>
            <w:r>
              <w:t>, which</w:t>
            </w:r>
            <w:r w:rsidRPr="00C85208">
              <w:t xml:space="preserve"> are likely to benefit </w:t>
            </w:r>
            <w:r>
              <w:t xml:space="preserve">parties involved in </w:t>
            </w:r>
            <w:r w:rsidRPr="00C85208">
              <w:t>high value IP disputes.</w:t>
            </w:r>
          </w:p>
          <w:p w:rsidR="00F004EE" w:rsidRDefault="00F004EE" w:rsidP="0034446A">
            <w:pPr>
              <w:pStyle w:val="Rec"/>
            </w:pPr>
            <w:r w:rsidRPr="00C85208">
              <w:t>The Federal Circuit Court should be adequately resourced to ensure that any increase in its workload arising from these reforms does not result in longer resolution times.</w:t>
            </w:r>
          </w:p>
          <w:p w:rsidR="00F004EE" w:rsidRPr="00CE4C64" w:rsidRDefault="00F004EE" w:rsidP="0034446A">
            <w:pPr>
              <w:pStyle w:val="Rec"/>
            </w:pPr>
            <w:r>
              <w:t xml:space="preserve">The Australian Government should assess the costs and benefits of these reforms five years after implementation, also taking </w:t>
            </w:r>
            <w:r w:rsidRPr="00C85208">
              <w:t>into account the progress of the Federal Court’s proposed reforms to IP case management</w:t>
            </w:r>
            <w:r>
              <w:t>.</w:t>
            </w:r>
          </w:p>
        </w:tc>
      </w:tr>
      <w:tr w:rsidR="00F004EE" w:rsidTr="0034446A">
        <w:tc>
          <w:tcPr>
            <w:tcW w:w="8770" w:type="dxa"/>
            <w:tcBorders>
              <w:top w:val="nil"/>
              <w:left w:val="nil"/>
              <w:bottom w:val="single" w:sz="6" w:space="0" w:color="78A22F"/>
              <w:right w:val="nil"/>
            </w:tcBorders>
            <w:shd w:val="clear" w:color="auto" w:fill="E5F1D0"/>
            <w:tcMar>
              <w:left w:w="170" w:type="dxa"/>
              <w:right w:w="170" w:type="dxa"/>
            </w:tcMar>
          </w:tcPr>
          <w:p w:rsidR="00F004EE" w:rsidRDefault="00F004EE" w:rsidP="0034446A">
            <w:pPr>
              <w:pStyle w:val="Space"/>
              <w:keepNext w:val="0"/>
              <w:keepLines/>
            </w:pPr>
          </w:p>
        </w:tc>
      </w:tr>
      <w:tr w:rsidR="00F004EE" w:rsidRPr="000863A5" w:rsidTr="0034446A">
        <w:tc>
          <w:tcPr>
            <w:tcW w:w="8770" w:type="dxa"/>
            <w:tcBorders>
              <w:top w:val="single" w:sz="6" w:space="0" w:color="78A22F"/>
              <w:left w:val="nil"/>
              <w:bottom w:val="nil"/>
              <w:right w:val="nil"/>
            </w:tcBorders>
            <w:tcMar>
              <w:left w:w="170" w:type="dxa"/>
              <w:right w:w="170" w:type="dxa"/>
            </w:tcMar>
          </w:tcPr>
          <w:p w:rsidR="00F004EE" w:rsidRPr="00626D32" w:rsidRDefault="00F004EE" w:rsidP="0034446A">
            <w:pPr>
              <w:pStyle w:val="BoxSpaceBelow"/>
              <w:keepLines/>
            </w:pPr>
          </w:p>
        </w:tc>
      </w:tr>
    </w:tbl>
    <w:p w:rsidR="00F004EE" w:rsidRDefault="00F004EE" w:rsidP="00120072">
      <w:pPr>
        <w:pStyle w:val="BodyText"/>
      </w:pPr>
    </w:p>
    <w:sectPr w:rsidR="00F004EE" w:rsidSect="00F004EE">
      <w:headerReference w:type="even" r:id="rId15"/>
      <w:headerReference w:type="default" r:id="rId16"/>
      <w:footerReference w:type="even" r:id="rId17"/>
      <w:footerReference w:type="default" r:id="rId18"/>
      <w:footnotePr>
        <w:numRestart w:val="eachSect"/>
      </w:footnotePr>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32E" w:rsidRDefault="007F532E">
      <w:r>
        <w:separator/>
      </w:r>
    </w:p>
  </w:endnote>
  <w:endnote w:type="continuationSeparator" w:id="0">
    <w:p w:rsidR="007F532E" w:rsidRDefault="007F5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Vista Sans OT Light">
    <w:altName w:val="Vista Sans OT Light"/>
    <w:panose1 w:val="00000000000000000000"/>
    <w:charset w:val="00"/>
    <w:family w:val="swiss"/>
    <w:notTrueType/>
    <w:pitch w:val="default"/>
    <w:sig w:usb0="00000003" w:usb1="00000000" w:usb2="00000000" w:usb3="00000000" w:csb0="00000001" w:csb1="00000000"/>
  </w:font>
  <w:font w:name="Lato Light">
    <w:altName w:val="Lato Light"/>
    <w:panose1 w:val="00000000000000000000"/>
    <w:charset w:val="00"/>
    <w:family w:val="swiss"/>
    <w:notTrueType/>
    <w:pitch w:val="default"/>
    <w:sig w:usb0="00000003" w:usb1="00000000" w:usb2="00000000" w:usb3="00000000" w:csb0="00000001" w:csb1="00000000"/>
  </w:font>
  <w:font w:name="ZFNMJ S+ Gotham Narrow">
    <w:altName w:val="Gotham Narrow"/>
    <w:panose1 w:val="00000000000000000000"/>
    <w:charset w:val="00"/>
    <w:family w:val="swiss"/>
    <w:notTrueType/>
    <w:pitch w:val="default"/>
    <w:sig w:usb0="00000003" w:usb1="00000000" w:usb2="00000000" w:usb3="00000000" w:csb0="00000001" w:csb1="00000000"/>
  </w:font>
  <w:font w:name="Gotham Narrow">
    <w:altName w:val="Gotham Narrow"/>
    <w:panose1 w:val="00000000000000000000"/>
    <w:charset w:val="00"/>
    <w:family w:val="swiss"/>
    <w:notTrueType/>
    <w:pitch w:val="default"/>
    <w:sig w:usb0="00000003" w:usb1="00000000" w:usb2="00000000" w:usb3="00000000" w:csb0="00000001" w:csb1="00000000"/>
  </w:font>
  <w:font w:name="FFDIN">
    <w:altName w:val="FFDIN"/>
    <w:panose1 w:val="00000000000000000000"/>
    <w:charset w:val="00"/>
    <w:family w:val="swiss"/>
    <w:notTrueType/>
    <w:pitch w:val="default"/>
    <w:sig w:usb0="00000003" w:usb1="00000000" w:usb2="00000000" w:usb3="00000000" w:csb0="00000001" w:csb1="00000000"/>
  </w:font>
  <w:font w:name="Adobe Garamond Pro">
    <w:panose1 w:val="00000000000000000000"/>
    <w:charset w:val="00"/>
    <w:family w:val="roman"/>
    <w:notTrueType/>
    <w:pitch w:val="variable"/>
    <w:sig w:usb0="00000007" w:usb1="00000001" w:usb2="00000000" w:usb3="00000000" w:csb0="00000093" w:csb1="00000000"/>
  </w:font>
  <w:font w:name="Anivers">
    <w:altName w:val="Anivers"/>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Verdana">
    <w:panose1 w:val="020B0604030504040204"/>
    <w:charset w:val="00"/>
    <w:family w:val="swiss"/>
    <w:pitch w:val="variable"/>
    <w:sig w:usb0="A10006FF" w:usb1="4000205B" w:usb2="00000010" w:usb3="00000000" w:csb0="0000019F"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7F532E" w:rsidTr="00F004EE">
      <w:trPr>
        <w:trHeight w:val="567"/>
      </w:trPr>
      <w:tc>
        <w:tcPr>
          <w:tcW w:w="510" w:type="dxa"/>
          <w:tcBorders>
            <w:top w:val="single" w:sz="4" w:space="0" w:color="auto"/>
          </w:tcBorders>
          <w:shd w:val="clear" w:color="auto" w:fill="auto"/>
        </w:tcPr>
        <w:p w:rsidR="007F532E" w:rsidRPr="00F004EE" w:rsidRDefault="007F532E" w:rsidP="00F004EE">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533BA">
            <w:rPr>
              <w:rStyle w:val="PageNumber"/>
              <w:noProof/>
            </w:rPr>
            <w:t>8</w:t>
          </w:r>
          <w:r>
            <w:rPr>
              <w:rStyle w:val="PageNumber"/>
            </w:rPr>
            <w:fldChar w:fldCharType="end"/>
          </w:r>
        </w:p>
      </w:tc>
      <w:tc>
        <w:tcPr>
          <w:tcW w:w="7767" w:type="dxa"/>
          <w:tcBorders>
            <w:top w:val="single" w:sz="4" w:space="0" w:color="auto"/>
          </w:tcBorders>
          <w:shd w:val="clear" w:color="auto" w:fill="auto"/>
        </w:tcPr>
        <w:p w:rsidR="007F532E" w:rsidRDefault="007F532E" w:rsidP="00F004EE">
          <w:pPr>
            <w:pStyle w:val="Footer"/>
          </w:pPr>
          <w:r>
            <w:t>INTELLECTUAL PROPERTY ARRANGEMENTS</w:t>
          </w:r>
        </w:p>
      </w:tc>
      <w:tc>
        <w:tcPr>
          <w:tcW w:w="510" w:type="dxa"/>
          <w:tcBorders>
            <w:top w:val="single" w:sz="4" w:space="0" w:color="auto"/>
          </w:tcBorders>
          <w:shd w:val="clear" w:color="auto" w:fill="auto"/>
        </w:tcPr>
        <w:p w:rsidR="007F532E" w:rsidRDefault="007F532E" w:rsidP="00F004EE">
          <w:pPr>
            <w:pStyle w:val="Footer"/>
          </w:pPr>
        </w:p>
      </w:tc>
    </w:tr>
  </w:tbl>
  <w:p w:rsidR="007F532E" w:rsidRPr="00F004EE" w:rsidRDefault="007F532E" w:rsidP="00F004EE">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7F532E" w:rsidTr="00F004EE">
      <w:trPr>
        <w:trHeight w:val="567"/>
      </w:trPr>
      <w:tc>
        <w:tcPr>
          <w:tcW w:w="510" w:type="dxa"/>
          <w:tcBorders>
            <w:top w:val="single" w:sz="4" w:space="0" w:color="auto"/>
          </w:tcBorders>
          <w:shd w:val="clear" w:color="auto" w:fill="auto"/>
        </w:tcPr>
        <w:p w:rsidR="007F532E" w:rsidRDefault="007F532E" w:rsidP="00F004EE">
          <w:pPr>
            <w:pStyle w:val="Footer"/>
          </w:pPr>
        </w:p>
      </w:tc>
      <w:tc>
        <w:tcPr>
          <w:tcW w:w="7767" w:type="dxa"/>
          <w:tcBorders>
            <w:top w:val="single" w:sz="4" w:space="0" w:color="auto"/>
          </w:tcBorders>
          <w:shd w:val="clear" w:color="auto" w:fill="auto"/>
        </w:tcPr>
        <w:p w:rsidR="007F532E" w:rsidRDefault="007F532E" w:rsidP="00F004EE">
          <w:pPr>
            <w:pStyle w:val="Footer"/>
            <w:jc w:val="right"/>
          </w:pPr>
          <w:r>
            <w:t>Overview</w:t>
          </w:r>
        </w:p>
      </w:tc>
      <w:tc>
        <w:tcPr>
          <w:tcW w:w="510" w:type="dxa"/>
          <w:tcBorders>
            <w:top w:val="single" w:sz="4" w:space="0" w:color="auto"/>
          </w:tcBorders>
          <w:shd w:val="clear" w:color="auto" w:fill="auto"/>
        </w:tcPr>
        <w:p w:rsidR="007F532E" w:rsidRPr="00F004EE" w:rsidRDefault="007F532E" w:rsidP="00F004EE">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533BA">
            <w:rPr>
              <w:rStyle w:val="PageNumber"/>
              <w:noProof/>
            </w:rPr>
            <w:t>29</w:t>
          </w:r>
          <w:r>
            <w:rPr>
              <w:rStyle w:val="PageNumber"/>
            </w:rPr>
            <w:fldChar w:fldCharType="end"/>
          </w:r>
        </w:p>
      </w:tc>
    </w:tr>
  </w:tbl>
  <w:p w:rsidR="007F532E" w:rsidRPr="00F004EE" w:rsidRDefault="007F532E" w:rsidP="00F004E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7F532E" w:rsidTr="00F004EE">
      <w:trPr>
        <w:trHeight w:val="567"/>
      </w:trPr>
      <w:tc>
        <w:tcPr>
          <w:tcW w:w="510" w:type="dxa"/>
          <w:tcBorders>
            <w:top w:val="single" w:sz="4" w:space="0" w:color="auto"/>
          </w:tcBorders>
          <w:shd w:val="clear" w:color="auto" w:fill="auto"/>
        </w:tcPr>
        <w:p w:rsidR="007F532E" w:rsidRPr="00F004EE" w:rsidRDefault="007F532E" w:rsidP="00F004EE">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533BA">
            <w:rPr>
              <w:rStyle w:val="PageNumber"/>
              <w:noProof/>
            </w:rPr>
            <w:t>34</w:t>
          </w:r>
          <w:r>
            <w:rPr>
              <w:rStyle w:val="PageNumber"/>
            </w:rPr>
            <w:fldChar w:fldCharType="end"/>
          </w:r>
        </w:p>
      </w:tc>
      <w:tc>
        <w:tcPr>
          <w:tcW w:w="7767" w:type="dxa"/>
          <w:tcBorders>
            <w:top w:val="single" w:sz="4" w:space="0" w:color="auto"/>
          </w:tcBorders>
          <w:shd w:val="clear" w:color="auto" w:fill="auto"/>
        </w:tcPr>
        <w:p w:rsidR="007F532E" w:rsidRDefault="007F532E" w:rsidP="00F004EE">
          <w:pPr>
            <w:pStyle w:val="Footer"/>
          </w:pPr>
          <w:r>
            <w:t>INTELLECTUAL PROPERTY ARRANGEMENTS</w:t>
          </w:r>
        </w:p>
      </w:tc>
      <w:tc>
        <w:tcPr>
          <w:tcW w:w="510" w:type="dxa"/>
          <w:tcBorders>
            <w:top w:val="single" w:sz="4" w:space="0" w:color="auto"/>
          </w:tcBorders>
          <w:shd w:val="clear" w:color="auto" w:fill="auto"/>
        </w:tcPr>
        <w:p w:rsidR="007F532E" w:rsidRDefault="007F532E" w:rsidP="00F004EE">
          <w:pPr>
            <w:pStyle w:val="Footer"/>
          </w:pPr>
        </w:p>
      </w:tc>
    </w:tr>
  </w:tbl>
  <w:p w:rsidR="007F532E" w:rsidRPr="00F004EE" w:rsidRDefault="007F532E" w:rsidP="00F004EE">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7F532E" w:rsidTr="00F004EE">
      <w:trPr>
        <w:trHeight w:val="567"/>
      </w:trPr>
      <w:tc>
        <w:tcPr>
          <w:tcW w:w="510" w:type="dxa"/>
          <w:tcBorders>
            <w:top w:val="single" w:sz="4" w:space="0" w:color="auto"/>
          </w:tcBorders>
          <w:shd w:val="clear" w:color="auto" w:fill="auto"/>
        </w:tcPr>
        <w:p w:rsidR="007F532E" w:rsidRDefault="007F532E" w:rsidP="00F004EE">
          <w:pPr>
            <w:pStyle w:val="Footer"/>
          </w:pPr>
        </w:p>
      </w:tc>
      <w:tc>
        <w:tcPr>
          <w:tcW w:w="7767" w:type="dxa"/>
          <w:tcBorders>
            <w:top w:val="single" w:sz="4" w:space="0" w:color="auto"/>
          </w:tcBorders>
          <w:shd w:val="clear" w:color="auto" w:fill="auto"/>
        </w:tcPr>
        <w:p w:rsidR="007F532E" w:rsidRDefault="006533BA" w:rsidP="00F004EE">
          <w:pPr>
            <w:pStyle w:val="Footer"/>
            <w:jc w:val="right"/>
          </w:pPr>
          <w:r w:rsidRPr="006533BA">
            <w:t>RECOMMENDATIONS AND FINDINGS</w:t>
          </w:r>
        </w:p>
      </w:tc>
      <w:tc>
        <w:tcPr>
          <w:tcW w:w="510" w:type="dxa"/>
          <w:tcBorders>
            <w:top w:val="single" w:sz="4" w:space="0" w:color="auto"/>
          </w:tcBorders>
          <w:shd w:val="clear" w:color="auto" w:fill="auto"/>
        </w:tcPr>
        <w:p w:rsidR="007F532E" w:rsidRPr="00F004EE" w:rsidRDefault="007F532E" w:rsidP="00F004EE">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533BA">
            <w:rPr>
              <w:rStyle w:val="PageNumber"/>
              <w:noProof/>
            </w:rPr>
            <w:t>33</w:t>
          </w:r>
          <w:r>
            <w:rPr>
              <w:rStyle w:val="PageNumber"/>
            </w:rPr>
            <w:fldChar w:fldCharType="end"/>
          </w:r>
        </w:p>
      </w:tc>
    </w:tr>
  </w:tbl>
  <w:p w:rsidR="007F532E" w:rsidRPr="00F004EE" w:rsidRDefault="007F532E" w:rsidP="00F004E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32E" w:rsidRDefault="007F532E">
      <w:r>
        <w:separator/>
      </w:r>
    </w:p>
  </w:footnote>
  <w:footnote w:type="continuationSeparator" w:id="0">
    <w:p w:rsidR="007F532E" w:rsidRDefault="007F5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7F532E" w:rsidTr="00F004EE">
      <w:trPr>
        <w:trHeight w:val="300"/>
      </w:trPr>
      <w:tc>
        <w:tcPr>
          <w:tcW w:w="2154" w:type="dxa"/>
          <w:tcBorders>
            <w:top w:val="single" w:sz="24" w:space="0" w:color="auto"/>
          </w:tcBorders>
          <w:shd w:val="clear" w:color="auto" w:fill="auto"/>
        </w:tcPr>
        <w:p w:rsidR="007F532E" w:rsidRDefault="007F532E" w:rsidP="00F004EE">
          <w:pPr>
            <w:pStyle w:val="HeaderEven"/>
          </w:pPr>
        </w:p>
      </w:tc>
      <w:tc>
        <w:tcPr>
          <w:tcW w:w="6633" w:type="dxa"/>
          <w:tcBorders>
            <w:top w:val="single" w:sz="6" w:space="0" w:color="auto"/>
          </w:tcBorders>
          <w:shd w:val="clear" w:color="auto" w:fill="auto"/>
        </w:tcPr>
        <w:p w:rsidR="007F532E" w:rsidRDefault="007F532E" w:rsidP="00F004EE">
          <w:pPr>
            <w:pStyle w:val="HeaderEven"/>
          </w:pPr>
        </w:p>
      </w:tc>
    </w:tr>
  </w:tbl>
  <w:p w:rsidR="007F532E" w:rsidRPr="00F004EE" w:rsidRDefault="007F532E" w:rsidP="00F004E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7F532E" w:rsidTr="00F004EE">
      <w:trPr>
        <w:trHeight w:val="300"/>
      </w:trPr>
      <w:tc>
        <w:tcPr>
          <w:tcW w:w="6633" w:type="dxa"/>
          <w:tcBorders>
            <w:top w:val="single" w:sz="6" w:space="0" w:color="auto"/>
          </w:tcBorders>
          <w:shd w:val="clear" w:color="auto" w:fill="auto"/>
        </w:tcPr>
        <w:p w:rsidR="007F532E" w:rsidRDefault="007F532E" w:rsidP="00F004EE">
          <w:pPr>
            <w:pStyle w:val="HeaderOdd"/>
          </w:pPr>
        </w:p>
      </w:tc>
      <w:tc>
        <w:tcPr>
          <w:tcW w:w="2154" w:type="dxa"/>
          <w:tcBorders>
            <w:top w:val="single" w:sz="24" w:space="0" w:color="auto"/>
          </w:tcBorders>
          <w:shd w:val="clear" w:color="auto" w:fill="auto"/>
        </w:tcPr>
        <w:p w:rsidR="007F532E" w:rsidRDefault="007F532E" w:rsidP="00F004EE">
          <w:pPr>
            <w:pStyle w:val="HeaderOdd"/>
          </w:pPr>
        </w:p>
      </w:tc>
    </w:tr>
  </w:tbl>
  <w:p w:rsidR="007F532E" w:rsidRPr="00F004EE" w:rsidRDefault="007F532E" w:rsidP="00F004E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7F532E" w:rsidTr="00F004EE">
      <w:trPr>
        <w:trHeight w:val="300"/>
      </w:trPr>
      <w:tc>
        <w:tcPr>
          <w:tcW w:w="2154" w:type="dxa"/>
          <w:tcBorders>
            <w:top w:val="single" w:sz="24" w:space="0" w:color="auto"/>
          </w:tcBorders>
          <w:shd w:val="clear" w:color="auto" w:fill="auto"/>
        </w:tcPr>
        <w:p w:rsidR="007F532E" w:rsidRDefault="007F532E" w:rsidP="00F004EE">
          <w:pPr>
            <w:pStyle w:val="HeaderEven"/>
          </w:pPr>
        </w:p>
      </w:tc>
      <w:tc>
        <w:tcPr>
          <w:tcW w:w="6633" w:type="dxa"/>
          <w:tcBorders>
            <w:top w:val="single" w:sz="6" w:space="0" w:color="auto"/>
          </w:tcBorders>
          <w:shd w:val="clear" w:color="auto" w:fill="auto"/>
        </w:tcPr>
        <w:p w:rsidR="007F532E" w:rsidRDefault="007F532E" w:rsidP="00F004EE">
          <w:pPr>
            <w:pStyle w:val="HeaderEven"/>
          </w:pPr>
        </w:p>
      </w:tc>
    </w:tr>
  </w:tbl>
  <w:p w:rsidR="007F532E" w:rsidRPr="00F004EE" w:rsidRDefault="007F532E" w:rsidP="00F004E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7F532E" w:rsidTr="00F004EE">
      <w:trPr>
        <w:trHeight w:val="300"/>
      </w:trPr>
      <w:tc>
        <w:tcPr>
          <w:tcW w:w="6633" w:type="dxa"/>
          <w:tcBorders>
            <w:top w:val="single" w:sz="6" w:space="0" w:color="auto"/>
          </w:tcBorders>
          <w:shd w:val="clear" w:color="auto" w:fill="auto"/>
        </w:tcPr>
        <w:p w:rsidR="007F532E" w:rsidRDefault="007F532E" w:rsidP="00F004EE">
          <w:pPr>
            <w:pStyle w:val="HeaderOdd"/>
          </w:pPr>
        </w:p>
      </w:tc>
      <w:tc>
        <w:tcPr>
          <w:tcW w:w="2154" w:type="dxa"/>
          <w:tcBorders>
            <w:top w:val="single" w:sz="24" w:space="0" w:color="auto"/>
          </w:tcBorders>
          <w:shd w:val="clear" w:color="auto" w:fill="auto"/>
        </w:tcPr>
        <w:p w:rsidR="007F532E" w:rsidRDefault="007F532E" w:rsidP="00F004EE">
          <w:pPr>
            <w:pStyle w:val="HeaderOdd"/>
          </w:pPr>
        </w:p>
      </w:tc>
    </w:tr>
  </w:tbl>
  <w:p w:rsidR="007F532E" w:rsidRPr="00F004EE" w:rsidRDefault="007F532E" w:rsidP="00F004E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multilevel"/>
    <w:tmpl w:val="7DE64906"/>
    <w:lvl w:ilvl="0">
      <w:start w:val="1"/>
      <w:numFmt w:val="upperLetter"/>
      <w:pStyle w:val="Level0General"/>
      <w:lvlText w:val="%1."/>
      <w:lvlJc w:val="left"/>
      <w:pPr>
        <w:tabs>
          <w:tab w:val="num" w:pos="992"/>
        </w:tabs>
        <w:ind w:left="992" w:hanging="992"/>
      </w:pPr>
      <w:rPr>
        <w:rFonts w:ascii="Arial" w:hAnsi="Arial"/>
        <w:b w:val="0"/>
      </w:rPr>
    </w:lvl>
    <w:lvl w:ilvl="1">
      <w:start w:val="1"/>
      <w:numFmt w:val="decimal"/>
      <w:pStyle w:val="Level1General"/>
      <w:lvlText w:val="%2."/>
      <w:lvlJc w:val="left"/>
      <w:pPr>
        <w:tabs>
          <w:tab w:val="num" w:pos="992"/>
        </w:tabs>
        <w:ind w:left="992" w:hanging="992"/>
      </w:pPr>
      <w:rPr>
        <w:rFonts w:ascii="Arial" w:hAnsi="Arial"/>
        <w:b w:val="0"/>
        <w:i w:val="0"/>
        <w:sz w:val="23"/>
        <w:szCs w:val="23"/>
      </w:rPr>
    </w:lvl>
    <w:lvl w:ilvl="2">
      <w:start w:val="1"/>
      <w:numFmt w:val="lowerLetter"/>
      <w:pStyle w:val="Level2General"/>
      <w:lvlText w:val="(%3)"/>
      <w:lvlJc w:val="left"/>
      <w:pPr>
        <w:tabs>
          <w:tab w:val="num" w:pos="992"/>
        </w:tabs>
        <w:ind w:left="992" w:hanging="992"/>
      </w:pPr>
      <w:rPr>
        <w:rFonts w:ascii="Times New Roman" w:hAnsi="Times New Roman"/>
        <w:b w:val="0"/>
      </w:rPr>
    </w:lvl>
    <w:lvl w:ilvl="3">
      <w:start w:val="1"/>
      <w:numFmt w:val="lowerRoman"/>
      <w:pStyle w:val="Level3General"/>
      <w:lvlText w:val="(%4)"/>
      <w:lvlJc w:val="left"/>
      <w:pPr>
        <w:tabs>
          <w:tab w:val="num" w:pos="1701"/>
        </w:tabs>
        <w:ind w:left="1701" w:hanging="709"/>
      </w:pPr>
      <w:rPr>
        <w:rFonts w:ascii="Times New Roman" w:hAnsi="Times New Roman"/>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0000003"/>
    <w:multiLevelType w:val="singleLevel"/>
    <w:tmpl w:val="00000003"/>
    <w:name w:val="WW8Num20"/>
    <w:lvl w:ilvl="0">
      <w:numFmt w:val="bullet"/>
      <w:lvlText w:val=""/>
      <w:lvlJc w:val="left"/>
      <w:pPr>
        <w:tabs>
          <w:tab w:val="num" w:pos="340"/>
        </w:tabs>
        <w:ind w:left="340" w:hanging="340"/>
      </w:pPr>
      <w:rPr>
        <w:rFonts w:ascii="Symbol" w:hAnsi="Symbol" w:cs="Symbol"/>
        <w:sz w:val="18"/>
      </w:rPr>
    </w:lvl>
  </w:abstractNum>
  <w:abstractNum w:abstractNumId="5">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36030D4"/>
    <w:multiLevelType w:val="hybridMultilevel"/>
    <w:tmpl w:val="275ECA86"/>
    <w:lvl w:ilvl="0" w:tplc="5D3080C2">
      <w:start w:val="1"/>
      <w:numFmt w:val="lowerRoman"/>
      <w:lvlText w:val="(%1)"/>
      <w:lvlJc w:val="left"/>
      <w:pPr>
        <w:ind w:left="1080" w:hanging="720"/>
      </w:pPr>
      <w:rPr>
        <w:rFonts w:asciiTheme="minorHAnsi" w:hAnsiTheme="minorHAnsi" w:cstheme="minorHAnsi" w:hint="default"/>
        <w:b/>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4454263"/>
    <w:multiLevelType w:val="hybridMultilevel"/>
    <w:tmpl w:val="D7A0BC32"/>
    <w:lvl w:ilvl="0" w:tplc="A8DA1DF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211D7CA0"/>
    <w:multiLevelType w:val="hybridMultilevel"/>
    <w:tmpl w:val="8F985BFA"/>
    <w:lvl w:ilvl="0" w:tplc="E58CE4C8">
      <w:start w:val="1"/>
      <w:numFmt w:val="lowerRoman"/>
      <w:lvlText w:val="(%1)"/>
      <w:lvlJc w:val="left"/>
      <w:pPr>
        <w:ind w:left="1080" w:hanging="72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6">
    <w:nsid w:val="26CB7AF1"/>
    <w:multiLevelType w:val="multilevel"/>
    <w:tmpl w:val="8B48C4DA"/>
    <w:styleLink w:val="List1"/>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nsid w:val="2E454A96"/>
    <w:multiLevelType w:val="hybridMultilevel"/>
    <w:tmpl w:val="90B0185E"/>
    <w:lvl w:ilvl="0" w:tplc="DC1E2DF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5D32534"/>
    <w:multiLevelType w:val="hybridMultilevel"/>
    <w:tmpl w:val="E016647E"/>
    <w:lvl w:ilvl="0" w:tplc="B5668300">
      <w:start w:val="1"/>
      <w:numFmt w:val="lowerRoman"/>
      <w:lvlText w:val="(%1)"/>
      <w:lvlJc w:val="left"/>
      <w:pPr>
        <w:ind w:left="1080" w:hanging="720"/>
      </w:pPr>
      <w:rPr>
        <w:rFonts w:asciiTheme="majorHAnsi" w:hAnsiTheme="majorHAnsi" w:cstheme="majorHAnsi" w:hint="default"/>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427D07A7"/>
    <w:multiLevelType w:val="hybridMultilevel"/>
    <w:tmpl w:val="6CA68944"/>
    <w:lvl w:ilvl="0" w:tplc="B5668300">
      <w:start w:val="1"/>
      <w:numFmt w:val="lowerRoman"/>
      <w:lvlText w:val="(%1)"/>
      <w:lvlJc w:val="left"/>
      <w:pPr>
        <w:ind w:left="1080" w:hanging="720"/>
      </w:pPr>
      <w:rPr>
        <w:rFonts w:asciiTheme="majorHAnsi" w:hAnsiTheme="majorHAnsi" w:cstheme="majorHAnsi" w:hint="default"/>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59C29E8"/>
    <w:multiLevelType w:val="hybridMultilevel"/>
    <w:tmpl w:val="FA22ABFA"/>
    <w:lvl w:ilvl="0" w:tplc="30CA280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CFB7751"/>
    <w:multiLevelType w:val="hybridMultilevel"/>
    <w:tmpl w:val="33B64684"/>
    <w:lvl w:ilvl="0" w:tplc="7BC0DAD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00F1A13"/>
    <w:multiLevelType w:val="hybridMultilevel"/>
    <w:tmpl w:val="DC621C22"/>
    <w:styleLink w:val="Bullet"/>
    <w:lvl w:ilvl="0" w:tplc="A5BE0FDE">
      <w:start w:val="1"/>
      <w:numFmt w:val="bullet"/>
      <w:lvlText w:val="•"/>
      <w:lvlJc w:val="left"/>
      <w:pPr>
        <w:ind w:left="1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A8908A">
      <w:start w:val="1"/>
      <w:numFmt w:val="bullet"/>
      <w:lvlText w:val="•"/>
      <w:lvlJc w:val="left"/>
      <w:pPr>
        <w:ind w:left="3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7A3474">
      <w:start w:val="1"/>
      <w:numFmt w:val="bullet"/>
      <w:lvlText w:val="•"/>
      <w:lvlJc w:val="left"/>
      <w:pPr>
        <w:ind w:left="5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6C3A90">
      <w:start w:val="1"/>
      <w:numFmt w:val="bullet"/>
      <w:lvlText w:val="•"/>
      <w:lvlJc w:val="left"/>
      <w:pPr>
        <w:ind w:left="7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AC37D2">
      <w:start w:val="1"/>
      <w:numFmt w:val="bullet"/>
      <w:lvlText w:val="•"/>
      <w:lvlJc w:val="left"/>
      <w:pPr>
        <w:ind w:left="9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33EC1D6">
      <w:start w:val="1"/>
      <w:numFmt w:val="bullet"/>
      <w:lvlText w:val="•"/>
      <w:lvlJc w:val="left"/>
      <w:pPr>
        <w:ind w:left="10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AF23CEE">
      <w:start w:val="1"/>
      <w:numFmt w:val="bullet"/>
      <w:lvlText w:val="•"/>
      <w:lvlJc w:val="left"/>
      <w:pPr>
        <w:ind w:left="12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8421ADC">
      <w:start w:val="1"/>
      <w:numFmt w:val="bullet"/>
      <w:lvlText w:val="•"/>
      <w:lvlJc w:val="left"/>
      <w:pPr>
        <w:ind w:left="14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94E218">
      <w:start w:val="1"/>
      <w:numFmt w:val="bullet"/>
      <w:lvlText w:val="•"/>
      <w:lvlJc w:val="left"/>
      <w:pPr>
        <w:ind w:left="16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101827"/>
    <w:multiLevelType w:val="multilevel"/>
    <w:tmpl w:val="072C6E52"/>
    <w:lvl w:ilvl="0">
      <w:start w:val="1"/>
      <w:numFmt w:val="bullet"/>
      <w:pStyle w:val="BoxBullet"/>
      <w:lvlText w:val="•"/>
      <w:lvlJc w:val="left"/>
      <w:pPr>
        <w:tabs>
          <w:tab w:val="num" w:pos="283"/>
        </w:tabs>
        <w:ind w:left="283" w:hanging="283"/>
      </w:pPr>
      <w:rPr>
        <w:rFonts w:ascii="Times New Roman" w:hAnsi="Times New Roman" w:cs="Times New Roman"/>
        <w:b w:val="0"/>
        <w:i w:val="0"/>
        <w:sz w:val="20"/>
      </w:rPr>
    </w:lvl>
    <w:lvl w:ilvl="1">
      <w:start w:val="1"/>
      <w:numFmt w:val="bullet"/>
      <w:lvlText w:val="–"/>
      <w:lvlJc w:val="left"/>
      <w:pPr>
        <w:tabs>
          <w:tab w:val="num" w:pos="567"/>
        </w:tabs>
        <w:ind w:left="567" w:hanging="284"/>
      </w:pPr>
      <w:rPr>
        <w:b w:val="0"/>
        <w:i w:val="0"/>
      </w:rPr>
    </w:lvl>
    <w:lvl w:ilvl="2">
      <w:start w:val="1"/>
      <w:numFmt w:val="bulle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6466FB"/>
    <w:multiLevelType w:val="hybridMultilevel"/>
    <w:tmpl w:val="A37A1EC2"/>
    <w:lvl w:ilvl="0" w:tplc="5E52DB20">
      <w:start w:val="1"/>
      <w:numFmt w:val="lowerRoman"/>
      <w:lvlText w:val="(%1)"/>
      <w:lvlJc w:val="left"/>
      <w:pPr>
        <w:ind w:left="720" w:hanging="360"/>
      </w:pPr>
      <w:rPr>
        <w:rFonts w:ascii="Arial" w:hAnsi="Arial" w:cs="Arial" w:hint="default"/>
        <w:b/>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4">
    <w:nsid w:val="65000806"/>
    <w:multiLevelType w:val="multilevel"/>
    <w:tmpl w:val="D7B83D32"/>
    <w:styleLink w:val="List2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5">
    <w:nsid w:val="70234071"/>
    <w:multiLevelType w:val="hybridMultilevel"/>
    <w:tmpl w:val="15420856"/>
    <w:lvl w:ilvl="0" w:tplc="E58CE4C8">
      <w:start w:val="1"/>
      <w:numFmt w:val="lowerRoman"/>
      <w:lvlText w:val="(%1)"/>
      <w:lvlJc w:val="left"/>
      <w:pPr>
        <w:ind w:left="720" w:hanging="360"/>
      </w:pPr>
      <w:rPr>
        <w:b/>
        <w:sz w:val="18"/>
        <w:szCs w:val="18"/>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9"/>
  </w:num>
  <w:num w:numId="2">
    <w:abstractNumId w:val="5"/>
  </w:num>
  <w:num w:numId="3">
    <w:abstractNumId w:val="26"/>
  </w:num>
  <w:num w:numId="4">
    <w:abstractNumId w:val="7"/>
  </w:num>
  <w:num w:numId="5">
    <w:abstractNumId w:val="33"/>
  </w:num>
  <w:num w:numId="6">
    <w:abstractNumId w:val="28"/>
  </w:num>
  <w:num w:numId="7">
    <w:abstractNumId w:val="11"/>
  </w:num>
  <w:num w:numId="8">
    <w:abstractNumId w:val="27"/>
  </w:num>
  <w:num w:numId="9">
    <w:abstractNumId w:val="10"/>
  </w:num>
  <w:num w:numId="10">
    <w:abstractNumId w:val="9"/>
  </w:num>
  <w:num w:numId="11">
    <w:abstractNumId w:val="15"/>
  </w:num>
  <w:num w:numId="12">
    <w:abstractNumId w:val="17"/>
  </w:num>
  <w:num w:numId="13">
    <w:abstractNumId w:val="8"/>
  </w:num>
  <w:num w:numId="14">
    <w:abstractNumId w:val="30"/>
  </w:num>
  <w:num w:numId="15">
    <w:abstractNumId w:val="36"/>
  </w:num>
  <w:num w:numId="16">
    <w:abstractNumId w:val="23"/>
  </w:num>
  <w:num w:numId="17">
    <w:abstractNumId w:val="37"/>
  </w:num>
  <w:num w:numId="18">
    <w:abstractNumId w:val="32"/>
  </w:num>
  <w:num w:numId="19">
    <w:abstractNumId w:val="13"/>
  </w:num>
  <w:num w:numId="20">
    <w:abstractNumId w:val="18"/>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6"/>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20"/>
  </w:num>
  <w:num w:numId="29">
    <w:abstractNumId w:val="12"/>
  </w:num>
  <w:num w:numId="30">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21"/>
  </w:num>
  <w:num w:numId="33">
    <w:abstractNumId w:val="34"/>
  </w:num>
  <w:num w:numId="34">
    <w:abstractNumId w:val="4"/>
  </w:num>
  <w:num w:numId="35">
    <w:abstractNumId w:val="2"/>
  </w:num>
  <w:num w:numId="36">
    <w:abstractNumId w:val="24"/>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6"/>
  </w:num>
  <w:num w:numId="40">
    <w:abstractNumId w:val="0"/>
  </w:num>
  <w:num w:numId="4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hideSpellingError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168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F004EE"/>
    <w:rsid w:val="000034F5"/>
    <w:rsid w:val="000227D5"/>
    <w:rsid w:val="000242CE"/>
    <w:rsid w:val="000245AA"/>
    <w:rsid w:val="00025722"/>
    <w:rsid w:val="00035562"/>
    <w:rsid w:val="0003664B"/>
    <w:rsid w:val="00037E2F"/>
    <w:rsid w:val="0004111F"/>
    <w:rsid w:val="00041EAB"/>
    <w:rsid w:val="00055077"/>
    <w:rsid w:val="000565B3"/>
    <w:rsid w:val="00056A97"/>
    <w:rsid w:val="00061DFD"/>
    <w:rsid w:val="0007150B"/>
    <w:rsid w:val="0007441C"/>
    <w:rsid w:val="000753F0"/>
    <w:rsid w:val="000876ED"/>
    <w:rsid w:val="000926A0"/>
    <w:rsid w:val="000938F5"/>
    <w:rsid w:val="00095663"/>
    <w:rsid w:val="000957B7"/>
    <w:rsid w:val="00096E55"/>
    <w:rsid w:val="0009783E"/>
    <w:rsid w:val="000A685E"/>
    <w:rsid w:val="000B1022"/>
    <w:rsid w:val="000B4A1B"/>
    <w:rsid w:val="000B50A5"/>
    <w:rsid w:val="000B601B"/>
    <w:rsid w:val="000C05CA"/>
    <w:rsid w:val="000C207E"/>
    <w:rsid w:val="000C5315"/>
    <w:rsid w:val="000D09E6"/>
    <w:rsid w:val="000D41E9"/>
    <w:rsid w:val="000D4974"/>
    <w:rsid w:val="000D673A"/>
    <w:rsid w:val="000D6AEB"/>
    <w:rsid w:val="000E7362"/>
    <w:rsid w:val="000F0035"/>
    <w:rsid w:val="000F04E7"/>
    <w:rsid w:val="000F060A"/>
    <w:rsid w:val="000F0EA4"/>
    <w:rsid w:val="000F420B"/>
    <w:rsid w:val="001031D2"/>
    <w:rsid w:val="00110116"/>
    <w:rsid w:val="00113ED8"/>
    <w:rsid w:val="00117212"/>
    <w:rsid w:val="00120072"/>
    <w:rsid w:val="001242AB"/>
    <w:rsid w:val="00126EB8"/>
    <w:rsid w:val="001274D4"/>
    <w:rsid w:val="001363AA"/>
    <w:rsid w:val="0013739A"/>
    <w:rsid w:val="00142165"/>
    <w:rsid w:val="0015055F"/>
    <w:rsid w:val="0015447D"/>
    <w:rsid w:val="0015795E"/>
    <w:rsid w:val="00162434"/>
    <w:rsid w:val="00163764"/>
    <w:rsid w:val="00174AB4"/>
    <w:rsid w:val="0017557B"/>
    <w:rsid w:val="00181749"/>
    <w:rsid w:val="00183E82"/>
    <w:rsid w:val="001878BB"/>
    <w:rsid w:val="001912F8"/>
    <w:rsid w:val="00191AE0"/>
    <w:rsid w:val="0019293B"/>
    <w:rsid w:val="0019426B"/>
    <w:rsid w:val="00197292"/>
    <w:rsid w:val="001A063A"/>
    <w:rsid w:val="001A6A4B"/>
    <w:rsid w:val="001A6BB3"/>
    <w:rsid w:val="001B4A67"/>
    <w:rsid w:val="001C0865"/>
    <w:rsid w:val="001C0AED"/>
    <w:rsid w:val="001C3ABA"/>
    <w:rsid w:val="001C4FE1"/>
    <w:rsid w:val="001C5111"/>
    <w:rsid w:val="001C5482"/>
    <w:rsid w:val="001D302F"/>
    <w:rsid w:val="001D5455"/>
    <w:rsid w:val="001D7E8D"/>
    <w:rsid w:val="001D7F17"/>
    <w:rsid w:val="001E16E5"/>
    <w:rsid w:val="001E5587"/>
    <w:rsid w:val="001E7BE8"/>
    <w:rsid w:val="001F0248"/>
    <w:rsid w:val="001F3EB3"/>
    <w:rsid w:val="001F4F86"/>
    <w:rsid w:val="00202C2C"/>
    <w:rsid w:val="00203050"/>
    <w:rsid w:val="00210196"/>
    <w:rsid w:val="00212302"/>
    <w:rsid w:val="00212649"/>
    <w:rsid w:val="002135AB"/>
    <w:rsid w:val="002144BE"/>
    <w:rsid w:val="00217111"/>
    <w:rsid w:val="002249B0"/>
    <w:rsid w:val="00226FBE"/>
    <w:rsid w:val="00234090"/>
    <w:rsid w:val="00242279"/>
    <w:rsid w:val="00243997"/>
    <w:rsid w:val="0024516C"/>
    <w:rsid w:val="00245C82"/>
    <w:rsid w:val="00253271"/>
    <w:rsid w:val="00261C3B"/>
    <w:rsid w:val="00264B83"/>
    <w:rsid w:val="0026617F"/>
    <w:rsid w:val="00266ACB"/>
    <w:rsid w:val="002724BA"/>
    <w:rsid w:val="00287EC6"/>
    <w:rsid w:val="00291B40"/>
    <w:rsid w:val="002947B4"/>
    <w:rsid w:val="002959AA"/>
    <w:rsid w:val="00296067"/>
    <w:rsid w:val="002A43F2"/>
    <w:rsid w:val="002A6C32"/>
    <w:rsid w:val="002B4008"/>
    <w:rsid w:val="002B6E4B"/>
    <w:rsid w:val="002C439F"/>
    <w:rsid w:val="002C5892"/>
    <w:rsid w:val="002C6F07"/>
    <w:rsid w:val="002D0C42"/>
    <w:rsid w:val="002D0E8E"/>
    <w:rsid w:val="002D69F5"/>
    <w:rsid w:val="002E2169"/>
    <w:rsid w:val="002E72BA"/>
    <w:rsid w:val="002F67C0"/>
    <w:rsid w:val="00301189"/>
    <w:rsid w:val="00301E4A"/>
    <w:rsid w:val="00302120"/>
    <w:rsid w:val="0030590B"/>
    <w:rsid w:val="00316583"/>
    <w:rsid w:val="003168B8"/>
    <w:rsid w:val="00322015"/>
    <w:rsid w:val="00322D64"/>
    <w:rsid w:val="00323E09"/>
    <w:rsid w:val="0033309F"/>
    <w:rsid w:val="00333585"/>
    <w:rsid w:val="00333932"/>
    <w:rsid w:val="00334E18"/>
    <w:rsid w:val="0034446A"/>
    <w:rsid w:val="003510E8"/>
    <w:rsid w:val="003518AA"/>
    <w:rsid w:val="00352165"/>
    <w:rsid w:val="00353182"/>
    <w:rsid w:val="00354D13"/>
    <w:rsid w:val="003565D9"/>
    <w:rsid w:val="003602E1"/>
    <w:rsid w:val="003611CC"/>
    <w:rsid w:val="0037026F"/>
    <w:rsid w:val="00371240"/>
    <w:rsid w:val="00373A48"/>
    <w:rsid w:val="00374731"/>
    <w:rsid w:val="00376E59"/>
    <w:rsid w:val="00377699"/>
    <w:rsid w:val="00377EC1"/>
    <w:rsid w:val="00380340"/>
    <w:rsid w:val="003919F9"/>
    <w:rsid w:val="003920CF"/>
    <w:rsid w:val="00393312"/>
    <w:rsid w:val="00393460"/>
    <w:rsid w:val="0039626F"/>
    <w:rsid w:val="003A2377"/>
    <w:rsid w:val="003A2EE6"/>
    <w:rsid w:val="003A4A41"/>
    <w:rsid w:val="003B23C2"/>
    <w:rsid w:val="003B589B"/>
    <w:rsid w:val="003C38B5"/>
    <w:rsid w:val="003C5482"/>
    <w:rsid w:val="003C5D99"/>
    <w:rsid w:val="003D1087"/>
    <w:rsid w:val="003D3BFC"/>
    <w:rsid w:val="003D4C6D"/>
    <w:rsid w:val="003D63D5"/>
    <w:rsid w:val="003E2F59"/>
    <w:rsid w:val="003E2FE9"/>
    <w:rsid w:val="003E36F5"/>
    <w:rsid w:val="003E746B"/>
    <w:rsid w:val="003F0789"/>
    <w:rsid w:val="003F2C20"/>
    <w:rsid w:val="00400BC7"/>
    <w:rsid w:val="00401361"/>
    <w:rsid w:val="00401882"/>
    <w:rsid w:val="00402585"/>
    <w:rsid w:val="0040412D"/>
    <w:rsid w:val="004100C8"/>
    <w:rsid w:val="0041056F"/>
    <w:rsid w:val="00411DBD"/>
    <w:rsid w:val="00412ACE"/>
    <w:rsid w:val="004145D2"/>
    <w:rsid w:val="00414B52"/>
    <w:rsid w:val="00424235"/>
    <w:rsid w:val="00426A49"/>
    <w:rsid w:val="00426CB4"/>
    <w:rsid w:val="00431249"/>
    <w:rsid w:val="00431360"/>
    <w:rsid w:val="00432C11"/>
    <w:rsid w:val="00434C19"/>
    <w:rsid w:val="00443EF5"/>
    <w:rsid w:val="00450810"/>
    <w:rsid w:val="00453ED9"/>
    <w:rsid w:val="0046055C"/>
    <w:rsid w:val="00460BC2"/>
    <w:rsid w:val="004613A1"/>
    <w:rsid w:val="00461932"/>
    <w:rsid w:val="00461DEB"/>
    <w:rsid w:val="00462C59"/>
    <w:rsid w:val="00470737"/>
    <w:rsid w:val="004734B0"/>
    <w:rsid w:val="00477144"/>
    <w:rsid w:val="00480539"/>
    <w:rsid w:val="0049050F"/>
    <w:rsid w:val="00491380"/>
    <w:rsid w:val="00491BD0"/>
    <w:rsid w:val="0049459F"/>
    <w:rsid w:val="004948B1"/>
    <w:rsid w:val="004A38DD"/>
    <w:rsid w:val="004A4866"/>
    <w:rsid w:val="004A663C"/>
    <w:rsid w:val="004B43AE"/>
    <w:rsid w:val="004B7080"/>
    <w:rsid w:val="004C30ED"/>
    <w:rsid w:val="004C4A0F"/>
    <w:rsid w:val="004C5422"/>
    <w:rsid w:val="004D5675"/>
    <w:rsid w:val="004D5DDF"/>
    <w:rsid w:val="004D685F"/>
    <w:rsid w:val="004E4739"/>
    <w:rsid w:val="004E54A4"/>
    <w:rsid w:val="004E7D1E"/>
    <w:rsid w:val="004F2698"/>
    <w:rsid w:val="004F3CCF"/>
    <w:rsid w:val="00500315"/>
    <w:rsid w:val="00502556"/>
    <w:rsid w:val="005029F3"/>
    <w:rsid w:val="00502A91"/>
    <w:rsid w:val="005038E5"/>
    <w:rsid w:val="005052F2"/>
    <w:rsid w:val="005151F2"/>
    <w:rsid w:val="00517795"/>
    <w:rsid w:val="00523639"/>
    <w:rsid w:val="00523A37"/>
    <w:rsid w:val="00531FE5"/>
    <w:rsid w:val="00535D38"/>
    <w:rsid w:val="005402FA"/>
    <w:rsid w:val="005440ED"/>
    <w:rsid w:val="00554C9C"/>
    <w:rsid w:val="0056004F"/>
    <w:rsid w:val="00562CB8"/>
    <w:rsid w:val="005673CE"/>
    <w:rsid w:val="0057179A"/>
    <w:rsid w:val="005729BD"/>
    <w:rsid w:val="00580154"/>
    <w:rsid w:val="00581BB1"/>
    <w:rsid w:val="00583C39"/>
    <w:rsid w:val="00586A90"/>
    <w:rsid w:val="00587F28"/>
    <w:rsid w:val="005909CF"/>
    <w:rsid w:val="00591B71"/>
    <w:rsid w:val="00591E71"/>
    <w:rsid w:val="00595817"/>
    <w:rsid w:val="005A0D41"/>
    <w:rsid w:val="005A1600"/>
    <w:rsid w:val="005A70F2"/>
    <w:rsid w:val="005B02D0"/>
    <w:rsid w:val="005B0BCE"/>
    <w:rsid w:val="005B1EF4"/>
    <w:rsid w:val="005B7846"/>
    <w:rsid w:val="005C40EF"/>
    <w:rsid w:val="005C5F0C"/>
    <w:rsid w:val="005C796D"/>
    <w:rsid w:val="005D0D65"/>
    <w:rsid w:val="005D329F"/>
    <w:rsid w:val="005D74C8"/>
    <w:rsid w:val="005D7A6F"/>
    <w:rsid w:val="005F48ED"/>
    <w:rsid w:val="00606E78"/>
    <w:rsid w:val="00607BF1"/>
    <w:rsid w:val="00614054"/>
    <w:rsid w:val="006158A4"/>
    <w:rsid w:val="0061637B"/>
    <w:rsid w:val="0061731D"/>
    <w:rsid w:val="00620C3B"/>
    <w:rsid w:val="00630D4D"/>
    <w:rsid w:val="00632A74"/>
    <w:rsid w:val="00646B71"/>
    <w:rsid w:val="00650D1A"/>
    <w:rsid w:val="006533BA"/>
    <w:rsid w:val="00654D42"/>
    <w:rsid w:val="00656F3B"/>
    <w:rsid w:val="006602F3"/>
    <w:rsid w:val="00663BE8"/>
    <w:rsid w:val="00666E02"/>
    <w:rsid w:val="006708D0"/>
    <w:rsid w:val="00674A41"/>
    <w:rsid w:val="00677D76"/>
    <w:rsid w:val="006808BE"/>
    <w:rsid w:val="00686682"/>
    <w:rsid w:val="00687CFB"/>
    <w:rsid w:val="00690D52"/>
    <w:rsid w:val="00692480"/>
    <w:rsid w:val="006A34D8"/>
    <w:rsid w:val="006A4655"/>
    <w:rsid w:val="006A615F"/>
    <w:rsid w:val="006B2B3C"/>
    <w:rsid w:val="006B3A9B"/>
    <w:rsid w:val="006B3C7E"/>
    <w:rsid w:val="006B4899"/>
    <w:rsid w:val="006B536D"/>
    <w:rsid w:val="006B6CFB"/>
    <w:rsid w:val="006B751E"/>
    <w:rsid w:val="006B787C"/>
    <w:rsid w:val="006C1D81"/>
    <w:rsid w:val="006C3B45"/>
    <w:rsid w:val="006C7038"/>
    <w:rsid w:val="006D01AF"/>
    <w:rsid w:val="006D38F3"/>
    <w:rsid w:val="006D4CC0"/>
    <w:rsid w:val="006E73EF"/>
    <w:rsid w:val="006F3267"/>
    <w:rsid w:val="007009D5"/>
    <w:rsid w:val="0070742B"/>
    <w:rsid w:val="007079C9"/>
    <w:rsid w:val="00714D4D"/>
    <w:rsid w:val="00720059"/>
    <w:rsid w:val="00723954"/>
    <w:rsid w:val="007266D3"/>
    <w:rsid w:val="0072797E"/>
    <w:rsid w:val="00732029"/>
    <w:rsid w:val="007344F4"/>
    <w:rsid w:val="00743A02"/>
    <w:rsid w:val="00744617"/>
    <w:rsid w:val="0074583A"/>
    <w:rsid w:val="00755FC4"/>
    <w:rsid w:val="007566CC"/>
    <w:rsid w:val="00756C20"/>
    <w:rsid w:val="007604BB"/>
    <w:rsid w:val="00760E83"/>
    <w:rsid w:val="00767BAD"/>
    <w:rsid w:val="00771EB2"/>
    <w:rsid w:val="00772909"/>
    <w:rsid w:val="00775ADE"/>
    <w:rsid w:val="00776706"/>
    <w:rsid w:val="00777FA0"/>
    <w:rsid w:val="00785232"/>
    <w:rsid w:val="007940D7"/>
    <w:rsid w:val="0079701E"/>
    <w:rsid w:val="007A01EB"/>
    <w:rsid w:val="007A21EB"/>
    <w:rsid w:val="007A281E"/>
    <w:rsid w:val="007A5D18"/>
    <w:rsid w:val="007B1A93"/>
    <w:rsid w:val="007B3FAB"/>
    <w:rsid w:val="007B642B"/>
    <w:rsid w:val="007C36C9"/>
    <w:rsid w:val="007C60FB"/>
    <w:rsid w:val="007D0C6C"/>
    <w:rsid w:val="007D1D69"/>
    <w:rsid w:val="007D2FC4"/>
    <w:rsid w:val="007D6401"/>
    <w:rsid w:val="007E01E4"/>
    <w:rsid w:val="007E1F20"/>
    <w:rsid w:val="007E7045"/>
    <w:rsid w:val="007E7A12"/>
    <w:rsid w:val="007F532E"/>
    <w:rsid w:val="007F5C32"/>
    <w:rsid w:val="007F7107"/>
    <w:rsid w:val="007F7E2D"/>
    <w:rsid w:val="00800A38"/>
    <w:rsid w:val="00800D4C"/>
    <w:rsid w:val="0080110C"/>
    <w:rsid w:val="00802150"/>
    <w:rsid w:val="00803918"/>
    <w:rsid w:val="008045CE"/>
    <w:rsid w:val="0080723D"/>
    <w:rsid w:val="0081030F"/>
    <w:rsid w:val="00812EF3"/>
    <w:rsid w:val="00812F4A"/>
    <w:rsid w:val="0082087D"/>
    <w:rsid w:val="008258B9"/>
    <w:rsid w:val="008310CB"/>
    <w:rsid w:val="00834F69"/>
    <w:rsid w:val="00835771"/>
    <w:rsid w:val="008406DE"/>
    <w:rsid w:val="00842933"/>
    <w:rsid w:val="00842D60"/>
    <w:rsid w:val="00842F9F"/>
    <w:rsid w:val="0084600D"/>
    <w:rsid w:val="008476FB"/>
    <w:rsid w:val="00853DD8"/>
    <w:rsid w:val="008569C9"/>
    <w:rsid w:val="0086082C"/>
    <w:rsid w:val="00862B00"/>
    <w:rsid w:val="008636C9"/>
    <w:rsid w:val="00864ADC"/>
    <w:rsid w:val="0086746B"/>
    <w:rsid w:val="00871FF3"/>
    <w:rsid w:val="008736F7"/>
    <w:rsid w:val="00880153"/>
    <w:rsid w:val="00880F97"/>
    <w:rsid w:val="0088133A"/>
    <w:rsid w:val="008913CB"/>
    <w:rsid w:val="0089285E"/>
    <w:rsid w:val="0089436C"/>
    <w:rsid w:val="00894ADE"/>
    <w:rsid w:val="008A083A"/>
    <w:rsid w:val="008A0BE2"/>
    <w:rsid w:val="008A52CC"/>
    <w:rsid w:val="008A5F02"/>
    <w:rsid w:val="008B22F7"/>
    <w:rsid w:val="008B3ACF"/>
    <w:rsid w:val="008B4A64"/>
    <w:rsid w:val="008B5CDC"/>
    <w:rsid w:val="008C02DD"/>
    <w:rsid w:val="008C347B"/>
    <w:rsid w:val="008D0ABD"/>
    <w:rsid w:val="008D19A7"/>
    <w:rsid w:val="008D2ED1"/>
    <w:rsid w:val="008D365C"/>
    <w:rsid w:val="008D4061"/>
    <w:rsid w:val="008D4ED3"/>
    <w:rsid w:val="008D7622"/>
    <w:rsid w:val="008E0B9A"/>
    <w:rsid w:val="008E0C48"/>
    <w:rsid w:val="008E5567"/>
    <w:rsid w:val="008E6414"/>
    <w:rsid w:val="008F567A"/>
    <w:rsid w:val="009021A6"/>
    <w:rsid w:val="009030BF"/>
    <w:rsid w:val="00903B52"/>
    <w:rsid w:val="0091032F"/>
    <w:rsid w:val="00912252"/>
    <w:rsid w:val="009134BF"/>
    <w:rsid w:val="0091355E"/>
    <w:rsid w:val="00914368"/>
    <w:rsid w:val="00921344"/>
    <w:rsid w:val="00922973"/>
    <w:rsid w:val="00923121"/>
    <w:rsid w:val="00924D0A"/>
    <w:rsid w:val="00931076"/>
    <w:rsid w:val="00931C15"/>
    <w:rsid w:val="009345D9"/>
    <w:rsid w:val="00934B15"/>
    <w:rsid w:val="00935FF5"/>
    <w:rsid w:val="00940C87"/>
    <w:rsid w:val="00942B62"/>
    <w:rsid w:val="009472B8"/>
    <w:rsid w:val="0095323B"/>
    <w:rsid w:val="00956A0C"/>
    <w:rsid w:val="00956BD9"/>
    <w:rsid w:val="009603FB"/>
    <w:rsid w:val="00962489"/>
    <w:rsid w:val="009659DA"/>
    <w:rsid w:val="00966339"/>
    <w:rsid w:val="00967CD3"/>
    <w:rsid w:val="0097072D"/>
    <w:rsid w:val="009776EA"/>
    <w:rsid w:val="0098411F"/>
    <w:rsid w:val="00987135"/>
    <w:rsid w:val="009901B2"/>
    <w:rsid w:val="00990C2C"/>
    <w:rsid w:val="009924C5"/>
    <w:rsid w:val="00994D5F"/>
    <w:rsid w:val="00995662"/>
    <w:rsid w:val="009972A8"/>
    <w:rsid w:val="009A2818"/>
    <w:rsid w:val="009A5171"/>
    <w:rsid w:val="009B2546"/>
    <w:rsid w:val="009B305E"/>
    <w:rsid w:val="009D4EDE"/>
    <w:rsid w:val="009D6639"/>
    <w:rsid w:val="009E1398"/>
    <w:rsid w:val="009E1844"/>
    <w:rsid w:val="009F0D1B"/>
    <w:rsid w:val="009F2A13"/>
    <w:rsid w:val="009F5BBD"/>
    <w:rsid w:val="009F696D"/>
    <w:rsid w:val="009F6BC6"/>
    <w:rsid w:val="009F6FF7"/>
    <w:rsid w:val="009F74EF"/>
    <w:rsid w:val="00A003FF"/>
    <w:rsid w:val="00A008F1"/>
    <w:rsid w:val="00A02826"/>
    <w:rsid w:val="00A0581D"/>
    <w:rsid w:val="00A11B19"/>
    <w:rsid w:val="00A12BC5"/>
    <w:rsid w:val="00A138D5"/>
    <w:rsid w:val="00A15D5A"/>
    <w:rsid w:val="00A16024"/>
    <w:rsid w:val="00A17328"/>
    <w:rsid w:val="00A205EA"/>
    <w:rsid w:val="00A20B6F"/>
    <w:rsid w:val="00A23A20"/>
    <w:rsid w:val="00A24443"/>
    <w:rsid w:val="00A26506"/>
    <w:rsid w:val="00A268B9"/>
    <w:rsid w:val="00A26F64"/>
    <w:rsid w:val="00A2703A"/>
    <w:rsid w:val="00A3392F"/>
    <w:rsid w:val="00A33DFF"/>
    <w:rsid w:val="00A35115"/>
    <w:rsid w:val="00A36D9A"/>
    <w:rsid w:val="00A40A71"/>
    <w:rsid w:val="00A43837"/>
    <w:rsid w:val="00A451DC"/>
    <w:rsid w:val="00A45A50"/>
    <w:rsid w:val="00A47430"/>
    <w:rsid w:val="00A54027"/>
    <w:rsid w:val="00A54191"/>
    <w:rsid w:val="00A554AB"/>
    <w:rsid w:val="00A57062"/>
    <w:rsid w:val="00A65BCD"/>
    <w:rsid w:val="00A67781"/>
    <w:rsid w:val="00A761F9"/>
    <w:rsid w:val="00A861C2"/>
    <w:rsid w:val="00A8700F"/>
    <w:rsid w:val="00A92B53"/>
    <w:rsid w:val="00A94FA6"/>
    <w:rsid w:val="00AA0D87"/>
    <w:rsid w:val="00AA261B"/>
    <w:rsid w:val="00AA2941"/>
    <w:rsid w:val="00AA2B25"/>
    <w:rsid w:val="00AA49A0"/>
    <w:rsid w:val="00AA6710"/>
    <w:rsid w:val="00AB0681"/>
    <w:rsid w:val="00AB174E"/>
    <w:rsid w:val="00AC3A15"/>
    <w:rsid w:val="00AC6B3C"/>
    <w:rsid w:val="00AD520B"/>
    <w:rsid w:val="00AE3BCC"/>
    <w:rsid w:val="00AF2043"/>
    <w:rsid w:val="00AF7692"/>
    <w:rsid w:val="00B02B54"/>
    <w:rsid w:val="00B11A65"/>
    <w:rsid w:val="00B14497"/>
    <w:rsid w:val="00B166D7"/>
    <w:rsid w:val="00B2752D"/>
    <w:rsid w:val="00B279D4"/>
    <w:rsid w:val="00B27A64"/>
    <w:rsid w:val="00B3757B"/>
    <w:rsid w:val="00B425C3"/>
    <w:rsid w:val="00B440AD"/>
    <w:rsid w:val="00B45BAE"/>
    <w:rsid w:val="00B478DA"/>
    <w:rsid w:val="00B479BB"/>
    <w:rsid w:val="00B5324E"/>
    <w:rsid w:val="00B53E7E"/>
    <w:rsid w:val="00B62D93"/>
    <w:rsid w:val="00B6342E"/>
    <w:rsid w:val="00B7113F"/>
    <w:rsid w:val="00B82AF4"/>
    <w:rsid w:val="00B902AD"/>
    <w:rsid w:val="00B9224B"/>
    <w:rsid w:val="00B96780"/>
    <w:rsid w:val="00BA135D"/>
    <w:rsid w:val="00BA2BCF"/>
    <w:rsid w:val="00BA5B14"/>
    <w:rsid w:val="00BA73B6"/>
    <w:rsid w:val="00BA7E27"/>
    <w:rsid w:val="00BB09AB"/>
    <w:rsid w:val="00BB2603"/>
    <w:rsid w:val="00BB3E75"/>
    <w:rsid w:val="00BB4FCD"/>
    <w:rsid w:val="00BB51B7"/>
    <w:rsid w:val="00BB7829"/>
    <w:rsid w:val="00BC04E9"/>
    <w:rsid w:val="00BC2438"/>
    <w:rsid w:val="00BC6607"/>
    <w:rsid w:val="00BD13EA"/>
    <w:rsid w:val="00BD189D"/>
    <w:rsid w:val="00BD298A"/>
    <w:rsid w:val="00BD3094"/>
    <w:rsid w:val="00BD4AE2"/>
    <w:rsid w:val="00BD75C3"/>
    <w:rsid w:val="00BE0A80"/>
    <w:rsid w:val="00BE1846"/>
    <w:rsid w:val="00BE28AC"/>
    <w:rsid w:val="00BE3808"/>
    <w:rsid w:val="00BE46DE"/>
    <w:rsid w:val="00BF1F0F"/>
    <w:rsid w:val="00BF2AE4"/>
    <w:rsid w:val="00BF47E6"/>
    <w:rsid w:val="00BF4B29"/>
    <w:rsid w:val="00C00137"/>
    <w:rsid w:val="00C03B88"/>
    <w:rsid w:val="00C062E9"/>
    <w:rsid w:val="00C064C7"/>
    <w:rsid w:val="00C06BDB"/>
    <w:rsid w:val="00C07B64"/>
    <w:rsid w:val="00C13721"/>
    <w:rsid w:val="00C14FE4"/>
    <w:rsid w:val="00C16802"/>
    <w:rsid w:val="00C23291"/>
    <w:rsid w:val="00C24D69"/>
    <w:rsid w:val="00C3066D"/>
    <w:rsid w:val="00C4091A"/>
    <w:rsid w:val="00C46280"/>
    <w:rsid w:val="00C52416"/>
    <w:rsid w:val="00C5278B"/>
    <w:rsid w:val="00C543F4"/>
    <w:rsid w:val="00C6291C"/>
    <w:rsid w:val="00C63292"/>
    <w:rsid w:val="00C633CB"/>
    <w:rsid w:val="00C664CD"/>
    <w:rsid w:val="00C66E58"/>
    <w:rsid w:val="00C70864"/>
    <w:rsid w:val="00C72C55"/>
    <w:rsid w:val="00C736B7"/>
    <w:rsid w:val="00C74ED7"/>
    <w:rsid w:val="00C77B10"/>
    <w:rsid w:val="00C77BE2"/>
    <w:rsid w:val="00C81D4A"/>
    <w:rsid w:val="00C85328"/>
    <w:rsid w:val="00C8762C"/>
    <w:rsid w:val="00C9716B"/>
    <w:rsid w:val="00CA00F9"/>
    <w:rsid w:val="00CA2961"/>
    <w:rsid w:val="00CA38EB"/>
    <w:rsid w:val="00CA5786"/>
    <w:rsid w:val="00CB50D7"/>
    <w:rsid w:val="00CB7177"/>
    <w:rsid w:val="00CB7CED"/>
    <w:rsid w:val="00CC070F"/>
    <w:rsid w:val="00CC16F7"/>
    <w:rsid w:val="00CC1998"/>
    <w:rsid w:val="00CC3318"/>
    <w:rsid w:val="00CC4946"/>
    <w:rsid w:val="00CC64A1"/>
    <w:rsid w:val="00CD262D"/>
    <w:rsid w:val="00CE2463"/>
    <w:rsid w:val="00CE2853"/>
    <w:rsid w:val="00CE2C7F"/>
    <w:rsid w:val="00CF3B11"/>
    <w:rsid w:val="00D0514B"/>
    <w:rsid w:val="00D07960"/>
    <w:rsid w:val="00D130D6"/>
    <w:rsid w:val="00D157B8"/>
    <w:rsid w:val="00D22FC9"/>
    <w:rsid w:val="00D270A4"/>
    <w:rsid w:val="00D303FD"/>
    <w:rsid w:val="00D31FE9"/>
    <w:rsid w:val="00D32FFE"/>
    <w:rsid w:val="00D34E1B"/>
    <w:rsid w:val="00D36B93"/>
    <w:rsid w:val="00D376BA"/>
    <w:rsid w:val="00D40CC3"/>
    <w:rsid w:val="00D434A0"/>
    <w:rsid w:val="00D45634"/>
    <w:rsid w:val="00D50E0C"/>
    <w:rsid w:val="00D51054"/>
    <w:rsid w:val="00D5568A"/>
    <w:rsid w:val="00D63D73"/>
    <w:rsid w:val="00D64452"/>
    <w:rsid w:val="00D665CF"/>
    <w:rsid w:val="00D66E1E"/>
    <w:rsid w:val="00D70696"/>
    <w:rsid w:val="00D7291E"/>
    <w:rsid w:val="00D75722"/>
    <w:rsid w:val="00D804E5"/>
    <w:rsid w:val="00D80CF5"/>
    <w:rsid w:val="00D9792A"/>
    <w:rsid w:val="00DA5BBA"/>
    <w:rsid w:val="00DA6918"/>
    <w:rsid w:val="00DA799A"/>
    <w:rsid w:val="00DB26D2"/>
    <w:rsid w:val="00DB4C27"/>
    <w:rsid w:val="00DB67C9"/>
    <w:rsid w:val="00DC0C95"/>
    <w:rsid w:val="00DC4F0B"/>
    <w:rsid w:val="00DD19A9"/>
    <w:rsid w:val="00DD1D40"/>
    <w:rsid w:val="00DD3FF7"/>
    <w:rsid w:val="00DD44C4"/>
    <w:rsid w:val="00DD4AA2"/>
    <w:rsid w:val="00DD6580"/>
    <w:rsid w:val="00DE1327"/>
    <w:rsid w:val="00DE13FF"/>
    <w:rsid w:val="00E00BBF"/>
    <w:rsid w:val="00E01D7F"/>
    <w:rsid w:val="00E04D21"/>
    <w:rsid w:val="00E05C03"/>
    <w:rsid w:val="00E11C47"/>
    <w:rsid w:val="00E127E8"/>
    <w:rsid w:val="00E17C72"/>
    <w:rsid w:val="00E21001"/>
    <w:rsid w:val="00E2129D"/>
    <w:rsid w:val="00E21A38"/>
    <w:rsid w:val="00E21FC6"/>
    <w:rsid w:val="00E22265"/>
    <w:rsid w:val="00E23AAC"/>
    <w:rsid w:val="00E431A9"/>
    <w:rsid w:val="00E46C8F"/>
    <w:rsid w:val="00E474C5"/>
    <w:rsid w:val="00E525B6"/>
    <w:rsid w:val="00E545D0"/>
    <w:rsid w:val="00E570ED"/>
    <w:rsid w:val="00E57E66"/>
    <w:rsid w:val="00E614F6"/>
    <w:rsid w:val="00E63C45"/>
    <w:rsid w:val="00E65540"/>
    <w:rsid w:val="00E669E2"/>
    <w:rsid w:val="00E73D80"/>
    <w:rsid w:val="00E76135"/>
    <w:rsid w:val="00E82F4F"/>
    <w:rsid w:val="00E82F59"/>
    <w:rsid w:val="00E864DF"/>
    <w:rsid w:val="00E91CC9"/>
    <w:rsid w:val="00E939E1"/>
    <w:rsid w:val="00E97C4C"/>
    <w:rsid w:val="00EA1417"/>
    <w:rsid w:val="00EA1602"/>
    <w:rsid w:val="00EA3F4F"/>
    <w:rsid w:val="00EA58BA"/>
    <w:rsid w:val="00EB2CC3"/>
    <w:rsid w:val="00EB429B"/>
    <w:rsid w:val="00EC2844"/>
    <w:rsid w:val="00EC29C5"/>
    <w:rsid w:val="00EC46C2"/>
    <w:rsid w:val="00EC5500"/>
    <w:rsid w:val="00ED18F8"/>
    <w:rsid w:val="00EE0A73"/>
    <w:rsid w:val="00EE6EDA"/>
    <w:rsid w:val="00EE778E"/>
    <w:rsid w:val="00EF35A0"/>
    <w:rsid w:val="00EF6719"/>
    <w:rsid w:val="00EF6C6C"/>
    <w:rsid w:val="00F004EE"/>
    <w:rsid w:val="00F01845"/>
    <w:rsid w:val="00F056FC"/>
    <w:rsid w:val="00F0632F"/>
    <w:rsid w:val="00F069AE"/>
    <w:rsid w:val="00F1013A"/>
    <w:rsid w:val="00F10476"/>
    <w:rsid w:val="00F129D7"/>
    <w:rsid w:val="00F135D8"/>
    <w:rsid w:val="00F17B1A"/>
    <w:rsid w:val="00F26752"/>
    <w:rsid w:val="00F27FDF"/>
    <w:rsid w:val="00F3118F"/>
    <w:rsid w:val="00F31299"/>
    <w:rsid w:val="00F3361E"/>
    <w:rsid w:val="00F338F2"/>
    <w:rsid w:val="00F347B0"/>
    <w:rsid w:val="00F3534A"/>
    <w:rsid w:val="00F35BFB"/>
    <w:rsid w:val="00F36ACC"/>
    <w:rsid w:val="00F40C42"/>
    <w:rsid w:val="00F42CDE"/>
    <w:rsid w:val="00F47EC5"/>
    <w:rsid w:val="00F50ADE"/>
    <w:rsid w:val="00F51609"/>
    <w:rsid w:val="00F55C25"/>
    <w:rsid w:val="00F65E6C"/>
    <w:rsid w:val="00F6666D"/>
    <w:rsid w:val="00F7280B"/>
    <w:rsid w:val="00F73727"/>
    <w:rsid w:val="00F737BC"/>
    <w:rsid w:val="00F766A7"/>
    <w:rsid w:val="00F81006"/>
    <w:rsid w:val="00F85325"/>
    <w:rsid w:val="00F922F8"/>
    <w:rsid w:val="00FA1891"/>
    <w:rsid w:val="00FA7377"/>
    <w:rsid w:val="00FA7E34"/>
    <w:rsid w:val="00FA7FFC"/>
    <w:rsid w:val="00FC6583"/>
    <w:rsid w:val="00FC65A8"/>
    <w:rsid w:val="00FC7C36"/>
    <w:rsid w:val="00FD22B1"/>
    <w:rsid w:val="00FD2A4C"/>
    <w:rsid w:val="00FD3172"/>
    <w:rsid w:val="00FD33F1"/>
    <w:rsid w:val="00FD3566"/>
    <w:rsid w:val="00FD3D3F"/>
    <w:rsid w:val="00FD47D4"/>
    <w:rsid w:val="00FD53A5"/>
    <w:rsid w:val="00FE0458"/>
    <w:rsid w:val="00FE0CC7"/>
    <w:rsid w:val="00FE28AF"/>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footnote text" w:uiPriority="99" w:qFormat="1"/>
    <w:lsdException w:name="footnote reference" w:uiPriority="99" w:qFormat="1"/>
    <w:lsdException w:name="Body Text"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Definition" w:uiPriority="99"/>
    <w:lsdException w:name="HTML Typewriter"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semiHidden/>
    <w:rsid w:val="00A17328"/>
    <w:pPr>
      <w:spacing w:after="60"/>
      <w:jc w:val="left"/>
      <w:outlineLvl w:val="5"/>
    </w:pPr>
    <w:rPr>
      <w:i/>
      <w:sz w:val="22"/>
    </w:rPr>
  </w:style>
  <w:style w:type="paragraph" w:styleId="Heading7">
    <w:name w:val="heading 7"/>
    <w:basedOn w:val="BodyText"/>
    <w:next w:val="BodyText"/>
    <w:link w:val="Heading7Char"/>
    <w:semiHidden/>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semiHidden/>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aliases w:val="JLIS,Ref,de nota al pie,Footnotes refss,Footnote number,opcalrc,callout,4_G"/>
    <w:basedOn w:val="DefaultParagraphFont"/>
    <w:uiPriority w:val="99"/>
    <w:qFormat/>
    <w:rsid w:val="00243997"/>
    <w:rPr>
      <w:rFonts w:ascii="Times New Roman" w:hAnsi="Times New Roman"/>
      <w:position w:val="6"/>
      <w:sz w:val="20"/>
      <w:vertAlign w:val="baseline"/>
    </w:rPr>
  </w:style>
  <w:style w:type="paragraph" w:styleId="FootnoteText">
    <w:name w:val="footnote text"/>
    <w:aliases w:val="Footnote ak,ft,Footnote Text Char Char Char Char Char,Thesis Footnote Text,Footnote Text Char Char Char,Footnote Text Char Char,single space,Note de bas de page Car,Car,Fußnote RiLiDick,fn,Footnotes,Fu§note RiLiDick"/>
    <w:basedOn w:val="BodyText"/>
    <w:link w:val="FootnoteTextChar"/>
    <w:uiPriority w:val="99"/>
    <w:qForma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1 Char,new legislation style Char,new legislation style1 Char,new legislation style Ch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F004EE"/>
    <w:rPr>
      <w:rFonts w:ascii="Arial" w:hAnsi="Arial"/>
      <w:b/>
      <w:sz w:val="26"/>
    </w:rPr>
  </w:style>
  <w:style w:type="paragraph" w:customStyle="1" w:styleId="BoxSpaceAboveElement">
    <w:name w:val="Box Space Above Element"/>
    <w:basedOn w:val="BoxSpaceAbove"/>
    <w:link w:val="BoxSpaceAboveElementChar"/>
    <w:qFormat/>
    <w:rsid w:val="00F004EE"/>
    <w:pPr>
      <w:spacing w:before="240"/>
    </w:pPr>
    <w:rPr>
      <w:b/>
      <w:vanish/>
      <w:color w:val="FF00FF"/>
      <w:sz w:val="14"/>
    </w:rPr>
  </w:style>
  <w:style w:type="character" w:customStyle="1" w:styleId="BoxSpaceAboveElementChar">
    <w:name w:val="Box Space Above Element Char"/>
    <w:basedOn w:val="DefaultParagraphFont"/>
    <w:link w:val="BoxSpaceAboveElement"/>
    <w:rsid w:val="00F004EE"/>
    <w:rPr>
      <w:b/>
      <w:vanish/>
      <w:color w:val="FF00FF"/>
      <w:sz w:val="14"/>
    </w:rPr>
  </w:style>
  <w:style w:type="character" w:customStyle="1" w:styleId="Heading2Char">
    <w:name w:val="Heading 2 Char"/>
    <w:basedOn w:val="DefaultParagraphFont"/>
    <w:link w:val="Heading2"/>
    <w:rsid w:val="00F004EE"/>
    <w:rPr>
      <w:rFonts w:ascii="Arial" w:hAnsi="Arial"/>
      <w:b/>
      <w:sz w:val="32"/>
    </w:rPr>
  </w:style>
  <w:style w:type="character" w:customStyle="1" w:styleId="FootnoteTextChar">
    <w:name w:val="Footnote Text Char"/>
    <w:aliases w:val="Footnote ak Char,ft Char,Footnote Text Char Char Char Char Char Char,Thesis Footnote Text Char,Footnote Text Char Char Char Char,Footnote Text Char Char Char1,single space Char,Note de bas de page Car Char,Car Char,fn Char"/>
    <w:basedOn w:val="DefaultParagraphFont"/>
    <w:link w:val="FootnoteText"/>
    <w:uiPriority w:val="99"/>
    <w:rsid w:val="00F004EE"/>
  </w:style>
  <w:style w:type="character" w:customStyle="1" w:styleId="QuoteChar">
    <w:name w:val="Quote Char"/>
    <w:basedOn w:val="DefaultParagraphFont"/>
    <w:link w:val="Quote"/>
    <w:rsid w:val="00F004EE"/>
    <w:rPr>
      <w:sz w:val="22"/>
    </w:rPr>
  </w:style>
  <w:style w:type="character" w:customStyle="1" w:styleId="Heading4Char">
    <w:name w:val="Heading 4 Char"/>
    <w:basedOn w:val="DefaultParagraphFont"/>
    <w:link w:val="Heading4"/>
    <w:rsid w:val="00F004EE"/>
    <w:rPr>
      <w:rFonts w:ascii="Arial" w:hAnsi="Arial"/>
      <w:sz w:val="24"/>
    </w:rPr>
  </w:style>
  <w:style w:type="character" w:customStyle="1" w:styleId="BoxChar">
    <w:name w:val="Box Char"/>
    <w:link w:val="Box"/>
    <w:locked/>
    <w:rsid w:val="00F004EE"/>
    <w:rPr>
      <w:rFonts w:ascii="Arial" w:hAnsi="Arial"/>
    </w:rPr>
  </w:style>
  <w:style w:type="character" w:customStyle="1" w:styleId="BoxListBulletChar">
    <w:name w:val="Box List Bullet Char"/>
    <w:link w:val="BoxListBullet"/>
    <w:locked/>
    <w:rsid w:val="00F004EE"/>
    <w:rPr>
      <w:rFonts w:ascii="Arial" w:hAnsi="Arial"/>
    </w:rPr>
  </w:style>
  <w:style w:type="character" w:customStyle="1" w:styleId="ListBulletChar">
    <w:name w:val="List Bullet Char"/>
    <w:basedOn w:val="DefaultParagraphFont"/>
    <w:link w:val="ListBullet"/>
    <w:locked/>
    <w:rsid w:val="00F004EE"/>
    <w:rPr>
      <w:sz w:val="24"/>
    </w:rPr>
  </w:style>
  <w:style w:type="paragraph" w:styleId="Revision">
    <w:name w:val="Revision"/>
    <w:hidden/>
    <w:uiPriority w:val="99"/>
    <w:semiHidden/>
    <w:rsid w:val="00F004EE"/>
    <w:rPr>
      <w:sz w:val="24"/>
      <w:szCs w:val="24"/>
    </w:rPr>
  </w:style>
  <w:style w:type="paragraph" w:styleId="Bibliography">
    <w:name w:val="Bibliography"/>
    <w:basedOn w:val="Normal"/>
    <w:next w:val="Normal"/>
    <w:uiPriority w:val="37"/>
    <w:unhideWhenUsed/>
    <w:rsid w:val="00F004EE"/>
    <w:pPr>
      <w:spacing w:after="240"/>
      <w:ind w:left="720" w:hanging="720"/>
    </w:pPr>
  </w:style>
  <w:style w:type="paragraph" w:styleId="CommentSubject">
    <w:name w:val="annotation subject"/>
    <w:basedOn w:val="CommentText"/>
    <w:next w:val="CommentText"/>
    <w:link w:val="CommentSubjectChar"/>
    <w:rsid w:val="00F004EE"/>
    <w:pPr>
      <w:spacing w:before="0" w:line="240" w:lineRule="auto"/>
      <w:ind w:left="0" w:firstLine="0"/>
    </w:pPr>
    <w:rPr>
      <w:b/>
      <w:bCs/>
      <w:szCs w:val="20"/>
    </w:rPr>
  </w:style>
  <w:style w:type="character" w:customStyle="1" w:styleId="CommentTextChar">
    <w:name w:val="Comment Text Char"/>
    <w:basedOn w:val="DefaultParagraphFont"/>
    <w:link w:val="CommentText"/>
    <w:rsid w:val="00F004EE"/>
    <w:rPr>
      <w:szCs w:val="24"/>
    </w:rPr>
  </w:style>
  <w:style w:type="character" w:customStyle="1" w:styleId="CommentSubjectChar">
    <w:name w:val="Comment Subject Char"/>
    <w:basedOn w:val="CommentTextChar"/>
    <w:link w:val="CommentSubject"/>
    <w:rsid w:val="00F004EE"/>
    <w:rPr>
      <w:b/>
      <w:bCs/>
      <w:szCs w:val="24"/>
    </w:rPr>
  </w:style>
  <w:style w:type="character" w:styleId="Hyperlink">
    <w:name w:val="Hyperlink"/>
    <w:basedOn w:val="DefaultParagraphFont"/>
    <w:uiPriority w:val="99"/>
    <w:rsid w:val="00F004EE"/>
    <w:rPr>
      <w:color w:val="78A22F" w:themeColor="hyperlink"/>
      <w:u w:val="single"/>
    </w:rPr>
  </w:style>
  <w:style w:type="character" w:customStyle="1" w:styleId="apple-converted-space">
    <w:name w:val="apple-converted-space"/>
    <w:basedOn w:val="DefaultParagraphFont"/>
    <w:rsid w:val="00F004EE"/>
  </w:style>
  <w:style w:type="character" w:styleId="EndnoteReference">
    <w:name w:val="endnote reference"/>
    <w:basedOn w:val="DefaultParagraphFont"/>
    <w:rsid w:val="00F004EE"/>
    <w:rPr>
      <w:vertAlign w:val="superscript"/>
    </w:rPr>
  </w:style>
  <w:style w:type="paragraph" w:customStyle="1" w:styleId="Default">
    <w:name w:val="Default"/>
    <w:rsid w:val="00F004EE"/>
    <w:pPr>
      <w:autoSpaceDE w:val="0"/>
      <w:autoSpaceDN w:val="0"/>
      <w:adjustRightInd w:val="0"/>
    </w:pPr>
    <w:rPr>
      <w:rFonts w:ascii="Arial" w:hAnsi="Arial" w:cs="Arial"/>
      <w:color w:val="000000"/>
      <w:sz w:val="24"/>
      <w:szCs w:val="24"/>
    </w:rPr>
  </w:style>
  <w:style w:type="paragraph" w:customStyle="1" w:styleId="Level1General">
    <w:name w:val="Level 1 (General)"/>
    <w:basedOn w:val="Normal"/>
    <w:rsid w:val="00F004EE"/>
    <w:pPr>
      <w:numPr>
        <w:ilvl w:val="1"/>
        <w:numId w:val="24"/>
      </w:numPr>
      <w:tabs>
        <w:tab w:val="left" w:pos="1701"/>
        <w:tab w:val="left" w:pos="2409"/>
      </w:tabs>
      <w:spacing w:after="240"/>
      <w:jc w:val="both"/>
      <w:outlineLvl w:val="0"/>
    </w:pPr>
    <w:rPr>
      <w:rFonts w:eastAsiaTheme="minorEastAsia"/>
      <w:sz w:val="23"/>
      <w:szCs w:val="20"/>
      <w:lang w:eastAsia="en-US"/>
    </w:rPr>
  </w:style>
  <w:style w:type="paragraph" w:customStyle="1" w:styleId="Level2General">
    <w:name w:val="Level 2 (General)"/>
    <w:basedOn w:val="Normal"/>
    <w:rsid w:val="00F004EE"/>
    <w:pPr>
      <w:numPr>
        <w:ilvl w:val="2"/>
        <w:numId w:val="24"/>
      </w:numPr>
      <w:tabs>
        <w:tab w:val="left" w:pos="1701"/>
        <w:tab w:val="left" w:pos="2409"/>
      </w:tabs>
      <w:spacing w:after="240"/>
      <w:jc w:val="both"/>
      <w:outlineLvl w:val="1"/>
    </w:pPr>
    <w:rPr>
      <w:rFonts w:eastAsiaTheme="minorEastAsia"/>
      <w:sz w:val="23"/>
      <w:szCs w:val="20"/>
      <w:lang w:eastAsia="en-US"/>
    </w:rPr>
  </w:style>
  <w:style w:type="paragraph" w:customStyle="1" w:styleId="Level3General">
    <w:name w:val="Level 3 (General)"/>
    <w:basedOn w:val="Normal"/>
    <w:rsid w:val="00F004EE"/>
    <w:pPr>
      <w:numPr>
        <w:ilvl w:val="3"/>
        <w:numId w:val="24"/>
      </w:numPr>
      <w:tabs>
        <w:tab w:val="left" w:pos="2409"/>
      </w:tabs>
      <w:spacing w:after="240"/>
      <w:jc w:val="both"/>
      <w:outlineLvl w:val="2"/>
    </w:pPr>
    <w:rPr>
      <w:rFonts w:eastAsiaTheme="minorEastAsia"/>
      <w:sz w:val="23"/>
      <w:szCs w:val="20"/>
      <w:lang w:eastAsia="en-US"/>
    </w:rPr>
  </w:style>
  <w:style w:type="paragraph" w:customStyle="1" w:styleId="Level0General">
    <w:name w:val="Level 0 (General)"/>
    <w:basedOn w:val="Normal"/>
    <w:next w:val="Normal"/>
    <w:rsid w:val="00F004EE"/>
    <w:pPr>
      <w:numPr>
        <w:numId w:val="24"/>
      </w:numPr>
      <w:tabs>
        <w:tab w:val="left" w:pos="1701"/>
        <w:tab w:val="left" w:pos="2409"/>
      </w:tabs>
      <w:spacing w:line="20" w:lineRule="exact"/>
      <w:jc w:val="both"/>
    </w:pPr>
    <w:rPr>
      <w:rFonts w:ascii="Arial" w:eastAsiaTheme="minorEastAsia" w:hAnsi="Arial"/>
      <w:b/>
      <w:color w:val="FFFFFF"/>
      <w:sz w:val="23"/>
      <w:szCs w:val="20"/>
      <w:lang w:eastAsia="en-US"/>
    </w:rPr>
  </w:style>
  <w:style w:type="paragraph" w:styleId="ListParagraph">
    <w:name w:val="List Paragraph"/>
    <w:aliases w:val="Recommendation,List Paragraph1,List Paragraph11,L,CV text,Table text,F5 List Paragraph,Dot pt,Bulleted Para,NFP GP Bulleted List,FooterText,numbered,Paragraphe de liste1,Bulletr List Paragraph,列出段落,列出段落1,List Paragraph2,List Paragraph21"/>
    <w:basedOn w:val="Normal"/>
    <w:link w:val="ListParagraphChar"/>
    <w:uiPriority w:val="34"/>
    <w:qFormat/>
    <w:rsid w:val="00F004E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mmentTextChar1">
    <w:name w:val="Comment Text Char1"/>
    <w:basedOn w:val="DefaultParagraphFont"/>
    <w:rsid w:val="00F004EE"/>
    <w:rPr>
      <w:szCs w:val="24"/>
    </w:rPr>
  </w:style>
  <w:style w:type="character" w:styleId="PlaceholderText">
    <w:name w:val="Placeholder Text"/>
    <w:basedOn w:val="DefaultParagraphFont"/>
    <w:uiPriority w:val="99"/>
    <w:semiHidden/>
    <w:rsid w:val="00F004EE"/>
    <w:rPr>
      <w:color w:val="808080"/>
    </w:rPr>
  </w:style>
  <w:style w:type="numbering" w:customStyle="1" w:styleId="List1">
    <w:name w:val="List 1"/>
    <w:basedOn w:val="NoList"/>
    <w:rsid w:val="00F004EE"/>
    <w:pPr>
      <w:numPr>
        <w:numId w:val="25"/>
      </w:numPr>
    </w:pPr>
  </w:style>
  <w:style w:type="character" w:styleId="FollowedHyperlink">
    <w:name w:val="FollowedHyperlink"/>
    <w:basedOn w:val="DefaultParagraphFont"/>
    <w:unhideWhenUsed/>
    <w:rsid w:val="00F004EE"/>
    <w:rPr>
      <w:color w:val="387DD2" w:themeColor="followedHyperlink"/>
      <w:u w:val="single"/>
    </w:rPr>
  </w:style>
  <w:style w:type="character" w:customStyle="1" w:styleId="A7">
    <w:name w:val="A7"/>
    <w:uiPriority w:val="99"/>
    <w:rsid w:val="00F004EE"/>
    <w:rPr>
      <w:rFonts w:cs="Century Gothic"/>
      <w:color w:val="000000"/>
      <w:sz w:val="10"/>
      <w:szCs w:val="10"/>
    </w:rPr>
  </w:style>
  <w:style w:type="paragraph" w:styleId="NormalWeb">
    <w:name w:val="Normal (Web)"/>
    <w:basedOn w:val="Normal"/>
    <w:uiPriority w:val="99"/>
    <w:unhideWhenUsed/>
    <w:rsid w:val="00F004EE"/>
    <w:pPr>
      <w:spacing w:before="100" w:beforeAutospacing="1" w:after="100" w:afterAutospacing="1"/>
    </w:pPr>
    <w:rPr>
      <w:rFonts w:eastAsiaTheme="minorEastAsia"/>
    </w:rPr>
  </w:style>
  <w:style w:type="paragraph" w:styleId="Title">
    <w:name w:val="Title"/>
    <w:basedOn w:val="Normal"/>
    <w:next w:val="Normal"/>
    <w:link w:val="TitleChar"/>
    <w:rsid w:val="00F004EE"/>
    <w:pPr>
      <w:keepNext/>
      <w:keepLines/>
      <w:spacing w:before="480" w:after="120"/>
      <w:contextualSpacing/>
    </w:pPr>
    <w:rPr>
      <w:rFonts w:ascii="Cambria" w:eastAsia="Cambria" w:hAnsi="Cambria" w:cs="Cambria"/>
      <w:b/>
      <w:color w:val="000000"/>
      <w:sz w:val="72"/>
      <w:szCs w:val="72"/>
    </w:rPr>
  </w:style>
  <w:style w:type="character" w:customStyle="1" w:styleId="TitleChar">
    <w:name w:val="Title Char"/>
    <w:basedOn w:val="DefaultParagraphFont"/>
    <w:link w:val="Title"/>
    <w:rsid w:val="00F004EE"/>
    <w:rPr>
      <w:rFonts w:ascii="Cambria" w:eastAsia="Cambria" w:hAnsi="Cambria" w:cs="Cambria"/>
      <w:b/>
      <w:color w:val="000000"/>
      <w:sz w:val="72"/>
      <w:szCs w:val="72"/>
    </w:rPr>
  </w:style>
  <w:style w:type="character" w:styleId="Strong">
    <w:name w:val="Strong"/>
    <w:basedOn w:val="DefaultParagraphFont"/>
    <w:uiPriority w:val="22"/>
    <w:qFormat/>
    <w:rsid w:val="00F004EE"/>
    <w:rPr>
      <w:b/>
      <w:bCs/>
    </w:rPr>
  </w:style>
  <w:style w:type="character" w:customStyle="1" w:styleId="a">
    <w:name w:val="a"/>
    <w:basedOn w:val="DefaultParagraphFont"/>
    <w:rsid w:val="00F004EE"/>
  </w:style>
  <w:style w:type="character" w:customStyle="1" w:styleId="l6">
    <w:name w:val="l6"/>
    <w:basedOn w:val="DefaultParagraphFont"/>
    <w:rsid w:val="00F004EE"/>
  </w:style>
  <w:style w:type="character" w:customStyle="1" w:styleId="l8">
    <w:name w:val="l8"/>
    <w:basedOn w:val="DefaultParagraphFont"/>
    <w:rsid w:val="00F004EE"/>
  </w:style>
  <w:style w:type="character" w:customStyle="1" w:styleId="l7">
    <w:name w:val="l7"/>
    <w:basedOn w:val="DefaultParagraphFont"/>
    <w:rsid w:val="00F004EE"/>
  </w:style>
  <w:style w:type="character" w:customStyle="1" w:styleId="l">
    <w:name w:val="l"/>
    <w:basedOn w:val="DefaultParagraphFont"/>
    <w:rsid w:val="00F004EE"/>
  </w:style>
  <w:style w:type="character" w:customStyle="1" w:styleId="HeaderChar">
    <w:name w:val="Header Char"/>
    <w:basedOn w:val="DefaultParagraphFont"/>
    <w:link w:val="Header"/>
    <w:rsid w:val="00F004EE"/>
    <w:rPr>
      <w:rFonts w:ascii="Arial" w:hAnsi="Arial"/>
      <w:caps/>
      <w:sz w:val="24"/>
    </w:rPr>
  </w:style>
  <w:style w:type="character" w:styleId="HTMLTypewriter">
    <w:name w:val="HTML Typewriter"/>
    <w:basedOn w:val="DefaultParagraphFont"/>
    <w:uiPriority w:val="99"/>
    <w:unhideWhenUsed/>
    <w:rsid w:val="00F004EE"/>
    <w:rPr>
      <w:rFonts w:ascii="Courier New" w:eastAsia="Times New Roman" w:hAnsi="Courier New" w:cs="Courier New"/>
      <w:sz w:val="20"/>
      <w:szCs w:val="20"/>
    </w:rPr>
  </w:style>
  <w:style w:type="paragraph" w:customStyle="1" w:styleId="Body">
    <w:name w:val="Body"/>
    <w:rsid w:val="00F004EE"/>
    <w:pPr>
      <w:pBdr>
        <w:top w:val="nil"/>
        <w:left w:val="nil"/>
        <w:bottom w:val="nil"/>
        <w:right w:val="nil"/>
        <w:between w:val="nil"/>
        <w:bar w:val="nil"/>
      </w:pBdr>
    </w:pPr>
    <w:rPr>
      <w:rFonts w:ascii="Helvetica" w:eastAsia="Arial Unicode MS" w:hAnsi="Helvetica" w:cs="Arial Unicode MS"/>
      <w:color w:val="000000"/>
      <w:sz w:val="22"/>
      <w:szCs w:val="22"/>
      <w:bdr w:val="nil"/>
      <w:lang w:val="en-US"/>
    </w:rPr>
  </w:style>
  <w:style w:type="numbering" w:customStyle="1" w:styleId="Bullet">
    <w:name w:val="Bullet"/>
    <w:rsid w:val="00F004EE"/>
    <w:pPr>
      <w:numPr>
        <w:numId w:val="27"/>
      </w:numPr>
    </w:pPr>
  </w:style>
  <w:style w:type="character" w:customStyle="1" w:styleId="A11">
    <w:name w:val="A11"/>
    <w:uiPriority w:val="99"/>
    <w:rsid w:val="00F004EE"/>
    <w:rPr>
      <w:color w:val="000000"/>
      <w:sz w:val="11"/>
      <w:szCs w:val="11"/>
    </w:rPr>
  </w:style>
  <w:style w:type="paragraph" w:customStyle="1" w:styleId="sotext">
    <w:name w:val="sotext"/>
    <w:basedOn w:val="Normal"/>
    <w:rsid w:val="00F004EE"/>
    <w:pPr>
      <w:spacing w:before="100" w:beforeAutospacing="1" w:after="100" w:afterAutospacing="1"/>
    </w:pPr>
  </w:style>
  <w:style w:type="character" w:customStyle="1" w:styleId="A8">
    <w:name w:val="A8"/>
    <w:uiPriority w:val="99"/>
    <w:rsid w:val="00F004EE"/>
    <w:rPr>
      <w:color w:val="000000"/>
      <w:sz w:val="14"/>
      <w:szCs w:val="14"/>
    </w:rPr>
  </w:style>
  <w:style w:type="character" w:customStyle="1" w:styleId="Heading1Char">
    <w:name w:val="Heading 1 Char"/>
    <w:basedOn w:val="DefaultParagraphFont"/>
    <w:link w:val="Heading1"/>
    <w:rsid w:val="00F004EE"/>
    <w:rPr>
      <w:sz w:val="52"/>
    </w:rPr>
  </w:style>
  <w:style w:type="paragraph" w:customStyle="1" w:styleId="body-text-no-indent-3">
    <w:name w:val="body-text-no-indent-3"/>
    <w:basedOn w:val="Normal"/>
    <w:rsid w:val="00F004EE"/>
    <w:pPr>
      <w:spacing w:before="100" w:beforeAutospacing="1" w:after="100" w:afterAutospacing="1"/>
    </w:pPr>
    <w:rPr>
      <w:lang w:val="en-GB" w:eastAsia="en-GB"/>
    </w:rPr>
  </w:style>
  <w:style w:type="character" w:customStyle="1" w:styleId="char-style-override-9">
    <w:name w:val="char-style-override-9"/>
    <w:basedOn w:val="DefaultParagraphFont"/>
    <w:rsid w:val="00F004EE"/>
  </w:style>
  <w:style w:type="character" w:styleId="HTMLDefinition">
    <w:name w:val="HTML Definition"/>
    <w:basedOn w:val="DefaultParagraphFont"/>
    <w:uiPriority w:val="99"/>
    <w:unhideWhenUsed/>
    <w:rsid w:val="00F004EE"/>
    <w:rPr>
      <w:i/>
      <w:iCs/>
    </w:rPr>
  </w:style>
  <w:style w:type="paragraph" w:customStyle="1" w:styleId="Pa3">
    <w:name w:val="Pa3"/>
    <w:basedOn w:val="Default"/>
    <w:next w:val="Default"/>
    <w:uiPriority w:val="99"/>
    <w:rsid w:val="00F004EE"/>
    <w:pPr>
      <w:spacing w:line="181" w:lineRule="atLeast"/>
    </w:pPr>
    <w:rPr>
      <w:color w:val="auto"/>
      <w:lang w:val="en-GB"/>
    </w:rPr>
  </w:style>
  <w:style w:type="character" w:customStyle="1" w:styleId="A5">
    <w:name w:val="A5"/>
    <w:uiPriority w:val="99"/>
    <w:rsid w:val="00F004EE"/>
    <w:rPr>
      <w:i/>
      <w:iCs/>
      <w:color w:val="000000"/>
      <w:sz w:val="20"/>
      <w:szCs w:val="20"/>
    </w:rPr>
  </w:style>
  <w:style w:type="paragraph" w:customStyle="1" w:styleId="CM1">
    <w:name w:val="CM1"/>
    <w:basedOn w:val="Default"/>
    <w:next w:val="Default"/>
    <w:uiPriority w:val="99"/>
    <w:rsid w:val="00F004EE"/>
    <w:rPr>
      <w:rFonts w:ascii="EUAlbertina" w:hAnsi="EUAlbertina" w:cs="Times New Roman"/>
      <w:color w:val="auto"/>
      <w:lang w:val="en-GB"/>
    </w:rPr>
  </w:style>
  <w:style w:type="paragraph" w:customStyle="1" w:styleId="CM3">
    <w:name w:val="CM3"/>
    <w:basedOn w:val="Default"/>
    <w:next w:val="Default"/>
    <w:uiPriority w:val="99"/>
    <w:rsid w:val="00F004EE"/>
    <w:rPr>
      <w:rFonts w:ascii="EUAlbertina" w:hAnsi="EUAlbertina" w:cs="Times New Roman"/>
      <w:color w:val="auto"/>
      <w:lang w:val="en-GB"/>
    </w:rPr>
  </w:style>
  <w:style w:type="paragraph" w:styleId="DocumentMap">
    <w:name w:val="Document Map"/>
    <w:basedOn w:val="Normal"/>
    <w:link w:val="DocumentMapChar"/>
    <w:rsid w:val="00F004EE"/>
    <w:rPr>
      <w:rFonts w:ascii="Lucida Grande" w:hAnsi="Lucida Grande"/>
    </w:rPr>
  </w:style>
  <w:style w:type="character" w:customStyle="1" w:styleId="DocumentMapChar">
    <w:name w:val="Document Map Char"/>
    <w:basedOn w:val="DefaultParagraphFont"/>
    <w:link w:val="DocumentMap"/>
    <w:rsid w:val="00F004EE"/>
    <w:rPr>
      <w:rFonts w:ascii="Lucida Grande" w:hAnsi="Lucida Grande"/>
      <w:sz w:val="24"/>
      <w:szCs w:val="24"/>
    </w:rPr>
  </w:style>
  <w:style w:type="paragraph" w:customStyle="1" w:styleId="00b43b48paranumbering">
    <w:name w:val="00b43b48 paranumbering"/>
    <w:basedOn w:val="Normal"/>
    <w:uiPriority w:val="99"/>
    <w:rsid w:val="00F004EE"/>
    <w:pPr>
      <w:spacing w:before="100" w:beforeAutospacing="1" w:after="100" w:afterAutospacing="1"/>
    </w:pPr>
  </w:style>
  <w:style w:type="paragraph" w:customStyle="1" w:styleId="Condensedbodytext">
    <w:name w:val="Condensed body text"/>
    <w:basedOn w:val="BodyText"/>
    <w:link w:val="CondensedbodytextChar"/>
    <w:qFormat/>
    <w:rsid w:val="00F004EE"/>
    <w:rPr>
      <w:spacing w:val="-2"/>
    </w:rPr>
  </w:style>
  <w:style w:type="character" w:customStyle="1" w:styleId="CondensedbodytextChar">
    <w:name w:val="Condensed body text Char"/>
    <w:basedOn w:val="BodyTextChar"/>
    <w:link w:val="Condensedbodytext"/>
    <w:rsid w:val="00F004EE"/>
    <w:rPr>
      <w:spacing w:val="-2"/>
      <w:sz w:val="24"/>
    </w:rPr>
  </w:style>
  <w:style w:type="paragraph" w:styleId="EndnoteText">
    <w:name w:val="endnote text"/>
    <w:basedOn w:val="Normal"/>
    <w:link w:val="EndnoteTextChar"/>
    <w:rsid w:val="00F004EE"/>
    <w:rPr>
      <w:sz w:val="20"/>
      <w:szCs w:val="20"/>
    </w:rPr>
  </w:style>
  <w:style w:type="character" w:customStyle="1" w:styleId="EndnoteTextChar">
    <w:name w:val="Endnote Text Char"/>
    <w:basedOn w:val="DefaultParagraphFont"/>
    <w:link w:val="EndnoteText"/>
    <w:rsid w:val="00F004EE"/>
  </w:style>
  <w:style w:type="character" w:customStyle="1" w:styleId="author-name">
    <w:name w:val="author-name"/>
    <w:basedOn w:val="DefaultParagraphFont"/>
    <w:rsid w:val="00F004EE"/>
  </w:style>
  <w:style w:type="character" w:customStyle="1" w:styleId="post-date">
    <w:name w:val="post-date"/>
    <w:basedOn w:val="DefaultParagraphFont"/>
    <w:rsid w:val="00F004EE"/>
  </w:style>
  <w:style w:type="paragraph" w:customStyle="1" w:styleId="Pa8">
    <w:name w:val="Pa8"/>
    <w:basedOn w:val="Default"/>
    <w:next w:val="Default"/>
    <w:uiPriority w:val="99"/>
    <w:rsid w:val="00F004EE"/>
    <w:pPr>
      <w:spacing w:line="201" w:lineRule="atLeast"/>
    </w:pPr>
    <w:rPr>
      <w:rFonts w:ascii="Vista Sans OT Light" w:hAnsi="Vista Sans OT Light" w:cs="Times New Roman"/>
      <w:color w:val="auto"/>
    </w:rPr>
  </w:style>
  <w:style w:type="paragraph" w:customStyle="1" w:styleId="Bozquot">
    <w:name w:val="Boz quot"/>
    <w:basedOn w:val="Box"/>
    <w:rsid w:val="00F004EE"/>
  </w:style>
  <w:style w:type="paragraph" w:customStyle="1" w:styleId="Pa4">
    <w:name w:val="Pa4"/>
    <w:basedOn w:val="Default"/>
    <w:next w:val="Default"/>
    <w:uiPriority w:val="99"/>
    <w:rsid w:val="00F004EE"/>
    <w:pPr>
      <w:spacing w:line="166" w:lineRule="atLeast"/>
    </w:pPr>
    <w:rPr>
      <w:rFonts w:ascii="Lato Light" w:hAnsi="Lato Light" w:cs="Times New Roman"/>
      <w:color w:val="auto"/>
    </w:rPr>
  </w:style>
  <w:style w:type="paragraph" w:customStyle="1" w:styleId="Pa12">
    <w:name w:val="Pa12"/>
    <w:basedOn w:val="Default"/>
    <w:next w:val="Default"/>
    <w:uiPriority w:val="99"/>
    <w:rsid w:val="00F004EE"/>
    <w:pPr>
      <w:spacing w:line="161" w:lineRule="atLeast"/>
    </w:pPr>
    <w:rPr>
      <w:rFonts w:ascii="ZFNMJ S+ Gotham Narrow" w:hAnsi="ZFNMJ S+ Gotham Narrow" w:cs="Times New Roman"/>
      <w:color w:val="auto"/>
    </w:rPr>
  </w:style>
  <w:style w:type="paragraph" w:customStyle="1" w:styleId="Pa22">
    <w:name w:val="Pa22"/>
    <w:basedOn w:val="Default"/>
    <w:next w:val="Default"/>
    <w:uiPriority w:val="99"/>
    <w:rsid w:val="00F004EE"/>
    <w:pPr>
      <w:spacing w:line="161" w:lineRule="atLeast"/>
    </w:pPr>
    <w:rPr>
      <w:rFonts w:ascii="Gotham Narrow" w:hAnsi="Gotham Narrow" w:cs="Times New Roman"/>
      <w:color w:val="auto"/>
    </w:rPr>
  </w:style>
  <w:style w:type="paragraph" w:customStyle="1" w:styleId="Pa10">
    <w:name w:val="Pa10"/>
    <w:basedOn w:val="Default"/>
    <w:next w:val="Default"/>
    <w:uiPriority w:val="99"/>
    <w:rsid w:val="00F004EE"/>
    <w:pPr>
      <w:spacing w:line="161" w:lineRule="atLeast"/>
    </w:pPr>
    <w:rPr>
      <w:rFonts w:ascii="Gotham Narrow" w:hAnsi="Gotham Narrow" w:cs="Times New Roman"/>
      <w:color w:val="auto"/>
    </w:rPr>
  </w:style>
  <w:style w:type="paragraph" w:customStyle="1" w:styleId="Pa31">
    <w:name w:val="Pa31"/>
    <w:basedOn w:val="Default"/>
    <w:next w:val="Default"/>
    <w:uiPriority w:val="99"/>
    <w:rsid w:val="00F004EE"/>
    <w:pPr>
      <w:spacing w:line="161" w:lineRule="atLeast"/>
    </w:pPr>
    <w:rPr>
      <w:rFonts w:ascii="FFDIN" w:hAnsi="FFDIN" w:cs="Times New Roman"/>
      <w:color w:val="auto"/>
    </w:rPr>
  </w:style>
  <w:style w:type="paragraph" w:customStyle="1" w:styleId="wb-box-p">
    <w:name w:val="wb-box-p"/>
    <w:basedOn w:val="Normal"/>
    <w:rsid w:val="00F004EE"/>
    <w:pPr>
      <w:shd w:val="clear" w:color="auto" w:fill="CBE1FF"/>
    </w:pPr>
    <w:rPr>
      <w:rFonts w:ascii="Arial" w:hAnsi="Arial" w:cs="Arial"/>
      <w:color w:val="000000"/>
      <w:sz w:val="20"/>
      <w:szCs w:val="20"/>
    </w:rPr>
  </w:style>
  <w:style w:type="paragraph" w:customStyle="1" w:styleId="ListBullet1">
    <w:name w:val="List Bullet 1"/>
    <w:basedOn w:val="ListBullet2"/>
    <w:rsid w:val="00F004EE"/>
    <w:pPr>
      <w:numPr>
        <w:numId w:val="0"/>
      </w:numPr>
      <w:ind w:left="680"/>
    </w:pPr>
  </w:style>
  <w:style w:type="character" w:customStyle="1" w:styleId="A10">
    <w:name w:val="A10"/>
    <w:uiPriority w:val="99"/>
    <w:rsid w:val="00F004EE"/>
    <w:rPr>
      <w:rFonts w:cs="Adobe Garamond Pro"/>
      <w:color w:val="000000"/>
      <w:sz w:val="19"/>
      <w:szCs w:val="19"/>
    </w:rPr>
  </w:style>
  <w:style w:type="paragraph" w:customStyle="1" w:styleId="Pa6">
    <w:name w:val="Pa6"/>
    <w:basedOn w:val="Default"/>
    <w:next w:val="Default"/>
    <w:uiPriority w:val="99"/>
    <w:rsid w:val="00F004EE"/>
    <w:pPr>
      <w:spacing w:line="201" w:lineRule="atLeast"/>
    </w:pPr>
    <w:rPr>
      <w:color w:val="auto"/>
    </w:rPr>
  </w:style>
  <w:style w:type="paragraph" w:customStyle="1" w:styleId="Pa13">
    <w:name w:val="Pa13"/>
    <w:basedOn w:val="Default"/>
    <w:next w:val="Default"/>
    <w:uiPriority w:val="99"/>
    <w:rsid w:val="00F004EE"/>
    <w:pPr>
      <w:spacing w:line="321" w:lineRule="atLeast"/>
    </w:pPr>
    <w:rPr>
      <w:rFonts w:ascii="Anivers" w:hAnsi="Anivers" w:cs="Times New Roman"/>
      <w:color w:val="auto"/>
    </w:rPr>
  </w:style>
  <w:style w:type="character" w:customStyle="1" w:styleId="A0">
    <w:name w:val="A0"/>
    <w:uiPriority w:val="99"/>
    <w:rsid w:val="00F004EE"/>
    <w:rPr>
      <w:rFonts w:cs="Myriad Pro"/>
      <w:color w:val="000000"/>
      <w:sz w:val="20"/>
      <w:szCs w:val="20"/>
    </w:rPr>
  </w:style>
  <w:style w:type="paragraph" w:customStyle="1" w:styleId="BoxBullet">
    <w:name w:val="Box Bullet"/>
    <w:basedOn w:val="Normal"/>
    <w:rsid w:val="00F004EE"/>
    <w:pPr>
      <w:numPr>
        <w:numId w:val="30"/>
      </w:numPr>
      <w:spacing w:after="120"/>
    </w:pPr>
    <w:rPr>
      <w:rFonts w:ascii="Book Antiqua" w:hAnsi="Book Antiqua"/>
      <w:color w:val="000000"/>
      <w:sz w:val="20"/>
      <w:szCs w:val="20"/>
    </w:rPr>
  </w:style>
  <w:style w:type="paragraph" w:customStyle="1" w:styleId="TableColumnHeadingLeft">
    <w:name w:val="Table Column Heading Left"/>
    <w:basedOn w:val="Normal"/>
    <w:next w:val="Normal"/>
    <w:rsid w:val="00F004EE"/>
    <w:pPr>
      <w:spacing w:before="60" w:after="60"/>
    </w:pPr>
    <w:rPr>
      <w:rFonts w:ascii="Arial" w:hAnsi="Arial"/>
      <w:b/>
      <w:sz w:val="20"/>
      <w:szCs w:val="20"/>
    </w:rPr>
  </w:style>
  <w:style w:type="character" w:customStyle="1" w:styleId="A4">
    <w:name w:val="A4"/>
    <w:uiPriority w:val="99"/>
    <w:rsid w:val="00F004EE"/>
    <w:rPr>
      <w:rFonts w:cs="Myriad Pro Light"/>
      <w:b/>
      <w:bCs/>
      <w:color w:val="000000"/>
      <w:sz w:val="21"/>
      <w:szCs w:val="21"/>
    </w:rPr>
  </w:style>
  <w:style w:type="character" w:customStyle="1" w:styleId="ListParagraphChar">
    <w:name w:val="List Paragraph Char"/>
    <w:aliases w:val="Recommendation Char,List Paragraph1 Char,List Paragraph11 Char,L Char,CV text Char,Table text Char,F5 List Paragraph Char,Dot pt Char,Bulleted Para Char,NFP GP Bulleted List Char,FooterText Char,numbered Char,列出段落 Char,列出段落1 Char"/>
    <w:link w:val="ListParagraph"/>
    <w:uiPriority w:val="34"/>
    <w:locked/>
    <w:rsid w:val="00F004EE"/>
    <w:rPr>
      <w:rFonts w:asciiTheme="minorHAnsi" w:eastAsiaTheme="minorHAnsi" w:hAnsiTheme="minorHAnsi" w:cstheme="minorBidi"/>
      <w:sz w:val="22"/>
      <w:szCs w:val="22"/>
      <w:lang w:eastAsia="en-US"/>
    </w:rPr>
  </w:style>
  <w:style w:type="character" w:customStyle="1" w:styleId="apra-rtestyle-paragraphs1">
    <w:name w:val="apra-rtestyle-paragraphs1"/>
    <w:basedOn w:val="DefaultParagraphFont"/>
    <w:rsid w:val="00F004EE"/>
    <w:rPr>
      <w:rFonts w:ascii="Verdana" w:hAnsi="Verdana" w:hint="default"/>
      <w:b w:val="0"/>
      <w:bCs w:val="0"/>
      <w:color w:val="333333"/>
      <w:sz w:val="24"/>
      <w:szCs w:val="24"/>
    </w:rPr>
  </w:style>
  <w:style w:type="paragraph" w:customStyle="1" w:styleId="Style2">
    <w:name w:val="Style2"/>
    <w:basedOn w:val="Normal"/>
    <w:next w:val="BodyText"/>
    <w:qFormat/>
    <w:rsid w:val="00F004EE"/>
    <w:pPr>
      <w:spacing w:before="240" w:line="300" w:lineRule="atLeast"/>
      <w:jc w:val="both"/>
    </w:pPr>
    <w:rPr>
      <w:szCs w:val="20"/>
    </w:rPr>
  </w:style>
  <w:style w:type="character" w:customStyle="1" w:styleId="Continuedintitle">
    <w:name w:val="Continued (in title)"/>
    <w:basedOn w:val="DefaultParagraphFont"/>
    <w:rsid w:val="00F004EE"/>
    <w:rPr>
      <w:rFonts w:ascii="Arial" w:hAnsi="Arial"/>
      <w:b/>
      <w:sz w:val="18"/>
    </w:rPr>
  </w:style>
  <w:style w:type="numbering" w:customStyle="1" w:styleId="List21">
    <w:name w:val="List 21"/>
    <w:basedOn w:val="NoList"/>
    <w:rsid w:val="00F004EE"/>
    <w:pPr>
      <w:numPr>
        <w:numId w:val="33"/>
      </w:numPr>
    </w:pPr>
  </w:style>
  <w:style w:type="paragraph" w:customStyle="1" w:styleId="Pa2">
    <w:name w:val="Pa2"/>
    <w:basedOn w:val="Default"/>
    <w:next w:val="Default"/>
    <w:uiPriority w:val="99"/>
    <w:rsid w:val="00F004EE"/>
    <w:pPr>
      <w:spacing w:line="201" w:lineRule="atLeast"/>
    </w:pPr>
    <w:rPr>
      <w:rFonts w:ascii="HelveticaNeueLT Std" w:hAnsi="HelveticaNeueLT Std" w:cs="Times New Roman"/>
      <w:color w:val="auto"/>
    </w:rPr>
  </w:style>
  <w:style w:type="paragraph" w:customStyle="1" w:styleId="xl63">
    <w:name w:val="xl63"/>
    <w:basedOn w:val="Normal"/>
    <w:rsid w:val="00F004EE"/>
    <w:pPr>
      <w:pBdr>
        <w:top w:val="single" w:sz="8" w:space="0" w:color="000000"/>
        <w:left w:val="single" w:sz="8" w:space="0" w:color="000000"/>
        <w:right w:val="single" w:sz="8" w:space="0" w:color="000000"/>
      </w:pBdr>
      <w:shd w:val="clear" w:color="000000" w:fill="FFFFFF"/>
      <w:spacing w:before="100" w:beforeAutospacing="1" w:after="100" w:afterAutospacing="1"/>
      <w:jc w:val="both"/>
      <w:textAlignment w:val="center"/>
    </w:pPr>
    <w:rPr>
      <w:color w:val="444444"/>
    </w:rPr>
  </w:style>
  <w:style w:type="paragraph" w:customStyle="1" w:styleId="xl64">
    <w:name w:val="xl64"/>
    <w:basedOn w:val="Normal"/>
    <w:rsid w:val="00F004EE"/>
    <w:pPr>
      <w:pBdr>
        <w:left w:val="single" w:sz="8" w:space="0" w:color="000000"/>
        <w:bottom w:val="single" w:sz="8" w:space="0" w:color="000000"/>
        <w:right w:val="single" w:sz="8" w:space="0" w:color="000000"/>
      </w:pBdr>
      <w:shd w:val="clear" w:color="000000" w:fill="FFFFFF"/>
      <w:spacing w:before="100" w:beforeAutospacing="1" w:after="100" w:afterAutospacing="1"/>
      <w:jc w:val="both"/>
      <w:textAlignment w:val="center"/>
    </w:pPr>
    <w:rPr>
      <w:color w:val="444444"/>
    </w:rPr>
  </w:style>
  <w:style w:type="paragraph" w:customStyle="1" w:styleId="xl65">
    <w:name w:val="xl65"/>
    <w:basedOn w:val="Normal"/>
    <w:rsid w:val="00F004EE"/>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jc w:val="both"/>
      <w:textAlignment w:val="center"/>
    </w:pPr>
    <w:rPr>
      <w:color w:val="444444"/>
    </w:rPr>
  </w:style>
  <w:style w:type="paragraph" w:customStyle="1" w:styleId="xl66">
    <w:name w:val="xl66"/>
    <w:basedOn w:val="Normal"/>
    <w:rsid w:val="00F004EE"/>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color w:val="444444"/>
    </w:rPr>
  </w:style>
  <w:style w:type="character" w:customStyle="1" w:styleId="Heading6Char">
    <w:name w:val="Heading 6 Char"/>
    <w:basedOn w:val="DefaultParagraphFont"/>
    <w:link w:val="Heading6"/>
    <w:semiHidden/>
    <w:rsid w:val="00F004EE"/>
    <w:rPr>
      <w:i/>
      <w:sz w:val="22"/>
    </w:rPr>
  </w:style>
  <w:style w:type="character" w:customStyle="1" w:styleId="Heading7Char">
    <w:name w:val="Heading 7 Char"/>
    <w:basedOn w:val="DefaultParagraphFont"/>
    <w:link w:val="Heading7"/>
    <w:semiHidden/>
    <w:rsid w:val="00F004EE"/>
    <w:rPr>
      <w:rFonts w:ascii="Arial" w:hAnsi="Arial"/>
    </w:rPr>
  </w:style>
  <w:style w:type="character" w:customStyle="1" w:styleId="Heading8Char">
    <w:name w:val="Heading 8 Char"/>
    <w:basedOn w:val="DefaultParagraphFont"/>
    <w:link w:val="Heading8"/>
    <w:semiHidden/>
    <w:rsid w:val="00F004EE"/>
    <w:rPr>
      <w:rFonts w:ascii="Arial" w:hAnsi="Arial"/>
      <w:i/>
    </w:rPr>
  </w:style>
  <w:style w:type="character" w:customStyle="1" w:styleId="Heading9Char">
    <w:name w:val="Heading 9 Char"/>
    <w:basedOn w:val="DefaultParagraphFont"/>
    <w:link w:val="Heading9"/>
    <w:semiHidden/>
    <w:rsid w:val="00F004EE"/>
    <w:rPr>
      <w:rFonts w:ascii="Arial" w:hAnsi="Arial"/>
      <w:b/>
      <w:i/>
      <w:sz w:val="18"/>
    </w:rPr>
  </w:style>
  <w:style w:type="paragraph" w:styleId="PlainText">
    <w:name w:val="Plain Text"/>
    <w:basedOn w:val="Normal"/>
    <w:link w:val="PlainTextChar"/>
    <w:uiPriority w:val="99"/>
    <w:unhideWhenUsed/>
    <w:rsid w:val="00F004EE"/>
    <w:rPr>
      <w:rFonts w:ascii="Calibri" w:eastAsiaTheme="minorHAnsi" w:hAnsi="Calibri" w:cs="Consolas"/>
      <w:sz w:val="22"/>
      <w:szCs w:val="21"/>
      <w:lang w:eastAsia="en-US"/>
    </w:rPr>
  </w:style>
  <w:style w:type="character" w:customStyle="1" w:styleId="PlainTextChar">
    <w:name w:val="Plain Text Char"/>
    <w:basedOn w:val="DefaultParagraphFont"/>
    <w:link w:val="PlainText"/>
    <w:uiPriority w:val="99"/>
    <w:rsid w:val="00F004EE"/>
    <w:rPr>
      <w:rFonts w:ascii="Calibri" w:eastAsiaTheme="minorHAnsi" w:hAnsi="Calibri" w:cs="Consolas"/>
      <w:sz w:val="22"/>
      <w:szCs w:val="21"/>
      <w:lang w:eastAsia="en-US"/>
    </w:rPr>
  </w:style>
  <w:style w:type="character" w:customStyle="1" w:styleId="s21">
    <w:name w:val="s21"/>
    <w:basedOn w:val="DefaultParagraphFont"/>
    <w:rsid w:val="00F004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footnote text" w:uiPriority="99" w:qFormat="1"/>
    <w:lsdException w:name="footnote reference" w:uiPriority="99" w:qFormat="1"/>
    <w:lsdException w:name="Body Text"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Definition" w:uiPriority="99"/>
    <w:lsdException w:name="HTML Typewriter"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semiHidden/>
    <w:rsid w:val="00A17328"/>
    <w:pPr>
      <w:spacing w:after="60"/>
      <w:jc w:val="left"/>
      <w:outlineLvl w:val="5"/>
    </w:pPr>
    <w:rPr>
      <w:i/>
      <w:sz w:val="22"/>
    </w:rPr>
  </w:style>
  <w:style w:type="paragraph" w:styleId="Heading7">
    <w:name w:val="heading 7"/>
    <w:basedOn w:val="BodyText"/>
    <w:next w:val="BodyText"/>
    <w:link w:val="Heading7Char"/>
    <w:semiHidden/>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semiHidden/>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aliases w:val="JLIS,Ref,de nota al pie,Footnotes refss,Footnote number,opcalrc,callout,4_G"/>
    <w:basedOn w:val="DefaultParagraphFont"/>
    <w:uiPriority w:val="99"/>
    <w:qFormat/>
    <w:rsid w:val="00243997"/>
    <w:rPr>
      <w:rFonts w:ascii="Times New Roman" w:hAnsi="Times New Roman"/>
      <w:position w:val="6"/>
      <w:sz w:val="20"/>
      <w:vertAlign w:val="baseline"/>
    </w:rPr>
  </w:style>
  <w:style w:type="paragraph" w:styleId="FootnoteText">
    <w:name w:val="footnote text"/>
    <w:aliases w:val="Footnote ak,ft,Footnote Text Char Char Char Char Char,Thesis Footnote Text,Footnote Text Char Char Char,Footnote Text Char Char,single space,Note de bas de page Car,Car,Fußnote RiLiDick,fn,Footnotes,Fu§note RiLiDick"/>
    <w:basedOn w:val="BodyText"/>
    <w:link w:val="FootnoteTextChar"/>
    <w:uiPriority w:val="99"/>
    <w:qForma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1 Char,new legislation style Char,new legislation style1 Char,new legislation style Ch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F004EE"/>
    <w:rPr>
      <w:rFonts w:ascii="Arial" w:hAnsi="Arial"/>
      <w:b/>
      <w:sz w:val="26"/>
    </w:rPr>
  </w:style>
  <w:style w:type="paragraph" w:customStyle="1" w:styleId="BoxSpaceAboveElement">
    <w:name w:val="Box Space Above Element"/>
    <w:basedOn w:val="BoxSpaceAbove"/>
    <w:link w:val="BoxSpaceAboveElementChar"/>
    <w:qFormat/>
    <w:rsid w:val="00F004EE"/>
    <w:pPr>
      <w:spacing w:before="240"/>
    </w:pPr>
    <w:rPr>
      <w:b/>
      <w:vanish/>
      <w:color w:val="FF00FF"/>
      <w:sz w:val="14"/>
    </w:rPr>
  </w:style>
  <w:style w:type="character" w:customStyle="1" w:styleId="BoxSpaceAboveElementChar">
    <w:name w:val="Box Space Above Element Char"/>
    <w:basedOn w:val="DefaultParagraphFont"/>
    <w:link w:val="BoxSpaceAboveElement"/>
    <w:rsid w:val="00F004EE"/>
    <w:rPr>
      <w:b/>
      <w:vanish/>
      <w:color w:val="FF00FF"/>
      <w:sz w:val="14"/>
    </w:rPr>
  </w:style>
  <w:style w:type="character" w:customStyle="1" w:styleId="Heading2Char">
    <w:name w:val="Heading 2 Char"/>
    <w:basedOn w:val="DefaultParagraphFont"/>
    <w:link w:val="Heading2"/>
    <w:rsid w:val="00F004EE"/>
    <w:rPr>
      <w:rFonts w:ascii="Arial" w:hAnsi="Arial"/>
      <w:b/>
      <w:sz w:val="32"/>
    </w:rPr>
  </w:style>
  <w:style w:type="character" w:customStyle="1" w:styleId="FootnoteTextChar">
    <w:name w:val="Footnote Text Char"/>
    <w:aliases w:val="Footnote ak Char,ft Char,Footnote Text Char Char Char Char Char Char,Thesis Footnote Text Char,Footnote Text Char Char Char Char,Footnote Text Char Char Char1,single space Char,Note de bas de page Car Char,Car Char,fn Char"/>
    <w:basedOn w:val="DefaultParagraphFont"/>
    <w:link w:val="FootnoteText"/>
    <w:uiPriority w:val="99"/>
    <w:rsid w:val="00F004EE"/>
  </w:style>
  <w:style w:type="character" w:customStyle="1" w:styleId="QuoteChar">
    <w:name w:val="Quote Char"/>
    <w:basedOn w:val="DefaultParagraphFont"/>
    <w:link w:val="Quote"/>
    <w:rsid w:val="00F004EE"/>
    <w:rPr>
      <w:sz w:val="22"/>
    </w:rPr>
  </w:style>
  <w:style w:type="character" w:customStyle="1" w:styleId="Heading4Char">
    <w:name w:val="Heading 4 Char"/>
    <w:basedOn w:val="DefaultParagraphFont"/>
    <w:link w:val="Heading4"/>
    <w:rsid w:val="00F004EE"/>
    <w:rPr>
      <w:rFonts w:ascii="Arial" w:hAnsi="Arial"/>
      <w:sz w:val="24"/>
    </w:rPr>
  </w:style>
  <w:style w:type="character" w:customStyle="1" w:styleId="BoxChar">
    <w:name w:val="Box Char"/>
    <w:link w:val="Box"/>
    <w:locked/>
    <w:rsid w:val="00F004EE"/>
    <w:rPr>
      <w:rFonts w:ascii="Arial" w:hAnsi="Arial"/>
    </w:rPr>
  </w:style>
  <w:style w:type="character" w:customStyle="1" w:styleId="BoxListBulletChar">
    <w:name w:val="Box List Bullet Char"/>
    <w:link w:val="BoxListBullet"/>
    <w:locked/>
    <w:rsid w:val="00F004EE"/>
    <w:rPr>
      <w:rFonts w:ascii="Arial" w:hAnsi="Arial"/>
    </w:rPr>
  </w:style>
  <w:style w:type="character" w:customStyle="1" w:styleId="ListBulletChar">
    <w:name w:val="List Bullet Char"/>
    <w:basedOn w:val="DefaultParagraphFont"/>
    <w:link w:val="ListBullet"/>
    <w:locked/>
    <w:rsid w:val="00F004EE"/>
    <w:rPr>
      <w:sz w:val="24"/>
    </w:rPr>
  </w:style>
  <w:style w:type="paragraph" w:styleId="Revision">
    <w:name w:val="Revision"/>
    <w:hidden/>
    <w:uiPriority w:val="99"/>
    <w:semiHidden/>
    <w:rsid w:val="00F004EE"/>
    <w:rPr>
      <w:sz w:val="24"/>
      <w:szCs w:val="24"/>
    </w:rPr>
  </w:style>
  <w:style w:type="paragraph" w:styleId="Bibliography">
    <w:name w:val="Bibliography"/>
    <w:basedOn w:val="Normal"/>
    <w:next w:val="Normal"/>
    <w:uiPriority w:val="37"/>
    <w:unhideWhenUsed/>
    <w:rsid w:val="00F004EE"/>
    <w:pPr>
      <w:spacing w:after="240"/>
      <w:ind w:left="720" w:hanging="720"/>
    </w:pPr>
  </w:style>
  <w:style w:type="paragraph" w:styleId="CommentSubject">
    <w:name w:val="annotation subject"/>
    <w:basedOn w:val="CommentText"/>
    <w:next w:val="CommentText"/>
    <w:link w:val="CommentSubjectChar"/>
    <w:rsid w:val="00F004EE"/>
    <w:pPr>
      <w:spacing w:before="0" w:line="240" w:lineRule="auto"/>
      <w:ind w:left="0" w:firstLine="0"/>
    </w:pPr>
    <w:rPr>
      <w:b/>
      <w:bCs/>
      <w:szCs w:val="20"/>
    </w:rPr>
  </w:style>
  <w:style w:type="character" w:customStyle="1" w:styleId="CommentTextChar">
    <w:name w:val="Comment Text Char"/>
    <w:basedOn w:val="DefaultParagraphFont"/>
    <w:link w:val="CommentText"/>
    <w:rsid w:val="00F004EE"/>
    <w:rPr>
      <w:szCs w:val="24"/>
    </w:rPr>
  </w:style>
  <w:style w:type="character" w:customStyle="1" w:styleId="CommentSubjectChar">
    <w:name w:val="Comment Subject Char"/>
    <w:basedOn w:val="CommentTextChar"/>
    <w:link w:val="CommentSubject"/>
    <w:rsid w:val="00F004EE"/>
    <w:rPr>
      <w:b/>
      <w:bCs/>
      <w:szCs w:val="24"/>
    </w:rPr>
  </w:style>
  <w:style w:type="character" w:styleId="Hyperlink">
    <w:name w:val="Hyperlink"/>
    <w:basedOn w:val="DefaultParagraphFont"/>
    <w:uiPriority w:val="99"/>
    <w:rsid w:val="00F004EE"/>
    <w:rPr>
      <w:color w:val="78A22F" w:themeColor="hyperlink"/>
      <w:u w:val="single"/>
    </w:rPr>
  </w:style>
  <w:style w:type="character" w:customStyle="1" w:styleId="apple-converted-space">
    <w:name w:val="apple-converted-space"/>
    <w:basedOn w:val="DefaultParagraphFont"/>
    <w:rsid w:val="00F004EE"/>
  </w:style>
  <w:style w:type="character" w:styleId="EndnoteReference">
    <w:name w:val="endnote reference"/>
    <w:basedOn w:val="DefaultParagraphFont"/>
    <w:rsid w:val="00F004EE"/>
    <w:rPr>
      <w:vertAlign w:val="superscript"/>
    </w:rPr>
  </w:style>
  <w:style w:type="paragraph" w:customStyle="1" w:styleId="Default">
    <w:name w:val="Default"/>
    <w:rsid w:val="00F004EE"/>
    <w:pPr>
      <w:autoSpaceDE w:val="0"/>
      <w:autoSpaceDN w:val="0"/>
      <w:adjustRightInd w:val="0"/>
    </w:pPr>
    <w:rPr>
      <w:rFonts w:ascii="Arial" w:hAnsi="Arial" w:cs="Arial"/>
      <w:color w:val="000000"/>
      <w:sz w:val="24"/>
      <w:szCs w:val="24"/>
    </w:rPr>
  </w:style>
  <w:style w:type="paragraph" w:customStyle="1" w:styleId="Level1General">
    <w:name w:val="Level 1 (General)"/>
    <w:basedOn w:val="Normal"/>
    <w:rsid w:val="00F004EE"/>
    <w:pPr>
      <w:numPr>
        <w:ilvl w:val="1"/>
        <w:numId w:val="24"/>
      </w:numPr>
      <w:tabs>
        <w:tab w:val="left" w:pos="1701"/>
        <w:tab w:val="left" w:pos="2409"/>
      </w:tabs>
      <w:spacing w:after="240"/>
      <w:jc w:val="both"/>
      <w:outlineLvl w:val="0"/>
    </w:pPr>
    <w:rPr>
      <w:rFonts w:eastAsiaTheme="minorEastAsia"/>
      <w:sz w:val="23"/>
      <w:szCs w:val="20"/>
      <w:lang w:eastAsia="en-US"/>
    </w:rPr>
  </w:style>
  <w:style w:type="paragraph" w:customStyle="1" w:styleId="Level2General">
    <w:name w:val="Level 2 (General)"/>
    <w:basedOn w:val="Normal"/>
    <w:rsid w:val="00F004EE"/>
    <w:pPr>
      <w:numPr>
        <w:ilvl w:val="2"/>
        <w:numId w:val="24"/>
      </w:numPr>
      <w:tabs>
        <w:tab w:val="left" w:pos="1701"/>
        <w:tab w:val="left" w:pos="2409"/>
      </w:tabs>
      <w:spacing w:after="240"/>
      <w:jc w:val="both"/>
      <w:outlineLvl w:val="1"/>
    </w:pPr>
    <w:rPr>
      <w:rFonts w:eastAsiaTheme="minorEastAsia"/>
      <w:sz w:val="23"/>
      <w:szCs w:val="20"/>
      <w:lang w:eastAsia="en-US"/>
    </w:rPr>
  </w:style>
  <w:style w:type="paragraph" w:customStyle="1" w:styleId="Level3General">
    <w:name w:val="Level 3 (General)"/>
    <w:basedOn w:val="Normal"/>
    <w:rsid w:val="00F004EE"/>
    <w:pPr>
      <w:numPr>
        <w:ilvl w:val="3"/>
        <w:numId w:val="24"/>
      </w:numPr>
      <w:tabs>
        <w:tab w:val="left" w:pos="2409"/>
      </w:tabs>
      <w:spacing w:after="240"/>
      <w:jc w:val="both"/>
      <w:outlineLvl w:val="2"/>
    </w:pPr>
    <w:rPr>
      <w:rFonts w:eastAsiaTheme="minorEastAsia"/>
      <w:sz w:val="23"/>
      <w:szCs w:val="20"/>
      <w:lang w:eastAsia="en-US"/>
    </w:rPr>
  </w:style>
  <w:style w:type="paragraph" w:customStyle="1" w:styleId="Level0General">
    <w:name w:val="Level 0 (General)"/>
    <w:basedOn w:val="Normal"/>
    <w:next w:val="Normal"/>
    <w:rsid w:val="00F004EE"/>
    <w:pPr>
      <w:numPr>
        <w:numId w:val="24"/>
      </w:numPr>
      <w:tabs>
        <w:tab w:val="left" w:pos="1701"/>
        <w:tab w:val="left" w:pos="2409"/>
      </w:tabs>
      <w:spacing w:line="20" w:lineRule="exact"/>
      <w:jc w:val="both"/>
    </w:pPr>
    <w:rPr>
      <w:rFonts w:ascii="Arial" w:eastAsiaTheme="minorEastAsia" w:hAnsi="Arial"/>
      <w:b/>
      <w:color w:val="FFFFFF"/>
      <w:sz w:val="23"/>
      <w:szCs w:val="20"/>
      <w:lang w:eastAsia="en-US"/>
    </w:rPr>
  </w:style>
  <w:style w:type="paragraph" w:styleId="ListParagraph">
    <w:name w:val="List Paragraph"/>
    <w:aliases w:val="Recommendation,List Paragraph1,List Paragraph11,L,CV text,Table text,F5 List Paragraph,Dot pt,Bulleted Para,NFP GP Bulleted List,FooterText,numbered,Paragraphe de liste1,Bulletr List Paragraph,列出段落,列出段落1,List Paragraph2,List Paragraph21"/>
    <w:basedOn w:val="Normal"/>
    <w:link w:val="ListParagraphChar"/>
    <w:uiPriority w:val="34"/>
    <w:qFormat/>
    <w:rsid w:val="00F004E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mmentTextChar1">
    <w:name w:val="Comment Text Char1"/>
    <w:basedOn w:val="DefaultParagraphFont"/>
    <w:rsid w:val="00F004EE"/>
    <w:rPr>
      <w:szCs w:val="24"/>
    </w:rPr>
  </w:style>
  <w:style w:type="character" w:styleId="PlaceholderText">
    <w:name w:val="Placeholder Text"/>
    <w:basedOn w:val="DefaultParagraphFont"/>
    <w:uiPriority w:val="99"/>
    <w:semiHidden/>
    <w:rsid w:val="00F004EE"/>
    <w:rPr>
      <w:color w:val="808080"/>
    </w:rPr>
  </w:style>
  <w:style w:type="numbering" w:customStyle="1" w:styleId="List1">
    <w:name w:val="List 1"/>
    <w:basedOn w:val="NoList"/>
    <w:rsid w:val="00F004EE"/>
    <w:pPr>
      <w:numPr>
        <w:numId w:val="25"/>
      </w:numPr>
    </w:pPr>
  </w:style>
  <w:style w:type="character" w:styleId="FollowedHyperlink">
    <w:name w:val="FollowedHyperlink"/>
    <w:basedOn w:val="DefaultParagraphFont"/>
    <w:unhideWhenUsed/>
    <w:rsid w:val="00F004EE"/>
    <w:rPr>
      <w:color w:val="387DD2" w:themeColor="followedHyperlink"/>
      <w:u w:val="single"/>
    </w:rPr>
  </w:style>
  <w:style w:type="character" w:customStyle="1" w:styleId="A7">
    <w:name w:val="A7"/>
    <w:uiPriority w:val="99"/>
    <w:rsid w:val="00F004EE"/>
    <w:rPr>
      <w:rFonts w:cs="Century Gothic"/>
      <w:color w:val="000000"/>
      <w:sz w:val="10"/>
      <w:szCs w:val="10"/>
    </w:rPr>
  </w:style>
  <w:style w:type="paragraph" w:styleId="NormalWeb">
    <w:name w:val="Normal (Web)"/>
    <w:basedOn w:val="Normal"/>
    <w:uiPriority w:val="99"/>
    <w:unhideWhenUsed/>
    <w:rsid w:val="00F004EE"/>
    <w:pPr>
      <w:spacing w:before="100" w:beforeAutospacing="1" w:after="100" w:afterAutospacing="1"/>
    </w:pPr>
    <w:rPr>
      <w:rFonts w:eastAsiaTheme="minorEastAsia"/>
    </w:rPr>
  </w:style>
  <w:style w:type="paragraph" w:styleId="Title">
    <w:name w:val="Title"/>
    <w:basedOn w:val="Normal"/>
    <w:next w:val="Normal"/>
    <w:link w:val="TitleChar"/>
    <w:rsid w:val="00F004EE"/>
    <w:pPr>
      <w:keepNext/>
      <w:keepLines/>
      <w:spacing w:before="480" w:after="120"/>
      <w:contextualSpacing/>
    </w:pPr>
    <w:rPr>
      <w:rFonts w:ascii="Cambria" w:eastAsia="Cambria" w:hAnsi="Cambria" w:cs="Cambria"/>
      <w:b/>
      <w:color w:val="000000"/>
      <w:sz w:val="72"/>
      <w:szCs w:val="72"/>
    </w:rPr>
  </w:style>
  <w:style w:type="character" w:customStyle="1" w:styleId="TitleChar">
    <w:name w:val="Title Char"/>
    <w:basedOn w:val="DefaultParagraphFont"/>
    <w:link w:val="Title"/>
    <w:rsid w:val="00F004EE"/>
    <w:rPr>
      <w:rFonts w:ascii="Cambria" w:eastAsia="Cambria" w:hAnsi="Cambria" w:cs="Cambria"/>
      <w:b/>
      <w:color w:val="000000"/>
      <w:sz w:val="72"/>
      <w:szCs w:val="72"/>
    </w:rPr>
  </w:style>
  <w:style w:type="character" w:styleId="Strong">
    <w:name w:val="Strong"/>
    <w:basedOn w:val="DefaultParagraphFont"/>
    <w:uiPriority w:val="22"/>
    <w:qFormat/>
    <w:rsid w:val="00F004EE"/>
    <w:rPr>
      <w:b/>
      <w:bCs/>
    </w:rPr>
  </w:style>
  <w:style w:type="character" w:customStyle="1" w:styleId="a">
    <w:name w:val="a"/>
    <w:basedOn w:val="DefaultParagraphFont"/>
    <w:rsid w:val="00F004EE"/>
  </w:style>
  <w:style w:type="character" w:customStyle="1" w:styleId="l6">
    <w:name w:val="l6"/>
    <w:basedOn w:val="DefaultParagraphFont"/>
    <w:rsid w:val="00F004EE"/>
  </w:style>
  <w:style w:type="character" w:customStyle="1" w:styleId="l8">
    <w:name w:val="l8"/>
    <w:basedOn w:val="DefaultParagraphFont"/>
    <w:rsid w:val="00F004EE"/>
  </w:style>
  <w:style w:type="character" w:customStyle="1" w:styleId="l7">
    <w:name w:val="l7"/>
    <w:basedOn w:val="DefaultParagraphFont"/>
    <w:rsid w:val="00F004EE"/>
  </w:style>
  <w:style w:type="character" w:customStyle="1" w:styleId="l">
    <w:name w:val="l"/>
    <w:basedOn w:val="DefaultParagraphFont"/>
    <w:rsid w:val="00F004EE"/>
  </w:style>
  <w:style w:type="character" w:customStyle="1" w:styleId="HeaderChar">
    <w:name w:val="Header Char"/>
    <w:basedOn w:val="DefaultParagraphFont"/>
    <w:link w:val="Header"/>
    <w:rsid w:val="00F004EE"/>
    <w:rPr>
      <w:rFonts w:ascii="Arial" w:hAnsi="Arial"/>
      <w:caps/>
      <w:sz w:val="24"/>
    </w:rPr>
  </w:style>
  <w:style w:type="character" w:styleId="HTMLTypewriter">
    <w:name w:val="HTML Typewriter"/>
    <w:basedOn w:val="DefaultParagraphFont"/>
    <w:uiPriority w:val="99"/>
    <w:unhideWhenUsed/>
    <w:rsid w:val="00F004EE"/>
    <w:rPr>
      <w:rFonts w:ascii="Courier New" w:eastAsia="Times New Roman" w:hAnsi="Courier New" w:cs="Courier New"/>
      <w:sz w:val="20"/>
      <w:szCs w:val="20"/>
    </w:rPr>
  </w:style>
  <w:style w:type="paragraph" w:customStyle="1" w:styleId="Body">
    <w:name w:val="Body"/>
    <w:rsid w:val="00F004EE"/>
    <w:pPr>
      <w:pBdr>
        <w:top w:val="nil"/>
        <w:left w:val="nil"/>
        <w:bottom w:val="nil"/>
        <w:right w:val="nil"/>
        <w:between w:val="nil"/>
        <w:bar w:val="nil"/>
      </w:pBdr>
    </w:pPr>
    <w:rPr>
      <w:rFonts w:ascii="Helvetica" w:eastAsia="Arial Unicode MS" w:hAnsi="Helvetica" w:cs="Arial Unicode MS"/>
      <w:color w:val="000000"/>
      <w:sz w:val="22"/>
      <w:szCs w:val="22"/>
      <w:bdr w:val="nil"/>
      <w:lang w:val="en-US"/>
    </w:rPr>
  </w:style>
  <w:style w:type="numbering" w:customStyle="1" w:styleId="Bullet">
    <w:name w:val="Bullet"/>
    <w:rsid w:val="00F004EE"/>
    <w:pPr>
      <w:numPr>
        <w:numId w:val="27"/>
      </w:numPr>
    </w:pPr>
  </w:style>
  <w:style w:type="character" w:customStyle="1" w:styleId="A11">
    <w:name w:val="A11"/>
    <w:uiPriority w:val="99"/>
    <w:rsid w:val="00F004EE"/>
    <w:rPr>
      <w:color w:val="000000"/>
      <w:sz w:val="11"/>
      <w:szCs w:val="11"/>
    </w:rPr>
  </w:style>
  <w:style w:type="paragraph" w:customStyle="1" w:styleId="sotext">
    <w:name w:val="sotext"/>
    <w:basedOn w:val="Normal"/>
    <w:rsid w:val="00F004EE"/>
    <w:pPr>
      <w:spacing w:before="100" w:beforeAutospacing="1" w:after="100" w:afterAutospacing="1"/>
    </w:pPr>
  </w:style>
  <w:style w:type="character" w:customStyle="1" w:styleId="A8">
    <w:name w:val="A8"/>
    <w:uiPriority w:val="99"/>
    <w:rsid w:val="00F004EE"/>
    <w:rPr>
      <w:color w:val="000000"/>
      <w:sz w:val="14"/>
      <w:szCs w:val="14"/>
    </w:rPr>
  </w:style>
  <w:style w:type="character" w:customStyle="1" w:styleId="Heading1Char">
    <w:name w:val="Heading 1 Char"/>
    <w:basedOn w:val="DefaultParagraphFont"/>
    <w:link w:val="Heading1"/>
    <w:rsid w:val="00F004EE"/>
    <w:rPr>
      <w:sz w:val="52"/>
    </w:rPr>
  </w:style>
  <w:style w:type="paragraph" w:customStyle="1" w:styleId="body-text-no-indent-3">
    <w:name w:val="body-text-no-indent-3"/>
    <w:basedOn w:val="Normal"/>
    <w:rsid w:val="00F004EE"/>
    <w:pPr>
      <w:spacing w:before="100" w:beforeAutospacing="1" w:after="100" w:afterAutospacing="1"/>
    </w:pPr>
    <w:rPr>
      <w:lang w:val="en-GB" w:eastAsia="en-GB"/>
    </w:rPr>
  </w:style>
  <w:style w:type="character" w:customStyle="1" w:styleId="char-style-override-9">
    <w:name w:val="char-style-override-9"/>
    <w:basedOn w:val="DefaultParagraphFont"/>
    <w:rsid w:val="00F004EE"/>
  </w:style>
  <w:style w:type="character" w:styleId="HTMLDefinition">
    <w:name w:val="HTML Definition"/>
    <w:basedOn w:val="DefaultParagraphFont"/>
    <w:uiPriority w:val="99"/>
    <w:unhideWhenUsed/>
    <w:rsid w:val="00F004EE"/>
    <w:rPr>
      <w:i/>
      <w:iCs/>
    </w:rPr>
  </w:style>
  <w:style w:type="paragraph" w:customStyle="1" w:styleId="Pa3">
    <w:name w:val="Pa3"/>
    <w:basedOn w:val="Default"/>
    <w:next w:val="Default"/>
    <w:uiPriority w:val="99"/>
    <w:rsid w:val="00F004EE"/>
    <w:pPr>
      <w:spacing w:line="181" w:lineRule="atLeast"/>
    </w:pPr>
    <w:rPr>
      <w:color w:val="auto"/>
      <w:lang w:val="en-GB"/>
    </w:rPr>
  </w:style>
  <w:style w:type="character" w:customStyle="1" w:styleId="A5">
    <w:name w:val="A5"/>
    <w:uiPriority w:val="99"/>
    <w:rsid w:val="00F004EE"/>
    <w:rPr>
      <w:i/>
      <w:iCs/>
      <w:color w:val="000000"/>
      <w:sz w:val="20"/>
      <w:szCs w:val="20"/>
    </w:rPr>
  </w:style>
  <w:style w:type="paragraph" w:customStyle="1" w:styleId="CM1">
    <w:name w:val="CM1"/>
    <w:basedOn w:val="Default"/>
    <w:next w:val="Default"/>
    <w:uiPriority w:val="99"/>
    <w:rsid w:val="00F004EE"/>
    <w:rPr>
      <w:rFonts w:ascii="EUAlbertina" w:hAnsi="EUAlbertina" w:cs="Times New Roman"/>
      <w:color w:val="auto"/>
      <w:lang w:val="en-GB"/>
    </w:rPr>
  </w:style>
  <w:style w:type="paragraph" w:customStyle="1" w:styleId="CM3">
    <w:name w:val="CM3"/>
    <w:basedOn w:val="Default"/>
    <w:next w:val="Default"/>
    <w:uiPriority w:val="99"/>
    <w:rsid w:val="00F004EE"/>
    <w:rPr>
      <w:rFonts w:ascii="EUAlbertina" w:hAnsi="EUAlbertina" w:cs="Times New Roman"/>
      <w:color w:val="auto"/>
      <w:lang w:val="en-GB"/>
    </w:rPr>
  </w:style>
  <w:style w:type="paragraph" w:styleId="DocumentMap">
    <w:name w:val="Document Map"/>
    <w:basedOn w:val="Normal"/>
    <w:link w:val="DocumentMapChar"/>
    <w:rsid w:val="00F004EE"/>
    <w:rPr>
      <w:rFonts w:ascii="Lucida Grande" w:hAnsi="Lucida Grande"/>
    </w:rPr>
  </w:style>
  <w:style w:type="character" w:customStyle="1" w:styleId="DocumentMapChar">
    <w:name w:val="Document Map Char"/>
    <w:basedOn w:val="DefaultParagraphFont"/>
    <w:link w:val="DocumentMap"/>
    <w:rsid w:val="00F004EE"/>
    <w:rPr>
      <w:rFonts w:ascii="Lucida Grande" w:hAnsi="Lucida Grande"/>
      <w:sz w:val="24"/>
      <w:szCs w:val="24"/>
    </w:rPr>
  </w:style>
  <w:style w:type="paragraph" w:customStyle="1" w:styleId="00b43b48paranumbering">
    <w:name w:val="00b43b48 paranumbering"/>
    <w:basedOn w:val="Normal"/>
    <w:uiPriority w:val="99"/>
    <w:rsid w:val="00F004EE"/>
    <w:pPr>
      <w:spacing w:before="100" w:beforeAutospacing="1" w:after="100" w:afterAutospacing="1"/>
    </w:pPr>
  </w:style>
  <w:style w:type="paragraph" w:customStyle="1" w:styleId="Condensedbodytext">
    <w:name w:val="Condensed body text"/>
    <w:basedOn w:val="BodyText"/>
    <w:link w:val="CondensedbodytextChar"/>
    <w:qFormat/>
    <w:rsid w:val="00F004EE"/>
    <w:rPr>
      <w:spacing w:val="-2"/>
    </w:rPr>
  </w:style>
  <w:style w:type="character" w:customStyle="1" w:styleId="CondensedbodytextChar">
    <w:name w:val="Condensed body text Char"/>
    <w:basedOn w:val="BodyTextChar"/>
    <w:link w:val="Condensedbodytext"/>
    <w:rsid w:val="00F004EE"/>
    <w:rPr>
      <w:spacing w:val="-2"/>
      <w:sz w:val="24"/>
    </w:rPr>
  </w:style>
  <w:style w:type="paragraph" w:styleId="EndnoteText">
    <w:name w:val="endnote text"/>
    <w:basedOn w:val="Normal"/>
    <w:link w:val="EndnoteTextChar"/>
    <w:rsid w:val="00F004EE"/>
    <w:rPr>
      <w:sz w:val="20"/>
      <w:szCs w:val="20"/>
    </w:rPr>
  </w:style>
  <w:style w:type="character" w:customStyle="1" w:styleId="EndnoteTextChar">
    <w:name w:val="Endnote Text Char"/>
    <w:basedOn w:val="DefaultParagraphFont"/>
    <w:link w:val="EndnoteText"/>
    <w:rsid w:val="00F004EE"/>
  </w:style>
  <w:style w:type="character" w:customStyle="1" w:styleId="author-name">
    <w:name w:val="author-name"/>
    <w:basedOn w:val="DefaultParagraphFont"/>
    <w:rsid w:val="00F004EE"/>
  </w:style>
  <w:style w:type="character" w:customStyle="1" w:styleId="post-date">
    <w:name w:val="post-date"/>
    <w:basedOn w:val="DefaultParagraphFont"/>
    <w:rsid w:val="00F004EE"/>
  </w:style>
  <w:style w:type="paragraph" w:customStyle="1" w:styleId="Pa8">
    <w:name w:val="Pa8"/>
    <w:basedOn w:val="Default"/>
    <w:next w:val="Default"/>
    <w:uiPriority w:val="99"/>
    <w:rsid w:val="00F004EE"/>
    <w:pPr>
      <w:spacing w:line="201" w:lineRule="atLeast"/>
    </w:pPr>
    <w:rPr>
      <w:rFonts w:ascii="Vista Sans OT Light" w:hAnsi="Vista Sans OT Light" w:cs="Times New Roman"/>
      <w:color w:val="auto"/>
    </w:rPr>
  </w:style>
  <w:style w:type="paragraph" w:customStyle="1" w:styleId="Bozquot">
    <w:name w:val="Boz quot"/>
    <w:basedOn w:val="Box"/>
    <w:rsid w:val="00F004EE"/>
  </w:style>
  <w:style w:type="paragraph" w:customStyle="1" w:styleId="Pa4">
    <w:name w:val="Pa4"/>
    <w:basedOn w:val="Default"/>
    <w:next w:val="Default"/>
    <w:uiPriority w:val="99"/>
    <w:rsid w:val="00F004EE"/>
    <w:pPr>
      <w:spacing w:line="166" w:lineRule="atLeast"/>
    </w:pPr>
    <w:rPr>
      <w:rFonts w:ascii="Lato Light" w:hAnsi="Lato Light" w:cs="Times New Roman"/>
      <w:color w:val="auto"/>
    </w:rPr>
  </w:style>
  <w:style w:type="paragraph" w:customStyle="1" w:styleId="Pa12">
    <w:name w:val="Pa12"/>
    <w:basedOn w:val="Default"/>
    <w:next w:val="Default"/>
    <w:uiPriority w:val="99"/>
    <w:rsid w:val="00F004EE"/>
    <w:pPr>
      <w:spacing w:line="161" w:lineRule="atLeast"/>
    </w:pPr>
    <w:rPr>
      <w:rFonts w:ascii="ZFNMJ S+ Gotham Narrow" w:hAnsi="ZFNMJ S+ Gotham Narrow" w:cs="Times New Roman"/>
      <w:color w:val="auto"/>
    </w:rPr>
  </w:style>
  <w:style w:type="paragraph" w:customStyle="1" w:styleId="Pa22">
    <w:name w:val="Pa22"/>
    <w:basedOn w:val="Default"/>
    <w:next w:val="Default"/>
    <w:uiPriority w:val="99"/>
    <w:rsid w:val="00F004EE"/>
    <w:pPr>
      <w:spacing w:line="161" w:lineRule="atLeast"/>
    </w:pPr>
    <w:rPr>
      <w:rFonts w:ascii="Gotham Narrow" w:hAnsi="Gotham Narrow" w:cs="Times New Roman"/>
      <w:color w:val="auto"/>
    </w:rPr>
  </w:style>
  <w:style w:type="paragraph" w:customStyle="1" w:styleId="Pa10">
    <w:name w:val="Pa10"/>
    <w:basedOn w:val="Default"/>
    <w:next w:val="Default"/>
    <w:uiPriority w:val="99"/>
    <w:rsid w:val="00F004EE"/>
    <w:pPr>
      <w:spacing w:line="161" w:lineRule="atLeast"/>
    </w:pPr>
    <w:rPr>
      <w:rFonts w:ascii="Gotham Narrow" w:hAnsi="Gotham Narrow" w:cs="Times New Roman"/>
      <w:color w:val="auto"/>
    </w:rPr>
  </w:style>
  <w:style w:type="paragraph" w:customStyle="1" w:styleId="Pa31">
    <w:name w:val="Pa31"/>
    <w:basedOn w:val="Default"/>
    <w:next w:val="Default"/>
    <w:uiPriority w:val="99"/>
    <w:rsid w:val="00F004EE"/>
    <w:pPr>
      <w:spacing w:line="161" w:lineRule="atLeast"/>
    </w:pPr>
    <w:rPr>
      <w:rFonts w:ascii="FFDIN" w:hAnsi="FFDIN" w:cs="Times New Roman"/>
      <w:color w:val="auto"/>
    </w:rPr>
  </w:style>
  <w:style w:type="paragraph" w:customStyle="1" w:styleId="wb-box-p">
    <w:name w:val="wb-box-p"/>
    <w:basedOn w:val="Normal"/>
    <w:rsid w:val="00F004EE"/>
    <w:pPr>
      <w:shd w:val="clear" w:color="auto" w:fill="CBE1FF"/>
    </w:pPr>
    <w:rPr>
      <w:rFonts w:ascii="Arial" w:hAnsi="Arial" w:cs="Arial"/>
      <w:color w:val="000000"/>
      <w:sz w:val="20"/>
      <w:szCs w:val="20"/>
    </w:rPr>
  </w:style>
  <w:style w:type="paragraph" w:customStyle="1" w:styleId="ListBullet1">
    <w:name w:val="List Bullet 1"/>
    <w:basedOn w:val="ListBullet2"/>
    <w:rsid w:val="00F004EE"/>
    <w:pPr>
      <w:numPr>
        <w:numId w:val="0"/>
      </w:numPr>
      <w:ind w:left="680"/>
    </w:pPr>
  </w:style>
  <w:style w:type="character" w:customStyle="1" w:styleId="A10">
    <w:name w:val="A10"/>
    <w:uiPriority w:val="99"/>
    <w:rsid w:val="00F004EE"/>
    <w:rPr>
      <w:rFonts w:cs="Adobe Garamond Pro"/>
      <w:color w:val="000000"/>
      <w:sz w:val="19"/>
      <w:szCs w:val="19"/>
    </w:rPr>
  </w:style>
  <w:style w:type="paragraph" w:customStyle="1" w:styleId="Pa6">
    <w:name w:val="Pa6"/>
    <w:basedOn w:val="Default"/>
    <w:next w:val="Default"/>
    <w:uiPriority w:val="99"/>
    <w:rsid w:val="00F004EE"/>
    <w:pPr>
      <w:spacing w:line="201" w:lineRule="atLeast"/>
    </w:pPr>
    <w:rPr>
      <w:color w:val="auto"/>
    </w:rPr>
  </w:style>
  <w:style w:type="paragraph" w:customStyle="1" w:styleId="Pa13">
    <w:name w:val="Pa13"/>
    <w:basedOn w:val="Default"/>
    <w:next w:val="Default"/>
    <w:uiPriority w:val="99"/>
    <w:rsid w:val="00F004EE"/>
    <w:pPr>
      <w:spacing w:line="321" w:lineRule="atLeast"/>
    </w:pPr>
    <w:rPr>
      <w:rFonts w:ascii="Anivers" w:hAnsi="Anivers" w:cs="Times New Roman"/>
      <w:color w:val="auto"/>
    </w:rPr>
  </w:style>
  <w:style w:type="character" w:customStyle="1" w:styleId="A0">
    <w:name w:val="A0"/>
    <w:uiPriority w:val="99"/>
    <w:rsid w:val="00F004EE"/>
    <w:rPr>
      <w:rFonts w:cs="Myriad Pro"/>
      <w:color w:val="000000"/>
      <w:sz w:val="20"/>
      <w:szCs w:val="20"/>
    </w:rPr>
  </w:style>
  <w:style w:type="paragraph" w:customStyle="1" w:styleId="BoxBullet">
    <w:name w:val="Box Bullet"/>
    <w:basedOn w:val="Normal"/>
    <w:rsid w:val="00F004EE"/>
    <w:pPr>
      <w:numPr>
        <w:numId w:val="30"/>
      </w:numPr>
      <w:spacing w:after="120"/>
    </w:pPr>
    <w:rPr>
      <w:rFonts w:ascii="Book Antiqua" w:hAnsi="Book Antiqua"/>
      <w:color w:val="000000"/>
      <w:sz w:val="20"/>
      <w:szCs w:val="20"/>
    </w:rPr>
  </w:style>
  <w:style w:type="paragraph" w:customStyle="1" w:styleId="TableColumnHeadingLeft">
    <w:name w:val="Table Column Heading Left"/>
    <w:basedOn w:val="Normal"/>
    <w:next w:val="Normal"/>
    <w:rsid w:val="00F004EE"/>
    <w:pPr>
      <w:spacing w:before="60" w:after="60"/>
    </w:pPr>
    <w:rPr>
      <w:rFonts w:ascii="Arial" w:hAnsi="Arial"/>
      <w:b/>
      <w:sz w:val="20"/>
      <w:szCs w:val="20"/>
    </w:rPr>
  </w:style>
  <w:style w:type="character" w:customStyle="1" w:styleId="A4">
    <w:name w:val="A4"/>
    <w:uiPriority w:val="99"/>
    <w:rsid w:val="00F004EE"/>
    <w:rPr>
      <w:rFonts w:cs="Myriad Pro Light"/>
      <w:b/>
      <w:bCs/>
      <w:color w:val="000000"/>
      <w:sz w:val="21"/>
      <w:szCs w:val="21"/>
    </w:rPr>
  </w:style>
  <w:style w:type="character" w:customStyle="1" w:styleId="ListParagraphChar">
    <w:name w:val="List Paragraph Char"/>
    <w:aliases w:val="Recommendation Char,List Paragraph1 Char,List Paragraph11 Char,L Char,CV text Char,Table text Char,F5 List Paragraph Char,Dot pt Char,Bulleted Para Char,NFP GP Bulleted List Char,FooterText Char,numbered Char,列出段落 Char,列出段落1 Char"/>
    <w:link w:val="ListParagraph"/>
    <w:uiPriority w:val="34"/>
    <w:locked/>
    <w:rsid w:val="00F004EE"/>
    <w:rPr>
      <w:rFonts w:asciiTheme="minorHAnsi" w:eastAsiaTheme="minorHAnsi" w:hAnsiTheme="minorHAnsi" w:cstheme="minorBidi"/>
      <w:sz w:val="22"/>
      <w:szCs w:val="22"/>
      <w:lang w:eastAsia="en-US"/>
    </w:rPr>
  </w:style>
  <w:style w:type="character" w:customStyle="1" w:styleId="apra-rtestyle-paragraphs1">
    <w:name w:val="apra-rtestyle-paragraphs1"/>
    <w:basedOn w:val="DefaultParagraphFont"/>
    <w:rsid w:val="00F004EE"/>
    <w:rPr>
      <w:rFonts w:ascii="Verdana" w:hAnsi="Verdana" w:hint="default"/>
      <w:b w:val="0"/>
      <w:bCs w:val="0"/>
      <w:color w:val="333333"/>
      <w:sz w:val="24"/>
      <w:szCs w:val="24"/>
    </w:rPr>
  </w:style>
  <w:style w:type="paragraph" w:customStyle="1" w:styleId="Style2">
    <w:name w:val="Style2"/>
    <w:basedOn w:val="Normal"/>
    <w:next w:val="BodyText"/>
    <w:qFormat/>
    <w:rsid w:val="00F004EE"/>
    <w:pPr>
      <w:spacing w:before="240" w:line="300" w:lineRule="atLeast"/>
      <w:jc w:val="both"/>
    </w:pPr>
    <w:rPr>
      <w:szCs w:val="20"/>
    </w:rPr>
  </w:style>
  <w:style w:type="character" w:customStyle="1" w:styleId="Continuedintitle">
    <w:name w:val="Continued (in title)"/>
    <w:basedOn w:val="DefaultParagraphFont"/>
    <w:rsid w:val="00F004EE"/>
    <w:rPr>
      <w:rFonts w:ascii="Arial" w:hAnsi="Arial"/>
      <w:b/>
      <w:sz w:val="18"/>
    </w:rPr>
  </w:style>
  <w:style w:type="numbering" w:customStyle="1" w:styleId="List21">
    <w:name w:val="List 21"/>
    <w:basedOn w:val="NoList"/>
    <w:rsid w:val="00F004EE"/>
    <w:pPr>
      <w:numPr>
        <w:numId w:val="33"/>
      </w:numPr>
    </w:pPr>
  </w:style>
  <w:style w:type="paragraph" w:customStyle="1" w:styleId="Pa2">
    <w:name w:val="Pa2"/>
    <w:basedOn w:val="Default"/>
    <w:next w:val="Default"/>
    <w:uiPriority w:val="99"/>
    <w:rsid w:val="00F004EE"/>
    <w:pPr>
      <w:spacing w:line="201" w:lineRule="atLeast"/>
    </w:pPr>
    <w:rPr>
      <w:rFonts w:ascii="HelveticaNeueLT Std" w:hAnsi="HelveticaNeueLT Std" w:cs="Times New Roman"/>
      <w:color w:val="auto"/>
    </w:rPr>
  </w:style>
  <w:style w:type="paragraph" w:customStyle="1" w:styleId="xl63">
    <w:name w:val="xl63"/>
    <w:basedOn w:val="Normal"/>
    <w:rsid w:val="00F004EE"/>
    <w:pPr>
      <w:pBdr>
        <w:top w:val="single" w:sz="8" w:space="0" w:color="000000"/>
        <w:left w:val="single" w:sz="8" w:space="0" w:color="000000"/>
        <w:right w:val="single" w:sz="8" w:space="0" w:color="000000"/>
      </w:pBdr>
      <w:shd w:val="clear" w:color="000000" w:fill="FFFFFF"/>
      <w:spacing w:before="100" w:beforeAutospacing="1" w:after="100" w:afterAutospacing="1"/>
      <w:jc w:val="both"/>
      <w:textAlignment w:val="center"/>
    </w:pPr>
    <w:rPr>
      <w:color w:val="444444"/>
    </w:rPr>
  </w:style>
  <w:style w:type="paragraph" w:customStyle="1" w:styleId="xl64">
    <w:name w:val="xl64"/>
    <w:basedOn w:val="Normal"/>
    <w:rsid w:val="00F004EE"/>
    <w:pPr>
      <w:pBdr>
        <w:left w:val="single" w:sz="8" w:space="0" w:color="000000"/>
        <w:bottom w:val="single" w:sz="8" w:space="0" w:color="000000"/>
        <w:right w:val="single" w:sz="8" w:space="0" w:color="000000"/>
      </w:pBdr>
      <w:shd w:val="clear" w:color="000000" w:fill="FFFFFF"/>
      <w:spacing w:before="100" w:beforeAutospacing="1" w:after="100" w:afterAutospacing="1"/>
      <w:jc w:val="both"/>
      <w:textAlignment w:val="center"/>
    </w:pPr>
    <w:rPr>
      <w:color w:val="444444"/>
    </w:rPr>
  </w:style>
  <w:style w:type="paragraph" w:customStyle="1" w:styleId="xl65">
    <w:name w:val="xl65"/>
    <w:basedOn w:val="Normal"/>
    <w:rsid w:val="00F004EE"/>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jc w:val="both"/>
      <w:textAlignment w:val="center"/>
    </w:pPr>
    <w:rPr>
      <w:color w:val="444444"/>
    </w:rPr>
  </w:style>
  <w:style w:type="paragraph" w:customStyle="1" w:styleId="xl66">
    <w:name w:val="xl66"/>
    <w:basedOn w:val="Normal"/>
    <w:rsid w:val="00F004EE"/>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color w:val="444444"/>
    </w:rPr>
  </w:style>
  <w:style w:type="character" w:customStyle="1" w:styleId="Heading6Char">
    <w:name w:val="Heading 6 Char"/>
    <w:basedOn w:val="DefaultParagraphFont"/>
    <w:link w:val="Heading6"/>
    <w:semiHidden/>
    <w:rsid w:val="00F004EE"/>
    <w:rPr>
      <w:i/>
      <w:sz w:val="22"/>
    </w:rPr>
  </w:style>
  <w:style w:type="character" w:customStyle="1" w:styleId="Heading7Char">
    <w:name w:val="Heading 7 Char"/>
    <w:basedOn w:val="DefaultParagraphFont"/>
    <w:link w:val="Heading7"/>
    <w:semiHidden/>
    <w:rsid w:val="00F004EE"/>
    <w:rPr>
      <w:rFonts w:ascii="Arial" w:hAnsi="Arial"/>
    </w:rPr>
  </w:style>
  <w:style w:type="character" w:customStyle="1" w:styleId="Heading8Char">
    <w:name w:val="Heading 8 Char"/>
    <w:basedOn w:val="DefaultParagraphFont"/>
    <w:link w:val="Heading8"/>
    <w:semiHidden/>
    <w:rsid w:val="00F004EE"/>
    <w:rPr>
      <w:rFonts w:ascii="Arial" w:hAnsi="Arial"/>
      <w:i/>
    </w:rPr>
  </w:style>
  <w:style w:type="character" w:customStyle="1" w:styleId="Heading9Char">
    <w:name w:val="Heading 9 Char"/>
    <w:basedOn w:val="DefaultParagraphFont"/>
    <w:link w:val="Heading9"/>
    <w:semiHidden/>
    <w:rsid w:val="00F004EE"/>
    <w:rPr>
      <w:rFonts w:ascii="Arial" w:hAnsi="Arial"/>
      <w:b/>
      <w:i/>
      <w:sz w:val="18"/>
    </w:rPr>
  </w:style>
  <w:style w:type="paragraph" w:styleId="PlainText">
    <w:name w:val="Plain Text"/>
    <w:basedOn w:val="Normal"/>
    <w:link w:val="PlainTextChar"/>
    <w:uiPriority w:val="99"/>
    <w:unhideWhenUsed/>
    <w:rsid w:val="00F004EE"/>
    <w:rPr>
      <w:rFonts w:ascii="Calibri" w:eastAsiaTheme="minorHAnsi" w:hAnsi="Calibri" w:cs="Consolas"/>
      <w:sz w:val="22"/>
      <w:szCs w:val="21"/>
      <w:lang w:eastAsia="en-US"/>
    </w:rPr>
  </w:style>
  <w:style w:type="character" w:customStyle="1" w:styleId="PlainTextChar">
    <w:name w:val="Plain Text Char"/>
    <w:basedOn w:val="DefaultParagraphFont"/>
    <w:link w:val="PlainText"/>
    <w:uiPriority w:val="99"/>
    <w:rsid w:val="00F004EE"/>
    <w:rPr>
      <w:rFonts w:ascii="Calibri" w:eastAsiaTheme="minorHAnsi" w:hAnsi="Calibri" w:cs="Consolas"/>
      <w:sz w:val="22"/>
      <w:szCs w:val="21"/>
      <w:lang w:eastAsia="en-US"/>
    </w:rPr>
  </w:style>
  <w:style w:type="character" w:customStyle="1" w:styleId="s21">
    <w:name w:val="s21"/>
    <w:basedOn w:val="DefaultParagraphFont"/>
    <w:rsid w:val="00F004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0923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_compil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8C915-996C-46A6-8B44-FD86A73C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chapter_compiler.dotm</Template>
  <TotalTime>1</TotalTime>
  <Pages>41</Pages>
  <Words>13630</Words>
  <Characters>78482</Characters>
  <Application>Microsoft Office Word</Application>
  <DocSecurity>0</DocSecurity>
  <Lines>1480</Lines>
  <Paragraphs>618</Paragraphs>
  <ScaleCrop>false</ScaleCrop>
  <HeadingPairs>
    <vt:vector size="2" baseType="variant">
      <vt:variant>
        <vt:lpstr>Title</vt:lpstr>
      </vt:variant>
      <vt:variant>
        <vt:i4>1</vt:i4>
      </vt:variant>
    </vt:vector>
  </HeadingPairs>
  <TitlesOfParts>
    <vt:vector size="1" baseType="lpstr">
      <vt:lpstr>Intellectual Property Arrangements - Inquiry Report</vt:lpstr>
    </vt:vector>
  </TitlesOfParts>
  <Company>Productivity Commission</Company>
  <LinksUpToDate>false</LinksUpToDate>
  <CharactersWithSpaces>91494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Intellectual Property Arrangements - Inquiry Report Overview</dc:title>
  <dc:subject>Report</dc:subject>
  <dc:creator>Productivity Commission</dc:creator>
  <dc:description>1.</dc:description>
  <cp:lastModifiedBy>Michelle Cross</cp:lastModifiedBy>
  <cp:revision>4</cp:revision>
  <cp:lastPrinted>2016-10-03T05:15:00Z</cp:lastPrinted>
  <dcterms:created xsi:type="dcterms:W3CDTF">2016-11-23T23:05:00Z</dcterms:created>
  <dcterms:modified xsi:type="dcterms:W3CDTF">2016-12-19T03:09:00Z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id="OGGFDHyW"/&gt;&lt;style id="http://www.zotero.org/styles/unisa-harvard" hasBibliography="1" bibliographyStyleHasBeenSet="1"/&gt;&lt;prefs&gt;&lt;pref name="fieldType" value="Field"/&gt;&lt;pref name="storeReferences"</vt:lpwstr>
  </property>
  <property fmtid="{D5CDD505-2E9C-101B-9397-08002B2CF9AE}" pid="3" name="ZOTERO_PREF_2">
    <vt:lpwstr> value="true"/&gt;&lt;pref name="automaticJournalAbbreviations" value="true"/&gt;&lt;pref name="noteType" value=""/&gt;&lt;/prefs&gt;&lt;/data&gt;</vt:lpwstr>
  </property>
</Properties>
</file>