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E64867" w:rsidRDefault="001F237B" w:rsidP="00B04D19">
      <w:pPr>
        <w:pStyle w:val="Heading1NotTOC"/>
        <w:rPr>
          <w:color w:val="FFFFFF" w:themeColor="background1"/>
          <w:sz w:val="12"/>
          <w:szCs w:val="12"/>
        </w:rPr>
      </w:pPr>
      <w:bookmarkStart w:id="0" w:name="_GoBack"/>
      <w:bookmarkEnd w:id="0"/>
      <w:r w:rsidRPr="00E64867">
        <w:rPr>
          <w:noProof/>
          <w:color w:val="FFFFFF" w:themeColor="background1"/>
          <w:sz w:val="12"/>
          <w:szCs w:val="12"/>
          <w:lang w:eastAsia="en-AU"/>
        </w:rPr>
        <w:drawing>
          <wp:anchor distT="0" distB="0" distL="114300" distR="114300" simplePos="0" relativeHeight="251660288" behindDoc="0" locked="0" layoutInCell="1" allowOverlap="1" wp14:anchorId="6E19382F" wp14:editId="588D5723">
            <wp:simplePos x="1155940" y="-6659592"/>
            <wp:positionH relativeFrom="page">
              <wp:align>center</wp:align>
            </wp:positionH>
            <wp:positionV relativeFrom="page">
              <wp:align>center</wp:align>
            </wp:positionV>
            <wp:extent cx="7527487" cy="10692000"/>
            <wp:effectExtent l="0" t="0" r="0" b="0"/>
            <wp:wrapNone/>
            <wp:docPr id="3" name="Picture 3" descr="Cover for: Intellectual Property Arrangements, Productivity Commission, Inquiry Report No. 78, 23 Septem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intellectual-property-no crop mark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27487" cy="10692000"/>
                    </a:xfrm>
                    <a:prstGeom prst="rect">
                      <a:avLst/>
                    </a:prstGeom>
                  </pic:spPr>
                </pic:pic>
              </a:graphicData>
            </a:graphic>
            <wp14:sizeRelH relativeFrom="margin">
              <wp14:pctWidth>0</wp14:pctWidth>
            </wp14:sizeRelH>
            <wp14:sizeRelV relativeFrom="margin">
              <wp14:pctHeight>0</wp14:pctHeight>
            </wp14:sizeRelV>
          </wp:anchor>
        </w:drawing>
      </w:r>
      <w:r w:rsidR="003D2936" w:rsidRPr="00E64867">
        <w:rPr>
          <w:color w:val="FFFFFF" w:themeColor="background1"/>
          <w:sz w:val="12"/>
          <w:szCs w:val="12"/>
        </w:rPr>
        <w:t>Intellectual Property Arrangements</w:t>
      </w:r>
      <w:r w:rsidR="00E64867" w:rsidRPr="00E64867">
        <w:rPr>
          <w:color w:val="FFFFFF" w:themeColor="background1"/>
          <w:sz w:val="12"/>
          <w:szCs w:val="12"/>
        </w:rPr>
        <w:br/>
      </w:r>
      <w:r w:rsidR="003D2936" w:rsidRPr="00E64867">
        <w:rPr>
          <w:color w:val="FFFFFF" w:themeColor="background1"/>
          <w:sz w:val="12"/>
          <w:szCs w:val="12"/>
        </w:rPr>
        <w:t>Productivity Commission Inquiry Report. No. 78, 23 September 2016.</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rsidR="0051081A" w:rsidRPr="007809B8" w:rsidRDefault="00775FA7">
      <w:pPr>
        <w:pStyle w:val="BodyText"/>
        <w:tabs>
          <w:tab w:val="left" w:pos="851"/>
        </w:tabs>
        <w:spacing w:before="200" w:after="120"/>
        <w:jc w:val="left"/>
        <w:rPr>
          <w:b/>
        </w:rPr>
      </w:pPr>
      <w:bookmarkStart w:id="1" w:name="ISSN"/>
      <w:bookmarkEnd w:id="1"/>
      <w:r>
        <w:rPr>
          <w:b/>
        </w:rPr>
        <w:t>ISSN</w:t>
      </w:r>
      <w:r>
        <w:rPr>
          <w:b/>
        </w:rPr>
        <w:tab/>
        <w:t>1447-1329 (print)</w:t>
      </w:r>
      <w:r>
        <w:rPr>
          <w:b/>
        </w:rPr>
        <w:br/>
        <w:t>ISSN</w:t>
      </w:r>
      <w:r>
        <w:rPr>
          <w:b/>
        </w:rPr>
        <w:tab/>
      </w:r>
      <w:r w:rsidRPr="00775FA7">
        <w:rPr>
          <w:b/>
        </w:rPr>
        <w:t>1447-1337 (online)</w:t>
      </w:r>
      <w:r w:rsidR="0051081A">
        <w:rPr>
          <w:b/>
        </w:rPr>
        <w:br/>
        <w:t>ISBN</w:t>
      </w:r>
      <w:r w:rsidR="0051081A">
        <w:rPr>
          <w:b/>
        </w:rPr>
        <w:tab/>
      </w:r>
      <w:r w:rsidRPr="00775FA7">
        <w:rPr>
          <w:b/>
        </w:rPr>
        <w:t xml:space="preserve">978-1-74037-592-4 </w:t>
      </w:r>
      <w:r w:rsidR="0051081A">
        <w:rPr>
          <w:b/>
        </w:rPr>
        <w:t>(PDF)</w:t>
      </w:r>
      <w:r w:rsidR="0051081A">
        <w:rPr>
          <w:b/>
        </w:rPr>
        <w:br/>
        <w:t>ISBN</w:t>
      </w:r>
      <w:r w:rsidR="0051081A">
        <w:rPr>
          <w:b/>
        </w:rPr>
        <w:tab/>
      </w:r>
      <w:r w:rsidRPr="00775FA7">
        <w:rPr>
          <w:b/>
        </w:rPr>
        <w:t xml:space="preserve">978-1-74037-593-1 </w:t>
      </w:r>
      <w:r>
        <w:rPr>
          <w:b/>
        </w:rPr>
        <w:t>(p</w:t>
      </w:r>
      <w:r w:rsidR="0051081A">
        <w:rPr>
          <w:b/>
        </w:rPr>
        <w:t>rint)</w:t>
      </w:r>
    </w:p>
    <w:p w:rsidR="008A3857" w:rsidRDefault="008A3857" w:rsidP="008E242D">
      <w:pPr>
        <w:pStyle w:val="BodyText"/>
        <w:spacing w:after="120"/>
      </w:pPr>
      <w:r w:rsidRPr="00862D8F">
        <w:rPr>
          <w:noProof/>
          <w:sz w:val="22"/>
          <w:szCs w:val="22"/>
        </w:rPr>
        <w:drawing>
          <wp:inline distT="0" distB="0" distL="0" distR="0" wp14:anchorId="44A23D49" wp14:editId="1F15F469">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B409A7">
        <w:rPr>
          <w:i/>
        </w:rPr>
        <w:t>Intellectual Property Arrangements, Inquiry Report</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B409A7">
        <w:rPr>
          <w:i/>
        </w:rPr>
        <w:t>Intellectual Property Arrangements, Inquiry Report.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B409A7" w:rsidRDefault="00B409A7" w:rsidP="008A3857">
      <w:pPr>
        <w:pStyle w:val="Copyrightbodytext"/>
      </w:pPr>
      <w:r>
        <w:t xml:space="preserve">Productivity Commission 2016, </w:t>
      </w:r>
      <w:r>
        <w:rPr>
          <w:i/>
        </w:rPr>
        <w:t>Intellectual Property Arrangements</w:t>
      </w:r>
      <w:r w:rsidR="00775FA7">
        <w:t>, Inquiry Report No. 78</w:t>
      </w:r>
      <w:r>
        <w:t>,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3D2936">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3D2936">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3D2936">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3D2936">
            <w:pPr>
              <w:pStyle w:val="Box"/>
              <w:spacing w:before="0" w:line="120" w:lineRule="exact"/>
            </w:pPr>
          </w:p>
        </w:tc>
      </w:tr>
    </w:tbl>
    <w:p w:rsidR="0051081A" w:rsidRDefault="0051081A" w:rsidP="0051081A">
      <w:pPr>
        <w:pStyle w:val="BodyText"/>
      </w:pPr>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51081A" w:rsidTr="003D2936">
        <w:trPr>
          <w:cantSplit/>
          <w:trHeight w:hRule="exact" w:val="996"/>
        </w:trPr>
        <w:tc>
          <w:tcPr>
            <w:tcW w:w="2434" w:type="dxa"/>
          </w:tcPr>
          <w:p w:rsidR="0051081A" w:rsidRPr="00205C77" w:rsidRDefault="0051081A">
            <w:pPr>
              <w:pStyle w:val="PCAddress"/>
              <w:ind w:left="709"/>
              <w:rPr>
                <w:rFonts w:ascii="Goudy Old Style" w:hAnsi="Goudy Old Style"/>
                <w:b/>
                <w:i/>
              </w:rPr>
            </w:pPr>
          </w:p>
        </w:tc>
        <w:tc>
          <w:tcPr>
            <w:tcW w:w="1824" w:type="dxa"/>
          </w:tcPr>
          <w:p w:rsidR="0051081A" w:rsidRPr="00205C77" w:rsidRDefault="0051081A">
            <w:pPr>
              <w:pStyle w:val="PCAddress"/>
              <w:ind w:left="709"/>
              <w:rPr>
                <w:rFonts w:ascii="Goudy Old Style" w:hAnsi="Goudy Old Style"/>
                <w:b/>
                <w:i/>
              </w:rPr>
            </w:pPr>
          </w:p>
        </w:tc>
        <w:tc>
          <w:tcPr>
            <w:tcW w:w="4815" w:type="dxa"/>
            <w:gridSpan w:val="2"/>
          </w:tcPr>
          <w:p w:rsidR="0051081A" w:rsidRPr="00205C77" w:rsidRDefault="0051081A" w:rsidP="003D2936">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53E863F6" wp14:editId="154FC4FD">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51081A" w:rsidTr="003D2936">
        <w:trPr>
          <w:cantSplit/>
          <w:trHeight w:hRule="exact" w:val="2793"/>
        </w:trPr>
        <w:tc>
          <w:tcPr>
            <w:tcW w:w="5954" w:type="dxa"/>
            <w:gridSpan w:val="3"/>
            <w:vAlign w:val="bottom"/>
          </w:tcPr>
          <w:p w:rsidR="0051081A" w:rsidRPr="00E61DA2" w:rsidRDefault="00CA1D79" w:rsidP="007A6998">
            <w:pPr>
              <w:pStyle w:val="LetterDate"/>
              <w:ind w:left="34"/>
            </w:pPr>
            <w:r>
              <w:t>23 September 2016</w:t>
            </w:r>
          </w:p>
        </w:tc>
        <w:tc>
          <w:tcPr>
            <w:tcW w:w="3119" w:type="dxa"/>
            <w:vAlign w:val="center"/>
          </w:tcPr>
          <w:p w:rsidR="0051081A" w:rsidRPr="00205C77" w:rsidRDefault="00B32F12">
            <w:pPr>
              <w:pStyle w:val="PCAddress"/>
              <w:ind w:left="709"/>
              <w:rPr>
                <w:rFonts w:ascii="Goudy Old Style" w:hAnsi="Goudy Old Style"/>
                <w:b/>
                <w:i/>
              </w:rPr>
            </w:pPr>
            <w:r>
              <w:rPr>
                <w:rFonts w:ascii="Goudy Old Style" w:hAnsi="Goudy Old Style"/>
                <w:b/>
                <w:i/>
              </w:rPr>
              <w:t>Canberra</w:t>
            </w:r>
            <w:r w:rsidRPr="00205C77">
              <w:rPr>
                <w:rFonts w:ascii="Goudy Old Style" w:hAnsi="Goudy Old Style"/>
                <w:b/>
                <w:i/>
              </w:rPr>
              <w:t xml:space="preserve"> </w:t>
            </w:r>
            <w:r w:rsidR="0051081A" w:rsidRPr="00205C77">
              <w:rPr>
                <w:rFonts w:ascii="Goudy Old Style" w:hAnsi="Goudy Old Style"/>
                <w:b/>
                <w:i/>
              </w:rPr>
              <w:t>Office</w:t>
            </w:r>
          </w:p>
          <w:p w:rsidR="0051081A" w:rsidRPr="00205C77" w:rsidRDefault="0051081A">
            <w:pPr>
              <w:pStyle w:val="PCAddress"/>
              <w:spacing w:after="0"/>
              <w:ind w:left="709"/>
              <w:rPr>
                <w:rFonts w:ascii="Goudy Old Style" w:hAnsi="Goudy Old Style"/>
              </w:rPr>
            </w:pPr>
            <w:r w:rsidRPr="00205C77">
              <w:rPr>
                <w:rFonts w:ascii="Goudy Old Style" w:hAnsi="Goudy Old Style"/>
              </w:rPr>
              <w:t xml:space="preserve">Level 2, </w:t>
            </w:r>
            <w:r w:rsidR="00B32F12">
              <w:rPr>
                <w:rFonts w:ascii="Goudy Old Style" w:hAnsi="Goudy Old Style"/>
              </w:rPr>
              <w:t>15 Moore Street</w:t>
            </w:r>
          </w:p>
          <w:p w:rsidR="0051081A" w:rsidRPr="00205C77" w:rsidRDefault="00B32F12">
            <w:pPr>
              <w:pStyle w:val="PCAddress"/>
              <w:ind w:left="709"/>
              <w:rPr>
                <w:rFonts w:ascii="Goudy Old Style" w:hAnsi="Goudy Old Style"/>
              </w:rPr>
            </w:pPr>
            <w:r>
              <w:rPr>
                <w:rFonts w:ascii="Goudy Old Style" w:hAnsi="Goudy Old Style"/>
              </w:rPr>
              <w:t>Canberra City  ACT  2600</w:t>
            </w:r>
          </w:p>
          <w:p w:rsidR="0051081A" w:rsidRPr="00205C77" w:rsidRDefault="00B32F12">
            <w:pPr>
              <w:pStyle w:val="PCAddress"/>
              <w:spacing w:after="0"/>
              <w:ind w:left="709"/>
              <w:rPr>
                <w:rFonts w:ascii="Goudy Old Style" w:hAnsi="Goudy Old Style"/>
              </w:rPr>
            </w:pPr>
            <w:r>
              <w:rPr>
                <w:rFonts w:ascii="Goudy Old Style" w:hAnsi="Goudy Old Style"/>
              </w:rPr>
              <w:t>GPO Box 1428</w:t>
            </w:r>
          </w:p>
          <w:p w:rsidR="0051081A" w:rsidRPr="00205C77" w:rsidRDefault="00B32F12">
            <w:pPr>
              <w:pStyle w:val="PCAddress"/>
              <w:ind w:left="709"/>
              <w:rPr>
                <w:rFonts w:ascii="Goudy Old Style" w:hAnsi="Goudy Old Style"/>
              </w:rPr>
            </w:pPr>
            <w:r>
              <w:rPr>
                <w:rFonts w:ascii="Goudy Old Style" w:hAnsi="Goudy Old Style"/>
              </w:rPr>
              <w:t>Canberra City ACT 2601</w:t>
            </w:r>
          </w:p>
          <w:p w:rsidR="0051081A" w:rsidRPr="00205C77" w:rsidRDefault="0051081A">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r>
            <w:r w:rsidR="00B32F12" w:rsidRPr="00205C77">
              <w:rPr>
                <w:rFonts w:ascii="Goudy Old Style" w:hAnsi="Goudy Old Style"/>
              </w:rPr>
              <w:t>0</w:t>
            </w:r>
            <w:r w:rsidR="00B32F12">
              <w:rPr>
                <w:rFonts w:ascii="Goudy Old Style" w:hAnsi="Goudy Old Style"/>
              </w:rPr>
              <w:t>2</w:t>
            </w:r>
            <w:r w:rsidR="00B32F12" w:rsidRPr="00205C77">
              <w:rPr>
                <w:rFonts w:ascii="Goudy Old Style" w:hAnsi="Goudy Old Style"/>
              </w:rPr>
              <w:t xml:space="preserve"> </w:t>
            </w:r>
            <w:r w:rsidR="00B32F12">
              <w:rPr>
                <w:rFonts w:ascii="Goudy Old Style" w:hAnsi="Goudy Old Style"/>
              </w:rPr>
              <w:t>6240</w:t>
            </w:r>
            <w:r w:rsidR="00B32F12" w:rsidRPr="00205C77">
              <w:rPr>
                <w:rFonts w:ascii="Goudy Old Style" w:hAnsi="Goudy Old Style"/>
              </w:rPr>
              <w:t xml:space="preserve"> </w:t>
            </w:r>
            <w:r w:rsidR="00B32F12">
              <w:rPr>
                <w:rFonts w:ascii="Goudy Old Style" w:hAnsi="Goudy Old Style"/>
              </w:rPr>
              <w:t>3200</w:t>
            </w:r>
          </w:p>
          <w:p w:rsidR="0051081A" w:rsidRPr="00205C77" w:rsidRDefault="0051081A">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r>
            <w:r w:rsidR="00B32F12" w:rsidRPr="00205C77">
              <w:rPr>
                <w:rFonts w:ascii="Goudy Old Style" w:hAnsi="Goudy Old Style"/>
              </w:rPr>
              <w:t>0</w:t>
            </w:r>
            <w:r w:rsidR="00B32F12">
              <w:rPr>
                <w:rFonts w:ascii="Goudy Old Style" w:hAnsi="Goudy Old Style"/>
              </w:rPr>
              <w:t>2</w:t>
            </w:r>
            <w:r w:rsidR="00B32F12" w:rsidRPr="00205C77">
              <w:rPr>
                <w:rFonts w:ascii="Goudy Old Style" w:hAnsi="Goudy Old Style"/>
              </w:rPr>
              <w:t xml:space="preserve"> </w:t>
            </w:r>
            <w:r w:rsidR="00B32F12">
              <w:rPr>
                <w:rFonts w:ascii="Goudy Old Style" w:hAnsi="Goudy Old Style"/>
              </w:rPr>
              <w:t>6240</w:t>
            </w:r>
            <w:r w:rsidR="00B32F12" w:rsidRPr="00205C77">
              <w:rPr>
                <w:rFonts w:ascii="Goudy Old Style" w:hAnsi="Goudy Old Style"/>
              </w:rPr>
              <w:t xml:space="preserve"> </w:t>
            </w:r>
            <w:r w:rsidR="00B32F12">
              <w:rPr>
                <w:rFonts w:ascii="Goudy Old Style" w:hAnsi="Goudy Old Style"/>
              </w:rPr>
              <w:t>3399</w:t>
            </w:r>
          </w:p>
          <w:p w:rsidR="00B32F12" w:rsidRPr="00205C77" w:rsidRDefault="00B32F12" w:rsidP="00B32F12">
            <w:pPr>
              <w:pStyle w:val="PCAddress"/>
              <w:ind w:left="709"/>
              <w:rPr>
                <w:rFonts w:ascii="Goudy Old Style" w:hAnsi="Goudy Old Style"/>
                <w:b/>
                <w:i/>
              </w:rPr>
            </w:pPr>
            <w:r w:rsidRPr="00205C77">
              <w:rPr>
                <w:rFonts w:ascii="Goudy Old Style" w:hAnsi="Goudy Old Style"/>
                <w:b/>
                <w:i/>
              </w:rPr>
              <w:t>Melbourne Office</w:t>
            </w:r>
          </w:p>
          <w:p w:rsidR="0051081A" w:rsidRPr="00205C77" w:rsidRDefault="0051081A">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r>
            <w:r w:rsidR="00B32F12" w:rsidRPr="00205C77">
              <w:rPr>
                <w:rFonts w:ascii="Goudy Old Style" w:hAnsi="Goudy Old Style"/>
              </w:rPr>
              <w:t>03 9653 2100</w:t>
            </w:r>
          </w:p>
          <w:p w:rsidR="0051081A" w:rsidRPr="00205C77" w:rsidRDefault="0051081A" w:rsidP="003D2936">
            <w:pPr>
              <w:pStyle w:val="PCAddress"/>
              <w:ind w:left="709"/>
              <w:rPr>
                <w:rFonts w:ascii="Goudy Old Style" w:hAnsi="Goudy Old Style"/>
              </w:rPr>
            </w:pPr>
            <w:proofErr w:type="spellStart"/>
            <w:r w:rsidRPr="00205C77">
              <w:rPr>
                <w:rFonts w:ascii="Goudy Old Style" w:hAnsi="Goudy Old Style"/>
              </w:rPr>
              <w:t>www.pc.gov.au</w:t>
            </w:r>
            <w:proofErr w:type="spellEnd"/>
          </w:p>
        </w:tc>
      </w:tr>
    </w:tbl>
    <w:p w:rsidR="0051081A" w:rsidRDefault="0051081A" w:rsidP="00E90B4B">
      <w:pPr>
        <w:pStyle w:val="LetterAddress"/>
        <w:spacing w:before="360"/>
      </w:pPr>
      <w:r>
        <w:t xml:space="preserve">The Hon </w:t>
      </w:r>
      <w:r w:rsidR="00CA1D79">
        <w:t>Scott Morrison</w:t>
      </w:r>
      <w:r>
        <w:t xml:space="preserve"> MP</w:t>
      </w:r>
    </w:p>
    <w:p w:rsidR="0051081A" w:rsidRDefault="0051081A" w:rsidP="003D2936">
      <w:pPr>
        <w:pStyle w:val="LetterAddress"/>
      </w:pPr>
      <w:r>
        <w:t>Treasurer</w:t>
      </w:r>
    </w:p>
    <w:p w:rsidR="0051081A" w:rsidRDefault="0051081A" w:rsidP="003D2936">
      <w:pPr>
        <w:pStyle w:val="LetterAddress"/>
      </w:pPr>
      <w:r>
        <w:t>Parliament House</w:t>
      </w:r>
    </w:p>
    <w:p w:rsidR="0051081A" w:rsidRDefault="0051081A" w:rsidP="003D2936">
      <w:pPr>
        <w:pStyle w:val="LetterAddress"/>
      </w:pPr>
      <w:r>
        <w:t>CANBERRA ACT 2600</w:t>
      </w:r>
    </w:p>
    <w:p w:rsidR="0051081A" w:rsidRPr="00C76C25" w:rsidRDefault="0051081A" w:rsidP="00E90B4B">
      <w:pPr>
        <w:pStyle w:val="Salutation"/>
      </w:pPr>
      <w:r w:rsidRPr="00C76C25">
        <w:t>Dear Treasurer</w:t>
      </w:r>
    </w:p>
    <w:p w:rsidR="0051081A" w:rsidRDefault="0051081A" w:rsidP="003D2936">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CA1D79">
        <w:rPr>
          <w:i/>
        </w:rPr>
        <w:t>Intellectual Property Arrangements</w:t>
      </w:r>
      <w:r w:rsidRPr="0027513F">
        <w:t>.</w:t>
      </w:r>
    </w:p>
    <w:p w:rsidR="0051081A" w:rsidRDefault="00977291" w:rsidP="003D2936">
      <w:pPr>
        <w:pStyle w:val="Signoff"/>
      </w:pPr>
      <w:r>
        <w:rPr>
          <w:noProof/>
        </w:rPr>
        <w:drawing>
          <wp:anchor distT="0" distB="0" distL="114300" distR="114300" simplePos="0" relativeHeight="251659264" behindDoc="0" locked="0" layoutInCell="1" allowOverlap="1" wp14:anchorId="12FB1119" wp14:editId="44CB967E">
            <wp:simplePos x="0" y="0"/>
            <wp:positionH relativeFrom="column">
              <wp:posOffset>1950258</wp:posOffset>
            </wp:positionH>
            <wp:positionV relativeFrom="paragraph">
              <wp:posOffset>708351</wp:posOffset>
            </wp:positionV>
            <wp:extent cx="1619250" cy="504825"/>
            <wp:effectExtent l="0" t="0" r="0" b="9525"/>
            <wp:wrapNone/>
            <wp:docPr id="10" name="Picture 10" descr="Karen Chester'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0" cy="5048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8D6F73C" wp14:editId="69D7B301">
            <wp:simplePos x="0" y="0"/>
            <wp:positionH relativeFrom="column">
              <wp:posOffset>-47608</wp:posOffset>
            </wp:positionH>
            <wp:positionV relativeFrom="paragraph">
              <wp:posOffset>596265</wp:posOffset>
            </wp:positionV>
            <wp:extent cx="1707515" cy="615950"/>
            <wp:effectExtent l="0" t="0" r="6985" b="0"/>
            <wp:wrapNone/>
            <wp:docPr id="6" name="Picture 6" descr="Jonathan Coppel'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07515" cy="61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81A" w:rsidRPr="00C76C25">
        <w:t>Yours sincerely</w:t>
      </w:r>
      <w:r w:rsidR="00A51209">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4678"/>
        <w:gridCol w:w="817"/>
      </w:tblGrid>
      <w:tr w:rsidR="0051081A" w:rsidTr="00977291">
        <w:tc>
          <w:tcPr>
            <w:tcW w:w="3510" w:type="dxa"/>
          </w:tcPr>
          <w:p w:rsidR="0051081A" w:rsidRPr="0027513F" w:rsidRDefault="00CA1D79" w:rsidP="003D2936">
            <w:pPr>
              <w:pStyle w:val="BodyText"/>
              <w:rPr>
                <w:szCs w:val="25"/>
              </w:rPr>
            </w:pPr>
            <w:r>
              <w:rPr>
                <w:szCs w:val="25"/>
              </w:rPr>
              <w:t>Jonathan Coppel</w:t>
            </w:r>
          </w:p>
          <w:p w:rsidR="0051081A" w:rsidRPr="0027513F" w:rsidRDefault="0051081A" w:rsidP="003D2936">
            <w:pPr>
              <w:pStyle w:val="LetterAddress"/>
              <w:rPr>
                <w:szCs w:val="25"/>
              </w:rPr>
            </w:pPr>
            <w:r w:rsidRPr="0027513F">
              <w:rPr>
                <w:szCs w:val="25"/>
              </w:rPr>
              <w:t>Commissioner</w:t>
            </w:r>
          </w:p>
        </w:tc>
        <w:tc>
          <w:tcPr>
            <w:tcW w:w="4678" w:type="dxa"/>
          </w:tcPr>
          <w:p w:rsidR="0051081A" w:rsidRPr="0027513F" w:rsidRDefault="00CA1D79" w:rsidP="003D2936">
            <w:pPr>
              <w:pStyle w:val="BodyText"/>
              <w:rPr>
                <w:szCs w:val="25"/>
              </w:rPr>
            </w:pPr>
            <w:r>
              <w:rPr>
                <w:szCs w:val="25"/>
              </w:rPr>
              <w:t>Karen Chester</w:t>
            </w:r>
          </w:p>
          <w:p w:rsidR="0051081A" w:rsidRPr="0027513F" w:rsidRDefault="0051081A" w:rsidP="003D2936">
            <w:pPr>
              <w:pStyle w:val="LetterAddress"/>
              <w:rPr>
                <w:szCs w:val="25"/>
              </w:rPr>
            </w:pPr>
            <w:r w:rsidRPr="0027513F">
              <w:rPr>
                <w:szCs w:val="25"/>
              </w:rPr>
              <w:t>Commissioner</w:t>
            </w:r>
            <w:r w:rsidR="006E6AB7">
              <w:rPr>
                <w:szCs w:val="25"/>
              </w:rPr>
              <w:t xml:space="preserve"> &amp; Deputy Chair</w:t>
            </w:r>
          </w:p>
        </w:tc>
        <w:tc>
          <w:tcPr>
            <w:tcW w:w="817" w:type="dxa"/>
          </w:tcPr>
          <w:p w:rsidR="0051081A" w:rsidRPr="0027513F" w:rsidRDefault="0051081A" w:rsidP="003D2936">
            <w:pPr>
              <w:pStyle w:val="LetterAddress"/>
              <w:rPr>
                <w:szCs w:val="25"/>
              </w:rPr>
            </w:pPr>
          </w:p>
        </w:tc>
      </w:tr>
    </w:tbl>
    <w:p w:rsidR="0051081A" w:rsidRDefault="0051081A"/>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51081A" w:rsidRDefault="0051081A" w:rsidP="003D2936">
      <w:pPr>
        <w:pStyle w:val="Heading1"/>
      </w:pPr>
      <w:bookmarkStart w:id="4" w:name="_Toc462120291"/>
      <w:bookmarkStart w:id="5" w:name="_Toc462218290"/>
      <w:bookmarkStart w:id="6" w:name="_Toc462291764"/>
      <w:r>
        <w:lastRenderedPageBreak/>
        <w:t>Terms of reference</w:t>
      </w:r>
      <w:bookmarkEnd w:id="4"/>
      <w:bookmarkEnd w:id="5"/>
      <w:bookmarkEnd w:id="6"/>
    </w:p>
    <w:p w:rsidR="00A51209" w:rsidRDefault="00A51209" w:rsidP="00A51209">
      <w:pPr>
        <w:pStyle w:val="BodyText"/>
        <w:jc w:val="center"/>
      </w:pPr>
      <w:r>
        <w:t>INQUIRY INTO AUSTRALIA’S INTELLECTUAL PROPERTY ARRANGEMENTS</w:t>
      </w:r>
    </w:p>
    <w:p w:rsidR="00A51209" w:rsidRDefault="00A51209" w:rsidP="00A51209">
      <w:pPr>
        <w:pStyle w:val="BodyText"/>
        <w:spacing w:before="360"/>
      </w:pPr>
      <w:r w:rsidRPr="00ED4AA5">
        <w:t>I, Joseph Benedict Hockey, Treasurer, pursuant to Parts 2 and 3 of the Productivity Commission Act 1998, hereby request that the Productivity Commission undertake an inquiry into Australia's intellectual property arrangements, including their effect on investment, competition, trade, innovation and consumer welfare.</w:t>
      </w:r>
    </w:p>
    <w:p w:rsidR="00A51209" w:rsidRPr="00ED4AA5" w:rsidRDefault="00A51209" w:rsidP="00A51209">
      <w:pPr>
        <w:pStyle w:val="BodyText"/>
        <w:rPr>
          <w:b/>
        </w:rPr>
      </w:pPr>
      <w:r w:rsidRPr="00ED4AA5">
        <w:rPr>
          <w:b/>
        </w:rPr>
        <w:t>Background</w:t>
      </w:r>
    </w:p>
    <w:p w:rsidR="00A51209" w:rsidRPr="00ED4AA5" w:rsidRDefault="00A51209" w:rsidP="00A51209">
      <w:pPr>
        <w:pStyle w:val="BodyText"/>
      </w:pPr>
      <w:r w:rsidRPr="00ED4AA5">
        <w:t xml:space="preserve">Australia provides statutory protection for intellectual property through patents, </w:t>
      </w:r>
      <w:proofErr w:type="spellStart"/>
      <w:r w:rsidRPr="00ED4AA5">
        <w:t>trade marks</w:t>
      </w:r>
      <w:proofErr w:type="spellEnd"/>
      <w:r w:rsidRPr="00ED4AA5">
        <w:t>, geographical indications, registered designs, plant breeders' rights, copyright, moral rights, performers' rights and circuit layout rights. Current laws are consistent with treaties under the auspices of the World Trade Organization, the World Intellectual Property Organization and the World Health Organization to which Australia has acceded, as well as bilateral and regional trade agreements.</w:t>
      </w:r>
    </w:p>
    <w:p w:rsidR="00A51209" w:rsidRPr="00ED4AA5" w:rsidRDefault="00A51209" w:rsidP="00A51209">
      <w:pPr>
        <w:pStyle w:val="BodyText"/>
      </w:pPr>
      <w:r w:rsidRPr="00ED4AA5">
        <w:t>The global economy and technology are changing and there have been increases in the scope and duration of intellectual property protection. The Australian Government seeks to ensure that the appropriate balance exists between incentives for innovation and investment and the interests of both individuals and businesses, including small businesses, in accessing ideas and products.</w:t>
      </w:r>
    </w:p>
    <w:p w:rsidR="00A51209" w:rsidRPr="00ED4AA5" w:rsidRDefault="00A51209" w:rsidP="00A51209">
      <w:pPr>
        <w:pStyle w:val="BodyText"/>
        <w:rPr>
          <w:b/>
        </w:rPr>
      </w:pPr>
      <w:r w:rsidRPr="00ED4AA5">
        <w:rPr>
          <w:b/>
        </w:rPr>
        <w:t>Scope of the inquiry</w:t>
      </w:r>
    </w:p>
    <w:p w:rsidR="00A51209" w:rsidRDefault="00A51209" w:rsidP="00A51209">
      <w:pPr>
        <w:pStyle w:val="BodyText"/>
      </w:pPr>
      <w:r>
        <w:t>The Australian Government wishes to ensure that the intellectual property system provides appropriate incentives for innovation, investment and the production of creative works while ensuring it does not unreasonably impede further innovation, competition, investment and access to goods and services.</w:t>
      </w:r>
    </w:p>
    <w:p w:rsidR="00A51209" w:rsidRDefault="00A51209" w:rsidP="00A51209">
      <w:pPr>
        <w:pStyle w:val="BodyText"/>
      </w:pPr>
      <w:r>
        <w:t>In undertaking the inquiry, the Commission should:</w:t>
      </w:r>
    </w:p>
    <w:p w:rsidR="00A51209" w:rsidRPr="00ED4AA5" w:rsidRDefault="00A51209" w:rsidP="00A51209">
      <w:pPr>
        <w:pStyle w:val="ListNumber"/>
        <w:numPr>
          <w:ilvl w:val="0"/>
          <w:numId w:val="25"/>
        </w:numPr>
      </w:pPr>
      <w:r w:rsidRPr="00ED4AA5">
        <w:t>examine the effect of the scope and duration of protection afforded by Australia's intellectual property system on:</w:t>
      </w:r>
    </w:p>
    <w:p w:rsidR="00A51209" w:rsidRPr="00ED4AA5" w:rsidRDefault="00A51209" w:rsidP="00A51209">
      <w:pPr>
        <w:pStyle w:val="ListNumber2"/>
        <w:numPr>
          <w:ilvl w:val="1"/>
          <w:numId w:val="25"/>
        </w:numPr>
      </w:pPr>
      <w:r w:rsidRPr="00ED4AA5">
        <w:t>research and innovation, including freedom to build on existing innovation</w:t>
      </w:r>
    </w:p>
    <w:p w:rsidR="00A51209" w:rsidRPr="00ED4AA5" w:rsidRDefault="00A51209" w:rsidP="00A51209">
      <w:pPr>
        <w:pStyle w:val="ListNumber2"/>
        <w:numPr>
          <w:ilvl w:val="1"/>
          <w:numId w:val="25"/>
        </w:numPr>
      </w:pPr>
      <w:r w:rsidRPr="00ED4AA5">
        <w:t>access to and cost of goods and services</w:t>
      </w:r>
    </w:p>
    <w:p w:rsidR="00A51209" w:rsidRPr="00ED4AA5" w:rsidRDefault="00A51209" w:rsidP="00A51209">
      <w:pPr>
        <w:pStyle w:val="ListNumber2"/>
        <w:numPr>
          <w:ilvl w:val="1"/>
          <w:numId w:val="25"/>
        </w:numPr>
      </w:pPr>
      <w:r w:rsidRPr="00ED4AA5">
        <w:t>competition, trade and investment.</w:t>
      </w:r>
    </w:p>
    <w:p w:rsidR="00A51209" w:rsidRPr="00ED4AA5" w:rsidRDefault="00A51209" w:rsidP="00A51209">
      <w:pPr>
        <w:pStyle w:val="ListNumber"/>
        <w:numPr>
          <w:ilvl w:val="0"/>
          <w:numId w:val="25"/>
        </w:numPr>
      </w:pPr>
      <w:r w:rsidRPr="00ED4AA5">
        <w:lastRenderedPageBreak/>
        <w:t>recommend changes to the current system that would improve the overall wellbeing of Australian society, which take account of Australia's international trade obligations, including changes that would:</w:t>
      </w:r>
    </w:p>
    <w:p w:rsidR="00A51209" w:rsidRPr="00ED4AA5" w:rsidRDefault="00A51209" w:rsidP="00A51209">
      <w:pPr>
        <w:pStyle w:val="ListNumber2"/>
        <w:numPr>
          <w:ilvl w:val="1"/>
          <w:numId w:val="25"/>
        </w:numPr>
      </w:pPr>
      <w:r w:rsidRPr="00ED4AA5">
        <w:t>encourage creativity, investment and new innovation by individuals, businesses and through collaboration while not unduly restricting access to technologies and creative works</w:t>
      </w:r>
    </w:p>
    <w:p w:rsidR="00A51209" w:rsidRPr="00ED4AA5" w:rsidRDefault="00A51209" w:rsidP="00A51209">
      <w:pPr>
        <w:pStyle w:val="ListNumber2"/>
        <w:numPr>
          <w:ilvl w:val="1"/>
          <w:numId w:val="25"/>
        </w:numPr>
      </w:pPr>
      <w:r w:rsidRPr="00ED4AA5">
        <w:t>allow access to an increased range of quality and value goods and services</w:t>
      </w:r>
    </w:p>
    <w:p w:rsidR="00A51209" w:rsidRPr="00ED4AA5" w:rsidRDefault="00A51209" w:rsidP="00A51209">
      <w:pPr>
        <w:pStyle w:val="ListNumber2"/>
        <w:numPr>
          <w:ilvl w:val="1"/>
          <w:numId w:val="25"/>
        </w:numPr>
      </w:pPr>
      <w:r w:rsidRPr="00ED4AA5">
        <w:t>provide greater certainty to individuals and businesses as to whether they are likely to infringe the intellectual property rights of others</w:t>
      </w:r>
    </w:p>
    <w:p w:rsidR="00A51209" w:rsidRPr="00ED4AA5" w:rsidRDefault="00A51209" w:rsidP="00A51209">
      <w:pPr>
        <w:pStyle w:val="ListNumber2"/>
        <w:numPr>
          <w:ilvl w:val="1"/>
          <w:numId w:val="25"/>
        </w:numPr>
      </w:pPr>
      <w:r w:rsidRPr="00ED4AA5">
        <w:t>reduce the compliance and administrative costs associated with intellectual property rules.</w:t>
      </w:r>
    </w:p>
    <w:p w:rsidR="00A51209" w:rsidRPr="00ED4AA5" w:rsidRDefault="00A51209" w:rsidP="00A51209">
      <w:pPr>
        <w:pStyle w:val="ListNumber"/>
        <w:numPr>
          <w:ilvl w:val="0"/>
          <w:numId w:val="25"/>
        </w:numPr>
      </w:pPr>
      <w:r w:rsidRPr="00ED4AA5">
        <w:t>in undertaking the inquiry and proposing changes, the Commission is to have regard to:</w:t>
      </w:r>
    </w:p>
    <w:p w:rsidR="00A51209" w:rsidRPr="00ED4AA5" w:rsidRDefault="00A51209" w:rsidP="00A51209">
      <w:pPr>
        <w:pStyle w:val="ListNumber2"/>
        <w:numPr>
          <w:ilvl w:val="1"/>
          <w:numId w:val="25"/>
        </w:numPr>
      </w:pPr>
      <w:r w:rsidRPr="00ED4AA5">
        <w:t>Australia's international arrangements, including obligations accepted under bilateral, multilateral and regional trade agreements to which Australia is a party</w:t>
      </w:r>
    </w:p>
    <w:p w:rsidR="00A51209" w:rsidRPr="00ED4AA5" w:rsidRDefault="00A51209" w:rsidP="00A51209">
      <w:pPr>
        <w:pStyle w:val="ListNumber2"/>
        <w:numPr>
          <w:ilvl w:val="1"/>
          <w:numId w:val="25"/>
        </w:numPr>
      </w:pPr>
      <w:r w:rsidRPr="00ED4AA5">
        <w:t>the IP arrangements of Australia's top intellectual property trading partners and the experiences of these and other advanced economies in reforming their IP systems to ensure those systems meet the needs of the modern economy</w:t>
      </w:r>
    </w:p>
    <w:p w:rsidR="00A51209" w:rsidRPr="00ED4AA5" w:rsidRDefault="00A51209" w:rsidP="00A51209">
      <w:pPr>
        <w:pStyle w:val="ListNumber2"/>
        <w:numPr>
          <w:ilvl w:val="1"/>
          <w:numId w:val="25"/>
        </w:numPr>
      </w:pPr>
      <w:r w:rsidRPr="00ED4AA5">
        <w:t>the relative contribution of imported and domestically produced intellectual property to the Australian economy, for example to Australia's terms of trade and other economic impacts of IP protection, including on inward investment</w:t>
      </w:r>
    </w:p>
    <w:p w:rsidR="00A51209" w:rsidRPr="00ED4AA5" w:rsidRDefault="00A51209" w:rsidP="00A51209">
      <w:pPr>
        <w:pStyle w:val="ListNumber2"/>
        <w:numPr>
          <w:ilvl w:val="1"/>
          <w:numId w:val="25"/>
        </w:numPr>
      </w:pPr>
      <w:r w:rsidRPr="00ED4AA5">
        <w:t>the Government's desire to retain appropriate incentives for innovation and investment, including innovation that builds on existing work, and production of creative works</w:t>
      </w:r>
    </w:p>
    <w:p w:rsidR="00A51209" w:rsidRPr="00ED4AA5" w:rsidRDefault="00A51209" w:rsidP="00A51209">
      <w:pPr>
        <w:pStyle w:val="ListNumber2"/>
        <w:numPr>
          <w:ilvl w:val="1"/>
          <w:numId w:val="25"/>
        </w:numPr>
      </w:pPr>
      <w:r w:rsidRPr="00ED4AA5">
        <w:t>the economy-wide and distributional consequences of recommendations on changes to the existing intellectual property system, including on trade and competition</w:t>
      </w:r>
    </w:p>
    <w:p w:rsidR="00A51209" w:rsidRPr="00ED4AA5" w:rsidRDefault="00A51209" w:rsidP="00A51209">
      <w:pPr>
        <w:pStyle w:val="ListNumber2"/>
        <w:numPr>
          <w:ilvl w:val="1"/>
          <w:numId w:val="25"/>
        </w:numPr>
      </w:pPr>
      <w:r w:rsidRPr="00ED4AA5">
        <w:t>ensuring the intellectual property system will be efficient, effective and robust through time, in light of economic and technological changes</w:t>
      </w:r>
    </w:p>
    <w:p w:rsidR="00A51209" w:rsidRPr="00ED4AA5" w:rsidRDefault="00A51209" w:rsidP="00A51209">
      <w:pPr>
        <w:pStyle w:val="ListNumber2"/>
        <w:numPr>
          <w:ilvl w:val="1"/>
          <w:numId w:val="25"/>
        </w:numPr>
      </w:pPr>
      <w:r w:rsidRPr="00ED4AA5">
        <w:t>how proposed changes fit with, or may require changes to, other existing regulation or forms of assistance (such as research subsidies) currently providing incentives for the development of intellectual property</w:t>
      </w:r>
    </w:p>
    <w:p w:rsidR="00A51209" w:rsidRPr="00ED4AA5" w:rsidRDefault="00A51209" w:rsidP="00A51209">
      <w:pPr>
        <w:pStyle w:val="ListNumber2"/>
        <w:numPr>
          <w:ilvl w:val="1"/>
          <w:numId w:val="25"/>
        </w:numPr>
      </w:pPr>
      <w:r w:rsidRPr="00ED4AA5">
        <w:t>the findings and recommendations of the Harper Competition Policy Review in the context of the Australian Government's response, including recommendations related to parallel import restrictions in the </w:t>
      </w:r>
      <w:r w:rsidRPr="00ED4AA5">
        <w:rPr>
          <w:i/>
          <w:iCs/>
        </w:rPr>
        <w:t>Copyright Act 1968</w:t>
      </w:r>
      <w:r w:rsidRPr="00ED4AA5">
        <w:t> and the parallel importation defence under the</w:t>
      </w:r>
      <w:r>
        <w:t xml:space="preserve"> </w:t>
      </w:r>
      <w:r w:rsidRPr="00ED4AA5">
        <w:rPr>
          <w:i/>
          <w:iCs/>
        </w:rPr>
        <w:t>Trade Marks Act 1995</w:t>
      </w:r>
    </w:p>
    <w:p w:rsidR="00A51209" w:rsidRPr="00ED4AA5" w:rsidRDefault="00A51209" w:rsidP="00A51209">
      <w:pPr>
        <w:pStyle w:val="ListNumber2"/>
        <w:numPr>
          <w:ilvl w:val="1"/>
          <w:numId w:val="25"/>
        </w:numPr>
      </w:pPr>
      <w:r w:rsidRPr="00ED4AA5">
        <w:t>the findings and recommendations of the Advisory Council on Intellectual Property's Review of the Innovation Patent System the Senate Economics References Committee's inquiry into Australia's innovation system the Australian Law Reform Commission's Copyright and the Digital Economy report.</w:t>
      </w:r>
    </w:p>
    <w:p w:rsidR="00A51209" w:rsidRPr="00ED4AA5" w:rsidRDefault="00A51209" w:rsidP="00A51209">
      <w:pPr>
        <w:pStyle w:val="BodyText"/>
        <w:rPr>
          <w:b/>
        </w:rPr>
      </w:pPr>
      <w:r w:rsidRPr="00ED4AA5">
        <w:rPr>
          <w:b/>
        </w:rPr>
        <w:lastRenderedPageBreak/>
        <w:t>Process</w:t>
      </w:r>
    </w:p>
    <w:p w:rsidR="00A51209" w:rsidRDefault="00A51209" w:rsidP="00A51209">
      <w:pPr>
        <w:pStyle w:val="BodyText"/>
      </w:pPr>
      <w:r>
        <w:t>The Commission is to undertake an appropriate public consultation process, inviting public submissions and releasing a draft report to the public.</w:t>
      </w:r>
    </w:p>
    <w:p w:rsidR="00A51209" w:rsidRDefault="00A51209" w:rsidP="00A51209">
      <w:pPr>
        <w:pStyle w:val="BodyText"/>
      </w:pPr>
      <w:r>
        <w:t>The Final report is to be provided to the Government within 12 months of receipt of this Terms of Reference.</w:t>
      </w:r>
    </w:p>
    <w:p w:rsidR="00A51209" w:rsidRDefault="00A51209" w:rsidP="00A51209">
      <w:pPr>
        <w:pStyle w:val="BodyText"/>
      </w:pPr>
      <w:r>
        <w:t>J B Hockey</w:t>
      </w:r>
    </w:p>
    <w:p w:rsidR="00A51209" w:rsidRDefault="00A51209" w:rsidP="00A51209">
      <w:pPr>
        <w:pStyle w:val="BodyText"/>
      </w:pPr>
      <w:r>
        <w:t>Treasurer</w:t>
      </w:r>
    </w:p>
    <w:p w:rsidR="00A51209" w:rsidRDefault="00A51209" w:rsidP="00A51209">
      <w:pPr>
        <w:pStyle w:val="BodyText"/>
      </w:pPr>
      <w:r>
        <w:t>[Received 18 August 2015]</w:t>
      </w:r>
    </w:p>
    <w:p w:rsidR="0051081A" w:rsidRDefault="004479A5" w:rsidP="00E90B4B">
      <w:pPr>
        <w:pStyle w:val="BodyText"/>
        <w:spacing w:before="600"/>
      </w:pPr>
      <w:r>
        <w:rPr>
          <w:i/>
        </w:rPr>
        <w:t>Note that t</w:t>
      </w:r>
      <w:r w:rsidRPr="004479A5">
        <w:rPr>
          <w:i/>
        </w:rPr>
        <w:t xml:space="preserve">he Australian Government approved a revised delivery date of </w:t>
      </w:r>
      <w:r>
        <w:rPr>
          <w:i/>
        </w:rPr>
        <w:t>the</w:t>
      </w:r>
      <w:r w:rsidRPr="004479A5">
        <w:rPr>
          <w:i/>
        </w:rPr>
        <w:t xml:space="preserve"> final report from August to September 2016. </w:t>
      </w:r>
      <w:r>
        <w:rPr>
          <w:i/>
        </w:rPr>
        <w:t>(</w:t>
      </w:r>
      <w:r w:rsidRPr="004479A5">
        <w:rPr>
          <w:i/>
        </w:rPr>
        <w:t xml:space="preserve">The inquiry timetable was impacted by the caretaker period associated with the </w:t>
      </w:r>
      <w:r w:rsidR="005F24B3">
        <w:rPr>
          <w:i/>
        </w:rPr>
        <w:t>F</w:t>
      </w:r>
      <w:r w:rsidR="005F24B3" w:rsidRPr="004479A5">
        <w:rPr>
          <w:i/>
        </w:rPr>
        <w:t xml:space="preserve">ederal </w:t>
      </w:r>
      <w:r w:rsidR="005F24B3">
        <w:rPr>
          <w:i/>
        </w:rPr>
        <w:t>E</w:t>
      </w:r>
      <w:r w:rsidR="005F24B3" w:rsidRPr="004479A5">
        <w:rPr>
          <w:i/>
        </w:rPr>
        <w:t>lection</w:t>
      </w:r>
      <w:r w:rsidR="005F24B3">
        <w:rPr>
          <w:i/>
        </w:rPr>
        <w:t xml:space="preserve"> </w:t>
      </w:r>
      <w:r>
        <w:rPr>
          <w:i/>
        </w:rPr>
        <w:t>in 2016,</w:t>
      </w:r>
      <w:r w:rsidRPr="004479A5">
        <w:rPr>
          <w:i/>
        </w:rPr>
        <w:t xml:space="preserve"> which precluded full engagement with government departments and agencies.</w:t>
      </w:r>
      <w:r>
        <w:rPr>
          <w:i/>
        </w:rPr>
        <w:t>)</w:t>
      </w:r>
    </w:p>
    <w:p w:rsidR="0051081A" w:rsidRDefault="0051081A" w:rsidP="003D2936">
      <w:pPr>
        <w:pStyle w:val="BodyText"/>
        <w:sectPr w:rsidR="0051081A" w:rsidSect="003D2936">
          <w:headerReference w:type="even" r:id="rId14"/>
          <w:headerReference w:type="default" r:id="rId15"/>
          <w:footerReference w:type="even" r:id="rId16"/>
          <w:footerReference w:type="default" r:id="rId17"/>
          <w:pgSz w:w="11907" w:h="16840" w:code="9"/>
          <w:pgMar w:top="1985" w:right="1304" w:bottom="1247" w:left="1814" w:header="1701" w:footer="397" w:gutter="0"/>
          <w:pgNumType w:fmt="lowerRoman"/>
          <w:cols w:space="720"/>
        </w:sectPr>
      </w:pPr>
    </w:p>
    <w:p w:rsidR="00FE69DA" w:rsidRDefault="00735FEA" w:rsidP="00FE69DA">
      <w:pPr>
        <w:pStyle w:val="Heading1NotTOC"/>
        <w:spacing w:after="960"/>
        <w:rPr>
          <w:noProof/>
        </w:rPr>
      </w:pPr>
      <w:bookmarkStart w:id="7" w:name="Contents"/>
      <w:bookmarkEnd w:id="7"/>
      <w:r w:rsidRPr="00B153C3">
        <w:lastRenderedPageBreak/>
        <w:t>Contents</w:t>
      </w:r>
      <w:bookmarkStart w:id="8" w:name="InsertContents"/>
      <w:bookmarkEnd w:id="8"/>
    </w:p>
    <w:p w:rsidR="00FE69DA" w:rsidRDefault="00FE69DA">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rsidR="00FE69DA" w:rsidRDefault="00FE69DA">
      <w:pPr>
        <w:pStyle w:val="TOC1"/>
        <w:rPr>
          <w:rFonts w:asciiTheme="minorHAnsi" w:eastAsiaTheme="minorEastAsia" w:hAnsiTheme="minorHAnsi" w:cstheme="minorBidi"/>
          <w:b w:val="0"/>
          <w:noProof/>
          <w:sz w:val="22"/>
          <w:szCs w:val="22"/>
          <w:lang w:eastAsia="en-AU"/>
        </w:rPr>
      </w:pPr>
      <w:r>
        <w:rPr>
          <w:noProof/>
        </w:rPr>
        <w:t>Acknowledgments</w:t>
      </w:r>
      <w:r>
        <w:rPr>
          <w:noProof/>
        </w:rPr>
        <w:tab/>
        <w:t>xi</w:t>
      </w:r>
    </w:p>
    <w:p w:rsidR="00FE69DA" w:rsidRDefault="00FE69DA">
      <w:pPr>
        <w:pStyle w:val="TOC1"/>
        <w:rPr>
          <w:rFonts w:asciiTheme="minorHAnsi" w:eastAsiaTheme="minorEastAsia" w:hAnsiTheme="minorHAnsi" w:cstheme="minorBidi"/>
          <w:b w:val="0"/>
          <w:noProof/>
          <w:sz w:val="22"/>
          <w:szCs w:val="22"/>
          <w:lang w:eastAsia="en-AU"/>
        </w:rPr>
      </w:pPr>
      <w:r>
        <w:rPr>
          <w:noProof/>
        </w:rPr>
        <w:t>Abbreviations</w:t>
      </w:r>
      <w:r>
        <w:rPr>
          <w:noProof/>
        </w:rPr>
        <w:tab/>
        <w:t>xi</w:t>
      </w:r>
      <w:r w:rsidR="00D45013">
        <w:rPr>
          <w:noProof/>
        </w:rPr>
        <w:t>i</w:t>
      </w:r>
    </w:p>
    <w:p w:rsidR="00FE69DA" w:rsidRDefault="00FE69DA">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FE69DA" w:rsidRDefault="00FE69DA">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31</w:t>
      </w:r>
    </w:p>
    <w:p w:rsidR="00FE69DA" w:rsidRDefault="00FE69DA">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inquiry</w:t>
      </w:r>
      <w:r>
        <w:rPr>
          <w:noProof/>
        </w:rPr>
        <w:tab/>
        <w:t>43</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this inquiry</w:t>
      </w:r>
      <w:r>
        <w:rPr>
          <w:noProof/>
        </w:rPr>
        <w:tab/>
        <w:t>43</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has the Commission been asked to do?</w:t>
      </w:r>
      <w:r>
        <w:rPr>
          <w:noProof/>
        </w:rPr>
        <w:tab/>
        <w:t>45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Scope of the inquiry</w:t>
      </w:r>
      <w:r>
        <w:rPr>
          <w:noProof/>
        </w:rPr>
        <w:tab/>
        <w:t>45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this inquiry</w:t>
      </w:r>
      <w:r>
        <w:rPr>
          <w:noProof/>
        </w:rPr>
        <w:tab/>
        <w:t>48</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A guide to the remainder of this report</w:t>
      </w:r>
      <w:r>
        <w:rPr>
          <w:noProof/>
        </w:rPr>
        <w:tab/>
        <w:t>48</w:t>
      </w:r>
    </w:p>
    <w:p w:rsidR="00FE69DA" w:rsidRDefault="00FE69DA">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An analytical framework for assessing the IP system</w:t>
      </w:r>
      <w:r>
        <w:rPr>
          <w:noProof/>
        </w:rPr>
        <w:tab/>
        <w:t>51</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How do IP arrangements affect wellbeing?</w:t>
      </w:r>
      <w:r>
        <w:rPr>
          <w:noProof/>
        </w:rPr>
        <w:tab/>
        <w:t>52</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What should Australia’s IP system achieve?</w:t>
      </w:r>
      <w:r>
        <w:rPr>
          <w:noProof/>
        </w:rPr>
        <w:tab/>
        <w:t>54</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What principles are important for the IP system?</w:t>
      </w:r>
      <w:r>
        <w:rPr>
          <w:noProof/>
        </w:rPr>
        <w:tab/>
        <w:t>60</w:t>
      </w:r>
    </w:p>
    <w:p w:rsidR="00FE69DA" w:rsidRDefault="00FE69DA">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How does the system fare?</w:t>
      </w:r>
      <w:r>
        <w:rPr>
          <w:noProof/>
        </w:rPr>
        <w:tab/>
        <w:t>77</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Is the IP system effective?</w:t>
      </w:r>
      <w:r>
        <w:rPr>
          <w:noProof/>
        </w:rPr>
        <w:tab/>
        <w:t>78</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Is the IP system efficient?</w:t>
      </w:r>
      <w:r>
        <w:rPr>
          <w:noProof/>
        </w:rPr>
        <w:tab/>
        <w:t>87</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Is the IP system adaptable?</w:t>
      </w:r>
      <w:r>
        <w:rPr>
          <w:noProof/>
        </w:rPr>
        <w:tab/>
        <w:t>92</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Are IP arrangements accountable?</w:t>
      </w:r>
      <w:r>
        <w:rPr>
          <w:noProof/>
        </w:rPr>
        <w:tab/>
        <w:t>96</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Are IP arrangements suited to Australia’s circumstances?</w:t>
      </w:r>
      <w:r>
        <w:rPr>
          <w:noProof/>
        </w:rPr>
        <w:tab/>
        <w:t>98</w:t>
      </w:r>
    </w:p>
    <w:p w:rsidR="00FE69DA" w:rsidRDefault="00FE69DA">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Copyright term and scope</w:t>
      </w:r>
      <w:r>
        <w:rPr>
          <w:noProof/>
        </w:rPr>
        <w:tab/>
        <w:t>103</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Australia’s copyright arrangements and the creative sector</w:t>
      </w:r>
      <w:r>
        <w:rPr>
          <w:noProof/>
        </w:rPr>
        <w:tab/>
        <w:t>104</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Applying the Commission’s framework</w:t>
      </w:r>
      <w:r>
        <w:rPr>
          <w:noProof/>
        </w:rPr>
        <w:tab/>
        <w:t>110</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The scope of copyright protection</w:t>
      </w:r>
      <w:r>
        <w:rPr>
          <w:noProof/>
        </w:rPr>
        <w:tab/>
        <w:t>112</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The term of copyright protection</w:t>
      </w:r>
      <w:r>
        <w:rPr>
          <w:noProof/>
        </w:rPr>
        <w:tab/>
        <w:t>127</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Towards more globally efficient copyright arrangements</w:t>
      </w:r>
      <w:r>
        <w:rPr>
          <w:noProof/>
        </w:rPr>
        <w:tab/>
        <w:t>133</w:t>
      </w:r>
    </w:p>
    <w:p w:rsidR="00FE69DA" w:rsidRDefault="00FE69DA">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Copyright use and licensing</w:t>
      </w:r>
      <w:r>
        <w:rPr>
          <w:noProof/>
        </w:rPr>
        <w:tab/>
        <w:t>135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Consumer access to content</w:t>
      </w:r>
      <w:r>
        <w:rPr>
          <w:noProof/>
        </w:rPr>
        <w:tab/>
        <w:t>136</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Geoblocking</w:t>
      </w:r>
      <w:r>
        <w:rPr>
          <w:noProof/>
        </w:rPr>
        <w:tab/>
        <w:t>142</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Parallel import restrictions on books</w:t>
      </w:r>
      <w:r>
        <w:rPr>
          <w:noProof/>
        </w:rPr>
        <w:tab/>
        <w:t>145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Collective licensing and collecting societies</w:t>
      </w:r>
      <w:r>
        <w:rPr>
          <w:noProof/>
        </w:rPr>
        <w:tab/>
        <w:t>153</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Statutory licensing</w:t>
      </w:r>
      <w:r>
        <w:rPr>
          <w:noProof/>
        </w:rPr>
        <w:tab/>
        <w:t>162</w:t>
      </w:r>
    </w:p>
    <w:p w:rsidR="00FE69DA" w:rsidRDefault="00FE69DA">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Fair use or fair dealing — what is fair for Australia?</w:t>
      </w:r>
      <w:r>
        <w:rPr>
          <w:noProof/>
        </w:rPr>
        <w:tab/>
        <w:t>165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Copyright exceptions — why do they matter?</w:t>
      </w:r>
      <w:r>
        <w:rPr>
          <w:noProof/>
        </w:rPr>
        <w:tab/>
        <w:t>166</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Fair dealing and fair use — how do they compare?</w:t>
      </w:r>
      <w:r>
        <w:rPr>
          <w:noProof/>
        </w:rPr>
        <w:tab/>
        <w:t>168</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The merits of a fair use exception</w:t>
      </w:r>
      <w:r>
        <w:rPr>
          <w:noProof/>
        </w:rPr>
        <w:tab/>
        <w:t>170</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What would a fair use exception look like?</w:t>
      </w:r>
      <w:r>
        <w:rPr>
          <w:noProof/>
        </w:rPr>
        <w:tab/>
        <w:t>185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Fair use, orphan and unavailable works</w:t>
      </w:r>
      <w:r>
        <w:rPr>
          <w:noProof/>
        </w:rPr>
        <w:tab/>
        <w:t>193</w:t>
      </w:r>
    </w:p>
    <w:p w:rsidR="00FE69DA" w:rsidRDefault="00FE69DA">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The patent system</w:t>
      </w:r>
      <w:r w:rsidR="000A210F">
        <w:rPr>
          <w:noProof/>
        </w:rPr>
        <w:t xml:space="preserve"> —</w:t>
      </w:r>
      <w:r>
        <w:rPr>
          <w:noProof/>
        </w:rPr>
        <w:t xml:space="preserve"> getting the fundamentals right</w:t>
      </w:r>
      <w:r>
        <w:rPr>
          <w:noProof/>
        </w:rPr>
        <w:tab/>
        <w:t>199</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How well is the patent system performing?</w:t>
      </w:r>
      <w:r>
        <w:rPr>
          <w:noProof/>
        </w:rPr>
        <w:tab/>
        <w:t>200</w:t>
      </w:r>
    </w:p>
    <w:p w:rsidR="00FE69DA" w:rsidRDefault="00FE69DA">
      <w:pPr>
        <w:pStyle w:val="TOC2"/>
        <w:tabs>
          <w:tab w:val="left" w:pos="1190"/>
        </w:tabs>
        <w:rPr>
          <w:rFonts w:asciiTheme="minorHAnsi" w:eastAsiaTheme="minorEastAsia" w:hAnsiTheme="minorHAnsi" w:cstheme="minorBidi"/>
          <w:noProof/>
          <w:sz w:val="22"/>
          <w:szCs w:val="22"/>
          <w:lang w:eastAsia="en-AU"/>
        </w:rPr>
      </w:pPr>
      <w:r w:rsidRPr="00CE3B73">
        <w:rPr>
          <w:noProof/>
        </w:rPr>
        <w:t>7.2</w:t>
      </w:r>
      <w:r w:rsidRPr="00CE3B73">
        <w:rPr>
          <w:noProof/>
        </w:rPr>
        <w:tab/>
        <w:t>A strategy for reforming the patent system</w:t>
      </w:r>
      <w:r>
        <w:rPr>
          <w:noProof/>
        </w:rPr>
        <w:tab/>
        <w:t>215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Introducing an objects clause</w:t>
      </w:r>
      <w:r>
        <w:rPr>
          <w:noProof/>
        </w:rPr>
        <w:tab/>
        <w:t>217</w:t>
      </w:r>
    </w:p>
    <w:p w:rsidR="00FE69DA" w:rsidRDefault="00FE69DA">
      <w:pPr>
        <w:pStyle w:val="TOC2"/>
        <w:tabs>
          <w:tab w:val="left" w:pos="1190"/>
        </w:tabs>
        <w:rPr>
          <w:rFonts w:asciiTheme="minorHAnsi" w:eastAsiaTheme="minorEastAsia" w:hAnsiTheme="minorHAnsi" w:cstheme="minorBidi"/>
          <w:noProof/>
          <w:sz w:val="22"/>
          <w:szCs w:val="22"/>
          <w:lang w:eastAsia="en-AU"/>
        </w:rPr>
      </w:pPr>
      <w:r w:rsidRPr="00217732">
        <w:rPr>
          <w:noProof/>
          <w:spacing w:val="-4"/>
        </w:rPr>
        <w:t>7.4</w:t>
      </w:r>
      <w:r>
        <w:rPr>
          <w:rFonts w:asciiTheme="minorHAnsi" w:eastAsiaTheme="minorEastAsia" w:hAnsiTheme="minorHAnsi" w:cstheme="minorBidi"/>
          <w:noProof/>
          <w:sz w:val="22"/>
          <w:szCs w:val="22"/>
          <w:lang w:eastAsia="en-AU"/>
        </w:rPr>
        <w:tab/>
      </w:r>
      <w:r w:rsidRPr="00217732">
        <w:rPr>
          <w:noProof/>
          <w:spacing w:val="-4"/>
        </w:rPr>
        <w:t>Reforming the inventive step</w:t>
      </w:r>
      <w:r>
        <w:rPr>
          <w:noProof/>
        </w:rPr>
        <w:tab/>
        <w:t>220</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Improved decision making for granting patents</w:t>
      </w:r>
      <w:r>
        <w:rPr>
          <w:noProof/>
        </w:rPr>
        <w:tab/>
        <w:t>229</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Making better use of patent fees</w:t>
      </w:r>
      <w:r>
        <w:rPr>
          <w:noProof/>
        </w:rPr>
        <w:tab/>
        <w:t>232</w:t>
      </w:r>
    </w:p>
    <w:p w:rsidR="00FE69DA" w:rsidRDefault="00FE69DA">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The innovation patent system</w:t>
      </w:r>
      <w:r>
        <w:rPr>
          <w:noProof/>
        </w:rPr>
        <w:tab/>
        <w:t>239</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The innovation patent system: a primer</w:t>
      </w:r>
      <w:r>
        <w:rPr>
          <w:noProof/>
        </w:rPr>
        <w:tab/>
        <w:t>240</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How well is the IPS performing?</w:t>
      </w:r>
      <w:r>
        <w:rPr>
          <w:noProof/>
        </w:rPr>
        <w:tab/>
        <w:t>245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The IPS — where to from here?</w:t>
      </w:r>
      <w:r>
        <w:rPr>
          <w:noProof/>
        </w:rPr>
        <w:tab/>
        <w:t>258</w:t>
      </w:r>
    </w:p>
    <w:p w:rsidR="00FE69DA" w:rsidRDefault="00FE69DA">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Business method patents and software patents</w:t>
      </w:r>
      <w:r>
        <w:rPr>
          <w:noProof/>
        </w:rPr>
        <w:tab/>
        <w:t>263</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Business methods</w:t>
      </w:r>
      <w:r>
        <w:rPr>
          <w:noProof/>
        </w:rPr>
        <w:tab/>
        <w:t>264</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Patents for software</w:t>
      </w:r>
      <w:r>
        <w:rPr>
          <w:noProof/>
        </w:rPr>
        <w:tab/>
        <w:t>265</w:t>
      </w:r>
    </w:p>
    <w:p w:rsidR="00FE69DA" w:rsidRDefault="00FE69DA">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sidRPr="00387778">
        <w:rPr>
          <w:noProof/>
          <w:spacing w:val="-4"/>
        </w:rPr>
        <w:t>Assessing the effectiveness and efficiency of software patents</w:t>
      </w:r>
      <w:r>
        <w:rPr>
          <w:noProof/>
        </w:rPr>
        <w:tab/>
        <w:t>272</w:t>
      </w:r>
    </w:p>
    <w:p w:rsidR="00443B7D" w:rsidRDefault="00FE69DA">
      <w:pPr>
        <w:pStyle w:val="TOC2"/>
        <w:tabs>
          <w:tab w:val="left" w:pos="1190"/>
        </w:tabs>
        <w:rPr>
          <w:noProof/>
        </w:rPr>
      </w:pPr>
      <w:r>
        <w:rPr>
          <w:noProof/>
        </w:rPr>
        <w:t>9.4</w:t>
      </w:r>
      <w:r>
        <w:rPr>
          <w:rFonts w:asciiTheme="minorHAnsi" w:eastAsiaTheme="minorEastAsia" w:hAnsiTheme="minorHAnsi" w:cstheme="minorBidi"/>
          <w:noProof/>
          <w:sz w:val="22"/>
          <w:szCs w:val="22"/>
          <w:lang w:eastAsia="en-AU"/>
        </w:rPr>
        <w:tab/>
      </w:r>
      <w:r>
        <w:rPr>
          <w:noProof/>
        </w:rPr>
        <w:t>Where to from here for software?</w:t>
      </w:r>
      <w:r>
        <w:rPr>
          <w:noProof/>
        </w:rPr>
        <w:tab/>
        <w:t>281</w:t>
      </w:r>
    </w:p>
    <w:p w:rsidR="00FE69DA" w:rsidRDefault="00FE69DA">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Pharmaceuticals – getting the right policy prescription</w:t>
      </w:r>
      <w:r>
        <w:rPr>
          <w:noProof/>
        </w:rPr>
        <w:tab/>
        <w:t>285</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Why focus on pharmaceuticals?</w:t>
      </w:r>
      <w:r>
        <w:rPr>
          <w:noProof/>
        </w:rPr>
        <w:tab/>
        <w:t>286</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Extensions of pharmaceutical patent term</w:t>
      </w:r>
      <w:r>
        <w:rPr>
          <w:noProof/>
        </w:rPr>
        <w:tab/>
        <w:t>292</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lastRenderedPageBreak/>
        <w:t>10.3</w:t>
      </w:r>
      <w:r>
        <w:rPr>
          <w:rFonts w:asciiTheme="minorHAnsi" w:eastAsiaTheme="minorEastAsia" w:hAnsiTheme="minorHAnsi" w:cstheme="minorBidi"/>
          <w:noProof/>
          <w:sz w:val="22"/>
          <w:szCs w:val="22"/>
          <w:lang w:eastAsia="en-AU"/>
        </w:rPr>
        <w:tab/>
      </w:r>
      <w:r>
        <w:rPr>
          <w:noProof/>
        </w:rPr>
        <w:t>Manufacture for export</w:t>
      </w:r>
      <w:r>
        <w:rPr>
          <w:noProof/>
        </w:rPr>
        <w:tab/>
        <w:t>310</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Data protection</w:t>
      </w:r>
      <w:r>
        <w:rPr>
          <w:noProof/>
        </w:rPr>
        <w:tab/>
        <w:t>312</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Strategic behaviour</w:t>
      </w:r>
      <w:r>
        <w:rPr>
          <w:noProof/>
        </w:rPr>
        <w:tab/>
        <w:t>319</w:t>
      </w:r>
    </w:p>
    <w:p w:rsidR="00FE69DA" w:rsidRDefault="00FE69DA">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Registered designs</w:t>
      </w:r>
      <w:r>
        <w:rPr>
          <w:noProof/>
        </w:rPr>
        <w:tab/>
        <w:t>331</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Design rights in Australia</w:t>
      </w:r>
      <w:r>
        <w:rPr>
          <w:noProof/>
        </w:rPr>
        <w:tab/>
        <w:t>332</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Concerns about Australia’s design rights system</w:t>
      </w:r>
      <w:r>
        <w:rPr>
          <w:noProof/>
        </w:rPr>
        <w:tab/>
        <w:t>336</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Reform options</w:t>
      </w:r>
      <w:r>
        <w:rPr>
          <w:noProof/>
        </w:rPr>
        <w:tab/>
        <w:t>346</w:t>
      </w:r>
    </w:p>
    <w:p w:rsidR="00FE69DA" w:rsidRDefault="00FE69DA">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Trade marks and geographical indications</w:t>
      </w:r>
      <w:r>
        <w:rPr>
          <w:noProof/>
        </w:rPr>
        <w:tab/>
        <w:t>371</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What are trade marks and GIs?</w:t>
      </w:r>
      <w:r>
        <w:rPr>
          <w:noProof/>
        </w:rPr>
        <w:tab/>
        <w:t>372</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Improving effectiveness by reducing the scope of cluttering</w:t>
      </w:r>
      <w:r>
        <w:rPr>
          <w:noProof/>
        </w:rPr>
        <w:tab/>
        <w:t>377</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Improving effectiveness by reducing confusion among users of trade marks</w:t>
      </w:r>
      <w:r>
        <w:rPr>
          <w:noProof/>
        </w:rPr>
        <w:tab/>
        <w:t>389</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Improving efficiency by reforming parallel imports</w:t>
      </w:r>
      <w:r>
        <w:rPr>
          <w:noProof/>
        </w:rPr>
        <w:tab/>
        <w:t>393</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12.5</w:t>
      </w:r>
      <w:r w:rsidRPr="00CE3B73">
        <w:rPr>
          <w:noProof/>
        </w:rPr>
        <w:tab/>
      </w:r>
      <w:r>
        <w:rPr>
          <w:noProof/>
        </w:rPr>
        <w:t>Challenges for trade marks in the digital age</w:t>
      </w:r>
      <w:r>
        <w:rPr>
          <w:noProof/>
        </w:rPr>
        <w:tab/>
        <w:t>397</w:t>
      </w:r>
    </w:p>
    <w:p w:rsidR="00FE69DA" w:rsidRDefault="00FE69DA" w:rsidP="00CE3B73">
      <w:pPr>
        <w:pStyle w:val="TOC2"/>
        <w:tabs>
          <w:tab w:val="left" w:pos="1134"/>
        </w:tabs>
        <w:rPr>
          <w:rFonts w:asciiTheme="minorHAnsi" w:eastAsiaTheme="minorEastAsia" w:hAnsiTheme="minorHAnsi" w:cstheme="minorBidi"/>
          <w:noProof/>
          <w:sz w:val="22"/>
          <w:szCs w:val="22"/>
          <w:lang w:eastAsia="en-AU"/>
        </w:rPr>
      </w:pPr>
      <w:r>
        <w:rPr>
          <w:noProof/>
        </w:rPr>
        <w:t>12.6</w:t>
      </w:r>
      <w:r w:rsidRPr="00CE3B73">
        <w:rPr>
          <w:noProof/>
        </w:rPr>
        <w:tab/>
      </w:r>
      <w:r w:rsidR="00CE3B73">
        <w:rPr>
          <w:noProof/>
        </w:rPr>
        <w:tab/>
      </w:r>
      <w:r>
        <w:rPr>
          <w:noProof/>
        </w:rPr>
        <w:t>Geographical indications</w:t>
      </w:r>
      <w:r>
        <w:rPr>
          <w:noProof/>
        </w:rPr>
        <w:tab/>
        <w:t>399</w:t>
      </w:r>
    </w:p>
    <w:p w:rsidR="00FE69DA" w:rsidRDefault="00FE69DA">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Plant Breeder’s Rights</w:t>
      </w:r>
      <w:r>
        <w:rPr>
          <w:noProof/>
        </w:rPr>
        <w:tab/>
        <w:t>407</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Plant Breeder’s Rights: A primer</w:t>
      </w:r>
      <w:r>
        <w:rPr>
          <w:noProof/>
        </w:rPr>
        <w:tab/>
        <w:t>408</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PBR in practice</w:t>
      </w:r>
      <w:r>
        <w:rPr>
          <w:noProof/>
        </w:rPr>
        <w:tab/>
        <w:t>411</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Are reforms to PBR required?</w:t>
      </w:r>
      <w:r>
        <w:rPr>
          <w:noProof/>
        </w:rPr>
        <w:tab/>
        <w:t>416</w:t>
      </w:r>
    </w:p>
    <w:p w:rsidR="00FE69DA" w:rsidRDefault="00FE69DA">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Circuit layout rights</w:t>
      </w:r>
      <w:r>
        <w:rPr>
          <w:noProof/>
        </w:rPr>
        <w:tab/>
        <w:t>431</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What are circuit layouts and how are they protected?</w:t>
      </w:r>
      <w:r>
        <w:rPr>
          <w:noProof/>
        </w:rPr>
        <w:tab/>
        <w:t>431</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The role of CLRs today</w:t>
      </w:r>
      <w:r>
        <w:rPr>
          <w:noProof/>
        </w:rPr>
        <w:tab/>
        <w:t>433</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Where to from here — policy lessons rather than policy change</w:t>
      </w:r>
      <w:r>
        <w:rPr>
          <w:noProof/>
        </w:rPr>
        <w:tab/>
        <w:t>439</w:t>
      </w:r>
    </w:p>
    <w:p w:rsidR="00FE69DA" w:rsidRDefault="00FE69DA">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Intellectual property rights and competition law</w:t>
      </w:r>
      <w:r>
        <w:rPr>
          <w:noProof/>
        </w:rPr>
        <w:tab/>
        <w:t>443</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The exemption for licensing or assignment of IP</w:t>
      </w:r>
      <w:r>
        <w:rPr>
          <w:noProof/>
        </w:rPr>
        <w:tab/>
        <w:t>445</w:t>
      </w:r>
    </w:p>
    <w:p w:rsidR="00443B7D" w:rsidRDefault="00FE69DA" w:rsidP="00443B7D">
      <w:pPr>
        <w:pStyle w:val="TOC2"/>
        <w:tabs>
          <w:tab w:val="left" w:pos="1320"/>
        </w:tabs>
        <w:ind w:left="1134" w:hanging="624"/>
        <w:rPr>
          <w:noProof/>
        </w:rPr>
      </w:pPr>
      <w:r>
        <w:rPr>
          <w:noProof/>
        </w:rPr>
        <w:t>15.2</w:t>
      </w:r>
      <w:r>
        <w:rPr>
          <w:rFonts w:asciiTheme="minorHAnsi" w:eastAsiaTheme="minorEastAsia" w:hAnsiTheme="minorHAnsi" w:cstheme="minorBidi"/>
          <w:noProof/>
          <w:sz w:val="22"/>
          <w:szCs w:val="22"/>
          <w:lang w:eastAsia="en-AU"/>
        </w:rPr>
        <w:tab/>
      </w:r>
      <w:r>
        <w:rPr>
          <w:noProof/>
        </w:rPr>
        <w:t>Compulsory access to intellectual property</w:t>
      </w:r>
      <w:r>
        <w:rPr>
          <w:noProof/>
        </w:rPr>
        <w:tab/>
        <w:t>457</w:t>
      </w:r>
    </w:p>
    <w:p w:rsidR="00FE69DA" w:rsidRDefault="00FE69DA">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IP and public institutions</w:t>
      </w:r>
      <w:r>
        <w:rPr>
          <w:noProof/>
        </w:rPr>
        <w:tab/>
        <w:t>461</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16.1</w:t>
      </w:r>
      <w:r w:rsidRPr="00443B7D">
        <w:rPr>
          <w:noProof/>
        </w:rPr>
        <w:tab/>
      </w:r>
      <w:r>
        <w:rPr>
          <w:noProof/>
        </w:rPr>
        <w:t>IP rights and public funding of research</w:t>
      </w:r>
      <w:r>
        <w:rPr>
          <w:noProof/>
        </w:rPr>
        <w:tab/>
        <w:t>463</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Should IP rights be afforded for the results of publicly</w:t>
      </w:r>
      <w:r>
        <w:rPr>
          <w:noProof/>
        </w:rPr>
        <w:noBreakHyphen/>
        <w:t>funded research?</w:t>
      </w:r>
      <w:r>
        <w:rPr>
          <w:noProof/>
        </w:rPr>
        <w:tab/>
        <w:t>465</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lastRenderedPageBreak/>
        <w:t>16.3</w:t>
      </w:r>
      <w:r>
        <w:rPr>
          <w:rFonts w:asciiTheme="minorHAnsi" w:eastAsiaTheme="minorEastAsia" w:hAnsiTheme="minorHAnsi" w:cstheme="minorBidi"/>
          <w:noProof/>
          <w:sz w:val="22"/>
          <w:szCs w:val="22"/>
          <w:lang w:eastAsia="en-AU"/>
        </w:rPr>
        <w:tab/>
      </w:r>
      <w:r>
        <w:rPr>
          <w:noProof/>
        </w:rPr>
        <w:t>Who should own IP arising from publicly</w:t>
      </w:r>
      <w:r>
        <w:rPr>
          <w:noProof/>
        </w:rPr>
        <w:noBreakHyphen/>
        <w:t>funded research?</w:t>
      </w:r>
      <w:r>
        <w:rPr>
          <w:noProof/>
        </w:rPr>
        <w:tab/>
        <w:t>474</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Improving access to publicly</w:t>
      </w:r>
      <w:r>
        <w:rPr>
          <w:noProof/>
        </w:rPr>
        <w:noBreakHyphen/>
        <w:t>funded research</w:t>
      </w:r>
      <w:r>
        <w:rPr>
          <w:noProof/>
        </w:rPr>
        <w:tab/>
        <w:t>478</w:t>
      </w:r>
    </w:p>
    <w:p w:rsidR="00FE69DA" w:rsidRDefault="00FE69DA">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Intellectual property’s institutional arrangements</w:t>
      </w:r>
      <w:r>
        <w:rPr>
          <w:noProof/>
        </w:rPr>
        <w:tab/>
        <w:t>485</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The institutional landscape</w:t>
      </w:r>
      <w:r>
        <w:rPr>
          <w:noProof/>
        </w:rPr>
        <w:tab/>
        <w:t>486</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Participant concerns about current arrangements</w:t>
      </w:r>
      <w:r>
        <w:rPr>
          <w:noProof/>
        </w:rPr>
        <w:tab/>
        <w:t>490</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Reform options — domestic context</w:t>
      </w:r>
      <w:r>
        <w:rPr>
          <w:noProof/>
        </w:rPr>
        <w:tab/>
        <w:t>504</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Options for reform — international context</w:t>
      </w:r>
      <w:r>
        <w:rPr>
          <w:noProof/>
        </w:rPr>
        <w:tab/>
        <w:t>520</w:t>
      </w:r>
    </w:p>
    <w:p w:rsidR="00FE69DA" w:rsidRDefault="00FE69DA">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International cooperation in IP</w:t>
      </w:r>
      <w:r>
        <w:rPr>
          <w:noProof/>
        </w:rPr>
        <w:tab/>
        <w:t>527</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What motivates international cooperation?</w:t>
      </w:r>
      <w:r>
        <w:rPr>
          <w:noProof/>
        </w:rPr>
        <w:tab/>
        <w:t>528</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18.2</w:t>
      </w:r>
      <w:r>
        <w:rPr>
          <w:rFonts w:asciiTheme="minorHAnsi" w:eastAsiaTheme="minorEastAsia" w:hAnsiTheme="minorHAnsi" w:cstheme="minorBidi"/>
          <w:noProof/>
          <w:sz w:val="22"/>
          <w:szCs w:val="22"/>
          <w:lang w:eastAsia="en-AU"/>
        </w:rPr>
        <w:tab/>
      </w:r>
      <w:r>
        <w:rPr>
          <w:noProof/>
        </w:rPr>
        <w:t>Approaches to international cooperation</w:t>
      </w:r>
      <w:r>
        <w:rPr>
          <w:noProof/>
        </w:rPr>
        <w:tab/>
        <w:t>534</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The outcomes of Australia’s IP cooperation</w:t>
      </w:r>
      <w:r>
        <w:rPr>
          <w:noProof/>
        </w:rPr>
        <w:tab/>
        <w:t>540</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Pr>
          <w:noProof/>
        </w:rPr>
        <w:t>Where to from here?</w:t>
      </w:r>
      <w:r>
        <w:rPr>
          <w:noProof/>
        </w:rPr>
        <w:tab/>
        <w:t>544</w:t>
      </w:r>
    </w:p>
    <w:p w:rsidR="00FE69DA" w:rsidRDefault="00FE69DA">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Compliance and enforcement of IP rights</w:t>
      </w:r>
      <w:r>
        <w:rPr>
          <w:noProof/>
        </w:rPr>
        <w:tab/>
        <w:t>551</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19.1</w:t>
      </w:r>
      <w:r>
        <w:rPr>
          <w:rFonts w:asciiTheme="minorHAnsi" w:eastAsiaTheme="minorEastAsia" w:hAnsiTheme="minorHAnsi" w:cstheme="minorBidi"/>
          <w:noProof/>
          <w:sz w:val="22"/>
          <w:szCs w:val="22"/>
          <w:lang w:eastAsia="en-AU"/>
        </w:rPr>
        <w:tab/>
      </w:r>
      <w:r>
        <w:rPr>
          <w:noProof/>
        </w:rPr>
        <w:t>The extent and impact of IP infringement</w:t>
      </w:r>
      <w:r>
        <w:rPr>
          <w:noProof/>
        </w:rPr>
        <w:tab/>
        <w:t>552</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19.2</w:t>
      </w:r>
      <w:r>
        <w:rPr>
          <w:rFonts w:asciiTheme="minorHAnsi" w:eastAsiaTheme="minorEastAsia" w:hAnsiTheme="minorHAnsi" w:cstheme="minorBidi"/>
          <w:noProof/>
          <w:sz w:val="22"/>
          <w:szCs w:val="22"/>
          <w:lang w:eastAsia="en-AU"/>
        </w:rPr>
        <w:tab/>
      </w:r>
      <w:r>
        <w:rPr>
          <w:noProof/>
        </w:rPr>
        <w:t>Addressing infringement — how do we fare?</w:t>
      </w:r>
      <w:r>
        <w:rPr>
          <w:noProof/>
        </w:rPr>
        <w:tab/>
        <w:t>556</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19.3</w:t>
      </w:r>
      <w:r>
        <w:rPr>
          <w:rFonts w:asciiTheme="minorHAnsi" w:eastAsiaTheme="minorEastAsia" w:hAnsiTheme="minorHAnsi" w:cstheme="minorBidi"/>
          <w:noProof/>
          <w:sz w:val="22"/>
          <w:szCs w:val="22"/>
          <w:lang w:eastAsia="en-AU"/>
        </w:rPr>
        <w:tab/>
      </w:r>
      <w:r>
        <w:rPr>
          <w:noProof/>
        </w:rPr>
        <w:t>A case to do more on copyright infringement?</w:t>
      </w:r>
      <w:r>
        <w:rPr>
          <w:noProof/>
        </w:rPr>
        <w:tab/>
        <w:t>562</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19.4</w:t>
      </w:r>
      <w:r>
        <w:rPr>
          <w:rFonts w:asciiTheme="minorHAnsi" w:eastAsiaTheme="minorEastAsia" w:hAnsiTheme="minorHAnsi" w:cstheme="minorBidi"/>
          <w:noProof/>
          <w:sz w:val="22"/>
          <w:szCs w:val="22"/>
          <w:lang w:eastAsia="en-AU"/>
        </w:rPr>
        <w:tab/>
      </w:r>
      <w:r>
        <w:rPr>
          <w:noProof/>
        </w:rPr>
        <w:t>Improving dispute resolution</w:t>
      </w:r>
      <w:r>
        <w:rPr>
          <w:noProof/>
        </w:rPr>
        <w:tab/>
        <w:t>570</w:t>
      </w:r>
    </w:p>
    <w:p w:rsidR="00FE69DA" w:rsidRDefault="00FE69DA" w:rsidP="00443B7D">
      <w:pPr>
        <w:pStyle w:val="TOC2"/>
        <w:tabs>
          <w:tab w:val="left" w:pos="1320"/>
        </w:tabs>
        <w:ind w:left="1134" w:hanging="624"/>
        <w:rPr>
          <w:rFonts w:asciiTheme="minorHAnsi" w:eastAsiaTheme="minorEastAsia" w:hAnsiTheme="minorHAnsi" w:cstheme="minorBidi"/>
          <w:noProof/>
          <w:sz w:val="22"/>
          <w:szCs w:val="22"/>
          <w:lang w:eastAsia="en-AU"/>
        </w:rPr>
      </w:pPr>
      <w:r>
        <w:rPr>
          <w:noProof/>
        </w:rPr>
        <w:t>19.5</w:t>
      </w:r>
      <w:r>
        <w:rPr>
          <w:rFonts w:asciiTheme="minorHAnsi" w:eastAsiaTheme="minorEastAsia" w:hAnsiTheme="minorHAnsi" w:cstheme="minorBidi"/>
          <w:noProof/>
          <w:sz w:val="22"/>
          <w:szCs w:val="22"/>
          <w:lang w:eastAsia="en-AU"/>
        </w:rPr>
        <w:tab/>
      </w:r>
      <w:r>
        <w:rPr>
          <w:noProof/>
        </w:rPr>
        <w:t>Better enforcement of rights abroad</w:t>
      </w:r>
      <w:r>
        <w:rPr>
          <w:noProof/>
        </w:rPr>
        <w:tab/>
        <w:t>581</w:t>
      </w:r>
    </w:p>
    <w:p w:rsidR="00FE69DA" w:rsidRDefault="00FE69DA">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583</w:t>
      </w:r>
    </w:p>
    <w:p w:rsidR="00FE69DA" w:rsidRDefault="00FE69DA">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International Commitments</w:t>
      </w:r>
      <w:r>
        <w:rPr>
          <w:noProof/>
        </w:rPr>
        <w:tab/>
        <w:t>605</w:t>
      </w:r>
    </w:p>
    <w:p w:rsidR="00FE69DA" w:rsidRDefault="00FE69DA">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The IP-intensity of Australia’s trade</w:t>
      </w:r>
      <w:r>
        <w:rPr>
          <w:noProof/>
        </w:rPr>
        <w:tab/>
        <w:t>615</w:t>
      </w:r>
    </w:p>
    <w:p w:rsidR="00FE69DA" w:rsidRDefault="00FE69DA">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Evidence on patents: social value, additionality and thickets</w:t>
      </w:r>
      <w:r>
        <w:rPr>
          <w:noProof/>
        </w:rPr>
        <w:tab/>
        <w:t>631</w:t>
      </w:r>
    </w:p>
    <w:p w:rsidR="00FE69DA" w:rsidRDefault="00FE69DA">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Copyright evidence</w:t>
      </w:r>
      <w:r>
        <w:rPr>
          <w:noProof/>
        </w:rPr>
        <w:tab/>
        <w:t>643</w:t>
      </w:r>
    </w:p>
    <w:p w:rsidR="00FE69DA" w:rsidRDefault="00FE69DA">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Registered rights in Australia: a primer</w:t>
      </w:r>
      <w:r>
        <w:rPr>
          <w:noProof/>
        </w:rPr>
        <w:tab/>
        <w:t>669</w:t>
      </w:r>
    </w:p>
    <w:p w:rsidR="00FE69DA" w:rsidRDefault="00FE69DA">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Additional material about trade marks and geographical indications</w:t>
      </w:r>
      <w:r>
        <w:rPr>
          <w:noProof/>
        </w:rPr>
        <w:tab/>
        <w:t>683</w:t>
      </w:r>
    </w:p>
    <w:p w:rsidR="00FE69DA" w:rsidRDefault="00FE69DA">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Economic impacts of recommendations</w:t>
      </w:r>
      <w:r>
        <w:rPr>
          <w:noProof/>
        </w:rPr>
        <w:tab/>
        <w:t>691</w:t>
      </w:r>
    </w:p>
    <w:p w:rsidR="00FE69DA" w:rsidRDefault="00FE69DA">
      <w:pPr>
        <w:pStyle w:val="TOC1"/>
        <w:rPr>
          <w:noProof/>
        </w:rPr>
      </w:pPr>
      <w:r>
        <w:rPr>
          <w:noProof/>
        </w:rPr>
        <w:t>References</w:t>
      </w:r>
      <w:r>
        <w:rPr>
          <w:noProof/>
        </w:rPr>
        <w:tab/>
        <w:t>701</w:t>
      </w:r>
    </w:p>
    <w:p w:rsidR="00FE69DA" w:rsidRDefault="00FE69DA">
      <w:pPr>
        <w:pStyle w:val="BodyText"/>
      </w:pPr>
    </w:p>
    <w:p w:rsidR="004D3F58" w:rsidRDefault="004D3F58">
      <w:pPr>
        <w:pStyle w:val="BodyText"/>
        <w:sectPr w:rsidR="004D3F58" w:rsidSect="007448F7">
          <w:headerReference w:type="even" r:id="rId18"/>
          <w:headerReference w:type="default" r:id="rId19"/>
          <w:footerReference w:type="even" r:id="rId20"/>
          <w:footerReference w:type="default" r:id="rId21"/>
          <w:type w:val="oddPage"/>
          <w:pgSz w:w="11907" w:h="16840" w:code="9"/>
          <w:pgMar w:top="1985" w:right="1304" w:bottom="1247" w:left="1814" w:header="1701" w:footer="397" w:gutter="0"/>
          <w:pgNumType w:fmt="lowerRoman"/>
          <w:cols w:space="720"/>
        </w:sectPr>
      </w:pPr>
    </w:p>
    <w:p w:rsidR="0051081A" w:rsidRDefault="0051081A">
      <w:pPr>
        <w:pStyle w:val="Heading1"/>
      </w:pPr>
      <w:bookmarkStart w:id="9" w:name="Abbreviations"/>
      <w:bookmarkStart w:id="10" w:name="RDnote"/>
      <w:bookmarkStart w:id="11" w:name="_Toc462120292"/>
      <w:bookmarkStart w:id="12" w:name="_Toc462218291"/>
      <w:bookmarkStart w:id="13" w:name="_Toc462291765"/>
      <w:bookmarkEnd w:id="9"/>
      <w:bookmarkEnd w:id="10"/>
      <w:r>
        <w:lastRenderedPageBreak/>
        <w:t>Acknowledgments</w:t>
      </w:r>
      <w:bookmarkEnd w:id="11"/>
      <w:bookmarkEnd w:id="12"/>
      <w:bookmarkEnd w:id="13"/>
    </w:p>
    <w:p w:rsidR="00A653F1" w:rsidRPr="0026673A" w:rsidRDefault="00A653F1" w:rsidP="00A653F1">
      <w:pPr>
        <w:pStyle w:val="BodyText"/>
      </w:pPr>
      <w:r w:rsidRPr="0026673A">
        <w:t xml:space="preserve">The Commission is grateful to </w:t>
      </w:r>
      <w:r>
        <w:t xml:space="preserve">the many individuals and organisations </w:t>
      </w:r>
      <w:r w:rsidRPr="0026673A">
        <w:t>who ha</w:t>
      </w:r>
      <w:r>
        <w:t xml:space="preserve">ve </w:t>
      </w:r>
      <w:r w:rsidRPr="0026673A">
        <w:t xml:space="preserve">taken the time to </w:t>
      </w:r>
      <w:r>
        <w:t>contribute to this inquiry, including those who participated in visits, roundtables</w:t>
      </w:r>
      <w:r w:rsidR="00340D24">
        <w:t>, public hearings</w:t>
      </w:r>
      <w:r>
        <w:t xml:space="preserve"> and provided submissions</w:t>
      </w:r>
      <w:r w:rsidRPr="0026673A">
        <w:t xml:space="preserve">. </w:t>
      </w:r>
    </w:p>
    <w:p w:rsidR="0051081A" w:rsidRPr="00883E8C" w:rsidRDefault="00A653F1" w:rsidP="003D2936">
      <w:pPr>
        <w:pStyle w:val="BodyText"/>
        <w:rPr>
          <w:lang w:eastAsia="en-US"/>
        </w:rPr>
      </w:pPr>
      <w:r>
        <w:t>The Commission is also grateful for the assistance it received from IP Australia in preparing this report. Staff from</w:t>
      </w:r>
      <w:r w:rsidRPr="0026673A">
        <w:t xml:space="preserve"> </w:t>
      </w:r>
      <w:r>
        <w:t xml:space="preserve">IP Australia facilitated access to </w:t>
      </w:r>
      <w:r>
        <w:rPr>
          <w:szCs w:val="24"/>
        </w:rPr>
        <w:t xml:space="preserve">the </w:t>
      </w:r>
      <w:r w:rsidRPr="00DB20B5">
        <w:t>Intellectual Property Government Open Data</w:t>
      </w:r>
      <w:r>
        <w:t xml:space="preserve"> (</w:t>
      </w:r>
      <w:proofErr w:type="spellStart"/>
      <w:r>
        <w:t>IPGOD</w:t>
      </w:r>
      <w:proofErr w:type="spellEnd"/>
      <w:r>
        <w:t>) database and provided helpful responses to many questions about existing arrangements.</w:t>
      </w:r>
    </w:p>
    <w:p w:rsidR="0051081A" w:rsidRDefault="0051081A">
      <w:pPr>
        <w:pStyle w:val="BodyText"/>
        <w:sectPr w:rsidR="0051081A" w:rsidSect="003D2936">
          <w:headerReference w:type="even" r:id="rId22"/>
          <w:headerReference w:type="default" r:id="rId23"/>
          <w:footerReference w:type="even" r:id="rId24"/>
          <w:footerReference w:type="default" r:id="rId25"/>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14" w:name="EndContents"/>
      <w:bookmarkStart w:id="15" w:name="_Toc462120293"/>
      <w:bookmarkStart w:id="16" w:name="_Toc462218292"/>
      <w:bookmarkStart w:id="17" w:name="_Toc462291766"/>
      <w:bookmarkEnd w:id="14"/>
      <w:r>
        <w:lastRenderedPageBreak/>
        <w:t>Abbreviations</w:t>
      </w:r>
      <w:bookmarkEnd w:id="15"/>
      <w:bookmarkEnd w:id="16"/>
      <w:bookmarkEnd w:id="17"/>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used for design layout."/>
      </w:tblPr>
      <w:tblGrid>
        <w:gridCol w:w="1418"/>
        <w:gridCol w:w="7371"/>
      </w:tblGrid>
      <w:tr w:rsidR="004E161B" w:rsidRPr="00C92AAE" w:rsidTr="003D2936">
        <w:tc>
          <w:tcPr>
            <w:tcW w:w="1418" w:type="dxa"/>
          </w:tcPr>
          <w:p w:rsidR="004E161B" w:rsidRPr="00C92AAE" w:rsidRDefault="004E161B" w:rsidP="003D2936">
            <w:pPr>
              <w:pStyle w:val="BodyText"/>
              <w:spacing w:before="120"/>
              <w:ind w:right="6"/>
            </w:pPr>
            <w:r w:rsidRPr="00C92AAE">
              <w:t>ABS</w:t>
            </w:r>
          </w:p>
        </w:tc>
        <w:tc>
          <w:tcPr>
            <w:tcW w:w="7371" w:type="dxa"/>
          </w:tcPr>
          <w:p w:rsidR="004E161B" w:rsidRPr="00C92AAE" w:rsidRDefault="004E161B" w:rsidP="003D2936">
            <w:pPr>
              <w:pStyle w:val="BodyText"/>
              <w:spacing w:before="120"/>
              <w:ind w:left="227" w:right="6"/>
            </w:pPr>
            <w:r w:rsidRPr="00C92AAE">
              <w:t>Australian Bureau of Statistics</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ACCC</w:t>
            </w:r>
            <w:proofErr w:type="spellEnd"/>
          </w:p>
        </w:tc>
        <w:tc>
          <w:tcPr>
            <w:tcW w:w="7371" w:type="dxa"/>
          </w:tcPr>
          <w:p w:rsidR="004E161B" w:rsidRPr="00C92AAE" w:rsidRDefault="004E161B" w:rsidP="003D2936">
            <w:pPr>
              <w:pStyle w:val="BodyText"/>
              <w:spacing w:before="120"/>
              <w:ind w:left="227" w:right="6"/>
            </w:pPr>
            <w:r w:rsidRPr="00C92AAE">
              <w:t>Australian Competition and Consumer Commission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ACIP</w:t>
            </w:r>
            <w:proofErr w:type="spellEnd"/>
          </w:p>
        </w:tc>
        <w:tc>
          <w:tcPr>
            <w:tcW w:w="7371" w:type="dxa"/>
          </w:tcPr>
          <w:p w:rsidR="004E161B" w:rsidRPr="00C92AAE" w:rsidRDefault="004E161B" w:rsidP="003D2936">
            <w:pPr>
              <w:pStyle w:val="BodyText"/>
              <w:spacing w:before="120"/>
              <w:ind w:left="227" w:right="6"/>
            </w:pPr>
            <w:r w:rsidRPr="00C92AAE">
              <w:t>Advisory Council on Intellectual Property (now defunct)</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ALRC</w:t>
            </w:r>
            <w:proofErr w:type="spellEnd"/>
          </w:p>
        </w:tc>
        <w:tc>
          <w:tcPr>
            <w:tcW w:w="7371" w:type="dxa"/>
          </w:tcPr>
          <w:p w:rsidR="004E161B" w:rsidRPr="00C92AAE" w:rsidRDefault="004E161B" w:rsidP="003D2936">
            <w:pPr>
              <w:pStyle w:val="BodyText"/>
              <w:spacing w:before="120"/>
              <w:ind w:left="227" w:right="6"/>
            </w:pPr>
            <w:r w:rsidRPr="00C92AAE">
              <w:t>Australian Law Reform Commission</w:t>
            </w:r>
          </w:p>
        </w:tc>
      </w:tr>
      <w:tr w:rsidR="004E161B" w:rsidRPr="00C92AAE" w:rsidTr="003D2936">
        <w:tc>
          <w:tcPr>
            <w:tcW w:w="1418" w:type="dxa"/>
          </w:tcPr>
          <w:p w:rsidR="004E161B" w:rsidRPr="00C92AAE" w:rsidRDefault="004E161B" w:rsidP="003D2936">
            <w:pPr>
              <w:pStyle w:val="BodyText"/>
              <w:spacing w:before="120"/>
              <w:ind w:right="6"/>
            </w:pPr>
            <w:r w:rsidRPr="00C92AAE">
              <w:t>API</w:t>
            </w:r>
          </w:p>
        </w:tc>
        <w:tc>
          <w:tcPr>
            <w:tcW w:w="7371" w:type="dxa"/>
          </w:tcPr>
          <w:p w:rsidR="004E161B" w:rsidRPr="00C92AAE" w:rsidRDefault="004E161B" w:rsidP="003D2936">
            <w:pPr>
              <w:pStyle w:val="BodyText"/>
              <w:spacing w:before="120"/>
              <w:ind w:left="227" w:right="6"/>
            </w:pPr>
            <w:r w:rsidRPr="00C92AAE">
              <w:t>Active Pharmaceutical Ingredient</w:t>
            </w:r>
          </w:p>
        </w:tc>
      </w:tr>
      <w:tr w:rsidR="004E161B" w:rsidRPr="00C92AAE" w:rsidTr="003D2936">
        <w:tc>
          <w:tcPr>
            <w:tcW w:w="1418" w:type="dxa"/>
          </w:tcPr>
          <w:p w:rsidR="004E161B" w:rsidRPr="00C92AAE" w:rsidRDefault="004E161B" w:rsidP="003D2936">
            <w:pPr>
              <w:pStyle w:val="BodyText"/>
              <w:spacing w:before="120"/>
              <w:ind w:right="6"/>
            </w:pPr>
            <w:r w:rsidRPr="00C92AAE">
              <w:t>ARC</w:t>
            </w:r>
          </w:p>
        </w:tc>
        <w:tc>
          <w:tcPr>
            <w:tcW w:w="7371" w:type="dxa"/>
          </w:tcPr>
          <w:p w:rsidR="004E161B" w:rsidRPr="00C92AAE" w:rsidRDefault="004E161B" w:rsidP="003D2936">
            <w:pPr>
              <w:pStyle w:val="BodyText"/>
              <w:spacing w:before="120"/>
              <w:ind w:left="227" w:right="6"/>
            </w:pPr>
            <w:r w:rsidRPr="00C92AAE">
              <w:t>Australian Research Council</w:t>
            </w:r>
          </w:p>
        </w:tc>
      </w:tr>
      <w:tr w:rsidR="004E161B" w:rsidRPr="00C92AAE" w:rsidTr="003D2936">
        <w:tc>
          <w:tcPr>
            <w:tcW w:w="1418" w:type="dxa"/>
          </w:tcPr>
          <w:p w:rsidR="004E161B" w:rsidRPr="00C92AAE" w:rsidRDefault="004E161B" w:rsidP="003D2936">
            <w:pPr>
              <w:pStyle w:val="BodyText"/>
              <w:spacing w:before="120"/>
              <w:ind w:right="6"/>
            </w:pPr>
            <w:r w:rsidRPr="00C92AAE">
              <w:t>ASEAN</w:t>
            </w:r>
          </w:p>
        </w:tc>
        <w:tc>
          <w:tcPr>
            <w:tcW w:w="7371" w:type="dxa"/>
          </w:tcPr>
          <w:p w:rsidR="004E161B" w:rsidRPr="00C92AAE" w:rsidRDefault="004E161B" w:rsidP="003D2936">
            <w:pPr>
              <w:pStyle w:val="BodyText"/>
              <w:spacing w:before="120"/>
              <w:ind w:left="227" w:right="6"/>
            </w:pPr>
            <w:r w:rsidRPr="00C92AAE">
              <w:t>Association of South East Asian Nations</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ASIC</w:t>
            </w:r>
            <w:proofErr w:type="spellEnd"/>
          </w:p>
        </w:tc>
        <w:tc>
          <w:tcPr>
            <w:tcW w:w="7371" w:type="dxa"/>
          </w:tcPr>
          <w:p w:rsidR="004E161B" w:rsidRPr="00C92AAE" w:rsidRDefault="004E161B" w:rsidP="003D2936">
            <w:pPr>
              <w:pStyle w:val="BodyText"/>
              <w:spacing w:before="120"/>
              <w:ind w:left="227" w:right="6"/>
            </w:pPr>
            <w:r w:rsidRPr="00C92AAE">
              <w:t>Australian Securities and Investments Commission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AUSFTA</w:t>
            </w:r>
            <w:proofErr w:type="spellEnd"/>
          </w:p>
        </w:tc>
        <w:tc>
          <w:tcPr>
            <w:tcW w:w="7371" w:type="dxa"/>
          </w:tcPr>
          <w:p w:rsidR="004E161B" w:rsidRPr="00C92AAE" w:rsidRDefault="004E161B" w:rsidP="003D2936">
            <w:pPr>
              <w:pStyle w:val="BodyText"/>
              <w:spacing w:before="120"/>
              <w:ind w:left="227" w:right="6"/>
            </w:pPr>
            <w:r w:rsidRPr="00C92AAE">
              <w:t>Australia-United States Free Trade Agreement</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CCA</w:t>
            </w:r>
            <w:proofErr w:type="spellEnd"/>
          </w:p>
        </w:tc>
        <w:tc>
          <w:tcPr>
            <w:tcW w:w="7371" w:type="dxa"/>
          </w:tcPr>
          <w:p w:rsidR="004E161B" w:rsidRPr="00C92AAE" w:rsidRDefault="004E161B" w:rsidP="003D2936">
            <w:pPr>
              <w:pStyle w:val="BodyText"/>
              <w:spacing w:before="120"/>
              <w:ind w:left="227" w:right="6"/>
            </w:pPr>
            <w:r w:rsidRPr="00C92AAE">
              <w:t>Competition and Consumer Act 2010 (</w:t>
            </w:r>
            <w:proofErr w:type="spellStart"/>
            <w:r w:rsidRPr="00C92AAE">
              <w:t>Cth</w:t>
            </w:r>
            <w:proofErr w:type="spellEnd"/>
            <w:r w:rsidRPr="00C92AAE">
              <w:t>)</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CLR</w:t>
            </w:r>
            <w:proofErr w:type="spellEnd"/>
          </w:p>
        </w:tc>
        <w:tc>
          <w:tcPr>
            <w:tcW w:w="7371" w:type="dxa"/>
          </w:tcPr>
          <w:p w:rsidR="004E161B" w:rsidRPr="00C92AAE" w:rsidRDefault="004E161B" w:rsidP="003D2936">
            <w:pPr>
              <w:pStyle w:val="BodyText"/>
              <w:spacing w:before="120"/>
              <w:ind w:left="227" w:right="6"/>
            </w:pPr>
            <w:r w:rsidRPr="00C92AAE">
              <w:t>Circuit Layout Right</w:t>
            </w:r>
          </w:p>
        </w:tc>
      </w:tr>
      <w:tr w:rsidR="004E161B" w:rsidRPr="00C92AAE" w:rsidTr="003D2936">
        <w:tc>
          <w:tcPr>
            <w:tcW w:w="1418" w:type="dxa"/>
          </w:tcPr>
          <w:p w:rsidR="004E161B" w:rsidRPr="00C92AAE" w:rsidRDefault="004E161B" w:rsidP="003D2936">
            <w:pPr>
              <w:pStyle w:val="BodyText"/>
              <w:spacing w:before="120"/>
              <w:ind w:right="6"/>
            </w:pPr>
            <w:r w:rsidRPr="00C92AAE">
              <w:t>CSIRO</w:t>
            </w:r>
          </w:p>
        </w:tc>
        <w:tc>
          <w:tcPr>
            <w:tcW w:w="7371" w:type="dxa"/>
          </w:tcPr>
          <w:p w:rsidR="004E161B" w:rsidRPr="00C92AAE" w:rsidRDefault="004E161B" w:rsidP="003D2936">
            <w:pPr>
              <w:pStyle w:val="BodyText"/>
              <w:spacing w:before="120"/>
              <w:ind w:left="227" w:right="6"/>
            </w:pPr>
            <w:r w:rsidRPr="00C92AAE">
              <w:t>Commonwealth Scientific and Industrial Research Organisation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DFAT</w:t>
            </w:r>
            <w:proofErr w:type="spellEnd"/>
          </w:p>
        </w:tc>
        <w:tc>
          <w:tcPr>
            <w:tcW w:w="7371" w:type="dxa"/>
          </w:tcPr>
          <w:p w:rsidR="004E161B" w:rsidRPr="00C92AAE" w:rsidRDefault="004E161B" w:rsidP="003D2936">
            <w:pPr>
              <w:pStyle w:val="BodyText"/>
              <w:spacing w:before="120"/>
              <w:ind w:left="227" w:right="6"/>
            </w:pPr>
            <w:r w:rsidRPr="00C92AAE">
              <w:t>Department of Foreign Affairs and Trade</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DIBP</w:t>
            </w:r>
            <w:proofErr w:type="spellEnd"/>
          </w:p>
        </w:tc>
        <w:tc>
          <w:tcPr>
            <w:tcW w:w="7371" w:type="dxa"/>
          </w:tcPr>
          <w:p w:rsidR="004E161B" w:rsidRPr="00C92AAE" w:rsidRDefault="004E161B" w:rsidP="003D2936">
            <w:pPr>
              <w:pStyle w:val="BodyText"/>
              <w:spacing w:before="120"/>
              <w:ind w:left="227" w:right="6"/>
            </w:pPr>
            <w:r w:rsidRPr="00C92AAE">
              <w:t>Department of Immigration and Border Protection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DIIS</w:t>
            </w:r>
            <w:proofErr w:type="spellEnd"/>
          </w:p>
        </w:tc>
        <w:tc>
          <w:tcPr>
            <w:tcW w:w="7371" w:type="dxa"/>
          </w:tcPr>
          <w:p w:rsidR="004E161B" w:rsidRPr="00C92AAE" w:rsidRDefault="004E161B" w:rsidP="003D2936">
            <w:pPr>
              <w:pStyle w:val="BodyText"/>
              <w:spacing w:before="120"/>
              <w:ind w:left="227" w:right="6"/>
            </w:pPr>
            <w:r w:rsidRPr="00C92AAE">
              <w:t>Department of Industry, Innovation and Science</w:t>
            </w:r>
          </w:p>
        </w:tc>
      </w:tr>
      <w:tr w:rsidR="004E161B" w:rsidRPr="00C92AAE" w:rsidTr="003D2936">
        <w:tc>
          <w:tcPr>
            <w:tcW w:w="1418" w:type="dxa"/>
          </w:tcPr>
          <w:p w:rsidR="004E161B" w:rsidRPr="00C92AAE" w:rsidRDefault="004E161B" w:rsidP="003D2936">
            <w:pPr>
              <w:pStyle w:val="BodyText"/>
              <w:spacing w:before="120"/>
              <w:ind w:right="6"/>
            </w:pPr>
            <w:r w:rsidRPr="00C92AAE">
              <w:t>EC</w:t>
            </w:r>
          </w:p>
        </w:tc>
        <w:tc>
          <w:tcPr>
            <w:tcW w:w="7371" w:type="dxa"/>
          </w:tcPr>
          <w:p w:rsidR="004E161B" w:rsidRPr="00C92AAE" w:rsidRDefault="004E161B" w:rsidP="003D2936">
            <w:pPr>
              <w:pStyle w:val="BodyText"/>
              <w:spacing w:before="120"/>
              <w:ind w:left="227" w:right="6"/>
            </w:pPr>
            <w:r w:rsidRPr="00C92AAE">
              <w:t>European Commission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EPC</w:t>
            </w:r>
            <w:proofErr w:type="spellEnd"/>
          </w:p>
        </w:tc>
        <w:tc>
          <w:tcPr>
            <w:tcW w:w="7371" w:type="dxa"/>
          </w:tcPr>
          <w:p w:rsidR="004E161B" w:rsidRPr="00C92AAE" w:rsidRDefault="004E161B" w:rsidP="003D2936">
            <w:pPr>
              <w:pStyle w:val="BodyText"/>
              <w:spacing w:before="120"/>
              <w:ind w:left="227" w:right="6"/>
            </w:pPr>
            <w:r w:rsidRPr="00C92AAE">
              <w:t>European Patent Convention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EPO</w:t>
            </w:r>
            <w:proofErr w:type="spellEnd"/>
          </w:p>
        </w:tc>
        <w:tc>
          <w:tcPr>
            <w:tcW w:w="7371" w:type="dxa"/>
          </w:tcPr>
          <w:p w:rsidR="004E161B" w:rsidRPr="00C92AAE" w:rsidRDefault="004E161B" w:rsidP="003D2936">
            <w:pPr>
              <w:pStyle w:val="BodyText"/>
              <w:spacing w:before="120"/>
              <w:ind w:left="227" w:right="6"/>
            </w:pPr>
            <w:r w:rsidRPr="00C92AAE">
              <w:t>European Patent Office</w:t>
            </w:r>
          </w:p>
        </w:tc>
      </w:tr>
      <w:tr w:rsidR="004E161B" w:rsidRPr="00C92AAE" w:rsidTr="003D2936">
        <w:tc>
          <w:tcPr>
            <w:tcW w:w="1418" w:type="dxa"/>
          </w:tcPr>
          <w:p w:rsidR="004E161B" w:rsidRPr="00C92AAE" w:rsidRDefault="004E161B" w:rsidP="003D2936">
            <w:pPr>
              <w:pStyle w:val="BodyText"/>
              <w:spacing w:before="120"/>
              <w:ind w:right="6"/>
            </w:pPr>
            <w:r w:rsidRPr="00C92AAE">
              <w:t>EU</w:t>
            </w:r>
          </w:p>
        </w:tc>
        <w:tc>
          <w:tcPr>
            <w:tcW w:w="7371" w:type="dxa"/>
          </w:tcPr>
          <w:p w:rsidR="004E161B" w:rsidRPr="00C92AAE" w:rsidRDefault="004E161B" w:rsidP="003D2936">
            <w:pPr>
              <w:pStyle w:val="BodyText"/>
              <w:spacing w:before="120"/>
              <w:ind w:left="227" w:right="6"/>
            </w:pPr>
            <w:r w:rsidRPr="00C92AAE">
              <w:t>European Union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FCA</w:t>
            </w:r>
            <w:proofErr w:type="spellEnd"/>
          </w:p>
        </w:tc>
        <w:tc>
          <w:tcPr>
            <w:tcW w:w="7371" w:type="dxa"/>
          </w:tcPr>
          <w:p w:rsidR="004E161B" w:rsidRPr="00C92AAE" w:rsidRDefault="004E161B" w:rsidP="003D2936">
            <w:pPr>
              <w:pStyle w:val="BodyText"/>
              <w:spacing w:before="120"/>
              <w:ind w:left="227" w:right="6"/>
            </w:pPr>
            <w:r w:rsidRPr="00C92AAE">
              <w:t>Federal Court of Australia</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FTA</w:t>
            </w:r>
            <w:proofErr w:type="spellEnd"/>
          </w:p>
        </w:tc>
        <w:tc>
          <w:tcPr>
            <w:tcW w:w="7371" w:type="dxa"/>
          </w:tcPr>
          <w:p w:rsidR="004E161B" w:rsidRPr="00C92AAE" w:rsidRDefault="004E161B" w:rsidP="003D2936">
            <w:pPr>
              <w:pStyle w:val="BodyText"/>
              <w:spacing w:before="120"/>
              <w:ind w:left="227" w:right="6"/>
            </w:pPr>
            <w:r w:rsidRPr="00C92AAE">
              <w:t>Free Trade Agreement</w:t>
            </w:r>
          </w:p>
        </w:tc>
      </w:tr>
      <w:tr w:rsidR="004E161B" w:rsidRPr="00C92AAE" w:rsidTr="003D2936">
        <w:tc>
          <w:tcPr>
            <w:tcW w:w="1418" w:type="dxa"/>
          </w:tcPr>
          <w:p w:rsidR="004E161B" w:rsidRPr="00C92AAE" w:rsidRDefault="004E161B" w:rsidP="003D2936">
            <w:pPr>
              <w:pStyle w:val="BodyText"/>
              <w:spacing w:before="120"/>
              <w:ind w:right="6"/>
            </w:pPr>
            <w:r w:rsidRPr="00C92AAE">
              <w:t>GDP</w:t>
            </w:r>
          </w:p>
        </w:tc>
        <w:tc>
          <w:tcPr>
            <w:tcW w:w="7371" w:type="dxa"/>
          </w:tcPr>
          <w:p w:rsidR="004E161B" w:rsidRPr="00C92AAE" w:rsidRDefault="004E161B" w:rsidP="003D2936">
            <w:pPr>
              <w:pStyle w:val="BodyText"/>
              <w:spacing w:before="120"/>
              <w:ind w:left="227" w:right="6"/>
            </w:pPr>
            <w:r w:rsidRPr="00C92AAE">
              <w:t>Gross Domestic Product</w:t>
            </w:r>
          </w:p>
        </w:tc>
      </w:tr>
      <w:tr w:rsidR="004E161B" w:rsidRPr="00C92AAE" w:rsidTr="003D2936">
        <w:tc>
          <w:tcPr>
            <w:tcW w:w="1418" w:type="dxa"/>
          </w:tcPr>
          <w:p w:rsidR="004E161B" w:rsidRPr="00C92AAE" w:rsidRDefault="004E161B" w:rsidP="003D2936">
            <w:pPr>
              <w:pStyle w:val="BodyText"/>
              <w:spacing w:before="120"/>
              <w:ind w:right="6"/>
            </w:pPr>
            <w:r w:rsidRPr="00C92AAE">
              <w:t>GI</w:t>
            </w:r>
          </w:p>
        </w:tc>
        <w:tc>
          <w:tcPr>
            <w:tcW w:w="7371" w:type="dxa"/>
          </w:tcPr>
          <w:p w:rsidR="004E161B" w:rsidRPr="00C92AAE" w:rsidRDefault="004E161B" w:rsidP="003D2936">
            <w:pPr>
              <w:pStyle w:val="BodyText"/>
              <w:spacing w:before="120"/>
              <w:ind w:left="227" w:right="6"/>
            </w:pPr>
            <w:r w:rsidRPr="00C92AAE">
              <w:t>Geographical Indication</w:t>
            </w:r>
          </w:p>
        </w:tc>
      </w:tr>
      <w:tr w:rsidR="004E161B" w:rsidRPr="00C92AAE" w:rsidTr="003D2936">
        <w:tc>
          <w:tcPr>
            <w:tcW w:w="1418" w:type="dxa"/>
          </w:tcPr>
          <w:p w:rsidR="004E161B" w:rsidRPr="00C92AAE" w:rsidRDefault="004E161B" w:rsidP="003D2936">
            <w:pPr>
              <w:pStyle w:val="BodyText"/>
              <w:spacing w:before="120"/>
              <w:ind w:right="6"/>
            </w:pPr>
            <w:r w:rsidRPr="00C92AAE">
              <w:t>IP</w:t>
            </w:r>
          </w:p>
        </w:tc>
        <w:tc>
          <w:tcPr>
            <w:tcW w:w="7371" w:type="dxa"/>
          </w:tcPr>
          <w:p w:rsidR="004E161B" w:rsidRPr="00C92AAE" w:rsidRDefault="004E161B" w:rsidP="003D2936">
            <w:pPr>
              <w:pStyle w:val="BodyText"/>
              <w:spacing w:before="120"/>
              <w:ind w:left="227" w:right="6"/>
            </w:pPr>
            <w:r w:rsidRPr="00C92AAE">
              <w:t>Intellectual Property</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IPCRC</w:t>
            </w:r>
            <w:proofErr w:type="spellEnd"/>
          </w:p>
        </w:tc>
        <w:tc>
          <w:tcPr>
            <w:tcW w:w="7371" w:type="dxa"/>
          </w:tcPr>
          <w:p w:rsidR="004E161B" w:rsidRPr="00C92AAE" w:rsidRDefault="004E161B" w:rsidP="003D2936">
            <w:pPr>
              <w:pStyle w:val="BodyText"/>
              <w:spacing w:before="120"/>
              <w:ind w:left="227" w:right="6"/>
            </w:pPr>
            <w:r w:rsidRPr="00C92AAE">
              <w:t>Intellectual Property and Competition Review Committee</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IPEC</w:t>
            </w:r>
            <w:proofErr w:type="spellEnd"/>
          </w:p>
        </w:tc>
        <w:tc>
          <w:tcPr>
            <w:tcW w:w="7371" w:type="dxa"/>
          </w:tcPr>
          <w:p w:rsidR="004E161B" w:rsidRPr="00C92AAE" w:rsidRDefault="004E161B" w:rsidP="003D2936">
            <w:pPr>
              <w:pStyle w:val="BodyText"/>
              <w:spacing w:before="120"/>
              <w:ind w:left="227" w:right="6"/>
            </w:pPr>
            <w:r w:rsidRPr="00C92AAE">
              <w:t xml:space="preserve">United Kingdom Intellectual Property Enterprise Court </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IPGOD</w:t>
            </w:r>
            <w:proofErr w:type="spellEnd"/>
          </w:p>
        </w:tc>
        <w:tc>
          <w:tcPr>
            <w:tcW w:w="7371" w:type="dxa"/>
          </w:tcPr>
          <w:p w:rsidR="004E161B" w:rsidRPr="00C92AAE" w:rsidRDefault="004E161B" w:rsidP="003D2936">
            <w:pPr>
              <w:pStyle w:val="BodyText"/>
              <w:spacing w:before="120"/>
              <w:ind w:left="227" w:right="6"/>
            </w:pPr>
            <w:r w:rsidRPr="00C92AAE">
              <w:t>Intellectual Property Government Open Data</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lastRenderedPageBreak/>
              <w:t>IPR</w:t>
            </w:r>
            <w:proofErr w:type="spellEnd"/>
          </w:p>
        </w:tc>
        <w:tc>
          <w:tcPr>
            <w:tcW w:w="7371" w:type="dxa"/>
          </w:tcPr>
          <w:p w:rsidR="004E161B" w:rsidRPr="00C92AAE" w:rsidRDefault="004E161B" w:rsidP="003D2936">
            <w:pPr>
              <w:pStyle w:val="BodyText"/>
              <w:spacing w:before="120"/>
              <w:ind w:left="227" w:right="6"/>
            </w:pPr>
            <w:r w:rsidRPr="00C92AAE">
              <w:t>Intellectual Property Rights</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IPS</w:t>
            </w:r>
            <w:proofErr w:type="spellEnd"/>
          </w:p>
        </w:tc>
        <w:tc>
          <w:tcPr>
            <w:tcW w:w="7371" w:type="dxa"/>
          </w:tcPr>
          <w:p w:rsidR="004E161B" w:rsidRPr="00C92AAE" w:rsidRDefault="004E161B" w:rsidP="003D2936">
            <w:pPr>
              <w:pStyle w:val="BodyText"/>
              <w:spacing w:before="120"/>
              <w:ind w:left="227" w:right="6"/>
            </w:pPr>
            <w:r w:rsidRPr="00C92AAE">
              <w:t>Innovation Patent System</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IPTA</w:t>
            </w:r>
            <w:proofErr w:type="spellEnd"/>
          </w:p>
        </w:tc>
        <w:tc>
          <w:tcPr>
            <w:tcW w:w="7371" w:type="dxa"/>
          </w:tcPr>
          <w:p w:rsidR="004E161B" w:rsidRPr="00C92AAE" w:rsidRDefault="004E161B" w:rsidP="003D2936">
            <w:pPr>
              <w:pStyle w:val="BodyText"/>
              <w:spacing w:before="120"/>
              <w:ind w:left="227" w:right="6"/>
            </w:pPr>
            <w:r w:rsidRPr="00C92AAE">
              <w:t>Institute of Patent and Trade Mark Attorneys of Australia</w:t>
            </w:r>
          </w:p>
        </w:tc>
      </w:tr>
      <w:tr w:rsidR="004E161B" w:rsidRPr="00C92AAE" w:rsidTr="003D2936">
        <w:tc>
          <w:tcPr>
            <w:tcW w:w="1418" w:type="dxa"/>
          </w:tcPr>
          <w:p w:rsidR="004E161B" w:rsidRPr="00C92AAE" w:rsidRDefault="004E161B" w:rsidP="003D2936">
            <w:pPr>
              <w:pStyle w:val="BodyText"/>
              <w:spacing w:before="120"/>
              <w:ind w:right="6"/>
            </w:pPr>
            <w:r w:rsidRPr="00C92AAE">
              <w:t>OECD</w:t>
            </w:r>
          </w:p>
        </w:tc>
        <w:tc>
          <w:tcPr>
            <w:tcW w:w="7371" w:type="dxa"/>
          </w:tcPr>
          <w:p w:rsidR="004E161B" w:rsidRPr="00C92AAE" w:rsidRDefault="004E161B" w:rsidP="003D2936">
            <w:pPr>
              <w:pStyle w:val="BodyText"/>
              <w:spacing w:before="120"/>
              <w:ind w:left="227" w:right="6"/>
            </w:pPr>
            <w:r w:rsidRPr="00C92AAE">
              <w:t>Organisation for Economic Cooperation and Development</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PBR</w:t>
            </w:r>
            <w:proofErr w:type="spellEnd"/>
          </w:p>
        </w:tc>
        <w:tc>
          <w:tcPr>
            <w:tcW w:w="7371" w:type="dxa"/>
          </w:tcPr>
          <w:p w:rsidR="004E161B" w:rsidRPr="00C92AAE" w:rsidRDefault="004E161B" w:rsidP="003D2936">
            <w:pPr>
              <w:pStyle w:val="BodyText"/>
              <w:spacing w:before="120"/>
              <w:ind w:left="227" w:right="6"/>
            </w:pPr>
            <w:r w:rsidRPr="00C92AAE">
              <w:t>Plant Breeder’s Rights</w:t>
            </w:r>
          </w:p>
        </w:tc>
      </w:tr>
      <w:tr w:rsidR="004E161B" w:rsidRPr="00C92AAE" w:rsidTr="003D2936">
        <w:tc>
          <w:tcPr>
            <w:tcW w:w="1418" w:type="dxa"/>
          </w:tcPr>
          <w:p w:rsidR="004E161B" w:rsidRPr="00C92AAE" w:rsidRDefault="004E161B" w:rsidP="003D2936">
            <w:pPr>
              <w:pStyle w:val="BodyText"/>
              <w:spacing w:before="120"/>
              <w:ind w:right="6"/>
            </w:pPr>
            <w:r w:rsidRPr="00C92AAE">
              <w:t>PC</w:t>
            </w:r>
          </w:p>
        </w:tc>
        <w:tc>
          <w:tcPr>
            <w:tcW w:w="7371" w:type="dxa"/>
          </w:tcPr>
          <w:p w:rsidR="004E161B" w:rsidRPr="00C92AAE" w:rsidRDefault="004E161B" w:rsidP="003D2936">
            <w:pPr>
              <w:pStyle w:val="BodyText"/>
              <w:spacing w:before="120"/>
              <w:ind w:left="227" w:right="6"/>
            </w:pPr>
            <w:r w:rsidRPr="00C92AAE">
              <w:t>Productivity Commission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PCT</w:t>
            </w:r>
            <w:proofErr w:type="spellEnd"/>
          </w:p>
        </w:tc>
        <w:tc>
          <w:tcPr>
            <w:tcW w:w="7371" w:type="dxa"/>
          </w:tcPr>
          <w:p w:rsidR="004E161B" w:rsidRPr="00C92AAE" w:rsidRDefault="004E161B" w:rsidP="003D2936">
            <w:pPr>
              <w:pStyle w:val="BodyText"/>
              <w:spacing w:before="120"/>
              <w:ind w:left="227" w:right="6"/>
            </w:pPr>
            <w:r w:rsidRPr="00C92AAE">
              <w:t>Patent Cooperation Treaty</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SITC</w:t>
            </w:r>
            <w:proofErr w:type="spellEnd"/>
          </w:p>
        </w:tc>
        <w:tc>
          <w:tcPr>
            <w:tcW w:w="7371" w:type="dxa"/>
          </w:tcPr>
          <w:p w:rsidR="004E161B" w:rsidRPr="00C92AAE" w:rsidRDefault="004E161B" w:rsidP="003D2936">
            <w:pPr>
              <w:pStyle w:val="BodyText"/>
              <w:spacing w:before="120"/>
              <w:ind w:left="227" w:right="6"/>
            </w:pPr>
            <w:r w:rsidRPr="00C92AAE">
              <w:t>Standard International Trade Classification</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SME</w:t>
            </w:r>
            <w:r>
              <w:t>s</w:t>
            </w:r>
            <w:proofErr w:type="spellEnd"/>
          </w:p>
        </w:tc>
        <w:tc>
          <w:tcPr>
            <w:tcW w:w="7371" w:type="dxa"/>
          </w:tcPr>
          <w:p w:rsidR="004E161B" w:rsidRPr="00C92AAE" w:rsidRDefault="004E161B" w:rsidP="003D2936">
            <w:pPr>
              <w:pStyle w:val="BodyText"/>
              <w:spacing w:before="120"/>
              <w:ind w:left="227" w:right="6"/>
            </w:pPr>
            <w:r w:rsidRPr="00C92AAE">
              <w:t>Small– and medium–sized enterprises</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TPP</w:t>
            </w:r>
            <w:proofErr w:type="spellEnd"/>
          </w:p>
        </w:tc>
        <w:tc>
          <w:tcPr>
            <w:tcW w:w="7371" w:type="dxa"/>
          </w:tcPr>
          <w:p w:rsidR="004E161B" w:rsidRPr="00C92AAE" w:rsidRDefault="004E161B" w:rsidP="003D2936">
            <w:pPr>
              <w:pStyle w:val="BodyText"/>
              <w:spacing w:before="120"/>
              <w:ind w:left="227" w:right="6"/>
            </w:pPr>
            <w:r w:rsidRPr="00C92AAE">
              <w:t>Trans</w:t>
            </w:r>
            <w:r w:rsidRPr="00C92AAE">
              <w:noBreakHyphen/>
              <w:t>Pacific Partnership</w:t>
            </w:r>
          </w:p>
        </w:tc>
      </w:tr>
      <w:tr w:rsidR="004E161B" w:rsidRPr="00C92AAE" w:rsidTr="003D2936">
        <w:tc>
          <w:tcPr>
            <w:tcW w:w="1418" w:type="dxa"/>
          </w:tcPr>
          <w:p w:rsidR="004E161B" w:rsidRPr="00C92AAE" w:rsidRDefault="004E161B" w:rsidP="003D2936">
            <w:pPr>
              <w:pStyle w:val="BodyText"/>
              <w:spacing w:before="120"/>
              <w:ind w:right="6"/>
            </w:pPr>
            <w:r w:rsidRPr="00C92AAE">
              <w:t>TRIPS</w:t>
            </w:r>
          </w:p>
        </w:tc>
        <w:tc>
          <w:tcPr>
            <w:tcW w:w="7371" w:type="dxa"/>
          </w:tcPr>
          <w:p w:rsidR="004E161B" w:rsidRPr="00C92AAE" w:rsidRDefault="004E161B" w:rsidP="003D2936">
            <w:pPr>
              <w:pStyle w:val="BodyText"/>
              <w:spacing w:before="120"/>
              <w:ind w:left="227" w:right="6"/>
            </w:pPr>
            <w:r w:rsidRPr="00C92AAE">
              <w:t>Agreement on Trade Related Aspects of Intellectual Property Rights</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UPOV</w:t>
            </w:r>
            <w:proofErr w:type="spellEnd"/>
          </w:p>
        </w:tc>
        <w:tc>
          <w:tcPr>
            <w:tcW w:w="7371" w:type="dxa"/>
          </w:tcPr>
          <w:p w:rsidR="004E161B" w:rsidRPr="00C92AAE" w:rsidRDefault="004E161B" w:rsidP="00C419CE">
            <w:pPr>
              <w:pStyle w:val="BodyText"/>
              <w:spacing w:before="120"/>
              <w:ind w:left="227" w:right="6"/>
            </w:pPr>
            <w:r w:rsidRPr="00C92AAE">
              <w:t>International Convention for the Protection of New Varieties of Plants</w:t>
            </w:r>
            <w:r w:rsidR="00C419CE">
              <w:t> </w:t>
            </w:r>
            <w:r w:rsidRPr="00C92AAE">
              <w:t>1961</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USPTO</w:t>
            </w:r>
            <w:proofErr w:type="spellEnd"/>
          </w:p>
        </w:tc>
        <w:tc>
          <w:tcPr>
            <w:tcW w:w="7371" w:type="dxa"/>
          </w:tcPr>
          <w:p w:rsidR="004E161B" w:rsidRPr="00C92AAE" w:rsidRDefault="004E161B" w:rsidP="003D2936">
            <w:pPr>
              <w:pStyle w:val="BodyText"/>
              <w:spacing w:before="120"/>
              <w:ind w:left="227" w:right="6"/>
            </w:pPr>
            <w:r w:rsidRPr="00C92AAE">
              <w:t>United States Patent and Trademark Office</w:t>
            </w:r>
          </w:p>
        </w:tc>
      </w:tr>
      <w:tr w:rsidR="004E161B" w:rsidRPr="00C92AAE" w:rsidTr="003D2936">
        <w:tc>
          <w:tcPr>
            <w:tcW w:w="1418" w:type="dxa"/>
          </w:tcPr>
          <w:p w:rsidR="004E161B" w:rsidRPr="00C92AAE" w:rsidRDefault="004E161B" w:rsidP="003D2936">
            <w:pPr>
              <w:pStyle w:val="BodyText"/>
              <w:spacing w:before="120"/>
              <w:ind w:right="6"/>
            </w:pPr>
            <w:proofErr w:type="spellStart"/>
            <w:r w:rsidRPr="00C92AAE">
              <w:t>WIPO</w:t>
            </w:r>
            <w:proofErr w:type="spellEnd"/>
          </w:p>
        </w:tc>
        <w:tc>
          <w:tcPr>
            <w:tcW w:w="7371" w:type="dxa"/>
          </w:tcPr>
          <w:p w:rsidR="004E161B" w:rsidRPr="00C92AAE" w:rsidRDefault="004E161B" w:rsidP="003D2936">
            <w:pPr>
              <w:pStyle w:val="BodyText"/>
              <w:spacing w:before="120"/>
              <w:ind w:left="227" w:right="6"/>
            </w:pPr>
            <w:r w:rsidRPr="00C92AAE">
              <w:t>World Intellectual Property Organization</w:t>
            </w:r>
          </w:p>
        </w:tc>
      </w:tr>
      <w:tr w:rsidR="004E161B" w:rsidRPr="00C92AAE" w:rsidTr="003D2936">
        <w:tc>
          <w:tcPr>
            <w:tcW w:w="1418" w:type="dxa"/>
          </w:tcPr>
          <w:p w:rsidR="004E161B" w:rsidRPr="00C92AAE" w:rsidRDefault="004E161B" w:rsidP="003D2936">
            <w:pPr>
              <w:pStyle w:val="BodyText"/>
              <w:spacing w:before="120"/>
              <w:ind w:right="6"/>
            </w:pPr>
            <w:r w:rsidRPr="00C92AAE">
              <w:t>WTO</w:t>
            </w:r>
          </w:p>
        </w:tc>
        <w:tc>
          <w:tcPr>
            <w:tcW w:w="7371" w:type="dxa"/>
          </w:tcPr>
          <w:p w:rsidR="004E161B" w:rsidRPr="00C92AAE" w:rsidRDefault="004E161B" w:rsidP="003D2936">
            <w:pPr>
              <w:pStyle w:val="BodyText"/>
              <w:spacing w:before="120"/>
              <w:ind w:left="227" w:right="6"/>
            </w:pPr>
            <w:r w:rsidRPr="00C92AAE">
              <w:t>World Trade Organization</w:t>
            </w:r>
          </w:p>
        </w:tc>
      </w:tr>
    </w:tbl>
    <w:p w:rsidR="00FE69DA" w:rsidRPr="00376F05" w:rsidRDefault="00FE69DA" w:rsidP="00376F05">
      <w:pPr>
        <w:pStyle w:val="BodyText"/>
        <w:rPr>
          <w:rStyle w:val="CommentReference"/>
          <w:b w:val="0"/>
          <w:vanish w:val="0"/>
          <w:color w:val="auto"/>
          <w:sz w:val="24"/>
        </w:rPr>
      </w:pPr>
      <w:bookmarkStart w:id="18" w:name="Glossary"/>
      <w:bookmarkEnd w:id="18"/>
    </w:p>
    <w:sectPr w:rsidR="00FE69DA" w:rsidRPr="00376F05" w:rsidSect="00585B3F">
      <w:headerReference w:type="even" r:id="rId26"/>
      <w:headerReference w:type="default" r:id="rId27"/>
      <w:footerReference w:type="even" r:id="rId28"/>
      <w:footerReference w:type="default" r:id="rId2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936" w:rsidRDefault="003D2936">
      <w:r>
        <w:separator/>
      </w:r>
    </w:p>
    <w:p w:rsidR="003D2936" w:rsidRDefault="003D2936"/>
    <w:p w:rsidR="003D2936" w:rsidRDefault="003D2936"/>
  </w:endnote>
  <w:endnote w:type="continuationSeparator" w:id="0">
    <w:p w:rsidR="003D2936" w:rsidRDefault="003D2936">
      <w:r>
        <w:continuationSeparator/>
      </w:r>
    </w:p>
    <w:p w:rsidR="003D2936" w:rsidRDefault="003D2936"/>
    <w:p w:rsidR="003D2936" w:rsidRDefault="003D2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Pr="00752FFF" w:rsidRDefault="003D2936" w:rsidP="003D2936">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E259B1">
            <w:rPr>
              <w:rStyle w:val="PageNumber"/>
              <w:caps w:val="0"/>
              <w:noProof/>
            </w:rPr>
            <w:t>vi</w:t>
          </w:r>
          <w:r w:rsidRPr="00752FFF">
            <w:rPr>
              <w:rStyle w:val="PageNumber"/>
              <w:caps w:val="0"/>
            </w:rPr>
            <w:fldChar w:fldCharType="end"/>
          </w:r>
        </w:p>
      </w:tc>
      <w:tc>
        <w:tcPr>
          <w:tcW w:w="7767" w:type="dxa"/>
        </w:tcPr>
        <w:p w:rsidR="003D2936" w:rsidRPr="0013739A" w:rsidRDefault="00216E4F" w:rsidP="003D2936">
          <w:pPr>
            <w:pStyle w:val="Footer"/>
            <w:rPr>
              <w:rFonts w:cs="Arial"/>
            </w:rPr>
          </w:pPr>
          <w:r>
            <w:rPr>
              <w:rFonts w:cs="Arial"/>
            </w:rPr>
            <w:t>Intellectual Property Arrangements</w:t>
          </w:r>
        </w:p>
      </w:tc>
      <w:tc>
        <w:tcPr>
          <w:tcW w:w="510" w:type="dxa"/>
        </w:tcPr>
        <w:p w:rsidR="003D2936" w:rsidRDefault="003D2936" w:rsidP="003D2936">
          <w:pPr>
            <w:pStyle w:val="Footer"/>
          </w:pPr>
        </w:p>
      </w:tc>
    </w:tr>
  </w:tbl>
  <w:p w:rsidR="003D2936" w:rsidRDefault="003D2936" w:rsidP="003D2936">
    <w:pPr>
      <w:pStyle w:val="FooterEnd"/>
    </w:pPr>
  </w:p>
  <w:p w:rsidR="003D2936" w:rsidRDefault="003D293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Default="003D2936">
          <w:pPr>
            <w:pStyle w:val="Footer"/>
            <w:ind w:right="360" w:firstLine="360"/>
          </w:pPr>
        </w:p>
      </w:tc>
      <w:tc>
        <w:tcPr>
          <w:tcW w:w="7767" w:type="dxa"/>
        </w:tcPr>
        <w:p w:rsidR="003D2936" w:rsidRPr="00752FFF" w:rsidRDefault="002859B2" w:rsidP="003D2936">
          <w:pPr>
            <w:pStyle w:val="Footer"/>
            <w:jc w:val="right"/>
            <w:rPr>
              <w:rFonts w:cs="Arial"/>
            </w:rPr>
          </w:pPr>
          <w:r w:rsidRPr="002859B2">
            <w:rPr>
              <w:bCs/>
              <w:noProof/>
              <w:lang w:val="en-US"/>
            </w:rPr>
            <w:t>Terms</w:t>
          </w:r>
          <w:r>
            <w:rPr>
              <w:noProof/>
            </w:rPr>
            <w:t xml:space="preserve"> of reference</w:t>
          </w:r>
        </w:p>
      </w:tc>
      <w:tc>
        <w:tcPr>
          <w:tcW w:w="510" w:type="dxa"/>
        </w:tcPr>
        <w:p w:rsidR="003D2936" w:rsidRPr="00A24443" w:rsidRDefault="003D293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259B1">
            <w:rPr>
              <w:rStyle w:val="PageNumber"/>
              <w:caps w:val="0"/>
              <w:noProof/>
            </w:rPr>
            <w:t>v</w:t>
          </w:r>
          <w:r w:rsidRPr="00A24443">
            <w:rPr>
              <w:rStyle w:val="PageNumber"/>
              <w:caps w:val="0"/>
            </w:rPr>
            <w:fldChar w:fldCharType="end"/>
          </w:r>
        </w:p>
      </w:tc>
    </w:tr>
  </w:tbl>
  <w:p w:rsidR="003D2936" w:rsidRDefault="003D2936">
    <w:pPr>
      <w:pStyle w:val="FooterEnd"/>
    </w:pPr>
  </w:p>
  <w:p w:rsidR="003D2936" w:rsidRPr="00D01645" w:rsidRDefault="003D2936" w:rsidP="003D293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Pr="00A24443" w:rsidRDefault="003D2936" w:rsidP="003D29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259B1">
            <w:rPr>
              <w:rStyle w:val="PageNumber"/>
              <w:caps w:val="0"/>
              <w:noProof/>
            </w:rPr>
            <w:t>x</w:t>
          </w:r>
          <w:r w:rsidRPr="00A24443">
            <w:rPr>
              <w:rStyle w:val="PageNumber"/>
              <w:caps w:val="0"/>
            </w:rPr>
            <w:fldChar w:fldCharType="end"/>
          </w:r>
        </w:p>
      </w:tc>
      <w:tc>
        <w:tcPr>
          <w:tcW w:w="7767" w:type="dxa"/>
        </w:tcPr>
        <w:p w:rsidR="003D2936" w:rsidRPr="0013739A" w:rsidRDefault="00216E4F" w:rsidP="003D2936">
          <w:pPr>
            <w:pStyle w:val="Footer"/>
            <w:rPr>
              <w:rFonts w:cs="Arial"/>
            </w:rPr>
          </w:pPr>
          <w:r>
            <w:rPr>
              <w:rFonts w:cs="Arial"/>
            </w:rPr>
            <w:t>Intellectual Property Arrangements</w:t>
          </w:r>
        </w:p>
      </w:tc>
      <w:tc>
        <w:tcPr>
          <w:tcW w:w="510" w:type="dxa"/>
        </w:tcPr>
        <w:p w:rsidR="003D2936" w:rsidRDefault="003D2936" w:rsidP="003D2936">
          <w:pPr>
            <w:pStyle w:val="Footer"/>
          </w:pPr>
        </w:p>
      </w:tc>
    </w:tr>
  </w:tbl>
  <w:p w:rsidR="003D2936" w:rsidRDefault="003D2936" w:rsidP="003D2936">
    <w:pPr>
      <w:pStyle w:val="FooterEnd"/>
    </w:pPr>
  </w:p>
  <w:p w:rsidR="003D2936" w:rsidRDefault="003D2936">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Default="003D2936">
          <w:pPr>
            <w:pStyle w:val="Footer"/>
            <w:ind w:right="360" w:firstLine="360"/>
          </w:pPr>
        </w:p>
      </w:tc>
      <w:tc>
        <w:tcPr>
          <w:tcW w:w="7767" w:type="dxa"/>
        </w:tcPr>
        <w:p w:rsidR="003D2936" w:rsidRPr="00BA5B14" w:rsidRDefault="002859B2" w:rsidP="007448F7">
          <w:pPr>
            <w:pStyle w:val="Footer"/>
            <w:jc w:val="right"/>
            <w:rPr>
              <w:rFonts w:cs="Arial"/>
            </w:rPr>
          </w:pPr>
          <w:r>
            <w:rPr>
              <w:noProof/>
            </w:rPr>
            <w:t>Contents</w:t>
          </w:r>
          <w:r w:rsidR="003D2936">
            <w:rPr>
              <w:rFonts w:cs="Arial"/>
            </w:rPr>
            <w:t xml:space="preserve"> </w:t>
          </w:r>
        </w:p>
      </w:tc>
      <w:tc>
        <w:tcPr>
          <w:tcW w:w="510" w:type="dxa"/>
        </w:tcPr>
        <w:p w:rsidR="003D2936" w:rsidRPr="007448F7" w:rsidRDefault="003D2936">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259B1">
            <w:rPr>
              <w:rStyle w:val="PageNumber"/>
              <w:caps w:val="0"/>
              <w:noProof/>
            </w:rPr>
            <w:t>ix</w:t>
          </w:r>
          <w:r w:rsidRPr="007448F7">
            <w:rPr>
              <w:rStyle w:val="PageNumber"/>
              <w:caps w:val="0"/>
            </w:rPr>
            <w:fldChar w:fldCharType="end"/>
          </w:r>
        </w:p>
      </w:tc>
    </w:tr>
  </w:tbl>
  <w:p w:rsidR="003D2936" w:rsidRDefault="003D2936">
    <w:pPr>
      <w:pStyle w:val="FooterEnd"/>
    </w:pPr>
  </w:p>
  <w:p w:rsidR="003D2936" w:rsidRDefault="003D2936">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Pr="00A24443" w:rsidRDefault="003D2936" w:rsidP="003D29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xii</w:t>
          </w:r>
          <w:r w:rsidRPr="00A24443">
            <w:rPr>
              <w:rStyle w:val="PageNumber"/>
              <w:caps w:val="0"/>
            </w:rPr>
            <w:fldChar w:fldCharType="end"/>
          </w:r>
        </w:p>
      </w:tc>
      <w:tc>
        <w:tcPr>
          <w:tcW w:w="7767" w:type="dxa"/>
        </w:tcPr>
        <w:p w:rsidR="003D2936" w:rsidRPr="0013739A" w:rsidRDefault="003D2936" w:rsidP="003D2936">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DA719F">
            <w:rPr>
              <w:rFonts w:cs="Arial"/>
            </w:rPr>
            <w:t>Intellectual Property Arrangements - Inquiry report</w:t>
          </w:r>
          <w:r w:rsidRPr="00BA5B14">
            <w:rPr>
              <w:rFonts w:cs="Arial"/>
            </w:rPr>
            <w:fldChar w:fldCharType="end"/>
          </w:r>
        </w:p>
      </w:tc>
      <w:tc>
        <w:tcPr>
          <w:tcW w:w="510" w:type="dxa"/>
        </w:tcPr>
        <w:p w:rsidR="003D2936" w:rsidRDefault="003D2936" w:rsidP="003D2936">
          <w:pPr>
            <w:pStyle w:val="Footer"/>
          </w:pPr>
        </w:p>
      </w:tc>
    </w:tr>
  </w:tbl>
  <w:p w:rsidR="003D2936" w:rsidRDefault="003D2936" w:rsidP="003D2936">
    <w:pPr>
      <w:pStyle w:val="FooterEnd"/>
    </w:pPr>
  </w:p>
  <w:p w:rsidR="003D2936" w:rsidRDefault="003D2936">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Default="003D2936">
          <w:pPr>
            <w:pStyle w:val="Footer"/>
            <w:ind w:right="360" w:firstLine="360"/>
          </w:pPr>
        </w:p>
      </w:tc>
      <w:tc>
        <w:tcPr>
          <w:tcW w:w="7767" w:type="dxa"/>
        </w:tcPr>
        <w:p w:rsidR="003D2936" w:rsidRPr="00A90DAF" w:rsidRDefault="002859B2" w:rsidP="003D2936">
          <w:pPr>
            <w:pStyle w:val="Footer"/>
            <w:jc w:val="right"/>
            <w:rPr>
              <w:rFonts w:cs="Arial"/>
            </w:rPr>
          </w:pPr>
          <w:r w:rsidRPr="002859B2">
            <w:rPr>
              <w:bCs/>
              <w:noProof/>
              <w:lang w:val="en-US"/>
            </w:rPr>
            <w:t>Acknowledgments</w:t>
          </w:r>
        </w:p>
      </w:tc>
      <w:tc>
        <w:tcPr>
          <w:tcW w:w="510" w:type="dxa"/>
        </w:tcPr>
        <w:p w:rsidR="003D2936" w:rsidRPr="00A24443" w:rsidRDefault="003D293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259B1">
            <w:rPr>
              <w:rStyle w:val="PageNumber"/>
              <w:caps w:val="0"/>
              <w:noProof/>
            </w:rPr>
            <w:t>xi</w:t>
          </w:r>
          <w:r w:rsidRPr="00A24443">
            <w:rPr>
              <w:rStyle w:val="PageNumber"/>
              <w:caps w:val="0"/>
            </w:rPr>
            <w:fldChar w:fldCharType="end"/>
          </w:r>
        </w:p>
      </w:tc>
    </w:tr>
  </w:tbl>
  <w:p w:rsidR="003D2936" w:rsidRDefault="003D2936">
    <w:pPr>
      <w:pStyle w:val="FooterEnd"/>
    </w:pPr>
  </w:p>
  <w:p w:rsidR="003D2936" w:rsidRDefault="003D2936">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Pr="007448F7" w:rsidRDefault="003D2936" w:rsidP="003D2936">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259B1">
            <w:rPr>
              <w:rStyle w:val="PageNumber"/>
              <w:caps w:val="0"/>
              <w:noProof/>
            </w:rPr>
            <w:t>xii</w:t>
          </w:r>
          <w:r w:rsidRPr="007448F7">
            <w:rPr>
              <w:rStyle w:val="PageNumber"/>
              <w:caps w:val="0"/>
            </w:rPr>
            <w:fldChar w:fldCharType="end"/>
          </w:r>
        </w:p>
      </w:tc>
      <w:tc>
        <w:tcPr>
          <w:tcW w:w="7767" w:type="dxa"/>
        </w:tcPr>
        <w:p w:rsidR="003D2936" w:rsidRPr="0013739A" w:rsidRDefault="00216E4F" w:rsidP="00271B0C">
          <w:pPr>
            <w:pStyle w:val="Footer"/>
            <w:rPr>
              <w:rFonts w:cs="Arial"/>
            </w:rPr>
          </w:pPr>
          <w:r>
            <w:rPr>
              <w:rFonts w:cs="Arial"/>
            </w:rPr>
            <w:t>Intellectual Property Arrangements</w:t>
          </w:r>
        </w:p>
      </w:tc>
      <w:tc>
        <w:tcPr>
          <w:tcW w:w="510" w:type="dxa"/>
        </w:tcPr>
        <w:p w:rsidR="003D2936" w:rsidRDefault="003D2936" w:rsidP="003D2936">
          <w:pPr>
            <w:pStyle w:val="Footer"/>
          </w:pPr>
        </w:p>
      </w:tc>
    </w:tr>
  </w:tbl>
  <w:p w:rsidR="003D2936" w:rsidRDefault="003D2936" w:rsidP="003D2936">
    <w:pPr>
      <w:pStyle w:val="FooterEnd"/>
    </w:pPr>
  </w:p>
  <w:p w:rsidR="003D2936" w:rsidRDefault="003D2936">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D2936" w:rsidTr="003D2936">
      <w:trPr>
        <w:trHeight w:hRule="exact" w:val="567"/>
      </w:trPr>
      <w:tc>
        <w:tcPr>
          <w:tcW w:w="510" w:type="dxa"/>
        </w:tcPr>
        <w:p w:rsidR="003D2936" w:rsidRDefault="003D2936">
          <w:pPr>
            <w:pStyle w:val="Footer"/>
            <w:ind w:right="360" w:firstLine="360"/>
          </w:pPr>
        </w:p>
      </w:tc>
      <w:tc>
        <w:tcPr>
          <w:tcW w:w="7767" w:type="dxa"/>
        </w:tcPr>
        <w:p w:rsidR="003D2936" w:rsidRPr="00340511" w:rsidRDefault="002859B2" w:rsidP="00340511">
          <w:pPr>
            <w:pStyle w:val="Footer"/>
            <w:jc w:val="right"/>
            <w:rPr>
              <w:rFonts w:cs="Arial"/>
            </w:rPr>
          </w:pPr>
          <w:r w:rsidRPr="002859B2">
            <w:rPr>
              <w:bCs/>
              <w:noProof/>
              <w:lang w:val="en-US"/>
            </w:rPr>
            <w:t>Abbreviations</w:t>
          </w:r>
        </w:p>
      </w:tc>
      <w:tc>
        <w:tcPr>
          <w:tcW w:w="510" w:type="dxa"/>
        </w:tcPr>
        <w:p w:rsidR="003D2936" w:rsidRPr="00A24443" w:rsidRDefault="003D293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259B1">
            <w:rPr>
              <w:rStyle w:val="PageNumber"/>
              <w:caps w:val="0"/>
              <w:noProof/>
            </w:rPr>
            <w:t>xiii</w:t>
          </w:r>
          <w:r w:rsidRPr="00A24443">
            <w:rPr>
              <w:rStyle w:val="PageNumber"/>
              <w:caps w:val="0"/>
            </w:rPr>
            <w:fldChar w:fldCharType="end"/>
          </w:r>
        </w:p>
      </w:tc>
    </w:tr>
  </w:tbl>
  <w:p w:rsidR="003D2936" w:rsidRDefault="003D2936">
    <w:pPr>
      <w:pStyle w:val="FooterEnd"/>
    </w:pPr>
  </w:p>
  <w:p w:rsidR="003D2936" w:rsidRDefault="003D2936"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936" w:rsidRDefault="003D2936">
      <w:r>
        <w:separator/>
      </w:r>
    </w:p>
    <w:p w:rsidR="003D2936" w:rsidRDefault="003D2936"/>
    <w:p w:rsidR="003D2936" w:rsidRDefault="003D2936"/>
  </w:footnote>
  <w:footnote w:type="continuationSeparator" w:id="0">
    <w:p w:rsidR="003D2936" w:rsidRDefault="003D2936">
      <w:r>
        <w:continuationSeparator/>
      </w:r>
    </w:p>
    <w:p w:rsidR="003D2936" w:rsidRDefault="003D2936"/>
    <w:p w:rsidR="003D2936" w:rsidRDefault="003D29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D2936">
      <w:tc>
        <w:tcPr>
          <w:tcW w:w="2155" w:type="dxa"/>
          <w:tcBorders>
            <w:top w:val="single" w:sz="24" w:space="0" w:color="auto"/>
          </w:tcBorders>
        </w:tcPr>
        <w:p w:rsidR="003D2936" w:rsidRDefault="003D2936">
          <w:pPr>
            <w:pStyle w:val="Header"/>
          </w:pPr>
        </w:p>
      </w:tc>
      <w:tc>
        <w:tcPr>
          <w:tcW w:w="6634" w:type="dxa"/>
          <w:tcBorders>
            <w:top w:val="single" w:sz="6" w:space="0" w:color="auto"/>
          </w:tcBorders>
        </w:tcPr>
        <w:p w:rsidR="003D2936" w:rsidRDefault="003D2936">
          <w:pPr>
            <w:pStyle w:val="Header"/>
          </w:pPr>
        </w:p>
      </w:tc>
    </w:tr>
  </w:tbl>
  <w:p w:rsidR="003D2936" w:rsidRDefault="003D293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2936">
      <w:tc>
        <w:tcPr>
          <w:tcW w:w="6634" w:type="dxa"/>
          <w:tcBorders>
            <w:top w:val="single" w:sz="6" w:space="0" w:color="auto"/>
          </w:tcBorders>
        </w:tcPr>
        <w:p w:rsidR="003D2936" w:rsidRDefault="003D2936" w:rsidP="003D2936">
          <w:pPr>
            <w:pStyle w:val="HeaderOdd"/>
          </w:pPr>
        </w:p>
      </w:tc>
      <w:tc>
        <w:tcPr>
          <w:tcW w:w="2155" w:type="dxa"/>
          <w:tcBorders>
            <w:top w:val="single" w:sz="24" w:space="0" w:color="auto"/>
          </w:tcBorders>
        </w:tcPr>
        <w:p w:rsidR="003D2936" w:rsidRDefault="003D2936" w:rsidP="003D2936">
          <w:pPr>
            <w:pStyle w:val="HeaderOdd"/>
          </w:pPr>
        </w:p>
      </w:tc>
    </w:tr>
  </w:tbl>
  <w:p w:rsidR="003D2936" w:rsidRDefault="003D2936" w:rsidP="003D2936">
    <w:pPr>
      <w:pStyle w:val="HeaderEnd"/>
    </w:pPr>
  </w:p>
  <w:p w:rsidR="003D2936" w:rsidRPr="00D01645" w:rsidRDefault="003D2936" w:rsidP="003D293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D2936">
      <w:tc>
        <w:tcPr>
          <w:tcW w:w="2155" w:type="dxa"/>
          <w:tcBorders>
            <w:top w:val="single" w:sz="24" w:space="0" w:color="auto"/>
          </w:tcBorders>
        </w:tcPr>
        <w:p w:rsidR="003D2936" w:rsidRDefault="003D2936">
          <w:pPr>
            <w:pStyle w:val="Header"/>
          </w:pPr>
        </w:p>
      </w:tc>
      <w:tc>
        <w:tcPr>
          <w:tcW w:w="6634" w:type="dxa"/>
          <w:tcBorders>
            <w:top w:val="single" w:sz="6" w:space="0" w:color="auto"/>
          </w:tcBorders>
        </w:tcPr>
        <w:p w:rsidR="003D2936" w:rsidRDefault="003D2936">
          <w:pPr>
            <w:pStyle w:val="Header"/>
          </w:pPr>
        </w:p>
      </w:tc>
    </w:tr>
  </w:tbl>
  <w:p w:rsidR="003D2936" w:rsidRDefault="003D2936">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2936" w:rsidTr="005C68FE">
      <w:tc>
        <w:tcPr>
          <w:tcW w:w="6634" w:type="dxa"/>
          <w:tcBorders>
            <w:top w:val="single" w:sz="6" w:space="0" w:color="auto"/>
          </w:tcBorders>
        </w:tcPr>
        <w:p w:rsidR="003D2936" w:rsidRDefault="003D2936" w:rsidP="005C68FE">
          <w:pPr>
            <w:pStyle w:val="HeaderOdd"/>
          </w:pPr>
        </w:p>
      </w:tc>
      <w:tc>
        <w:tcPr>
          <w:tcW w:w="2155" w:type="dxa"/>
          <w:tcBorders>
            <w:top w:val="single" w:sz="24" w:space="0" w:color="auto"/>
          </w:tcBorders>
        </w:tcPr>
        <w:p w:rsidR="003D2936" w:rsidRDefault="003D2936" w:rsidP="005C68FE">
          <w:pPr>
            <w:pStyle w:val="HeaderOdd"/>
          </w:pPr>
        </w:p>
      </w:tc>
    </w:tr>
  </w:tbl>
  <w:p w:rsidR="003D2936" w:rsidRPr="005C68FE" w:rsidRDefault="003D2936"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2936">
      <w:tc>
        <w:tcPr>
          <w:tcW w:w="2155" w:type="dxa"/>
          <w:tcBorders>
            <w:top w:val="single" w:sz="24" w:space="0" w:color="auto"/>
          </w:tcBorders>
        </w:tcPr>
        <w:p w:rsidR="003D2936" w:rsidRDefault="003D2936">
          <w:pPr>
            <w:pStyle w:val="HeaderEven"/>
          </w:pPr>
        </w:p>
      </w:tc>
      <w:tc>
        <w:tcPr>
          <w:tcW w:w="6634" w:type="dxa"/>
          <w:tcBorders>
            <w:top w:val="single" w:sz="6" w:space="0" w:color="auto"/>
          </w:tcBorders>
        </w:tcPr>
        <w:p w:rsidR="003D2936" w:rsidRDefault="003D2936">
          <w:pPr>
            <w:pStyle w:val="HeaderEven"/>
          </w:pPr>
        </w:p>
      </w:tc>
    </w:tr>
  </w:tbl>
  <w:p w:rsidR="003D2936" w:rsidRDefault="003D2936">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2936">
      <w:tc>
        <w:tcPr>
          <w:tcW w:w="6634" w:type="dxa"/>
          <w:tcBorders>
            <w:top w:val="single" w:sz="6" w:space="0" w:color="auto"/>
          </w:tcBorders>
        </w:tcPr>
        <w:p w:rsidR="003D2936" w:rsidRDefault="003D2936">
          <w:pPr>
            <w:pStyle w:val="HeaderOdd"/>
          </w:pPr>
        </w:p>
      </w:tc>
      <w:tc>
        <w:tcPr>
          <w:tcW w:w="2155" w:type="dxa"/>
          <w:tcBorders>
            <w:top w:val="single" w:sz="24" w:space="0" w:color="auto"/>
            <w:bottom w:val="nil"/>
          </w:tcBorders>
        </w:tcPr>
        <w:p w:rsidR="003D2936" w:rsidRDefault="003D2936">
          <w:pPr>
            <w:pStyle w:val="HeaderOdd"/>
          </w:pPr>
        </w:p>
      </w:tc>
    </w:tr>
  </w:tbl>
  <w:p w:rsidR="003D2936" w:rsidRDefault="003D2936">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2936" w:rsidTr="005C68FE">
      <w:tc>
        <w:tcPr>
          <w:tcW w:w="2155" w:type="dxa"/>
          <w:tcBorders>
            <w:top w:val="single" w:sz="24" w:space="0" w:color="auto"/>
          </w:tcBorders>
        </w:tcPr>
        <w:p w:rsidR="003D2936" w:rsidRDefault="003D2936" w:rsidP="005C68FE">
          <w:pPr>
            <w:pStyle w:val="HeaderEven"/>
          </w:pPr>
        </w:p>
      </w:tc>
      <w:tc>
        <w:tcPr>
          <w:tcW w:w="6634" w:type="dxa"/>
          <w:tcBorders>
            <w:top w:val="single" w:sz="6" w:space="0" w:color="auto"/>
          </w:tcBorders>
        </w:tcPr>
        <w:p w:rsidR="003D2936" w:rsidRDefault="003D2936" w:rsidP="005C68FE">
          <w:pPr>
            <w:pStyle w:val="HeaderEven"/>
          </w:pPr>
        </w:p>
      </w:tc>
    </w:tr>
  </w:tbl>
  <w:p w:rsidR="003D2936" w:rsidRDefault="003D2936"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2936">
      <w:tc>
        <w:tcPr>
          <w:tcW w:w="6634" w:type="dxa"/>
          <w:tcBorders>
            <w:top w:val="single" w:sz="6" w:space="0" w:color="auto"/>
          </w:tcBorders>
        </w:tcPr>
        <w:p w:rsidR="003D2936" w:rsidRDefault="003D2936">
          <w:pPr>
            <w:pStyle w:val="HeaderOdd"/>
          </w:pPr>
        </w:p>
      </w:tc>
      <w:tc>
        <w:tcPr>
          <w:tcW w:w="2155" w:type="dxa"/>
          <w:tcBorders>
            <w:top w:val="single" w:sz="24" w:space="0" w:color="auto"/>
          </w:tcBorders>
        </w:tcPr>
        <w:p w:rsidR="003D2936" w:rsidRDefault="003D2936">
          <w:pPr>
            <w:pStyle w:val="HeaderOdd"/>
          </w:pPr>
        </w:p>
      </w:tc>
    </w:tr>
  </w:tbl>
  <w:p w:rsidR="003D2936" w:rsidRDefault="003D2936"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81A"/>
    <w:rsid w:val="00017AFC"/>
    <w:rsid w:val="00025878"/>
    <w:rsid w:val="00026B38"/>
    <w:rsid w:val="000502D3"/>
    <w:rsid w:val="00052CB2"/>
    <w:rsid w:val="000623BF"/>
    <w:rsid w:val="000779EB"/>
    <w:rsid w:val="00095EEA"/>
    <w:rsid w:val="00097C15"/>
    <w:rsid w:val="000A0A0E"/>
    <w:rsid w:val="000A210F"/>
    <w:rsid w:val="000A5E12"/>
    <w:rsid w:val="000B416E"/>
    <w:rsid w:val="000B78B0"/>
    <w:rsid w:val="000F185F"/>
    <w:rsid w:val="000F2F5F"/>
    <w:rsid w:val="00106041"/>
    <w:rsid w:val="0010611E"/>
    <w:rsid w:val="00122FE9"/>
    <w:rsid w:val="00131572"/>
    <w:rsid w:val="00131D4F"/>
    <w:rsid w:val="0013399B"/>
    <w:rsid w:val="00180515"/>
    <w:rsid w:val="001809D4"/>
    <w:rsid w:val="00181F4B"/>
    <w:rsid w:val="00190919"/>
    <w:rsid w:val="00196FB3"/>
    <w:rsid w:val="001A5071"/>
    <w:rsid w:val="001B4E73"/>
    <w:rsid w:val="001B7F1E"/>
    <w:rsid w:val="001D4B1F"/>
    <w:rsid w:val="001D6629"/>
    <w:rsid w:val="001E3390"/>
    <w:rsid w:val="001F1BD3"/>
    <w:rsid w:val="001F2270"/>
    <w:rsid w:val="001F237B"/>
    <w:rsid w:val="00203B40"/>
    <w:rsid w:val="00205A82"/>
    <w:rsid w:val="00211BEE"/>
    <w:rsid w:val="00216E4F"/>
    <w:rsid w:val="002179C6"/>
    <w:rsid w:val="00261607"/>
    <w:rsid w:val="00263DD1"/>
    <w:rsid w:val="00264D3B"/>
    <w:rsid w:val="00265685"/>
    <w:rsid w:val="00271B0C"/>
    <w:rsid w:val="00281D5F"/>
    <w:rsid w:val="002859B2"/>
    <w:rsid w:val="002923AD"/>
    <w:rsid w:val="00296592"/>
    <w:rsid w:val="002A0A4B"/>
    <w:rsid w:val="002A499E"/>
    <w:rsid w:val="002A7073"/>
    <w:rsid w:val="002B636E"/>
    <w:rsid w:val="002B64D6"/>
    <w:rsid w:val="002C12F5"/>
    <w:rsid w:val="002D5D18"/>
    <w:rsid w:val="002D6FCE"/>
    <w:rsid w:val="00307878"/>
    <w:rsid w:val="00340511"/>
    <w:rsid w:val="00340D24"/>
    <w:rsid w:val="00376F05"/>
    <w:rsid w:val="0038647D"/>
    <w:rsid w:val="00387778"/>
    <w:rsid w:val="00393A49"/>
    <w:rsid w:val="003B41E0"/>
    <w:rsid w:val="003C3D73"/>
    <w:rsid w:val="003D2936"/>
    <w:rsid w:val="003D624D"/>
    <w:rsid w:val="003E7802"/>
    <w:rsid w:val="0042007A"/>
    <w:rsid w:val="004331AC"/>
    <w:rsid w:val="00433C81"/>
    <w:rsid w:val="00443B7D"/>
    <w:rsid w:val="00446D6B"/>
    <w:rsid w:val="004479A5"/>
    <w:rsid w:val="00457B3F"/>
    <w:rsid w:val="00463022"/>
    <w:rsid w:val="00481CF0"/>
    <w:rsid w:val="004A3E6B"/>
    <w:rsid w:val="004B492A"/>
    <w:rsid w:val="004C0B0C"/>
    <w:rsid w:val="004C4078"/>
    <w:rsid w:val="004D3F58"/>
    <w:rsid w:val="004E161B"/>
    <w:rsid w:val="004E52E2"/>
    <w:rsid w:val="004E6BB4"/>
    <w:rsid w:val="004E7D3C"/>
    <w:rsid w:val="0051081A"/>
    <w:rsid w:val="00515D43"/>
    <w:rsid w:val="0052544D"/>
    <w:rsid w:val="00526B19"/>
    <w:rsid w:val="00551FB8"/>
    <w:rsid w:val="005537F6"/>
    <w:rsid w:val="00560F43"/>
    <w:rsid w:val="005654D0"/>
    <w:rsid w:val="00585B3F"/>
    <w:rsid w:val="005B17AB"/>
    <w:rsid w:val="005C68FE"/>
    <w:rsid w:val="005F24B3"/>
    <w:rsid w:val="005F7D30"/>
    <w:rsid w:val="00602523"/>
    <w:rsid w:val="006040CB"/>
    <w:rsid w:val="00604351"/>
    <w:rsid w:val="00607C0D"/>
    <w:rsid w:val="00607D8A"/>
    <w:rsid w:val="0061590F"/>
    <w:rsid w:val="00636497"/>
    <w:rsid w:val="00641AE2"/>
    <w:rsid w:val="0064456A"/>
    <w:rsid w:val="00650DDA"/>
    <w:rsid w:val="0065126A"/>
    <w:rsid w:val="00653FA6"/>
    <w:rsid w:val="0067557D"/>
    <w:rsid w:val="006802D4"/>
    <w:rsid w:val="00683849"/>
    <w:rsid w:val="00691AB5"/>
    <w:rsid w:val="006E1E6B"/>
    <w:rsid w:val="006E6AB7"/>
    <w:rsid w:val="006F0EAC"/>
    <w:rsid w:val="006F47D2"/>
    <w:rsid w:val="006F6A85"/>
    <w:rsid w:val="0070328D"/>
    <w:rsid w:val="00723653"/>
    <w:rsid w:val="00731F96"/>
    <w:rsid w:val="00734127"/>
    <w:rsid w:val="00735FEA"/>
    <w:rsid w:val="00743460"/>
    <w:rsid w:val="00743A27"/>
    <w:rsid w:val="007448F7"/>
    <w:rsid w:val="00753DC6"/>
    <w:rsid w:val="0075578C"/>
    <w:rsid w:val="00766DFB"/>
    <w:rsid w:val="00767BA0"/>
    <w:rsid w:val="007734B5"/>
    <w:rsid w:val="00775FA7"/>
    <w:rsid w:val="007809B8"/>
    <w:rsid w:val="007813A6"/>
    <w:rsid w:val="007A6998"/>
    <w:rsid w:val="00805FD7"/>
    <w:rsid w:val="00806E54"/>
    <w:rsid w:val="008070B4"/>
    <w:rsid w:val="008206EE"/>
    <w:rsid w:val="008214B1"/>
    <w:rsid w:val="008273A9"/>
    <w:rsid w:val="00836ED7"/>
    <w:rsid w:val="0084355E"/>
    <w:rsid w:val="008453AC"/>
    <w:rsid w:val="00860D09"/>
    <w:rsid w:val="00862044"/>
    <w:rsid w:val="00870021"/>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77291"/>
    <w:rsid w:val="0098401D"/>
    <w:rsid w:val="009A789F"/>
    <w:rsid w:val="009B12EF"/>
    <w:rsid w:val="009B48F7"/>
    <w:rsid w:val="009B6185"/>
    <w:rsid w:val="009C6C6D"/>
    <w:rsid w:val="009E1E78"/>
    <w:rsid w:val="00A1597D"/>
    <w:rsid w:val="00A46989"/>
    <w:rsid w:val="00A469AA"/>
    <w:rsid w:val="00A51209"/>
    <w:rsid w:val="00A653F1"/>
    <w:rsid w:val="00A71CE9"/>
    <w:rsid w:val="00A72A19"/>
    <w:rsid w:val="00A75A30"/>
    <w:rsid w:val="00A93C82"/>
    <w:rsid w:val="00AB2A48"/>
    <w:rsid w:val="00AC0D20"/>
    <w:rsid w:val="00AC3236"/>
    <w:rsid w:val="00AD4874"/>
    <w:rsid w:val="00AE1F8A"/>
    <w:rsid w:val="00B036B2"/>
    <w:rsid w:val="00B04D19"/>
    <w:rsid w:val="00B153C3"/>
    <w:rsid w:val="00B22087"/>
    <w:rsid w:val="00B32F12"/>
    <w:rsid w:val="00B409A7"/>
    <w:rsid w:val="00B722F2"/>
    <w:rsid w:val="00B80355"/>
    <w:rsid w:val="00B90958"/>
    <w:rsid w:val="00B95339"/>
    <w:rsid w:val="00BA0B81"/>
    <w:rsid w:val="00BA311E"/>
    <w:rsid w:val="00BB334E"/>
    <w:rsid w:val="00BB5DCF"/>
    <w:rsid w:val="00BC2476"/>
    <w:rsid w:val="00BF59EA"/>
    <w:rsid w:val="00BF79CD"/>
    <w:rsid w:val="00C058AB"/>
    <w:rsid w:val="00C0721B"/>
    <w:rsid w:val="00C34C8C"/>
    <w:rsid w:val="00C419CE"/>
    <w:rsid w:val="00C47E21"/>
    <w:rsid w:val="00C50792"/>
    <w:rsid w:val="00C51371"/>
    <w:rsid w:val="00C51ECC"/>
    <w:rsid w:val="00C55A45"/>
    <w:rsid w:val="00C56974"/>
    <w:rsid w:val="00C670DE"/>
    <w:rsid w:val="00C83C7F"/>
    <w:rsid w:val="00C904D9"/>
    <w:rsid w:val="00C94C06"/>
    <w:rsid w:val="00CA1D79"/>
    <w:rsid w:val="00CA48BF"/>
    <w:rsid w:val="00CA5A29"/>
    <w:rsid w:val="00CB3ACC"/>
    <w:rsid w:val="00CB4745"/>
    <w:rsid w:val="00CD2163"/>
    <w:rsid w:val="00CD4FE7"/>
    <w:rsid w:val="00CD5E6B"/>
    <w:rsid w:val="00CE3B73"/>
    <w:rsid w:val="00CE4FBC"/>
    <w:rsid w:val="00CE5D96"/>
    <w:rsid w:val="00CE7344"/>
    <w:rsid w:val="00CF26EE"/>
    <w:rsid w:val="00D310F0"/>
    <w:rsid w:val="00D37AC2"/>
    <w:rsid w:val="00D4283C"/>
    <w:rsid w:val="00D45013"/>
    <w:rsid w:val="00D500A9"/>
    <w:rsid w:val="00D61180"/>
    <w:rsid w:val="00D64121"/>
    <w:rsid w:val="00D67119"/>
    <w:rsid w:val="00D732FE"/>
    <w:rsid w:val="00D74E25"/>
    <w:rsid w:val="00D772E9"/>
    <w:rsid w:val="00D82E10"/>
    <w:rsid w:val="00D969AE"/>
    <w:rsid w:val="00DA31AB"/>
    <w:rsid w:val="00DA3281"/>
    <w:rsid w:val="00DA6D3E"/>
    <w:rsid w:val="00DA719F"/>
    <w:rsid w:val="00DC02E8"/>
    <w:rsid w:val="00DC75C7"/>
    <w:rsid w:val="00DC78D3"/>
    <w:rsid w:val="00DD1077"/>
    <w:rsid w:val="00DF00FE"/>
    <w:rsid w:val="00DF4592"/>
    <w:rsid w:val="00E15FDC"/>
    <w:rsid w:val="00E259B1"/>
    <w:rsid w:val="00E2651B"/>
    <w:rsid w:val="00E30DDB"/>
    <w:rsid w:val="00E53044"/>
    <w:rsid w:val="00E64867"/>
    <w:rsid w:val="00E6632E"/>
    <w:rsid w:val="00E72BAB"/>
    <w:rsid w:val="00E90B4B"/>
    <w:rsid w:val="00E90CF2"/>
    <w:rsid w:val="00EC38C1"/>
    <w:rsid w:val="00EC628B"/>
    <w:rsid w:val="00ED0F61"/>
    <w:rsid w:val="00EE3F6D"/>
    <w:rsid w:val="00EE73E1"/>
    <w:rsid w:val="00F12107"/>
    <w:rsid w:val="00F13165"/>
    <w:rsid w:val="00F13263"/>
    <w:rsid w:val="00F4234E"/>
    <w:rsid w:val="00F4491A"/>
    <w:rsid w:val="00F61429"/>
    <w:rsid w:val="00F7477E"/>
    <w:rsid w:val="00F85393"/>
    <w:rsid w:val="00FA4A24"/>
    <w:rsid w:val="00FC41B4"/>
    <w:rsid w:val="00FC5A6B"/>
    <w:rsid w:val="00FD06C0"/>
    <w:rsid w:val="00FD4728"/>
    <w:rsid w:val="00FD741A"/>
    <w:rsid w:val="00FE69D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0B4B"/>
    <w:pPr>
      <w:spacing w:before="480"/>
    </w:pPr>
    <w:rPr>
      <w:noProof/>
      <w:sz w:val="24"/>
      <w:lang w:eastAsia="en-AU"/>
    </w:rPr>
  </w:style>
  <w:style w:type="character" w:customStyle="1" w:styleId="SalutationChar">
    <w:name w:val="Salutation Char"/>
    <w:basedOn w:val="DefaultParagraphFont"/>
    <w:link w:val="Salutation"/>
    <w:rsid w:val="00E90B4B"/>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0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1081A"/>
    <w:rPr>
      <w:kern w:val="28"/>
      <w:sz w:val="52"/>
      <w:lang w:eastAsia="en-US"/>
    </w:rPr>
  </w:style>
  <w:style w:type="paragraph" w:styleId="CommentSubject">
    <w:name w:val="annotation subject"/>
    <w:basedOn w:val="CommentText"/>
    <w:next w:val="CommentText"/>
    <w:link w:val="CommentSubjectChar"/>
    <w:rsid w:val="00A51209"/>
    <w:pPr>
      <w:spacing w:before="0" w:line="240" w:lineRule="auto"/>
      <w:ind w:left="0" w:firstLine="0"/>
    </w:pPr>
    <w:rPr>
      <w:b/>
      <w:bCs/>
    </w:rPr>
  </w:style>
  <w:style w:type="character" w:customStyle="1" w:styleId="CommentTextChar">
    <w:name w:val="Comment Text Char"/>
    <w:basedOn w:val="DefaultParagraphFont"/>
    <w:link w:val="CommentText"/>
    <w:semiHidden/>
    <w:rsid w:val="00A51209"/>
    <w:rPr>
      <w:lang w:eastAsia="en-US"/>
    </w:rPr>
  </w:style>
  <w:style w:type="character" w:customStyle="1" w:styleId="CommentSubjectChar">
    <w:name w:val="Comment Subject Char"/>
    <w:basedOn w:val="CommentTextChar"/>
    <w:link w:val="CommentSubject"/>
    <w:rsid w:val="00A5120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0B4B"/>
    <w:pPr>
      <w:spacing w:before="480"/>
    </w:pPr>
    <w:rPr>
      <w:noProof/>
      <w:sz w:val="24"/>
      <w:lang w:eastAsia="en-AU"/>
    </w:rPr>
  </w:style>
  <w:style w:type="character" w:customStyle="1" w:styleId="SalutationChar">
    <w:name w:val="Salutation Char"/>
    <w:basedOn w:val="DefaultParagraphFont"/>
    <w:link w:val="Salutation"/>
    <w:rsid w:val="00E90B4B"/>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0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1081A"/>
    <w:rPr>
      <w:kern w:val="28"/>
      <w:sz w:val="52"/>
      <w:lang w:eastAsia="en-US"/>
    </w:rPr>
  </w:style>
  <w:style w:type="paragraph" w:styleId="CommentSubject">
    <w:name w:val="annotation subject"/>
    <w:basedOn w:val="CommentText"/>
    <w:next w:val="CommentText"/>
    <w:link w:val="CommentSubjectChar"/>
    <w:rsid w:val="00A51209"/>
    <w:pPr>
      <w:spacing w:before="0" w:line="240" w:lineRule="auto"/>
      <w:ind w:left="0" w:firstLine="0"/>
    </w:pPr>
    <w:rPr>
      <w:b/>
      <w:bCs/>
    </w:rPr>
  </w:style>
  <w:style w:type="character" w:customStyle="1" w:styleId="CommentTextChar">
    <w:name w:val="Comment Text Char"/>
    <w:basedOn w:val="DefaultParagraphFont"/>
    <w:link w:val="CommentText"/>
    <w:semiHidden/>
    <w:rsid w:val="00A51209"/>
    <w:rPr>
      <w:lang w:eastAsia="en-US"/>
    </w:rPr>
  </w:style>
  <w:style w:type="character" w:customStyle="1" w:styleId="CommentSubjectChar">
    <w:name w:val="Comment Subject Char"/>
    <w:basedOn w:val="CommentTextChar"/>
    <w:link w:val="CommentSubject"/>
    <w:rsid w:val="00A5120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E20B561-9201-4AB7-BD89-C9A69E481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152</TotalTime>
  <Pages>13</Pages>
  <Words>2265</Words>
  <Characters>13205</Characters>
  <Application>Microsoft Office Word</Application>
  <DocSecurity>0</DocSecurity>
  <Lines>249</Lines>
  <Paragraphs>103</Paragraphs>
  <ScaleCrop>false</ScaleCrop>
  <HeadingPairs>
    <vt:vector size="2" baseType="variant">
      <vt:variant>
        <vt:lpstr>Title</vt:lpstr>
      </vt:variant>
      <vt:variant>
        <vt:i4>1</vt:i4>
      </vt:variant>
    </vt:vector>
  </HeadingPairs>
  <TitlesOfParts>
    <vt:vector size="1" baseType="lpstr">
      <vt:lpstr>Intellectual Property Arrangements - Inquiry report</vt:lpstr>
    </vt:vector>
  </TitlesOfParts>
  <Company>Productivity Commission</Company>
  <LinksUpToDate>false</LinksUpToDate>
  <CharactersWithSpaces>15367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Intellectual Property Arrangements - Inquiry report</dc:title>
  <dc:creator>Productivity Commission</dc:creator>
  <cp:lastModifiedBy>Michelle Cross</cp:lastModifiedBy>
  <cp:revision>14</cp:revision>
  <cp:lastPrinted>2016-12-19T04:39:00Z</cp:lastPrinted>
  <dcterms:created xsi:type="dcterms:W3CDTF">2016-09-21T23:36:00Z</dcterms:created>
  <dcterms:modified xsi:type="dcterms:W3CDTF">2016-12-19T06:02:00Z</dcterms:modified>
</cp:coreProperties>
</file>