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F95268" w:rsidP="00CD5E6B">
      <w:pPr>
        <w:pStyle w:val="BodyText"/>
        <w:rPr>
          <w:b/>
          <w:szCs w:val="26"/>
        </w:rPr>
      </w:pPr>
      <w:r>
        <w:rPr>
          <w:noProof/>
          <w:lang w:eastAsia="en-AU"/>
        </w:rPr>
        <w:drawing>
          <wp:anchor distT="0" distB="0" distL="114300" distR="114300" simplePos="0" relativeHeight="251658240" behindDoc="1" locked="0" layoutInCell="1" allowOverlap="1">
            <wp:simplePos x="1148316" y="1052623"/>
            <wp:positionH relativeFrom="page">
              <wp:align>center</wp:align>
            </wp:positionH>
            <wp:positionV relativeFrom="page">
              <wp:align>bottom</wp:align>
            </wp:positionV>
            <wp:extent cx="7560000" cy="10130400"/>
            <wp:effectExtent l="0" t="0" r="3175" b="4445"/>
            <wp:wrapNone/>
            <wp:docPr id="1" name="Picture 1" descr="Cover image for the Australian Government Productivity Commission research report titled 'Major Project Development Assessment Processes'. Published November 201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or-project-final-cover-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1304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bookmarkStart w:id="0" w:name="_GoBack"/>
      <w:bookmarkEnd w:id="0"/>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196FB4" w:rsidRPr="007809B8" w:rsidRDefault="00196FB4" w:rsidP="00196FB4">
      <w:pPr>
        <w:pStyle w:val="BodyText"/>
        <w:tabs>
          <w:tab w:val="left" w:pos="851"/>
        </w:tabs>
        <w:spacing w:before="200" w:after="120"/>
        <w:jc w:val="left"/>
        <w:rPr>
          <w:b/>
          <w:sz w:val="24"/>
        </w:rPr>
      </w:pPr>
      <w:bookmarkStart w:id="1" w:name="ISSN"/>
      <w:bookmarkEnd w:id="1"/>
      <w:r>
        <w:rPr>
          <w:b/>
          <w:sz w:val="24"/>
        </w:rPr>
        <w:t>ISBN</w:t>
      </w:r>
      <w:r>
        <w:rPr>
          <w:b/>
          <w:sz w:val="24"/>
        </w:rPr>
        <w:tab/>
        <w:t>978-1-74037-463-7</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196FB4" w:rsidRPr="00D769F2" w:rsidRDefault="00196FB4" w:rsidP="00196FB4">
      <w:pPr>
        <w:pStyle w:val="BodyText"/>
        <w:spacing w:before="160" w:after="120" w:line="240" w:lineRule="auto"/>
        <w:rPr>
          <w:sz w:val="24"/>
          <w:szCs w:val="24"/>
        </w:rPr>
      </w:pPr>
      <w:bookmarkStart w:id="2" w:name="JEL"/>
      <w:bookmarkEnd w:id="2"/>
      <w:r>
        <w:rPr>
          <w:sz w:val="24"/>
          <w:szCs w:val="24"/>
        </w:rPr>
        <w:t xml:space="preserve">Productivity Commission 2013, </w:t>
      </w:r>
      <w:r>
        <w:rPr>
          <w:i/>
          <w:sz w:val="24"/>
          <w:szCs w:val="24"/>
        </w:rPr>
        <w:t xml:space="preserve">Major Project Development Assessment Processes, </w:t>
      </w:r>
      <w:r w:rsidR="004D5E3F">
        <w:rPr>
          <w:sz w:val="24"/>
          <w:szCs w:val="24"/>
        </w:rPr>
        <w:t>Research</w:t>
      </w:r>
      <w:r>
        <w:rPr>
          <w:sz w:val="24"/>
          <w:szCs w:val="24"/>
        </w:rPr>
        <w:t xml:space="preserve"> Report, Canberra.</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196FB4" w:rsidRDefault="00196FB4">
      <w:pPr>
        <w:pStyle w:val="Heading1"/>
      </w:pPr>
      <w:bookmarkStart w:id="4" w:name="_Toc373140414"/>
      <w:r>
        <w:lastRenderedPageBreak/>
        <w:t>Foreword</w:t>
      </w:r>
      <w:bookmarkEnd w:id="4"/>
    </w:p>
    <w:p w:rsidR="009523B3" w:rsidRPr="009523B3" w:rsidRDefault="009523B3" w:rsidP="009523B3">
      <w:pPr>
        <w:pStyle w:val="BodyText"/>
        <w:spacing w:after="240"/>
        <w:rPr>
          <w:szCs w:val="26"/>
        </w:rPr>
      </w:pPr>
      <w:r w:rsidRPr="009523B3">
        <w:rPr>
          <w:szCs w:val="26"/>
        </w:rPr>
        <w:t>Major projects are a vital source of Australia</w:t>
      </w:r>
      <w:r w:rsidR="00C924C2">
        <w:rPr>
          <w:szCs w:val="26"/>
        </w:rPr>
        <w:t>’</w:t>
      </w:r>
      <w:r w:rsidRPr="009523B3">
        <w:rPr>
          <w:szCs w:val="26"/>
        </w:rPr>
        <w:t>s future prosperity. They lift national income, create employment opportunities, raise productivity and generate revenue for governments. However, they can also have negative impacts on community amenity, the environment, public health and our heritage assets. Australian governments regulate major projects through development assessment and approvals processes to promote an appropriate balance between economic and other impacts on a community</w:t>
      </w:r>
      <w:r w:rsidR="00C924C2">
        <w:rPr>
          <w:szCs w:val="26"/>
        </w:rPr>
        <w:t>’</w:t>
      </w:r>
      <w:r w:rsidRPr="009523B3">
        <w:rPr>
          <w:szCs w:val="26"/>
        </w:rPr>
        <w:t>s wellbeing.</w:t>
      </w:r>
    </w:p>
    <w:p w:rsidR="009523B3" w:rsidRPr="009523B3" w:rsidRDefault="009523B3" w:rsidP="009523B3">
      <w:pPr>
        <w:pStyle w:val="BodyText"/>
        <w:spacing w:after="240"/>
        <w:rPr>
          <w:szCs w:val="26"/>
        </w:rPr>
      </w:pPr>
      <w:r w:rsidRPr="009523B3">
        <w:rPr>
          <w:szCs w:val="26"/>
        </w:rPr>
        <w:t>In this study the Commission has been asked to review and benchmark assessment and approval processes for major projects in Australian jurisdictions. Our study has found that there is substantial scope, without relaxing the stringency of regulations, to improve their efficiency so that regulatory goals are achieved at a lower cost to both proponents and communities.</w:t>
      </w:r>
    </w:p>
    <w:p w:rsidR="009523B3" w:rsidRPr="009523B3" w:rsidRDefault="009523B3" w:rsidP="009523B3">
      <w:pPr>
        <w:pStyle w:val="BodyText"/>
        <w:spacing w:after="240"/>
        <w:rPr>
          <w:szCs w:val="26"/>
        </w:rPr>
      </w:pPr>
      <w:r w:rsidRPr="009523B3">
        <w:rPr>
          <w:szCs w:val="26"/>
        </w:rPr>
        <w:t>The study was undertaken by a team in the Commission</w:t>
      </w:r>
      <w:r w:rsidR="00C924C2">
        <w:rPr>
          <w:szCs w:val="26"/>
        </w:rPr>
        <w:t>’</w:t>
      </w:r>
      <w:r w:rsidRPr="009523B3">
        <w:rPr>
          <w:szCs w:val="26"/>
        </w:rPr>
        <w:t>s Melbourne office, led by Phillip Chindamo. The study has benefited from discussions and submissions from many stakeholders in the government and business sectors and from diverse peak bodies and community groups. The international insights drawn from practices in Canada, the United States of America, the United Kingdom and New Zealand were informed by our conversations with regulators, proponents and experts in these countries. We are very grateful to all those who have given their time and shared their experiences and expertise with the Commission.</w:t>
      </w:r>
    </w:p>
    <w:p w:rsidR="006206A6" w:rsidRDefault="006206A6" w:rsidP="006206A6">
      <w:pPr>
        <w:pStyle w:val="BodyText"/>
        <w:spacing w:after="240"/>
        <w:rPr>
          <w:szCs w:val="26"/>
        </w:rPr>
      </w:pPr>
    </w:p>
    <w:p w:rsidR="009523B3" w:rsidRDefault="009523B3" w:rsidP="006206A6">
      <w:pPr>
        <w:pStyle w:val="BodyText"/>
        <w:spacing w:after="240"/>
        <w:rPr>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6206A6" w:rsidTr="000F1DBC">
        <w:trPr>
          <w:tblHeader/>
        </w:trPr>
        <w:tc>
          <w:tcPr>
            <w:tcW w:w="4621" w:type="dxa"/>
          </w:tcPr>
          <w:p w:rsidR="006206A6" w:rsidRPr="009523B3" w:rsidRDefault="006206A6" w:rsidP="0087483A">
            <w:pPr>
              <w:pStyle w:val="BodyText"/>
              <w:spacing w:before="0" w:line="240" w:lineRule="auto"/>
              <w:rPr>
                <w:rStyle w:val="BodyTextChar1"/>
                <w:rFonts w:ascii="Times New Roman" w:hAnsi="Times New Roman" w:cs="Times New Roman"/>
              </w:rPr>
            </w:pPr>
            <w:r w:rsidRPr="009523B3">
              <w:rPr>
                <w:rStyle w:val="BodyTextChar1"/>
                <w:rFonts w:ascii="Times New Roman" w:hAnsi="Times New Roman" w:cs="Times New Roman"/>
              </w:rPr>
              <w:t>Jonathan Coppel</w:t>
            </w:r>
          </w:p>
          <w:p w:rsidR="006206A6" w:rsidRPr="009523B3" w:rsidRDefault="006206A6" w:rsidP="0087483A">
            <w:pPr>
              <w:pStyle w:val="BodyText"/>
              <w:spacing w:before="0" w:line="240" w:lineRule="auto"/>
              <w:rPr>
                <w:rStyle w:val="BodyTextChar1"/>
                <w:rFonts w:ascii="Times New Roman" w:hAnsi="Times New Roman" w:cs="Times New Roman"/>
              </w:rPr>
            </w:pPr>
            <w:r w:rsidRPr="009523B3">
              <w:rPr>
                <w:rStyle w:val="BodyTextChar1"/>
                <w:rFonts w:ascii="Times New Roman" w:hAnsi="Times New Roman" w:cs="Times New Roman"/>
              </w:rPr>
              <w:t>Presiding Commissioner</w:t>
            </w:r>
          </w:p>
        </w:tc>
        <w:tc>
          <w:tcPr>
            <w:tcW w:w="4621" w:type="dxa"/>
          </w:tcPr>
          <w:p w:rsidR="006206A6" w:rsidRPr="009523B3" w:rsidRDefault="006206A6" w:rsidP="0087483A">
            <w:pPr>
              <w:pStyle w:val="BodyText"/>
              <w:spacing w:before="0" w:line="240" w:lineRule="auto"/>
              <w:rPr>
                <w:rStyle w:val="BodyTextChar1"/>
                <w:rFonts w:ascii="Times New Roman" w:hAnsi="Times New Roman" w:cs="Times New Roman"/>
              </w:rPr>
            </w:pPr>
            <w:r w:rsidRPr="009523B3">
              <w:rPr>
                <w:rStyle w:val="BodyTextChar1"/>
                <w:rFonts w:ascii="Times New Roman" w:hAnsi="Times New Roman" w:cs="Times New Roman"/>
              </w:rPr>
              <w:t>Dr Warren Mundy</w:t>
            </w:r>
          </w:p>
          <w:p w:rsidR="006206A6" w:rsidRPr="009523B3" w:rsidRDefault="006206A6" w:rsidP="0087483A">
            <w:pPr>
              <w:pStyle w:val="BodyText"/>
              <w:spacing w:before="0" w:line="240" w:lineRule="auto"/>
              <w:rPr>
                <w:rStyle w:val="BodyTextChar1"/>
                <w:rFonts w:ascii="Times New Roman" w:hAnsi="Times New Roman" w:cs="Times New Roman"/>
              </w:rPr>
            </w:pPr>
            <w:r w:rsidRPr="009523B3">
              <w:rPr>
                <w:rStyle w:val="BodyTextChar1"/>
                <w:rFonts w:ascii="Times New Roman" w:hAnsi="Times New Roman" w:cs="Times New Roman"/>
              </w:rPr>
              <w:t>Commissioner</w:t>
            </w:r>
          </w:p>
        </w:tc>
      </w:tr>
    </w:tbl>
    <w:p w:rsidR="009523B3" w:rsidRDefault="00CC359C">
      <w:pPr>
        <w:pStyle w:val="BodyText"/>
      </w:pPr>
      <w:r>
        <w:rPr>
          <w:rStyle w:val="BodyTextChar1"/>
        </w:rPr>
        <w:t>November</w:t>
      </w:r>
      <w:r w:rsidR="006206A6">
        <w:rPr>
          <w:rStyle w:val="BodyTextChar1"/>
        </w:rPr>
        <w:t xml:space="preserve"> 2013</w:t>
      </w:r>
    </w:p>
    <w:p w:rsidR="006206A6" w:rsidRDefault="006206A6">
      <w:pPr>
        <w:pStyle w:val="BodyText"/>
        <w:sectPr w:rsidR="006206A6" w:rsidSect="006206A6">
          <w:headerReference w:type="even" r:id="rId10"/>
          <w:headerReference w:type="default" r:id="rId11"/>
          <w:footerReference w:type="even" r:id="rId12"/>
          <w:footerReference w:type="default" r:id="rId13"/>
          <w:pgSz w:w="11906" w:h="16838" w:code="9"/>
          <w:pgMar w:top="1985" w:right="1304" w:bottom="1276" w:left="1814" w:header="1701" w:footer="567" w:gutter="0"/>
          <w:pgNumType w:fmt="lowerRoman"/>
          <w:cols w:space="708"/>
          <w:docGrid w:linePitch="360"/>
        </w:sectPr>
      </w:pPr>
    </w:p>
    <w:p w:rsidR="00196FB4" w:rsidRDefault="00196FB4" w:rsidP="00196FB4">
      <w:pPr>
        <w:pStyle w:val="Heading1"/>
      </w:pPr>
      <w:bookmarkStart w:id="5" w:name="_Toc373140415"/>
      <w:r>
        <w:lastRenderedPageBreak/>
        <w:t>Terms of reference</w:t>
      </w:r>
      <w:bookmarkEnd w:id="5"/>
    </w:p>
    <w:p w:rsidR="00196FB4" w:rsidRPr="00AD04B2" w:rsidRDefault="00196FB4" w:rsidP="00196FB4">
      <w:pPr>
        <w:pStyle w:val="BodyText"/>
        <w:jc w:val="center"/>
      </w:pPr>
      <w:r w:rsidRPr="00AD04B2">
        <w:t>STUDY TO BENCHMARK AUSTRALIA</w:t>
      </w:r>
      <w:r>
        <w:t>’</w:t>
      </w:r>
      <w:r w:rsidRPr="00AD04B2">
        <w:t>S MAJOR PROJECT DEVELOPMENT ASSESSMENT PROCESSES</w:t>
      </w:r>
    </w:p>
    <w:p w:rsidR="00196FB4" w:rsidRPr="00AD04B2" w:rsidRDefault="00196FB4" w:rsidP="00196FB4">
      <w:pPr>
        <w:pStyle w:val="BodyText"/>
        <w:jc w:val="center"/>
      </w:pPr>
      <w:r w:rsidRPr="00AD04B2">
        <w:rPr>
          <w:b/>
          <w:bCs/>
          <w:i/>
          <w:iCs/>
          <w:szCs w:val="24"/>
        </w:rPr>
        <w:t>Productivity Commission Act 1998</w:t>
      </w:r>
    </w:p>
    <w:p w:rsidR="00196FB4" w:rsidRPr="00AD04B2" w:rsidRDefault="00196FB4" w:rsidP="00196FB4">
      <w:pPr>
        <w:pStyle w:val="BodyText"/>
        <w:rPr>
          <w:rStyle w:val="BodyTextChar1"/>
        </w:rPr>
      </w:pPr>
      <w:r w:rsidRPr="00AD04B2">
        <w:rPr>
          <w:rStyle w:val="BodyTextChar1"/>
        </w:rPr>
        <w:t xml:space="preserve">I, David Bradbury, Assistant Treasurer and Minister Assisting for Deregulation, pursuant to Parts 2 and 4 of the </w:t>
      </w:r>
      <w:r w:rsidRPr="00AD04B2">
        <w:rPr>
          <w:rStyle w:val="BodyTextChar1"/>
          <w:i/>
        </w:rPr>
        <w:t>Productivity Commission Act 1998</w:t>
      </w:r>
      <w:r w:rsidRPr="00AD04B2">
        <w:rPr>
          <w:rStyle w:val="BodyTextChar1"/>
        </w:rPr>
        <w:t>, hereby request that the Productivity Commission undertake a study to benchmark Australia’s major project development assessment processes against international best practice.</w:t>
      </w:r>
    </w:p>
    <w:p w:rsidR="00196FB4" w:rsidRPr="00AD04B2" w:rsidRDefault="00196FB4" w:rsidP="00196FB4">
      <w:pPr>
        <w:pStyle w:val="Heading3"/>
      </w:pPr>
      <w:r w:rsidRPr="00AD04B2">
        <w:t>Background</w:t>
      </w:r>
    </w:p>
    <w:p w:rsidR="00196FB4" w:rsidRPr="00AD04B2" w:rsidRDefault="00196FB4" w:rsidP="00196FB4">
      <w:pPr>
        <w:pStyle w:val="BodyText"/>
        <w:rPr>
          <w:rStyle w:val="BodyTextChar1"/>
        </w:rPr>
      </w:pPr>
      <w:r w:rsidRPr="00AD04B2">
        <w:rPr>
          <w:rStyle w:val="BodyTextChar1"/>
        </w:rPr>
        <w:t xml:space="preserve">Major projects in Australia are subject to a wide range of government regulations and development controls applied at the local, state and/or Commonwealth level.  These controls are intended to serve the public interest by delivering desirable regulatory outcomes in a variety of ways including protecting the public from health and safety risks and managing environmental, social and other development-related impacts that may arise from a project.  </w:t>
      </w:r>
    </w:p>
    <w:p w:rsidR="00196FB4" w:rsidRPr="00AD04B2" w:rsidRDefault="00196FB4" w:rsidP="00196FB4">
      <w:pPr>
        <w:pStyle w:val="BodyText"/>
        <w:rPr>
          <w:rStyle w:val="BodyTextChar1"/>
        </w:rPr>
      </w:pPr>
      <w:r w:rsidRPr="00AD04B2">
        <w:rPr>
          <w:rStyle w:val="BodyTextChar1"/>
        </w:rPr>
        <w:t xml:space="preserve">While the regulations and controls are intended to deliver specific benefits and avoid undesirable impacts, they add a layer of cost to doing business and may be particularly burdensome if they involve unnecessary duplication, or are poorly designed.  To the extent that they lead to longer than expected construction times, such processes may impact on the commercial viability of some projects. </w:t>
      </w:r>
    </w:p>
    <w:p w:rsidR="00196FB4" w:rsidRPr="00AD04B2" w:rsidRDefault="00196FB4" w:rsidP="00196FB4">
      <w:pPr>
        <w:pStyle w:val="BodyText"/>
        <w:rPr>
          <w:rStyle w:val="BodyTextChar1"/>
        </w:rPr>
      </w:pPr>
      <w:r w:rsidRPr="00AD04B2">
        <w:rPr>
          <w:rStyle w:val="BodyTextChar1"/>
        </w:rPr>
        <w:t xml:space="preserve">The mining boom in Australia has led to a large increase in the number of major projects seeking approval, which has highlighted the need for efficient and streamlined approvals processes.  The Business Council of Australia has argued that ‘one of the key factors impacting on successful investment in Australia is the efficiency of government development approvals processes, and the related impact of red tape imposed by permits and regulation’.  </w:t>
      </w:r>
    </w:p>
    <w:p w:rsidR="00196FB4" w:rsidRPr="00AD04B2" w:rsidRDefault="00196FB4" w:rsidP="00196FB4">
      <w:pPr>
        <w:pStyle w:val="BodyText"/>
        <w:rPr>
          <w:rStyle w:val="BodyTextChar1"/>
        </w:rPr>
      </w:pPr>
      <w:r w:rsidRPr="00AD04B2">
        <w:rPr>
          <w:rStyle w:val="BodyTextChar1"/>
        </w:rPr>
        <w:t xml:space="preserve">This was discussed at the Business Advisory Forum (BAF) and it was agreed to further test the premise about the efficiency of the development approvals processes across a broad range of development categories (for example, in industries such as </w:t>
      </w:r>
      <w:r w:rsidRPr="00AD04B2">
        <w:rPr>
          <w:rStyle w:val="BodyTextChar1"/>
        </w:rPr>
        <w:lastRenderedPageBreak/>
        <w:t xml:space="preserve">construction and resources) and across a range of locations (including urban and regional areas). </w:t>
      </w:r>
    </w:p>
    <w:p w:rsidR="00196FB4" w:rsidRPr="00AD04B2" w:rsidRDefault="00196FB4" w:rsidP="00196FB4">
      <w:pPr>
        <w:pStyle w:val="BodyText"/>
        <w:rPr>
          <w:rStyle w:val="BodyTextChar1"/>
        </w:rPr>
      </w:pPr>
      <w:r w:rsidRPr="00AD04B2">
        <w:rPr>
          <w:rStyle w:val="BodyTextChar1"/>
        </w:rPr>
        <w:t>In response to a request from the Council of Australian Governments, Heads of Treasuries have considered the scope of the BAF’s proposal to benchmark Australia’s major project development assessment processes finding that it would be beneficial to undertake further work to measure Australia’s performance relative to international best practice.  In conducting further work, there is merit in assessing the effectiveness of approaches to streamline and coordinate development approvals processes which have been adopted by governments, such as a one</w:t>
      </w:r>
      <w:r w:rsidRPr="00AD04B2">
        <w:rPr>
          <w:rStyle w:val="BodyTextChar1"/>
        </w:rPr>
        <w:noBreakHyphen/>
        <w:t xml:space="preserve">stop shop or Lead Agency Framework, as a means for coordinating interaction with the proponent.  </w:t>
      </w:r>
    </w:p>
    <w:p w:rsidR="00196FB4" w:rsidRPr="00AD04B2" w:rsidRDefault="00196FB4" w:rsidP="00196FB4">
      <w:pPr>
        <w:pStyle w:val="BodyText"/>
        <w:rPr>
          <w:rStyle w:val="BodyTextChar1"/>
        </w:rPr>
      </w:pPr>
      <w:r w:rsidRPr="00AD04B2">
        <w:rPr>
          <w:rStyle w:val="BodyTextChar1"/>
        </w:rPr>
        <w:t>Given the broader concerns in the community around the delivery of planned projects, this provides an appropriate time to consider the extent to which development assessment processes across all levels of government affect the costs incurred by business, deliver good regulatory outcomes for the public and provide appropriate transparency and certainty to facilitate business investment.</w:t>
      </w:r>
    </w:p>
    <w:p w:rsidR="00196FB4" w:rsidRPr="00AD04B2" w:rsidRDefault="00196FB4" w:rsidP="00196FB4">
      <w:pPr>
        <w:pStyle w:val="Heading3"/>
      </w:pPr>
      <w:r w:rsidRPr="00AD04B2">
        <w:t>Scope of the research study</w:t>
      </w:r>
    </w:p>
    <w:p w:rsidR="00196FB4" w:rsidRPr="00AD04B2" w:rsidRDefault="00196FB4" w:rsidP="00196FB4">
      <w:pPr>
        <w:pStyle w:val="BodyText"/>
        <w:rPr>
          <w:rStyle w:val="BodyTextChar1"/>
        </w:rPr>
      </w:pPr>
      <w:r w:rsidRPr="00AD04B2">
        <w:rPr>
          <w:rStyle w:val="BodyTextChar1"/>
        </w:rPr>
        <w:t>In undertaking the study, the Commission should:</w:t>
      </w:r>
    </w:p>
    <w:p w:rsidR="00196FB4" w:rsidRPr="00AD04B2" w:rsidRDefault="00196FB4" w:rsidP="00196FB4">
      <w:pPr>
        <w:pStyle w:val="ListNumber"/>
        <w:numPr>
          <w:ilvl w:val="0"/>
          <w:numId w:val="25"/>
        </w:numPr>
      </w:pPr>
      <w:r w:rsidRPr="00AD04B2">
        <w:t xml:space="preserve">examine the regulatory objectives and key features of Australia’s major project development assessment processes at all levels of government, including the interactions between levels of government, the role of facilitation, the capacities and resources of the institutions involved and significant variations between jurisdictions </w:t>
      </w:r>
    </w:p>
    <w:p w:rsidR="00196FB4" w:rsidRPr="00AD04B2" w:rsidRDefault="00196FB4" w:rsidP="00196FB4">
      <w:pPr>
        <w:pStyle w:val="ListNumber"/>
        <w:numPr>
          <w:ilvl w:val="0"/>
          <w:numId w:val="25"/>
        </w:numPr>
      </w:pPr>
      <w:r w:rsidRPr="00AD04B2">
        <w:rPr>
          <w:szCs w:val="26"/>
        </w:rPr>
        <w:t>examine the regulatory objectives and key features of comparable international systems with respect to major project development assessment processes</w:t>
      </w:r>
    </w:p>
    <w:p w:rsidR="00196FB4" w:rsidRPr="00AD04B2" w:rsidRDefault="00196FB4" w:rsidP="00196FB4">
      <w:pPr>
        <w:pStyle w:val="ListNumber"/>
        <w:numPr>
          <w:ilvl w:val="0"/>
          <w:numId w:val="25"/>
        </w:numPr>
      </w:pPr>
      <w:r w:rsidRPr="00AD04B2">
        <w:rPr>
          <w:szCs w:val="26"/>
        </w:rPr>
        <w:t>identify critical elements of development assessment processes and compare these to assess the extent to which different decision-making approaches in Australian jurisdictions and alternative investment destinations overseas (including other federations) have a material impact on costs, timeliness, transparency, certainty and regulatory outcomes</w:t>
      </w:r>
    </w:p>
    <w:p w:rsidR="00196FB4" w:rsidRPr="00AD04B2" w:rsidRDefault="00196FB4" w:rsidP="00196FB4">
      <w:pPr>
        <w:pStyle w:val="ListNumber"/>
        <w:numPr>
          <w:ilvl w:val="0"/>
          <w:numId w:val="25"/>
        </w:numPr>
      </w:pPr>
      <w:r w:rsidRPr="00AD04B2">
        <w:rPr>
          <w:szCs w:val="26"/>
        </w:rPr>
        <w:t xml:space="preserve">examine the strategic planning context for major project approvals in Australia and in comparable international systems (including for example, the pursuit of urban and regional development policies, or broader strategic resource development plans) </w:t>
      </w:r>
    </w:p>
    <w:p w:rsidR="00196FB4" w:rsidRPr="00AD04B2" w:rsidRDefault="00196FB4" w:rsidP="00196FB4">
      <w:pPr>
        <w:pStyle w:val="ListNumber"/>
        <w:numPr>
          <w:ilvl w:val="0"/>
          <w:numId w:val="25"/>
        </w:numPr>
      </w:pPr>
      <w:r w:rsidRPr="00AD04B2">
        <w:rPr>
          <w:szCs w:val="26"/>
        </w:rPr>
        <w:t xml:space="preserve">identify best practice and against this benchmark evaluate jurisdictional approaches, such as one-stop shops and statutory timeframes, to make </w:t>
      </w:r>
      <w:r w:rsidRPr="00AD04B2">
        <w:rPr>
          <w:szCs w:val="26"/>
        </w:rPr>
        <w:lastRenderedPageBreak/>
        <w:t>recommendations to improve Australia’s processes, both within and between jurisdictions, by reducing duplication, removing unnecessary complexity and regulation, and eliminating unnecessary costs or unnecessarily lengthy timeframes for approvals processes</w:t>
      </w:r>
    </w:p>
    <w:p w:rsidR="00196FB4" w:rsidRPr="00AD04B2" w:rsidRDefault="00196FB4" w:rsidP="00196FB4">
      <w:pPr>
        <w:pStyle w:val="ListNumber"/>
        <w:numPr>
          <w:ilvl w:val="0"/>
          <w:numId w:val="25"/>
        </w:numPr>
      </w:pPr>
      <w:r w:rsidRPr="00AD04B2">
        <w:rPr>
          <w:szCs w:val="26"/>
        </w:rPr>
        <w:t>assess mechanisms for ‘scaling’ regulatory requirements relative to project size and the expected benefits against the potential environmental, social, economic and other impacts</w:t>
      </w:r>
    </w:p>
    <w:p w:rsidR="00196FB4" w:rsidRPr="00AD04B2" w:rsidRDefault="00196FB4" w:rsidP="00196FB4">
      <w:pPr>
        <w:pStyle w:val="ListNumber"/>
        <w:numPr>
          <w:ilvl w:val="0"/>
          <w:numId w:val="25"/>
        </w:numPr>
      </w:pPr>
      <w:r w:rsidRPr="00AD04B2">
        <w:rPr>
          <w:szCs w:val="26"/>
        </w:rPr>
        <w:t>compare the efficiency and effectiveness with which Australian approvals processes achieve the protection of social, economic, heritage, cultural and environmental assets compared with comparable international systems.</w:t>
      </w:r>
    </w:p>
    <w:p w:rsidR="00196FB4" w:rsidRPr="00AD04B2" w:rsidRDefault="00196FB4" w:rsidP="00196FB4">
      <w:pPr>
        <w:pStyle w:val="BodyText"/>
      </w:pPr>
      <w:r w:rsidRPr="00AD04B2">
        <w:t>In undertaking this study, the Commission should take into account the work being led by the Commonwealth Department of the Prime Minister and Cabinet to agree bilateral arrangements for accreditation of state/territory environment assessments and approvals processes.  The Commission should not seek to duplicate this existing work, which COAG has agreed be finalised by March 2013.</w:t>
      </w:r>
    </w:p>
    <w:p w:rsidR="00196FB4" w:rsidRPr="00AD04B2" w:rsidRDefault="00196FB4" w:rsidP="00196FB4">
      <w:pPr>
        <w:pStyle w:val="BodyText"/>
      </w:pPr>
      <w:r w:rsidRPr="00AD04B2">
        <w:t xml:space="preserve">In conducting the study, the Commission will also take into account evidence from benchmarking studies and other relevant studies, including the Infrastructure Australia ‘Principles for Assessment’, the COAG Reform Council’s review of capital city strategic planning systems and work on development assessment processes by individual jurisdictions, such as the NSW Planning System Review.  </w:t>
      </w:r>
    </w:p>
    <w:p w:rsidR="00196FB4" w:rsidRPr="00AD04B2" w:rsidRDefault="00196FB4" w:rsidP="00196FB4">
      <w:pPr>
        <w:pStyle w:val="BodyText"/>
      </w:pPr>
      <w:r w:rsidRPr="00AD04B2">
        <w:t xml:space="preserve">In conducting the study, the Commission should also examine relevant domestic case studies to inform its findings.  </w:t>
      </w:r>
    </w:p>
    <w:p w:rsidR="00196FB4" w:rsidRPr="00AD04B2" w:rsidRDefault="00196FB4" w:rsidP="00196FB4">
      <w:pPr>
        <w:pStyle w:val="BodyText"/>
      </w:pPr>
      <w:r w:rsidRPr="00AD04B2">
        <w:t xml:space="preserve">The Commission should consult with industry, non-government stakeholders and governments in conducting the study.  </w:t>
      </w:r>
    </w:p>
    <w:p w:rsidR="00196FB4" w:rsidRPr="00AD04B2" w:rsidRDefault="00196FB4" w:rsidP="00196FB4">
      <w:pPr>
        <w:pStyle w:val="BodyText"/>
      </w:pPr>
      <w:r w:rsidRPr="00AD04B2">
        <w:t xml:space="preserve">The Commission will publicly release a draft report and seek submissions prior to finalising the Report.  The final Report should be provided within 12 months of the receipt of these Terms of Reference.  </w:t>
      </w:r>
    </w:p>
    <w:p w:rsidR="00196FB4" w:rsidRPr="00AD04B2" w:rsidRDefault="00196FB4" w:rsidP="00196FB4">
      <w:pPr>
        <w:rPr>
          <w:szCs w:val="26"/>
        </w:rPr>
      </w:pPr>
    </w:p>
    <w:p w:rsidR="00196FB4" w:rsidRPr="00AD04B2" w:rsidRDefault="00196FB4" w:rsidP="00196FB4">
      <w:pPr>
        <w:rPr>
          <w:b/>
          <w:szCs w:val="26"/>
        </w:rPr>
      </w:pPr>
      <w:r w:rsidRPr="00AD04B2">
        <w:rPr>
          <w:b/>
          <w:szCs w:val="26"/>
        </w:rPr>
        <w:t>DAVID BRADBURY</w:t>
      </w:r>
      <w:r w:rsidRPr="00AD04B2">
        <w:rPr>
          <w:b/>
          <w:szCs w:val="26"/>
        </w:rPr>
        <w:br/>
        <w:t>Assistant Treasurer</w:t>
      </w:r>
    </w:p>
    <w:p w:rsidR="00196FB4" w:rsidRDefault="00196FB4" w:rsidP="00196FB4">
      <w:pPr>
        <w:pStyle w:val="BodyText"/>
      </w:pPr>
      <w:r w:rsidRPr="00AD04B2">
        <w:rPr>
          <w:szCs w:val="26"/>
        </w:rPr>
        <w:t>[Received 7 December 2012]</w:t>
      </w:r>
    </w:p>
    <w:p w:rsidR="00196FB4" w:rsidRDefault="00196FB4" w:rsidP="006817C9">
      <w:pPr>
        <w:pStyle w:val="BodyText"/>
        <w:sectPr w:rsidR="00196FB4" w:rsidSect="007E069D">
          <w:headerReference w:type="even" r:id="rId14"/>
          <w:headerReference w:type="default" r:id="rId15"/>
          <w:footerReference w:type="even" r:id="rId16"/>
          <w:type w:val="oddPage"/>
          <w:pgSz w:w="11907" w:h="16840" w:code="9"/>
          <w:pgMar w:top="1985" w:right="1304" w:bottom="1418" w:left="1814" w:header="1701" w:footer="567" w:gutter="0"/>
          <w:pgNumType w:fmt="lowerRoman"/>
          <w:cols w:space="720"/>
          <w:docGrid w:linePitch="354"/>
        </w:sectPr>
      </w:pPr>
    </w:p>
    <w:p w:rsidR="003632D9" w:rsidRDefault="00735FEA" w:rsidP="008206EE">
      <w:pPr>
        <w:pStyle w:val="Heading1NotTOC"/>
        <w:rPr>
          <w:noProof/>
        </w:rPr>
      </w:pPr>
      <w:bookmarkStart w:id="6" w:name="Contents"/>
      <w:bookmarkEnd w:id="6"/>
      <w:r w:rsidRPr="00B153C3">
        <w:lastRenderedPageBreak/>
        <w:t>Contents</w:t>
      </w:r>
      <w:bookmarkStart w:id="7" w:name="InsertContents"/>
      <w:bookmarkEnd w:id="7"/>
      <w:r w:rsidR="003632D9">
        <w:fldChar w:fldCharType="begin"/>
      </w:r>
      <w:r w:rsidR="003632D9">
        <w:instrText xml:space="preserve"> TOC \t "Part Title,1,Heading 1,1,chapter,1,Heading 2,2,2,3,3,Heading 2,3" </w:instrText>
      </w:r>
      <w:r w:rsidR="003632D9">
        <w:fldChar w:fldCharType="separate"/>
      </w:r>
    </w:p>
    <w:p w:rsidR="003632D9" w:rsidRDefault="003632D9">
      <w:pPr>
        <w:pStyle w:val="TOC1"/>
        <w:rPr>
          <w:rFonts w:asciiTheme="minorHAnsi" w:eastAsiaTheme="minorEastAsia" w:hAnsiTheme="minorHAnsi" w:cstheme="minorBidi"/>
          <w:b w:val="0"/>
          <w:noProof/>
          <w:sz w:val="22"/>
          <w:szCs w:val="22"/>
          <w:lang w:eastAsia="en-AU"/>
        </w:rPr>
      </w:pPr>
      <w:r>
        <w:rPr>
          <w:noProof/>
        </w:rPr>
        <w:t>Foreword</w:t>
      </w:r>
      <w:r>
        <w:rPr>
          <w:noProof/>
        </w:rPr>
        <w:tab/>
      </w:r>
      <w:r>
        <w:rPr>
          <w:noProof/>
        </w:rPr>
        <w:fldChar w:fldCharType="begin"/>
      </w:r>
      <w:r>
        <w:rPr>
          <w:noProof/>
        </w:rPr>
        <w:instrText xml:space="preserve"> PAGEREF _Toc373140414 \h </w:instrText>
      </w:r>
      <w:r>
        <w:rPr>
          <w:noProof/>
        </w:rPr>
      </w:r>
      <w:r>
        <w:rPr>
          <w:noProof/>
        </w:rPr>
        <w:fldChar w:fldCharType="separate"/>
      </w:r>
      <w:r w:rsidR="00326472">
        <w:rPr>
          <w:noProof/>
        </w:rPr>
        <w:t>iii</w:t>
      </w:r>
      <w:r>
        <w:rPr>
          <w:noProof/>
        </w:rPr>
        <w:fldChar w:fldCharType="end"/>
      </w:r>
    </w:p>
    <w:p w:rsidR="003632D9" w:rsidRDefault="003632D9">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Pr>
          <w:noProof/>
        </w:rPr>
        <w:fldChar w:fldCharType="begin"/>
      </w:r>
      <w:r>
        <w:rPr>
          <w:noProof/>
        </w:rPr>
        <w:instrText xml:space="preserve"> PAGEREF _Toc373140415 \h </w:instrText>
      </w:r>
      <w:r>
        <w:rPr>
          <w:noProof/>
        </w:rPr>
      </w:r>
      <w:r>
        <w:rPr>
          <w:noProof/>
        </w:rPr>
        <w:fldChar w:fldCharType="separate"/>
      </w:r>
      <w:r w:rsidR="00326472">
        <w:rPr>
          <w:noProof/>
        </w:rPr>
        <w:t>v</w:t>
      </w:r>
      <w:r>
        <w:rPr>
          <w:noProof/>
        </w:rPr>
        <w:fldChar w:fldCharType="end"/>
      </w:r>
    </w:p>
    <w:p w:rsidR="003632D9" w:rsidRDefault="003632D9">
      <w:pPr>
        <w:pStyle w:val="TOC1"/>
        <w:rPr>
          <w:rFonts w:asciiTheme="minorHAnsi" w:eastAsiaTheme="minorEastAsia" w:hAnsiTheme="minorHAnsi" w:cstheme="minorBidi"/>
          <w:b w:val="0"/>
          <w:noProof/>
          <w:sz w:val="22"/>
          <w:szCs w:val="22"/>
          <w:lang w:eastAsia="en-AU"/>
        </w:rPr>
      </w:pPr>
      <w:r>
        <w:rPr>
          <w:noProof/>
        </w:rPr>
        <w:t>Abbreviations</w:t>
      </w:r>
      <w:r>
        <w:rPr>
          <w:noProof/>
        </w:rPr>
        <w:tab/>
      </w:r>
      <w:r>
        <w:rPr>
          <w:noProof/>
        </w:rPr>
        <w:fldChar w:fldCharType="begin"/>
      </w:r>
      <w:r>
        <w:rPr>
          <w:noProof/>
        </w:rPr>
        <w:instrText xml:space="preserve"> PAGEREF _Toc373140416 \h </w:instrText>
      </w:r>
      <w:r>
        <w:rPr>
          <w:noProof/>
        </w:rPr>
      </w:r>
      <w:r>
        <w:rPr>
          <w:noProof/>
        </w:rPr>
        <w:fldChar w:fldCharType="separate"/>
      </w:r>
      <w:r w:rsidR="00326472">
        <w:rPr>
          <w:noProof/>
        </w:rPr>
        <w:t>xii</w:t>
      </w:r>
      <w:r>
        <w:rPr>
          <w:noProof/>
        </w:rPr>
        <w:fldChar w:fldCharType="end"/>
      </w:r>
    </w:p>
    <w:p w:rsidR="003632D9" w:rsidRDefault="003632D9">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3632D9" w:rsidRDefault="003632D9">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31</w:t>
      </w:r>
    </w:p>
    <w:p w:rsidR="003632D9" w:rsidRDefault="003632D9">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study</w:t>
      </w:r>
      <w:r>
        <w:rPr>
          <w:noProof/>
        </w:rPr>
        <w:tab/>
        <w:t>39</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Why look at major project DAA regulations and processes?</w:t>
      </w:r>
      <w:r>
        <w:rPr>
          <w:noProof/>
        </w:rPr>
        <w:tab/>
        <w:t>39</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Scope of the study</w:t>
      </w:r>
      <w:r>
        <w:rPr>
          <w:noProof/>
        </w:rPr>
        <w:tab/>
        <w:t>41</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Commission’s approach to benchmarking</w:t>
      </w:r>
      <w:r>
        <w:rPr>
          <w:noProof/>
        </w:rPr>
        <w:tab/>
        <w:t>42</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Conduct of the study</w:t>
      </w:r>
      <w:r>
        <w:rPr>
          <w:noProof/>
        </w:rPr>
        <w:tab/>
        <w:t>46</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Structure of the report</w:t>
      </w:r>
      <w:r>
        <w:rPr>
          <w:noProof/>
        </w:rPr>
        <w:tab/>
        <w:t>46</w:t>
      </w:r>
    </w:p>
    <w:p w:rsidR="003632D9" w:rsidRDefault="003632D9">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Major project development in Australia</w:t>
      </w:r>
      <w:r>
        <w:rPr>
          <w:noProof/>
        </w:rPr>
        <w:tab/>
        <w:t>49</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What is a major project?</w:t>
      </w:r>
      <w:r>
        <w:rPr>
          <w:noProof/>
        </w:rPr>
        <w:tab/>
        <w:t>50</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The economic importance of major projects</w:t>
      </w:r>
      <w:r>
        <w:rPr>
          <w:noProof/>
        </w:rPr>
        <w:tab/>
        <w:t>54</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landscape of major projects in Australia</w:t>
      </w:r>
      <w:r>
        <w:rPr>
          <w:noProof/>
        </w:rPr>
        <w:tab/>
        <w:t>55</w:t>
      </w:r>
    </w:p>
    <w:p w:rsidR="003632D9" w:rsidRDefault="003632D9">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Major project assessment and approval processes</w:t>
      </w:r>
      <w:r>
        <w:rPr>
          <w:noProof/>
        </w:rPr>
        <w:tab/>
        <w:t>63</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Major projects and the regulatory framework</w:t>
      </w:r>
      <w:r>
        <w:rPr>
          <w:noProof/>
        </w:rPr>
        <w:tab/>
        <w:t>64</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How are major projects assessed and approved?</w:t>
      </w:r>
      <w:r>
        <w:rPr>
          <w:noProof/>
        </w:rPr>
        <w:tab/>
        <w:t>72</w:t>
      </w:r>
    </w:p>
    <w:p w:rsidR="003632D9" w:rsidRDefault="003632D9">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Regulatory objectives</w:t>
      </w:r>
      <w:r>
        <w:rPr>
          <w:noProof/>
        </w:rPr>
        <w:tab/>
        <w:t>85</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Overview of jurisdictions’ DAA objectives</w:t>
      </w:r>
      <w:r>
        <w:rPr>
          <w:noProof/>
        </w:rPr>
        <w:tab/>
        <w:t>86</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Evaluating objectives</w:t>
      </w:r>
      <w:r>
        <w:rPr>
          <w:noProof/>
        </w:rPr>
        <w:tab/>
        <w:t>90</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Moving towards leading practice</w:t>
      </w:r>
      <w:r>
        <w:rPr>
          <w:noProof/>
        </w:rPr>
        <w:tab/>
        <w:t>92</w:t>
      </w:r>
    </w:p>
    <w:p w:rsidR="004D5E3F" w:rsidRDefault="004D5E3F">
      <w:pPr>
        <w:rPr>
          <w:b/>
          <w:noProof/>
          <w:szCs w:val="26"/>
        </w:rPr>
      </w:pPr>
      <w:r>
        <w:rPr>
          <w:noProof/>
        </w:rPr>
        <w:br w:type="page"/>
      </w:r>
    </w:p>
    <w:p w:rsidR="003632D9" w:rsidRDefault="003632D9">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The application stage</w:t>
      </w:r>
      <w:r>
        <w:rPr>
          <w:noProof/>
        </w:rPr>
        <w:tab/>
        <w:t>101</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Overview of the application stage</w:t>
      </w:r>
      <w:r>
        <w:rPr>
          <w:noProof/>
        </w:rPr>
        <w:tab/>
        <w:t>102</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 xml:space="preserve">5.2 </w:t>
      </w:r>
      <w:r>
        <w:rPr>
          <w:rFonts w:asciiTheme="minorHAnsi" w:eastAsiaTheme="minorEastAsia" w:hAnsiTheme="minorHAnsi" w:cstheme="minorBidi"/>
          <w:noProof/>
          <w:sz w:val="22"/>
          <w:szCs w:val="22"/>
          <w:lang w:eastAsia="en-AU"/>
        </w:rPr>
        <w:tab/>
      </w:r>
      <w:r>
        <w:rPr>
          <w:noProof/>
        </w:rPr>
        <w:t>Guidance on regulatory processes and requirements</w:t>
      </w:r>
      <w:r>
        <w:rPr>
          <w:noProof/>
        </w:rPr>
        <w:tab/>
        <w:t>109</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Ministerial discretion to declare major projects</w:t>
      </w:r>
      <w:r>
        <w:rPr>
          <w:noProof/>
        </w:rPr>
        <w:tab/>
        <w:t>115</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Stakeholder participation in setting the scope of assessments</w:t>
      </w:r>
      <w:r>
        <w:rPr>
          <w:noProof/>
        </w:rPr>
        <w:tab/>
        <w:t>118</w:t>
      </w:r>
    </w:p>
    <w:p w:rsidR="003632D9" w:rsidRDefault="003632D9">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The assessment stage</w:t>
      </w:r>
      <w:r>
        <w:rPr>
          <w:noProof/>
        </w:rPr>
        <w:tab/>
        <w:t>131</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Overview of major project assessment processes</w:t>
      </w:r>
      <w:r>
        <w:rPr>
          <w:noProof/>
        </w:rPr>
        <w:tab/>
        <w:t>132</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Duplication between assessment processes</w:t>
      </w:r>
      <w:r>
        <w:rPr>
          <w:noProof/>
        </w:rPr>
        <w:tab/>
        <w:t>136</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Coordination of major project DAA processes</w:t>
      </w:r>
      <w:r>
        <w:rPr>
          <w:noProof/>
        </w:rPr>
        <w:tab/>
        <w:t>150</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Independent assessment agencies</w:t>
      </w:r>
      <w:r>
        <w:rPr>
          <w:noProof/>
        </w:rPr>
        <w:tab/>
        <w:t>159</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‘Scaling’ assessment requirements</w:t>
      </w:r>
      <w:r>
        <w:rPr>
          <w:noProof/>
        </w:rPr>
        <w:tab/>
        <w:t>169</w:t>
      </w:r>
    </w:p>
    <w:p w:rsidR="003632D9" w:rsidRDefault="003632D9">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The approval stage</w:t>
      </w:r>
      <w:r>
        <w:rPr>
          <w:noProof/>
        </w:rPr>
        <w:tab/>
        <w:t>179</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Overview of major project approval processes</w:t>
      </w:r>
      <w:r>
        <w:rPr>
          <w:noProof/>
        </w:rPr>
        <w:tab/>
        <w:t>180</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Duplication of approval processes between levels of government</w:t>
      </w:r>
      <w:r>
        <w:rPr>
          <w:noProof/>
        </w:rPr>
        <w:tab/>
        <w:t>186</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Unnecessary delay in approval decisions</w:t>
      </w:r>
      <w:r>
        <w:rPr>
          <w:noProof/>
        </w:rPr>
        <w:tab/>
        <w:t>197</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Responsibility for making approval decisions</w:t>
      </w:r>
      <w:r>
        <w:rPr>
          <w:noProof/>
        </w:rPr>
        <w:tab/>
        <w:t>207</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Improving the process that decision makers are required to follow</w:t>
      </w:r>
      <w:r>
        <w:rPr>
          <w:noProof/>
        </w:rPr>
        <w:tab/>
        <w:t>208</w:t>
      </w:r>
    </w:p>
    <w:p w:rsidR="003632D9" w:rsidRDefault="003632D9">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Conditions and offsets</w:t>
      </w:r>
      <w:r>
        <w:rPr>
          <w:noProof/>
        </w:rPr>
        <w:tab/>
        <w:t>213</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Approval conditions</w:t>
      </w:r>
      <w:r>
        <w:rPr>
          <w:noProof/>
        </w:rPr>
        <w:tab/>
        <w:t>214</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Environmental offsets</w:t>
      </w:r>
      <w:r>
        <w:rPr>
          <w:noProof/>
        </w:rPr>
        <w:tab/>
        <w:t>227</w:t>
      </w:r>
    </w:p>
    <w:p w:rsidR="003632D9" w:rsidRDefault="003632D9">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Regulatory decisions: review and appeal rights</w:t>
      </w:r>
      <w:r>
        <w:rPr>
          <w:noProof/>
        </w:rPr>
        <w:tab/>
        <w:t>249</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Overview of review processes</w:t>
      </w:r>
      <w:r>
        <w:rPr>
          <w:noProof/>
        </w:rPr>
        <w:tab/>
        <w:t>250</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What review rights should proponents and third parties have?</w:t>
      </w:r>
      <w:r>
        <w:rPr>
          <w:noProof/>
        </w:rPr>
        <w:tab/>
        <w:t>261</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Standing: who should be able to bring a review application?</w:t>
      </w:r>
      <w:r>
        <w:rPr>
          <w:noProof/>
        </w:rPr>
        <w:tab/>
        <w:t>271</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Costs and time of review processes</w:t>
      </w:r>
      <w:r>
        <w:rPr>
          <w:noProof/>
        </w:rPr>
        <w:tab/>
        <w:t>277</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Implications of the proposed reforms</w:t>
      </w:r>
      <w:r>
        <w:rPr>
          <w:noProof/>
        </w:rPr>
        <w:tab/>
        <w:t>282</w:t>
      </w:r>
    </w:p>
    <w:p w:rsidR="003632D9" w:rsidRDefault="003632D9">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Monitoring of compliance and enforcement</w:t>
      </w:r>
      <w:r>
        <w:rPr>
          <w:noProof/>
        </w:rPr>
        <w:tab/>
        <w:t>287</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Approaches to monitoring of compliance and enforcement</w:t>
      </w:r>
      <w:r>
        <w:rPr>
          <w:noProof/>
        </w:rPr>
        <w:tab/>
        <w:t>288</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Monitoring of compliance and enforcement activities in practice</w:t>
      </w:r>
      <w:r>
        <w:rPr>
          <w:noProof/>
        </w:rPr>
        <w:tab/>
        <w:t>290</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Clarity of regulators’ responsibilities</w:t>
      </w:r>
      <w:r>
        <w:rPr>
          <w:noProof/>
        </w:rPr>
        <w:tab/>
        <w:t>294</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lastRenderedPageBreak/>
        <w:t>10.4</w:t>
      </w:r>
      <w:r>
        <w:rPr>
          <w:rFonts w:asciiTheme="minorHAnsi" w:eastAsiaTheme="minorEastAsia" w:hAnsiTheme="minorHAnsi" w:cstheme="minorBidi"/>
          <w:noProof/>
          <w:sz w:val="22"/>
          <w:szCs w:val="22"/>
          <w:lang w:eastAsia="en-AU"/>
        </w:rPr>
        <w:tab/>
      </w:r>
      <w:r>
        <w:rPr>
          <w:noProof/>
        </w:rPr>
        <w:t>Resource allocation for compliance and enforcement activities</w:t>
      </w:r>
      <w:r>
        <w:rPr>
          <w:noProof/>
        </w:rPr>
        <w:tab/>
        <w:t>297</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r>
      <w:r>
        <w:rPr>
          <w:noProof/>
        </w:rPr>
        <w:t>Risk-based approaches to enforcement</w:t>
      </w:r>
      <w:r>
        <w:rPr>
          <w:noProof/>
        </w:rPr>
        <w:tab/>
        <w:t>298</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10.6</w:t>
      </w:r>
      <w:r>
        <w:rPr>
          <w:rFonts w:asciiTheme="minorHAnsi" w:eastAsiaTheme="minorEastAsia" w:hAnsiTheme="minorHAnsi" w:cstheme="minorBidi"/>
          <w:noProof/>
          <w:sz w:val="22"/>
          <w:szCs w:val="22"/>
          <w:lang w:eastAsia="en-AU"/>
        </w:rPr>
        <w:tab/>
      </w:r>
      <w:r>
        <w:rPr>
          <w:noProof/>
        </w:rPr>
        <w:t>Practicality and enforceability of approval conditions</w:t>
      </w:r>
      <w:r>
        <w:rPr>
          <w:noProof/>
        </w:rPr>
        <w:tab/>
        <w:t>302</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10.7</w:t>
      </w:r>
      <w:r>
        <w:rPr>
          <w:rFonts w:asciiTheme="minorHAnsi" w:eastAsiaTheme="minorEastAsia" w:hAnsiTheme="minorHAnsi" w:cstheme="minorBidi"/>
          <w:noProof/>
          <w:sz w:val="22"/>
          <w:szCs w:val="22"/>
          <w:lang w:eastAsia="en-AU"/>
        </w:rPr>
        <w:tab/>
      </w:r>
      <w:r>
        <w:rPr>
          <w:noProof/>
        </w:rPr>
        <w:t>Improving agency performance on compliance</w:t>
      </w:r>
      <w:r>
        <w:rPr>
          <w:noProof/>
        </w:rPr>
        <w:tab/>
        <w:t>304</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10.8</w:t>
      </w:r>
      <w:r>
        <w:rPr>
          <w:rFonts w:asciiTheme="minorHAnsi" w:eastAsiaTheme="minorEastAsia" w:hAnsiTheme="minorHAnsi" w:cstheme="minorBidi"/>
          <w:noProof/>
          <w:sz w:val="22"/>
          <w:szCs w:val="22"/>
          <w:lang w:eastAsia="en-AU"/>
        </w:rPr>
        <w:tab/>
      </w:r>
      <w:r>
        <w:rPr>
          <w:noProof/>
        </w:rPr>
        <w:t>Third party enforcement</w:t>
      </w:r>
      <w:r>
        <w:rPr>
          <w:noProof/>
        </w:rPr>
        <w:tab/>
        <w:t>308</w:t>
      </w:r>
    </w:p>
    <w:p w:rsidR="003632D9" w:rsidRDefault="003632D9">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Strategic approaches</w:t>
      </w:r>
      <w:r>
        <w:rPr>
          <w:noProof/>
        </w:rPr>
        <w:tab/>
        <w:t>317</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What is strategic assessment and how can it help?</w:t>
      </w:r>
      <w:r>
        <w:rPr>
          <w:noProof/>
        </w:rPr>
        <w:tab/>
        <w:t>318</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Strategic assessments in practice</w:t>
      </w:r>
      <w:r>
        <w:rPr>
          <w:noProof/>
        </w:rPr>
        <w:tab/>
        <w:t>329</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Strategic planning</w:t>
      </w:r>
      <w:r>
        <w:rPr>
          <w:noProof/>
        </w:rPr>
        <w:tab/>
        <w:t>339</w:t>
      </w:r>
    </w:p>
    <w:p w:rsidR="003632D9" w:rsidRDefault="003632D9">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Implementation of reform</w:t>
      </w:r>
      <w:r>
        <w:rPr>
          <w:noProof/>
        </w:rPr>
        <w:tab/>
        <w:t>349</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The importance of ‘making it happen’</w:t>
      </w:r>
      <w:r>
        <w:rPr>
          <w:noProof/>
        </w:rPr>
        <w:tab/>
        <w:t>350</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A roadmap for implementation</w:t>
      </w:r>
      <w:r>
        <w:rPr>
          <w:noProof/>
        </w:rPr>
        <w:tab/>
        <w:t>352</w:t>
      </w:r>
    </w:p>
    <w:p w:rsidR="003632D9" w:rsidRDefault="003632D9">
      <w:pPr>
        <w:pStyle w:val="TOC2"/>
        <w:tabs>
          <w:tab w:val="left" w:pos="1190"/>
        </w:tabs>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Ensuring long</w:t>
      </w:r>
      <w:r>
        <w:rPr>
          <w:noProof/>
        </w:rPr>
        <w:noBreakHyphen/>
        <w:t>term reform success</w:t>
      </w:r>
      <w:r>
        <w:rPr>
          <w:noProof/>
        </w:rPr>
        <w:tab/>
        <w:t>358</w:t>
      </w:r>
    </w:p>
    <w:p w:rsidR="003632D9" w:rsidRDefault="003632D9">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367</w:t>
      </w:r>
    </w:p>
    <w:p w:rsidR="003632D9" w:rsidRDefault="003632D9">
      <w:pPr>
        <w:pStyle w:val="TOC1"/>
        <w:rPr>
          <w:rFonts w:asciiTheme="minorHAnsi" w:eastAsiaTheme="minorEastAsia" w:hAnsiTheme="minorHAnsi" w:cstheme="minorBidi"/>
          <w:b w:val="0"/>
          <w:noProof/>
          <w:sz w:val="22"/>
          <w:szCs w:val="22"/>
          <w:lang w:eastAsia="en-AU"/>
        </w:rPr>
      </w:pPr>
      <w:r>
        <w:rPr>
          <w:noProof/>
        </w:rPr>
        <w:t>References</w:t>
      </w:r>
      <w:r>
        <w:rPr>
          <w:noProof/>
        </w:rPr>
        <w:tab/>
        <w:t>379</w:t>
      </w:r>
    </w:p>
    <w:p w:rsidR="001B7F1E" w:rsidRDefault="003632D9" w:rsidP="004D5E3F">
      <w:pPr>
        <w:pStyle w:val="BodyText"/>
      </w:pPr>
      <w:r>
        <w:fldChar w:fldCharType="end"/>
      </w:r>
    </w:p>
    <w:p w:rsidR="003632D9" w:rsidRDefault="00225F43" w:rsidP="003632D9">
      <w:pPr>
        <w:pStyle w:val="BodyText"/>
      </w:pPr>
      <w:r>
        <w:t>The following appendixes are only available on the Commission’s website (</w:t>
      </w:r>
      <w:hyperlink r:id="rId17" w:history="1">
        <w:r w:rsidRPr="004D5E3F">
          <w:rPr>
            <w:rStyle w:val="Hyperlink"/>
            <w:u w:val="none"/>
          </w:rPr>
          <w:t>www.pc.gov.au/projects/study/major-projects</w:t>
        </w:r>
      </w:hyperlink>
      <w:r>
        <w:t>).</w:t>
      </w:r>
    </w:p>
    <w:p w:rsidR="00225F43" w:rsidRDefault="00225F43" w:rsidP="003632D9">
      <w:pPr>
        <w:pStyle w:val="BodyText"/>
      </w:pPr>
      <w:r>
        <w:t>B</w:t>
      </w:r>
      <w:r>
        <w:tab/>
        <w:t>Benchmarking and good regulatory practice</w:t>
      </w:r>
    </w:p>
    <w:p w:rsidR="00225F43" w:rsidRDefault="00225F43" w:rsidP="003632D9">
      <w:pPr>
        <w:pStyle w:val="BodyText"/>
      </w:pPr>
      <w:r>
        <w:t>C</w:t>
      </w:r>
      <w:r>
        <w:tab/>
        <w:t>Australian DAA arrangements</w:t>
      </w:r>
    </w:p>
    <w:p w:rsidR="00225F43" w:rsidRDefault="00225F43" w:rsidP="003632D9">
      <w:pPr>
        <w:pStyle w:val="BodyText"/>
      </w:pPr>
      <w:r>
        <w:t>D</w:t>
      </w:r>
      <w:r>
        <w:tab/>
        <w:t>International DAA processes</w:t>
      </w:r>
    </w:p>
    <w:p w:rsidR="00225F43" w:rsidRDefault="00225F43" w:rsidP="003632D9">
      <w:pPr>
        <w:pStyle w:val="BodyText"/>
      </w:pPr>
      <w:r>
        <w:t>E</w:t>
      </w:r>
      <w:r>
        <w:tab/>
        <w:t>Overview of international rankings reports</w:t>
      </w:r>
      <w:r>
        <w:tab/>
      </w:r>
    </w:p>
    <w:p w:rsidR="004A7255" w:rsidRPr="003632D9" w:rsidRDefault="004A7255" w:rsidP="003632D9">
      <w:pPr>
        <w:pStyle w:val="BodyText"/>
      </w:pPr>
      <w:r>
        <w:t>F</w:t>
      </w:r>
      <w:r>
        <w:tab/>
        <w:t>National and international use of strategic assessment</w:t>
      </w:r>
    </w:p>
    <w:p w:rsidR="003632D9" w:rsidRPr="003632D9" w:rsidRDefault="003632D9" w:rsidP="003632D9">
      <w:pPr>
        <w:pStyle w:val="BodyText"/>
      </w:pPr>
    </w:p>
    <w:p w:rsidR="00735FEA" w:rsidRDefault="00735FEA">
      <w:pPr>
        <w:pStyle w:val="BodyText"/>
        <w:sectPr w:rsidR="00735FEA" w:rsidSect="005537F6">
          <w:headerReference w:type="even" r:id="rId18"/>
          <w:headerReference w:type="default" r:id="rId19"/>
          <w:footerReference w:type="even" r:id="rId20"/>
          <w:footerReference w:type="default" r:id="rId21"/>
          <w:type w:val="oddPage"/>
          <w:pgSz w:w="11907" w:h="16840" w:code="9"/>
          <w:pgMar w:top="1985" w:right="1304" w:bottom="1418" w:left="1814" w:header="1701" w:footer="567" w:gutter="0"/>
          <w:pgNumType w:fmt="lowerRoman"/>
          <w:cols w:space="720"/>
        </w:sectPr>
      </w:pPr>
    </w:p>
    <w:p w:rsidR="00196FB4" w:rsidRDefault="00196FB4" w:rsidP="00196FB4">
      <w:pPr>
        <w:pStyle w:val="Heading1"/>
      </w:pPr>
      <w:bookmarkStart w:id="8" w:name="Abbreviations"/>
      <w:bookmarkStart w:id="9" w:name="RDnote"/>
      <w:bookmarkStart w:id="10" w:name="EndContents"/>
      <w:bookmarkStart w:id="11" w:name="Glossary"/>
      <w:bookmarkStart w:id="12" w:name="_Toc373140416"/>
      <w:bookmarkEnd w:id="8"/>
      <w:bookmarkEnd w:id="9"/>
      <w:bookmarkEnd w:id="10"/>
      <w:bookmarkEnd w:id="11"/>
      <w:r>
        <w:lastRenderedPageBreak/>
        <w:t>Abbreviations</w:t>
      </w:r>
      <w:bookmarkEnd w:id="12"/>
    </w:p>
    <w:p w:rsidR="00196FB4" w:rsidRDefault="00196FB4" w:rsidP="00196FB4">
      <w:pPr>
        <w:pStyle w:val="Abbreviation"/>
      </w:pPr>
      <w:r>
        <w:t>ABS</w:t>
      </w:r>
      <w:r>
        <w:tab/>
      </w:r>
      <w:r w:rsidRPr="00704F97">
        <w:t>Australian Bureau of Statistics</w:t>
      </w:r>
    </w:p>
    <w:p w:rsidR="00196FB4" w:rsidRDefault="00196FB4" w:rsidP="00196FB4">
      <w:pPr>
        <w:pStyle w:val="Abbreviation"/>
        <w:rPr>
          <w:szCs w:val="26"/>
        </w:rPr>
      </w:pPr>
      <w:r>
        <w:rPr>
          <w:szCs w:val="26"/>
        </w:rPr>
        <w:t>ACCC</w:t>
      </w:r>
      <w:r>
        <w:rPr>
          <w:szCs w:val="26"/>
        </w:rPr>
        <w:tab/>
        <w:t xml:space="preserve">Australian Competition and Consumer Commission </w:t>
      </w:r>
    </w:p>
    <w:p w:rsidR="00196FB4" w:rsidRDefault="00196FB4" w:rsidP="00196FB4">
      <w:pPr>
        <w:pStyle w:val="Abbreviation"/>
      </w:pPr>
      <w:r>
        <w:t>ACG</w:t>
      </w:r>
      <w:r>
        <w:tab/>
        <w:t>Allen Consulting Group</w:t>
      </w:r>
    </w:p>
    <w:p w:rsidR="00196FB4" w:rsidRPr="003A7D6B" w:rsidRDefault="00196FB4" w:rsidP="00196FB4">
      <w:pPr>
        <w:pStyle w:val="Abbreviation"/>
      </w:pPr>
      <w:r w:rsidRPr="003A7D6B">
        <w:t xml:space="preserve">ACTPLA </w:t>
      </w:r>
      <w:r>
        <w:tab/>
      </w:r>
      <w:r w:rsidRPr="003A7D6B">
        <w:t xml:space="preserve">ACT Planning and Land Authority </w:t>
      </w:r>
    </w:p>
    <w:p w:rsidR="00196FB4" w:rsidRDefault="00196FB4" w:rsidP="00196FB4">
      <w:pPr>
        <w:pStyle w:val="Abbreviation"/>
        <w:rPr>
          <w:szCs w:val="26"/>
        </w:rPr>
      </w:pPr>
      <w:r>
        <w:rPr>
          <w:szCs w:val="26"/>
        </w:rPr>
        <w:t>AMEC</w:t>
      </w:r>
      <w:r>
        <w:rPr>
          <w:szCs w:val="26"/>
        </w:rPr>
        <w:tab/>
      </w:r>
      <w:r w:rsidRPr="006F3B87">
        <w:rPr>
          <w:szCs w:val="26"/>
        </w:rPr>
        <w:t>Association of Mining and Exploration Companies</w:t>
      </w:r>
    </w:p>
    <w:p w:rsidR="00196FB4" w:rsidRDefault="00196FB4" w:rsidP="00196FB4">
      <w:pPr>
        <w:pStyle w:val="Abbreviation"/>
      </w:pPr>
      <w:r>
        <w:t>ANEDO</w:t>
      </w:r>
      <w:r>
        <w:tab/>
      </w:r>
      <w:r w:rsidRPr="00571F87">
        <w:t>Australian Network of Environmental Defender</w:t>
      </w:r>
      <w:r>
        <w:t>’</w:t>
      </w:r>
      <w:r w:rsidRPr="00571F87">
        <w:t>s Offices</w:t>
      </w:r>
    </w:p>
    <w:p w:rsidR="00196FB4" w:rsidRDefault="00196FB4" w:rsidP="00196FB4">
      <w:pPr>
        <w:pStyle w:val="Abbreviation"/>
      </w:pPr>
      <w:r>
        <w:t>APPEA</w:t>
      </w:r>
      <w:r>
        <w:tab/>
      </w:r>
      <w:r w:rsidRPr="00917937">
        <w:t>Australian Petroleum Production and Exploration Association</w:t>
      </w:r>
    </w:p>
    <w:p w:rsidR="00196FB4" w:rsidRDefault="00196FB4" w:rsidP="00196FB4">
      <w:pPr>
        <w:pStyle w:val="Abbreviation"/>
      </w:pPr>
      <w:r>
        <w:t>BAF</w:t>
      </w:r>
      <w:r>
        <w:tab/>
        <w:t>Business Advisory Forum</w:t>
      </w:r>
    </w:p>
    <w:p w:rsidR="00196FB4" w:rsidRDefault="00196FB4" w:rsidP="00196FB4">
      <w:pPr>
        <w:pStyle w:val="Abbreviation"/>
      </w:pPr>
      <w:r>
        <w:t>BCA</w:t>
      </w:r>
      <w:r>
        <w:tab/>
        <w:t>Business Council of Australia</w:t>
      </w:r>
    </w:p>
    <w:p w:rsidR="00196FB4" w:rsidRDefault="00196FB4" w:rsidP="00196FB4">
      <w:pPr>
        <w:pStyle w:val="Abbreviation"/>
      </w:pPr>
      <w:r>
        <w:t>BCC</w:t>
      </w:r>
      <w:r>
        <w:tab/>
      </w:r>
      <w:r w:rsidRPr="00C26C7B">
        <w:t>Brisbane City Council</w:t>
      </w:r>
    </w:p>
    <w:p w:rsidR="00196FB4" w:rsidRDefault="00196FB4" w:rsidP="00196FB4">
      <w:pPr>
        <w:pStyle w:val="Abbreviation"/>
      </w:pPr>
      <w:r>
        <w:t>BREE</w:t>
      </w:r>
      <w:r>
        <w:tab/>
      </w:r>
      <w:r w:rsidRPr="00704F97">
        <w:t>Bureau of Resources and Energy Economics</w:t>
      </w:r>
    </w:p>
    <w:p w:rsidR="00196FB4" w:rsidRDefault="00196FB4" w:rsidP="00196FB4">
      <w:pPr>
        <w:pStyle w:val="Abbreviation"/>
      </w:pPr>
      <w:r>
        <w:t>CEAA</w:t>
      </w:r>
      <w:r>
        <w:tab/>
      </w:r>
      <w:r w:rsidRPr="0035546D">
        <w:t>Canadia</w:t>
      </w:r>
      <w:r>
        <w:t>n Environment Assessment Agency</w:t>
      </w:r>
    </w:p>
    <w:p w:rsidR="00196FB4" w:rsidRDefault="00196FB4" w:rsidP="00196FB4">
      <w:pPr>
        <w:pStyle w:val="Abbreviation"/>
      </w:pPr>
      <w:r>
        <w:t>CMEWA</w:t>
      </w:r>
      <w:r w:rsidRPr="00254080">
        <w:t xml:space="preserve"> </w:t>
      </w:r>
      <w:r>
        <w:tab/>
        <w:t>Chamber of Minerals and Energy of Western Australia</w:t>
      </w:r>
    </w:p>
    <w:p w:rsidR="00196FB4" w:rsidRDefault="00196FB4" w:rsidP="00196FB4">
      <w:pPr>
        <w:pStyle w:val="Abbreviation"/>
      </w:pPr>
      <w:r>
        <w:t>COAG</w:t>
      </w:r>
      <w:r>
        <w:tab/>
        <w:t>Council of Australian Governments</w:t>
      </w:r>
    </w:p>
    <w:p w:rsidR="00196FB4" w:rsidRDefault="00196FB4" w:rsidP="00196FB4">
      <w:pPr>
        <w:pStyle w:val="Abbreviation"/>
      </w:pPr>
      <w:r>
        <w:t>CSG</w:t>
      </w:r>
      <w:r>
        <w:tab/>
        <w:t>Coal seam gas</w:t>
      </w:r>
    </w:p>
    <w:p w:rsidR="00196FB4" w:rsidRDefault="00196FB4" w:rsidP="00196FB4">
      <w:pPr>
        <w:pStyle w:val="Abbreviation"/>
      </w:pPr>
      <w:r>
        <w:t>DAA</w:t>
      </w:r>
      <w:r>
        <w:tab/>
        <w:t>Development assessment and approval</w:t>
      </w:r>
    </w:p>
    <w:p w:rsidR="00196FB4" w:rsidRDefault="00196FB4" w:rsidP="00196FB4">
      <w:pPr>
        <w:pStyle w:val="Abbreviation"/>
      </w:pPr>
      <w:r>
        <w:rPr>
          <w:rFonts w:ascii="TimesNewRomanPSMT" w:hAnsi="TimesNewRomanPSMT" w:cs="TimesNewRomanPSMT"/>
          <w:szCs w:val="26"/>
          <w:lang w:eastAsia="en-AU"/>
        </w:rPr>
        <w:t>DAC</w:t>
      </w:r>
      <w:r>
        <w:rPr>
          <w:rFonts w:ascii="TimesNewRomanPSMT" w:hAnsi="TimesNewRomanPSMT" w:cs="TimesNewRomanPSMT"/>
          <w:szCs w:val="26"/>
          <w:lang w:eastAsia="en-AU"/>
        </w:rPr>
        <w:tab/>
        <w:t>Development Assessment Commission</w:t>
      </w:r>
    </w:p>
    <w:p w:rsidR="00196FB4" w:rsidRDefault="00196FB4" w:rsidP="00196FB4">
      <w:pPr>
        <w:pStyle w:val="Abbreviation"/>
      </w:pPr>
      <w:r>
        <w:t>DAE</w:t>
      </w:r>
      <w:r>
        <w:tab/>
      </w:r>
      <w:r w:rsidRPr="00704F97">
        <w:t>Deloitte Access Economics</w:t>
      </w:r>
    </w:p>
    <w:p w:rsidR="00196FB4" w:rsidRDefault="00196FB4" w:rsidP="00196FB4">
      <w:pPr>
        <w:pStyle w:val="Abbreviation"/>
      </w:pPr>
      <w:r>
        <w:t>DAF</w:t>
      </w:r>
      <w:r>
        <w:tab/>
      </w:r>
      <w:r w:rsidRPr="009011F8">
        <w:t>Development Assessment Forum</w:t>
      </w:r>
    </w:p>
    <w:p w:rsidR="00196FB4" w:rsidRDefault="00196FB4" w:rsidP="00196FB4">
      <w:pPr>
        <w:pStyle w:val="Abbreviation"/>
      </w:pPr>
      <w:r>
        <w:rPr>
          <w:rFonts w:ascii="TimesNewRomanPSMT" w:hAnsi="TimesNewRomanPSMT" w:cs="TimesNewRomanPSMT"/>
          <w:szCs w:val="26"/>
          <w:lang w:eastAsia="en-AU"/>
        </w:rPr>
        <w:t>DAP</w:t>
      </w:r>
      <w:r>
        <w:rPr>
          <w:rFonts w:ascii="TimesNewRomanPSMT" w:hAnsi="TimesNewRomanPSMT" w:cs="TimesNewRomanPSMT"/>
          <w:szCs w:val="26"/>
          <w:lang w:eastAsia="en-AU"/>
        </w:rPr>
        <w:tab/>
        <w:t>Development Assessment Panel</w:t>
      </w:r>
    </w:p>
    <w:p w:rsidR="00196FB4" w:rsidRDefault="00196FB4" w:rsidP="00196FB4">
      <w:pPr>
        <w:pStyle w:val="Abbreviation"/>
      </w:pPr>
      <w:r>
        <w:t>DSEWPAC</w:t>
      </w:r>
      <w:r>
        <w:tab/>
      </w:r>
      <w:r w:rsidRPr="00917937">
        <w:t>Department of Sustainability, Environment, Water, Population and Communities</w:t>
      </w:r>
    </w:p>
    <w:p w:rsidR="00196FB4" w:rsidRDefault="00196FB4" w:rsidP="00196FB4">
      <w:pPr>
        <w:pStyle w:val="Abbreviation"/>
      </w:pPr>
      <w:proofErr w:type="spellStart"/>
      <w:r>
        <w:t>EES</w:t>
      </w:r>
      <w:proofErr w:type="spellEnd"/>
      <w:r>
        <w:tab/>
        <w:t>Environment e</w:t>
      </w:r>
      <w:r w:rsidRPr="005A208D">
        <w:t xml:space="preserve">ffects </w:t>
      </w:r>
      <w:r>
        <w:t>s</w:t>
      </w:r>
      <w:r w:rsidRPr="005A208D">
        <w:t>tatement</w:t>
      </w:r>
    </w:p>
    <w:p w:rsidR="00196FB4" w:rsidRDefault="00196FB4" w:rsidP="00196FB4">
      <w:pPr>
        <w:pStyle w:val="Abbreviation"/>
      </w:pPr>
      <w:r>
        <w:t>EIA</w:t>
      </w:r>
      <w:r>
        <w:tab/>
        <w:t>Environmental impact assessment</w:t>
      </w:r>
    </w:p>
    <w:p w:rsidR="00196FB4" w:rsidRDefault="00196FB4" w:rsidP="00196FB4">
      <w:pPr>
        <w:pStyle w:val="Abbreviation"/>
      </w:pPr>
      <w:r>
        <w:t>EIS</w:t>
      </w:r>
      <w:r>
        <w:tab/>
        <w:t>Environmental impact statement</w:t>
      </w:r>
    </w:p>
    <w:p w:rsidR="00196FB4" w:rsidRDefault="00196FB4" w:rsidP="00196FB4">
      <w:pPr>
        <w:pStyle w:val="Abbreviation"/>
      </w:pPr>
      <w:r>
        <w:lastRenderedPageBreak/>
        <w:t>EPA</w:t>
      </w:r>
      <w:r>
        <w:tab/>
        <w:t>Environmental Protection Authority</w:t>
      </w:r>
    </w:p>
    <w:p w:rsidR="00196FB4" w:rsidRPr="006206A6" w:rsidRDefault="00196FB4" w:rsidP="00196FB4">
      <w:pPr>
        <w:pStyle w:val="Abbreviation"/>
      </w:pPr>
      <w:r>
        <w:t>EPBC Act</w:t>
      </w:r>
      <w:r>
        <w:tab/>
      </w:r>
      <w:r w:rsidRPr="00084CE3">
        <w:rPr>
          <w:i/>
        </w:rPr>
        <w:t>Environment Protection and Biodiversity Conservation Act 1999</w:t>
      </w:r>
      <w:r w:rsidR="006206A6">
        <w:rPr>
          <w:i/>
        </w:rPr>
        <w:t xml:space="preserve"> </w:t>
      </w:r>
      <w:r w:rsidR="006206A6" w:rsidRPr="006206A6">
        <w:t>(Cwlth)</w:t>
      </w:r>
    </w:p>
    <w:p w:rsidR="00196FB4" w:rsidRDefault="00196FB4" w:rsidP="00196FB4">
      <w:pPr>
        <w:pStyle w:val="Abbreviation"/>
      </w:pPr>
      <w:r>
        <w:t>ESD</w:t>
      </w:r>
      <w:r>
        <w:tab/>
      </w:r>
      <w:r w:rsidRPr="00917937">
        <w:t xml:space="preserve">Ecologically </w:t>
      </w:r>
      <w:r>
        <w:t>s</w:t>
      </w:r>
      <w:r w:rsidRPr="00917937">
        <w:t xml:space="preserve">ustainable </w:t>
      </w:r>
      <w:r>
        <w:t>d</w:t>
      </w:r>
      <w:r w:rsidRPr="00917937">
        <w:t>evelopment</w:t>
      </w:r>
    </w:p>
    <w:p w:rsidR="00196FB4" w:rsidRDefault="00196FB4" w:rsidP="00196FB4">
      <w:pPr>
        <w:pStyle w:val="Abbreviation"/>
      </w:pPr>
      <w:r>
        <w:t>GDP</w:t>
      </w:r>
      <w:r>
        <w:tab/>
        <w:t>Gross Domestic Product</w:t>
      </w:r>
    </w:p>
    <w:p w:rsidR="00196FB4" w:rsidRDefault="00196FB4" w:rsidP="00196FB4">
      <w:pPr>
        <w:pStyle w:val="Abbreviation"/>
      </w:pPr>
      <w:r>
        <w:t>IC</w:t>
      </w:r>
      <w:r>
        <w:tab/>
        <w:t>Industry Commission</w:t>
      </w:r>
    </w:p>
    <w:p w:rsidR="00196FB4" w:rsidRDefault="00196FB4" w:rsidP="00196FB4">
      <w:pPr>
        <w:pStyle w:val="Abbreviation"/>
      </w:pPr>
      <w:r>
        <w:t>ICAC</w:t>
      </w:r>
      <w:r>
        <w:tab/>
        <w:t xml:space="preserve">Independent Commission Against Corruption </w:t>
      </w:r>
    </w:p>
    <w:p w:rsidR="00196FB4" w:rsidRDefault="00196FB4" w:rsidP="00196FB4">
      <w:pPr>
        <w:pStyle w:val="Abbreviation"/>
      </w:pPr>
      <w:r>
        <w:t>LNG</w:t>
      </w:r>
      <w:r>
        <w:tab/>
      </w:r>
      <w:r w:rsidRPr="00F919BA">
        <w:t>Liquefied natural gas</w:t>
      </w:r>
    </w:p>
    <w:p w:rsidR="00196FB4" w:rsidRDefault="00196FB4" w:rsidP="00196FB4">
      <w:pPr>
        <w:pStyle w:val="Abbreviation"/>
      </w:pPr>
      <w:r>
        <w:t>MNES</w:t>
      </w:r>
      <w:r>
        <w:tab/>
        <w:t>Matters of national environmental significance</w:t>
      </w:r>
    </w:p>
    <w:p w:rsidR="00196FB4" w:rsidRDefault="00196FB4" w:rsidP="00196FB4">
      <w:pPr>
        <w:pStyle w:val="Abbreviation"/>
      </w:pPr>
      <w:r>
        <w:t>MOU</w:t>
      </w:r>
      <w:r>
        <w:tab/>
        <w:t>Memorandum of understanding</w:t>
      </w:r>
    </w:p>
    <w:p w:rsidR="00196FB4" w:rsidRDefault="00196FB4" w:rsidP="00196FB4">
      <w:pPr>
        <w:pStyle w:val="Abbreviation"/>
      </w:pPr>
      <w:r>
        <w:t>MPCO</w:t>
      </w:r>
      <w:r>
        <w:tab/>
      </w:r>
      <w:r w:rsidRPr="00323CA8">
        <w:t xml:space="preserve">Major Projects </w:t>
      </w:r>
      <w:r>
        <w:t xml:space="preserve">Coordination </w:t>
      </w:r>
      <w:r w:rsidRPr="00323CA8">
        <w:t>Office</w:t>
      </w:r>
    </w:p>
    <w:p w:rsidR="00196FB4" w:rsidRDefault="00196FB4" w:rsidP="00196FB4">
      <w:pPr>
        <w:pStyle w:val="Abbreviation"/>
      </w:pPr>
      <w:r>
        <w:t>MPMO</w:t>
      </w:r>
      <w:r>
        <w:tab/>
      </w:r>
      <w:r w:rsidRPr="00F03FF6">
        <w:t>Major Projects Management Office</w:t>
      </w:r>
    </w:p>
    <w:p w:rsidR="00196FB4" w:rsidRDefault="00196FB4" w:rsidP="00196FB4">
      <w:pPr>
        <w:pStyle w:val="Abbreviation"/>
      </w:pPr>
      <w:r>
        <w:t>NCEA</w:t>
      </w:r>
      <w:r>
        <w:tab/>
      </w:r>
      <w:r w:rsidRPr="0035546D">
        <w:t>Netherlands Commissi</w:t>
      </w:r>
      <w:r>
        <w:t>on for Environmental Assessment</w:t>
      </w:r>
    </w:p>
    <w:p w:rsidR="00196FB4" w:rsidRDefault="00196FB4" w:rsidP="00196FB4">
      <w:pPr>
        <w:pStyle w:val="Abbreviation"/>
      </w:pPr>
      <w:r>
        <w:t>NEB</w:t>
      </w:r>
      <w:r>
        <w:tab/>
        <w:t>National Energy Board</w:t>
      </w:r>
      <w:r w:rsidR="006206A6">
        <w:t xml:space="preserve"> (Canada)</w:t>
      </w:r>
    </w:p>
    <w:p w:rsidR="00196FB4" w:rsidRDefault="00196FB4" w:rsidP="00196FB4">
      <w:pPr>
        <w:pStyle w:val="Abbreviation"/>
      </w:pPr>
      <w:r>
        <w:t>NEC</w:t>
      </w:r>
      <w:r>
        <w:tab/>
        <w:t xml:space="preserve">National Environment Commission </w:t>
      </w:r>
    </w:p>
    <w:p w:rsidR="00196FB4" w:rsidRDefault="00196FB4" w:rsidP="00196FB4">
      <w:pPr>
        <w:pStyle w:val="Abbreviation"/>
      </w:pPr>
      <w:r>
        <w:t>NOPSEMA</w:t>
      </w:r>
      <w:r>
        <w:tab/>
      </w:r>
      <w:r w:rsidRPr="00084CE3">
        <w:t>National Offshore Petroleum Safety and Environmental Management Authority</w:t>
      </w:r>
    </w:p>
    <w:p w:rsidR="00196FB4" w:rsidRDefault="00196FB4" w:rsidP="00196FB4">
      <w:pPr>
        <w:pStyle w:val="Abbreviation"/>
      </w:pPr>
      <w:r>
        <w:t>NWI</w:t>
      </w:r>
      <w:r>
        <w:tab/>
        <w:t>National Water Initiative</w:t>
      </w:r>
    </w:p>
    <w:p w:rsidR="00196FB4" w:rsidRDefault="00196FB4" w:rsidP="00196FB4">
      <w:pPr>
        <w:pStyle w:val="Abbreviation"/>
      </w:pPr>
      <w:r>
        <w:t>OECD</w:t>
      </w:r>
      <w:r>
        <w:tab/>
      </w:r>
      <w:r w:rsidRPr="00084CE3">
        <w:t>Organisation for Economic Co-operation and Development</w:t>
      </w:r>
    </w:p>
    <w:p w:rsidR="00196FB4" w:rsidRPr="006206A6" w:rsidRDefault="00196FB4" w:rsidP="00196FB4">
      <w:pPr>
        <w:pStyle w:val="Abbreviation"/>
      </w:pPr>
      <w:r>
        <w:t>OPGGS Act</w:t>
      </w:r>
      <w:r>
        <w:tab/>
      </w:r>
      <w:r w:rsidRPr="00084CE3">
        <w:rPr>
          <w:i/>
        </w:rPr>
        <w:t>Offshore Petroleum and Greenhouse Gas Storage Act 2006</w:t>
      </w:r>
      <w:r w:rsidR="006206A6">
        <w:rPr>
          <w:i/>
        </w:rPr>
        <w:t xml:space="preserve"> </w:t>
      </w:r>
      <w:r w:rsidR="006206A6" w:rsidRPr="006206A6">
        <w:t>(Cwlth)</w:t>
      </w:r>
    </w:p>
    <w:p w:rsidR="00196FB4" w:rsidRDefault="00196FB4" w:rsidP="00196FB4">
      <w:pPr>
        <w:pStyle w:val="Abbreviation"/>
      </w:pPr>
      <w:r>
        <w:t>PAC</w:t>
      </w:r>
      <w:r>
        <w:tab/>
        <w:t>Planning Assessment Commission</w:t>
      </w:r>
    </w:p>
    <w:p w:rsidR="00196FB4" w:rsidRDefault="00196FB4" w:rsidP="00196FB4">
      <w:pPr>
        <w:pStyle w:val="Abbreviation"/>
      </w:pPr>
      <w:r>
        <w:t>PC</w:t>
      </w:r>
      <w:r>
        <w:tab/>
        <w:t>Productivity Commission</w:t>
      </w:r>
    </w:p>
    <w:p w:rsidR="00196FB4" w:rsidRDefault="00196FB4" w:rsidP="00196FB4">
      <w:pPr>
        <w:pStyle w:val="Abbreviation"/>
      </w:pPr>
      <w:r>
        <w:t>QRC</w:t>
      </w:r>
      <w:r>
        <w:tab/>
      </w:r>
      <w:r w:rsidRPr="00917937">
        <w:t>Queensland Resources Council</w:t>
      </w:r>
    </w:p>
    <w:p w:rsidR="00196FB4" w:rsidRDefault="00196FB4" w:rsidP="00196FB4">
      <w:pPr>
        <w:pStyle w:val="Abbreviation"/>
      </w:pPr>
      <w:r>
        <w:t>RIS</w:t>
      </w:r>
      <w:r>
        <w:tab/>
        <w:t>Regulatory impact statement</w:t>
      </w:r>
    </w:p>
    <w:p w:rsidR="00196FB4" w:rsidRDefault="00196FB4" w:rsidP="00196FB4">
      <w:pPr>
        <w:pStyle w:val="Abbreviation"/>
      </w:pPr>
      <w:r>
        <w:t>SEA</w:t>
      </w:r>
      <w:r>
        <w:tab/>
        <w:t>Strategic environmental assessment</w:t>
      </w:r>
    </w:p>
    <w:p w:rsidR="00196FB4" w:rsidRDefault="00196FB4" w:rsidP="00196FB4">
      <w:pPr>
        <w:pStyle w:val="Abbreviation"/>
      </w:pPr>
      <w:r>
        <w:t>SIA</w:t>
      </w:r>
      <w:r>
        <w:tab/>
        <w:t>Social impact assessment</w:t>
      </w:r>
    </w:p>
    <w:p w:rsidR="00196FB4" w:rsidRDefault="00196FB4" w:rsidP="00196FB4">
      <w:pPr>
        <w:pStyle w:val="Abbreviation"/>
      </w:pPr>
      <w:r>
        <w:t>SSD</w:t>
      </w:r>
      <w:r>
        <w:tab/>
        <w:t xml:space="preserve">State significant development </w:t>
      </w:r>
    </w:p>
    <w:p w:rsidR="00196FB4" w:rsidRDefault="00196FB4" w:rsidP="00196FB4">
      <w:pPr>
        <w:pStyle w:val="Abbreviation"/>
      </w:pPr>
      <w:r>
        <w:t>SSI</w:t>
      </w:r>
      <w:r>
        <w:tab/>
        <w:t>State significant infrastructure</w:t>
      </w:r>
    </w:p>
    <w:p w:rsidR="00196FB4" w:rsidRDefault="00196FB4" w:rsidP="00196FB4">
      <w:pPr>
        <w:pStyle w:val="Abbreviation"/>
      </w:pPr>
      <w:r>
        <w:t>TOR</w:t>
      </w:r>
      <w:r>
        <w:tab/>
        <w:t>Terms of reference</w:t>
      </w:r>
    </w:p>
    <w:p w:rsidR="003632D9" w:rsidRPr="004D5E3F" w:rsidRDefault="00196FB4" w:rsidP="00196FB4">
      <w:pPr>
        <w:pStyle w:val="Abbreviation"/>
        <w:rPr>
          <w:rStyle w:val="BodyTextChar"/>
        </w:rPr>
      </w:pPr>
      <w:r>
        <w:t>VCEC</w:t>
      </w:r>
      <w:r>
        <w:tab/>
      </w:r>
      <w:r w:rsidRPr="00704F97">
        <w:t>Victorian Competition and Efficiency Commission</w:t>
      </w:r>
    </w:p>
    <w:sectPr w:rsidR="003632D9" w:rsidRPr="004D5E3F" w:rsidSect="00C55A45">
      <w:headerReference w:type="even" r:id="rId22"/>
      <w:headerReference w:type="default" r:id="rId23"/>
      <w:footerReference w:type="even" r:id="rId24"/>
      <w:footerReference w:type="default" r:id="rId25"/>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36C" w:rsidRDefault="0019536C">
      <w:r>
        <w:separator/>
      </w:r>
    </w:p>
    <w:p w:rsidR="0019536C" w:rsidRDefault="0019536C"/>
    <w:p w:rsidR="0019536C" w:rsidRDefault="0019536C"/>
  </w:endnote>
  <w:endnote w:type="continuationSeparator" w:id="0">
    <w:p w:rsidR="0019536C" w:rsidRDefault="0019536C">
      <w:r>
        <w:continuationSeparator/>
      </w:r>
    </w:p>
    <w:p w:rsidR="0019536C" w:rsidRDefault="0019536C"/>
    <w:p w:rsidR="0019536C" w:rsidRDefault="001953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196FB4">
      <w:trPr>
        <w:trHeight w:hRule="exact" w:val="740"/>
      </w:trPr>
      <w:tc>
        <w:tcPr>
          <w:tcW w:w="510" w:type="dxa"/>
          <w:tcBorders>
            <w:top w:val="single" w:sz="6" w:space="0" w:color="auto"/>
          </w:tcBorders>
        </w:tcPr>
        <w:p w:rsidR="00196FB4" w:rsidRPr="008A654B" w:rsidRDefault="00196FB4">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sidR="009523B3">
            <w:rPr>
              <w:rStyle w:val="PageNumber"/>
              <w:caps w:val="0"/>
              <w:noProof/>
            </w:rPr>
            <w:t>iv</w:t>
          </w:r>
          <w:r w:rsidRPr="008A654B">
            <w:rPr>
              <w:rStyle w:val="PageNumber"/>
              <w:caps w:val="0"/>
            </w:rPr>
            <w:fldChar w:fldCharType="end"/>
          </w:r>
        </w:p>
      </w:tc>
      <w:tc>
        <w:tcPr>
          <w:tcW w:w="1830" w:type="dxa"/>
          <w:tcBorders>
            <w:top w:val="single" w:sz="6" w:space="0" w:color="auto"/>
          </w:tcBorders>
        </w:tcPr>
        <w:p w:rsidR="00196FB4" w:rsidRDefault="007D73A1">
          <w:pPr>
            <w:pStyle w:val="Footer"/>
          </w:pPr>
          <w:r>
            <w:fldChar w:fldCharType="begin"/>
          </w:r>
          <w:r>
            <w:instrText xml:space="preserve"> STYLEREF "Heading 1" \* MERGEFORMAT </w:instrText>
          </w:r>
          <w:r>
            <w:fldChar w:fldCharType="separate"/>
          </w:r>
          <w:r w:rsidR="00326472">
            <w:rPr>
              <w:noProof/>
            </w:rPr>
            <w:t>Foreword</w:t>
          </w:r>
          <w:r>
            <w:rPr>
              <w:noProof/>
            </w:rPr>
            <w:fldChar w:fldCharType="end"/>
          </w:r>
        </w:p>
      </w:tc>
      <w:tc>
        <w:tcPr>
          <w:tcW w:w="6448" w:type="dxa"/>
        </w:tcPr>
        <w:p w:rsidR="00196FB4" w:rsidRDefault="00196FB4">
          <w:pPr>
            <w:pStyle w:val="Footer"/>
          </w:pPr>
        </w:p>
      </w:tc>
    </w:tr>
  </w:tbl>
  <w:p w:rsidR="00196FB4" w:rsidRDefault="00196FB4">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196FB4">
      <w:trPr>
        <w:trHeight w:hRule="exact" w:val="740"/>
      </w:trPr>
      <w:tc>
        <w:tcPr>
          <w:tcW w:w="6480" w:type="dxa"/>
        </w:tcPr>
        <w:p w:rsidR="00196FB4" w:rsidRDefault="00196FB4">
          <w:pPr>
            <w:pStyle w:val="Footer"/>
          </w:pPr>
        </w:p>
      </w:tc>
      <w:tc>
        <w:tcPr>
          <w:tcW w:w="1798" w:type="dxa"/>
          <w:tcBorders>
            <w:top w:val="single" w:sz="6" w:space="0" w:color="auto"/>
          </w:tcBorders>
        </w:tcPr>
        <w:p w:rsidR="00196FB4" w:rsidRDefault="007D73A1">
          <w:pPr>
            <w:pStyle w:val="Footer"/>
            <w:rPr>
              <w:rStyle w:val="PageNumber"/>
              <w:b w:val="0"/>
            </w:rPr>
          </w:pPr>
          <w:r>
            <w:fldChar w:fldCharType="begin"/>
          </w:r>
          <w:r>
            <w:instrText xml:space="preserve"> STYLEREF "Heading 1" \* MERGEFORMAT </w:instrText>
          </w:r>
          <w:r>
            <w:fldChar w:fldCharType="separate"/>
          </w:r>
          <w:r>
            <w:rPr>
              <w:noProof/>
            </w:rPr>
            <w:t>Foreword</w:t>
          </w:r>
          <w:r>
            <w:rPr>
              <w:noProof/>
            </w:rPr>
            <w:fldChar w:fldCharType="end"/>
          </w:r>
        </w:p>
      </w:tc>
      <w:tc>
        <w:tcPr>
          <w:tcW w:w="510" w:type="dxa"/>
          <w:tcBorders>
            <w:top w:val="single" w:sz="6" w:space="0" w:color="auto"/>
          </w:tcBorders>
        </w:tcPr>
        <w:p w:rsidR="00196FB4" w:rsidRPr="00B4787B" w:rsidRDefault="00196FB4" w:rsidP="00537BB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7D73A1">
            <w:rPr>
              <w:rStyle w:val="PageNumber"/>
              <w:smallCaps w:val="0"/>
              <w:noProof/>
            </w:rPr>
            <w:t>iii</w:t>
          </w:r>
          <w:r w:rsidRPr="00B4787B">
            <w:rPr>
              <w:rStyle w:val="PageNumber"/>
              <w:smallCaps w:val="0"/>
            </w:rPr>
            <w:fldChar w:fldCharType="end"/>
          </w:r>
        </w:p>
      </w:tc>
    </w:tr>
  </w:tbl>
  <w:p w:rsidR="00196FB4" w:rsidRDefault="00196FB4">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96FB4">
      <w:trPr>
        <w:trHeight w:hRule="exact" w:val="740"/>
      </w:trPr>
      <w:tc>
        <w:tcPr>
          <w:tcW w:w="510" w:type="dxa"/>
          <w:tcBorders>
            <w:top w:val="single" w:sz="6" w:space="0" w:color="auto"/>
          </w:tcBorders>
        </w:tcPr>
        <w:p w:rsidR="00196FB4" w:rsidRPr="008206EE" w:rsidRDefault="00196FB4">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447153">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196FB4" w:rsidRPr="00603344" w:rsidRDefault="007D73A1" w:rsidP="006817C9">
          <w:pPr>
            <w:pStyle w:val="Footer"/>
          </w:pPr>
          <w:r>
            <w:fldChar w:fldCharType="begin"/>
          </w:r>
          <w:r>
            <w:instrText xml:space="preserve"> STYLEREF "Heading 1" \* MERGEFORMAT </w:instrText>
          </w:r>
          <w:r>
            <w:fldChar w:fldCharType="separate"/>
          </w:r>
          <w:r w:rsidR="00447153" w:rsidRPr="00447153">
            <w:rPr>
              <w:bCs/>
              <w:noProof/>
              <w:lang w:val="en-US"/>
            </w:rPr>
            <w:t>Foreword</w:t>
          </w:r>
          <w:r>
            <w:rPr>
              <w:bCs/>
              <w:noProof/>
              <w:lang w:val="en-US"/>
            </w:rPr>
            <w:fldChar w:fldCharType="end"/>
          </w:r>
        </w:p>
      </w:tc>
      <w:tc>
        <w:tcPr>
          <w:tcW w:w="6634" w:type="dxa"/>
        </w:tcPr>
        <w:p w:rsidR="00196FB4" w:rsidRPr="00603344" w:rsidRDefault="00196FB4">
          <w:pPr>
            <w:pStyle w:val="Footer"/>
            <w:rPr>
              <w:caps w:val="0"/>
            </w:rPr>
          </w:pPr>
        </w:p>
      </w:tc>
    </w:tr>
  </w:tbl>
  <w:p w:rsidR="00196FB4" w:rsidRDefault="00196FB4">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447153">
            <w:rPr>
              <w:rStyle w:val="PageNumber"/>
              <w:caps w:val="0"/>
              <w:noProof/>
            </w:rPr>
            <w:t>viii</w:t>
          </w:r>
          <w:r w:rsidRPr="008206EE">
            <w:rPr>
              <w:rStyle w:val="PageNumber"/>
              <w:caps w:val="0"/>
              <w:noProof/>
            </w:rPr>
            <w:fldChar w:fldCharType="end"/>
          </w:r>
        </w:p>
      </w:tc>
      <w:tc>
        <w:tcPr>
          <w:tcW w:w="1644" w:type="dxa"/>
          <w:tcBorders>
            <w:top w:val="single" w:sz="6" w:space="0" w:color="auto"/>
          </w:tcBorders>
        </w:tcPr>
        <w:p w:rsidR="00D37AC2" w:rsidRDefault="007D73A1">
          <w:pPr>
            <w:pStyle w:val="Footer"/>
          </w:pPr>
          <w:r>
            <w:fldChar w:fldCharType="begin"/>
          </w:r>
          <w:r>
            <w:instrText xml:space="preserve"> STYLEREF "Heading 1 Not TOC" \* MERGEFORMAT </w:instrText>
          </w:r>
          <w:r>
            <w:fldChar w:fldCharType="separate"/>
          </w:r>
          <w:r w:rsidR="00447153">
            <w:rPr>
              <w:noProof/>
            </w:rPr>
            <w:t>Contents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7D73A1">
            <w:rPr>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7D73A1">
            <w:rPr>
              <w:rStyle w:val="PageNumber"/>
              <w:caps w:val="0"/>
              <w:noProof/>
            </w:rPr>
            <w:t>xi</w:t>
          </w:r>
          <w:r w:rsidRPr="00C55A45">
            <w:rPr>
              <w:rStyle w:val="PageNumber"/>
              <w:caps w:val="0"/>
              <w:noProof/>
            </w:rPr>
            <w:fldChar w:fldCharType="end"/>
          </w: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7D73A1">
            <w:rPr>
              <w:rStyle w:val="PageNumber"/>
              <w:caps w:val="0"/>
              <w:noProof/>
            </w:rPr>
            <w:t>xii</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7D73A1">
            <w:rPr>
              <w:noProof/>
            </w:rPr>
            <w:t>Abbreviations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0F1DBC">
          <w:pPr>
            <w:pStyle w:val="Footer"/>
            <w:rPr>
              <w:rStyle w:val="PageNumber"/>
              <w:b w:val="0"/>
            </w:rPr>
          </w:pPr>
          <w:fldSimple w:instr=" STYLEREF &quot;Heading 1&quot; \* MERGEFORMAT ">
            <w:r w:rsidR="00447153">
              <w:rPr>
                <w:noProof/>
              </w:rPr>
              <w:t>Abbreviations</w:t>
            </w:r>
          </w:fldSimple>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447153">
            <w:rPr>
              <w:rStyle w:val="PageNumber"/>
              <w:caps w:val="0"/>
              <w:noProof/>
            </w:rPr>
            <w:t>xiii</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36C" w:rsidRDefault="0019536C">
      <w:r>
        <w:separator/>
      </w:r>
    </w:p>
    <w:p w:rsidR="0019536C" w:rsidRDefault="0019536C"/>
    <w:p w:rsidR="0019536C" w:rsidRDefault="0019536C"/>
  </w:footnote>
  <w:footnote w:type="continuationSeparator" w:id="0">
    <w:p w:rsidR="0019536C" w:rsidRDefault="0019536C">
      <w:r>
        <w:continuationSeparator/>
      </w:r>
    </w:p>
    <w:p w:rsidR="0019536C" w:rsidRDefault="0019536C"/>
    <w:p w:rsidR="0019536C" w:rsidRDefault="001953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96FB4">
      <w:tc>
        <w:tcPr>
          <w:tcW w:w="2155" w:type="dxa"/>
          <w:tcBorders>
            <w:top w:val="single" w:sz="24" w:space="0" w:color="auto"/>
          </w:tcBorders>
        </w:tcPr>
        <w:p w:rsidR="00196FB4" w:rsidRDefault="00196FB4">
          <w:pPr>
            <w:pStyle w:val="HeaderEven"/>
          </w:pPr>
        </w:p>
      </w:tc>
      <w:tc>
        <w:tcPr>
          <w:tcW w:w="6634" w:type="dxa"/>
          <w:tcBorders>
            <w:top w:val="single" w:sz="6" w:space="0" w:color="auto"/>
          </w:tcBorders>
        </w:tcPr>
        <w:p w:rsidR="00196FB4" w:rsidRDefault="00196FB4">
          <w:pPr>
            <w:pStyle w:val="HeaderEven"/>
          </w:pPr>
        </w:p>
      </w:tc>
    </w:tr>
  </w:tbl>
  <w:p w:rsidR="00196FB4" w:rsidRDefault="00196FB4">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96FB4">
      <w:tc>
        <w:tcPr>
          <w:tcW w:w="6634" w:type="dxa"/>
          <w:tcBorders>
            <w:top w:val="single" w:sz="6" w:space="0" w:color="auto"/>
          </w:tcBorders>
        </w:tcPr>
        <w:p w:rsidR="00196FB4" w:rsidRDefault="00196FB4">
          <w:pPr>
            <w:pStyle w:val="HeaderOdd"/>
          </w:pPr>
        </w:p>
      </w:tc>
      <w:tc>
        <w:tcPr>
          <w:tcW w:w="2155" w:type="dxa"/>
          <w:tcBorders>
            <w:top w:val="single" w:sz="24" w:space="0" w:color="auto"/>
          </w:tcBorders>
        </w:tcPr>
        <w:p w:rsidR="00196FB4" w:rsidRDefault="00196FB4">
          <w:pPr>
            <w:pStyle w:val="HeaderOdd"/>
          </w:pPr>
        </w:p>
      </w:tc>
    </w:tr>
  </w:tbl>
  <w:p w:rsidR="00196FB4" w:rsidRDefault="00196FB4">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196FB4">
      <w:tc>
        <w:tcPr>
          <w:tcW w:w="2155" w:type="dxa"/>
          <w:tcBorders>
            <w:top w:val="single" w:sz="24" w:space="0" w:color="auto"/>
          </w:tcBorders>
        </w:tcPr>
        <w:p w:rsidR="00196FB4" w:rsidRDefault="00196FB4">
          <w:pPr>
            <w:pStyle w:val="Header"/>
          </w:pPr>
        </w:p>
      </w:tc>
      <w:tc>
        <w:tcPr>
          <w:tcW w:w="6634" w:type="dxa"/>
          <w:tcBorders>
            <w:top w:val="single" w:sz="6" w:space="0" w:color="auto"/>
          </w:tcBorders>
        </w:tcPr>
        <w:p w:rsidR="00196FB4" w:rsidRDefault="00196FB4">
          <w:pPr>
            <w:pStyle w:val="Header"/>
          </w:pPr>
        </w:p>
      </w:tc>
    </w:tr>
  </w:tbl>
  <w:p w:rsidR="00196FB4" w:rsidRDefault="00196FB4">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96FB4" w:rsidTr="006817C9">
      <w:tc>
        <w:tcPr>
          <w:tcW w:w="6634" w:type="dxa"/>
          <w:tcBorders>
            <w:top w:val="single" w:sz="6" w:space="0" w:color="auto"/>
          </w:tcBorders>
        </w:tcPr>
        <w:p w:rsidR="00196FB4" w:rsidRDefault="00196FB4" w:rsidP="006817C9">
          <w:pPr>
            <w:pStyle w:val="HeaderOdd"/>
          </w:pPr>
        </w:p>
      </w:tc>
      <w:tc>
        <w:tcPr>
          <w:tcW w:w="2155" w:type="dxa"/>
          <w:tcBorders>
            <w:top w:val="single" w:sz="24" w:space="0" w:color="auto"/>
          </w:tcBorders>
        </w:tcPr>
        <w:p w:rsidR="00196FB4" w:rsidRDefault="00196FB4" w:rsidP="006817C9">
          <w:pPr>
            <w:pStyle w:val="HeaderOdd"/>
          </w:pPr>
        </w:p>
      </w:tc>
    </w:tr>
  </w:tbl>
  <w:p w:rsidR="00196FB4" w:rsidRPr="005C68FE" w:rsidRDefault="00196FB4" w:rsidP="006817C9">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FB4"/>
    <w:rsid w:val="00017AFC"/>
    <w:rsid w:val="00025878"/>
    <w:rsid w:val="00026B38"/>
    <w:rsid w:val="000502D3"/>
    <w:rsid w:val="000623BF"/>
    <w:rsid w:val="00095EEA"/>
    <w:rsid w:val="00097C15"/>
    <w:rsid w:val="000B416E"/>
    <w:rsid w:val="000F185F"/>
    <w:rsid w:val="000F1DBC"/>
    <w:rsid w:val="000F2F5F"/>
    <w:rsid w:val="00106041"/>
    <w:rsid w:val="0013399B"/>
    <w:rsid w:val="00181F4B"/>
    <w:rsid w:val="0019536C"/>
    <w:rsid w:val="00196FB3"/>
    <w:rsid w:val="00196FB4"/>
    <w:rsid w:val="001A5071"/>
    <w:rsid w:val="001B4E73"/>
    <w:rsid w:val="001B7F1E"/>
    <w:rsid w:val="001D4B1F"/>
    <w:rsid w:val="001D6629"/>
    <w:rsid w:val="001F2270"/>
    <w:rsid w:val="00205A82"/>
    <w:rsid w:val="00211BEE"/>
    <w:rsid w:val="002179C6"/>
    <w:rsid w:val="00225F43"/>
    <w:rsid w:val="00253541"/>
    <w:rsid w:val="00261607"/>
    <w:rsid w:val="00263DD1"/>
    <w:rsid w:val="00264D3B"/>
    <w:rsid w:val="00265685"/>
    <w:rsid w:val="00281D5F"/>
    <w:rsid w:val="002923AD"/>
    <w:rsid w:val="00296592"/>
    <w:rsid w:val="002A0A4B"/>
    <w:rsid w:val="002B636E"/>
    <w:rsid w:val="002B64D6"/>
    <w:rsid w:val="002C12F5"/>
    <w:rsid w:val="002D6FCE"/>
    <w:rsid w:val="00326472"/>
    <w:rsid w:val="003632D9"/>
    <w:rsid w:val="003B41E0"/>
    <w:rsid w:val="003D624D"/>
    <w:rsid w:val="003E7802"/>
    <w:rsid w:val="003F5E6B"/>
    <w:rsid w:val="00416F99"/>
    <w:rsid w:val="00433C81"/>
    <w:rsid w:val="00446D6B"/>
    <w:rsid w:val="00447153"/>
    <w:rsid w:val="00457B3F"/>
    <w:rsid w:val="00463022"/>
    <w:rsid w:val="00481CF0"/>
    <w:rsid w:val="004A7255"/>
    <w:rsid w:val="004A7D59"/>
    <w:rsid w:val="004B492A"/>
    <w:rsid w:val="004C0B0C"/>
    <w:rsid w:val="004D5E3F"/>
    <w:rsid w:val="004E52E2"/>
    <w:rsid w:val="004E6BB4"/>
    <w:rsid w:val="00510B5E"/>
    <w:rsid w:val="00515D43"/>
    <w:rsid w:val="0052544D"/>
    <w:rsid w:val="00551FB8"/>
    <w:rsid w:val="005537F6"/>
    <w:rsid w:val="00560F43"/>
    <w:rsid w:val="005654D0"/>
    <w:rsid w:val="005B17AB"/>
    <w:rsid w:val="005C68FE"/>
    <w:rsid w:val="00602523"/>
    <w:rsid w:val="00604351"/>
    <w:rsid w:val="00607D8A"/>
    <w:rsid w:val="0061590F"/>
    <w:rsid w:val="006206A6"/>
    <w:rsid w:val="00636497"/>
    <w:rsid w:val="00641AE2"/>
    <w:rsid w:val="0064456A"/>
    <w:rsid w:val="00650DDA"/>
    <w:rsid w:val="0065126A"/>
    <w:rsid w:val="006802D4"/>
    <w:rsid w:val="00683849"/>
    <w:rsid w:val="00691AB5"/>
    <w:rsid w:val="006E1E6B"/>
    <w:rsid w:val="006F0EAC"/>
    <w:rsid w:val="006F6A85"/>
    <w:rsid w:val="0070328D"/>
    <w:rsid w:val="00731F96"/>
    <w:rsid w:val="00734127"/>
    <w:rsid w:val="00735FEA"/>
    <w:rsid w:val="00743460"/>
    <w:rsid w:val="00743A27"/>
    <w:rsid w:val="00753DC6"/>
    <w:rsid w:val="0075578C"/>
    <w:rsid w:val="00766DFB"/>
    <w:rsid w:val="007734B5"/>
    <w:rsid w:val="0077536E"/>
    <w:rsid w:val="007809B8"/>
    <w:rsid w:val="007D73A1"/>
    <w:rsid w:val="007E069D"/>
    <w:rsid w:val="00806E54"/>
    <w:rsid w:val="008206EE"/>
    <w:rsid w:val="008214B1"/>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07734"/>
    <w:rsid w:val="00915300"/>
    <w:rsid w:val="00933B0C"/>
    <w:rsid w:val="00935676"/>
    <w:rsid w:val="009523B3"/>
    <w:rsid w:val="009747A8"/>
    <w:rsid w:val="0098401D"/>
    <w:rsid w:val="009A789F"/>
    <w:rsid w:val="009B12EF"/>
    <w:rsid w:val="009B6185"/>
    <w:rsid w:val="009E1E78"/>
    <w:rsid w:val="00A1597D"/>
    <w:rsid w:val="00A332F2"/>
    <w:rsid w:val="00A46989"/>
    <w:rsid w:val="00A51666"/>
    <w:rsid w:val="00A71CE9"/>
    <w:rsid w:val="00A72A19"/>
    <w:rsid w:val="00A75A30"/>
    <w:rsid w:val="00A93C82"/>
    <w:rsid w:val="00AB2A48"/>
    <w:rsid w:val="00AC3236"/>
    <w:rsid w:val="00AC6932"/>
    <w:rsid w:val="00AD4874"/>
    <w:rsid w:val="00AE1F8A"/>
    <w:rsid w:val="00B0261F"/>
    <w:rsid w:val="00B036B2"/>
    <w:rsid w:val="00B04D19"/>
    <w:rsid w:val="00B153C3"/>
    <w:rsid w:val="00B22087"/>
    <w:rsid w:val="00B44D36"/>
    <w:rsid w:val="00B456E2"/>
    <w:rsid w:val="00B722F2"/>
    <w:rsid w:val="00B95339"/>
    <w:rsid w:val="00BB334E"/>
    <w:rsid w:val="00BB5DCF"/>
    <w:rsid w:val="00BB7F0A"/>
    <w:rsid w:val="00BF59EA"/>
    <w:rsid w:val="00BF79CD"/>
    <w:rsid w:val="00C0721B"/>
    <w:rsid w:val="00C34C8C"/>
    <w:rsid w:val="00C50792"/>
    <w:rsid w:val="00C55A45"/>
    <w:rsid w:val="00C904D9"/>
    <w:rsid w:val="00C924C2"/>
    <w:rsid w:val="00C94C06"/>
    <w:rsid w:val="00CA48BF"/>
    <w:rsid w:val="00CB3ACC"/>
    <w:rsid w:val="00CB4745"/>
    <w:rsid w:val="00CC359C"/>
    <w:rsid w:val="00CD2163"/>
    <w:rsid w:val="00CD4FE7"/>
    <w:rsid w:val="00CD5E6B"/>
    <w:rsid w:val="00CE5D96"/>
    <w:rsid w:val="00CE7344"/>
    <w:rsid w:val="00CF26EE"/>
    <w:rsid w:val="00D310F0"/>
    <w:rsid w:val="00D37318"/>
    <w:rsid w:val="00D37AC2"/>
    <w:rsid w:val="00D500A9"/>
    <w:rsid w:val="00D514EB"/>
    <w:rsid w:val="00D64121"/>
    <w:rsid w:val="00D72CCC"/>
    <w:rsid w:val="00D732FE"/>
    <w:rsid w:val="00D772E9"/>
    <w:rsid w:val="00DA31AB"/>
    <w:rsid w:val="00DA3281"/>
    <w:rsid w:val="00DA6D3E"/>
    <w:rsid w:val="00DC02E8"/>
    <w:rsid w:val="00DC75C7"/>
    <w:rsid w:val="00DC78D3"/>
    <w:rsid w:val="00DD384F"/>
    <w:rsid w:val="00DF4592"/>
    <w:rsid w:val="00E15FDC"/>
    <w:rsid w:val="00E2651B"/>
    <w:rsid w:val="00E6632E"/>
    <w:rsid w:val="00E90CF2"/>
    <w:rsid w:val="00ED0F61"/>
    <w:rsid w:val="00EE73E1"/>
    <w:rsid w:val="00F12107"/>
    <w:rsid w:val="00F13165"/>
    <w:rsid w:val="00F4234E"/>
    <w:rsid w:val="00F7477E"/>
    <w:rsid w:val="00F85393"/>
    <w:rsid w:val="00F95268"/>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Body Text"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uiPriority w:val="99"/>
    <w:semiHidden/>
    <w:rPr>
      <w:b/>
      <w:vanish/>
      <w:color w:val="FF00FF"/>
      <w:sz w:val="20"/>
    </w:rPr>
  </w:style>
  <w:style w:type="paragraph" w:styleId="CommentText">
    <w:name w:val="annotation text"/>
    <w:basedOn w:val="Normal"/>
    <w:link w:val="CommentTextChar"/>
    <w:uiPriority w:val="99"/>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Body Text1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196FB4"/>
    <w:rPr>
      <w:caps/>
      <w:spacing w:val="-4"/>
      <w:sz w:val="16"/>
      <w:lang w:eastAsia="en-US"/>
    </w:rPr>
  </w:style>
  <w:style w:type="character" w:customStyle="1" w:styleId="Heading1Char">
    <w:name w:val="Heading 1 Char"/>
    <w:basedOn w:val="DefaultParagraphFont"/>
    <w:link w:val="Heading1"/>
    <w:rsid w:val="00196FB4"/>
    <w:rPr>
      <w:kern w:val="28"/>
      <w:sz w:val="52"/>
      <w:lang w:eastAsia="en-US"/>
    </w:rPr>
  </w:style>
  <w:style w:type="character" w:customStyle="1" w:styleId="BodyTextChar1">
    <w:name w:val="Body Text Char1"/>
    <w:uiPriority w:val="99"/>
    <w:rsid w:val="00196FB4"/>
    <w:rPr>
      <w:sz w:val="26"/>
    </w:rPr>
  </w:style>
  <w:style w:type="table" w:styleId="TableGrid">
    <w:name w:val="Table Grid"/>
    <w:basedOn w:val="TableNormal"/>
    <w:uiPriority w:val="59"/>
    <w:rsid w:val="006206A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uiPriority w:val="99"/>
    <w:semiHidden/>
    <w:rsid w:val="00D37318"/>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Body Text"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uiPriority w:val="99"/>
    <w:semiHidden/>
    <w:rPr>
      <w:b/>
      <w:vanish/>
      <w:color w:val="FF00FF"/>
      <w:sz w:val="20"/>
    </w:rPr>
  </w:style>
  <w:style w:type="paragraph" w:styleId="CommentText">
    <w:name w:val="annotation text"/>
    <w:basedOn w:val="Normal"/>
    <w:link w:val="CommentTextChar"/>
    <w:uiPriority w:val="99"/>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Body Text1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196FB4"/>
    <w:rPr>
      <w:caps/>
      <w:spacing w:val="-4"/>
      <w:sz w:val="16"/>
      <w:lang w:eastAsia="en-US"/>
    </w:rPr>
  </w:style>
  <w:style w:type="character" w:customStyle="1" w:styleId="Heading1Char">
    <w:name w:val="Heading 1 Char"/>
    <w:basedOn w:val="DefaultParagraphFont"/>
    <w:link w:val="Heading1"/>
    <w:rsid w:val="00196FB4"/>
    <w:rPr>
      <w:kern w:val="28"/>
      <w:sz w:val="52"/>
      <w:lang w:eastAsia="en-US"/>
    </w:rPr>
  </w:style>
  <w:style w:type="character" w:customStyle="1" w:styleId="BodyTextChar1">
    <w:name w:val="Body Text Char1"/>
    <w:uiPriority w:val="99"/>
    <w:rsid w:val="00196FB4"/>
    <w:rPr>
      <w:sz w:val="26"/>
    </w:rPr>
  </w:style>
  <w:style w:type="table" w:styleId="TableGrid">
    <w:name w:val="Table Grid"/>
    <w:basedOn w:val="TableNormal"/>
    <w:uiPriority w:val="59"/>
    <w:rsid w:val="006206A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uiPriority w:val="99"/>
    <w:semiHidden/>
    <w:rsid w:val="00D3731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573127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pc.gov.au/projects/study/major-projects" TargetMode="Externa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3AC45-E6C1-4A2A-AAC4-D8BAEE458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13</Pages>
  <Words>2142</Words>
  <Characters>13334</Characters>
  <Application>Microsoft Office Word</Application>
  <DocSecurity>0</DocSecurity>
  <Lines>310</Lines>
  <Paragraphs>214</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15262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2</cp:revision>
  <cp:lastPrinted>2013-11-25T05:31:00Z</cp:lastPrinted>
  <dcterms:created xsi:type="dcterms:W3CDTF">2013-12-02T03:35:00Z</dcterms:created>
  <dcterms:modified xsi:type="dcterms:W3CDTF">2013-12-02T03:35:00Z</dcterms:modified>
</cp:coreProperties>
</file>