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019" w:rsidRDefault="00785902" w:rsidP="009D6019">
      <w:pPr>
        <w:spacing w:after="0" w:line="240" w:lineRule="auto"/>
        <w:jc w:val="right"/>
      </w:pPr>
      <w:r>
        <w:rPr>
          <w:noProof/>
        </w:rPr>
        <w:drawing>
          <wp:anchor distT="0" distB="0" distL="114300" distR="114300" simplePos="0" relativeHeight="251658240" behindDoc="0" locked="0" layoutInCell="1" allowOverlap="1">
            <wp:simplePos x="3486150" y="361950"/>
            <wp:positionH relativeFrom="margin">
              <wp:align>left</wp:align>
            </wp:positionH>
            <wp:positionV relativeFrom="margin">
              <wp:align>top</wp:align>
            </wp:positionV>
            <wp:extent cx="3350880" cy="914396"/>
            <wp:effectExtent l="0" t="0" r="2540" b="63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logo+title733x200.jpg"/>
                    <pic:cNvPicPr/>
                  </pic:nvPicPr>
                  <pic:blipFill>
                    <a:blip r:embed="rId8">
                      <a:extLst>
                        <a:ext uri="{28A0092B-C50C-407E-A947-70E740481C1C}">
                          <a14:useLocalDpi xmlns:a14="http://schemas.microsoft.com/office/drawing/2010/main" val="0"/>
                        </a:ext>
                      </a:extLst>
                    </a:blip>
                    <a:stretch>
                      <a:fillRect/>
                    </a:stretch>
                  </pic:blipFill>
                  <pic:spPr>
                    <a:xfrm>
                      <a:off x="0" y="0"/>
                      <a:ext cx="3350880" cy="914396"/>
                    </a:xfrm>
                    <a:prstGeom prst="rect">
                      <a:avLst/>
                    </a:prstGeom>
                  </pic:spPr>
                </pic:pic>
              </a:graphicData>
            </a:graphic>
          </wp:anchor>
        </w:drawing>
      </w:r>
    </w:p>
    <w:p w:rsidR="009D6019" w:rsidRDefault="009D6019" w:rsidP="009D6019">
      <w:pPr>
        <w:spacing w:after="0" w:line="240" w:lineRule="auto"/>
        <w:jc w:val="right"/>
      </w:pPr>
    </w:p>
    <w:p w:rsidR="009D6019" w:rsidRPr="008F558F" w:rsidRDefault="009D6019" w:rsidP="009D6019">
      <w:pPr>
        <w:spacing w:after="0" w:line="240" w:lineRule="auto"/>
        <w:jc w:val="right"/>
        <w:rPr>
          <w:b/>
          <w:sz w:val="28"/>
          <w:szCs w:val="28"/>
        </w:rPr>
      </w:pPr>
      <w:r w:rsidRPr="0025453B">
        <w:rPr>
          <w:rFonts w:ascii="Bradley Hand ITC" w:hAnsi="Bradley Hand ITC"/>
          <w:b/>
          <w:sz w:val="28"/>
          <w:szCs w:val="28"/>
        </w:rPr>
        <w:t>A voice for the environment</w:t>
      </w:r>
    </w:p>
    <w:p w:rsidR="009D6019" w:rsidRPr="008F558F" w:rsidRDefault="009D6019" w:rsidP="009D6019">
      <w:pPr>
        <w:spacing w:after="0" w:line="240" w:lineRule="auto"/>
        <w:jc w:val="right"/>
      </w:pPr>
    </w:p>
    <w:p w:rsidR="009D6019" w:rsidRPr="008F558F" w:rsidRDefault="009D6019" w:rsidP="009D6019">
      <w:pPr>
        <w:spacing w:after="0" w:line="240" w:lineRule="auto"/>
        <w:jc w:val="right"/>
      </w:pPr>
    </w:p>
    <w:p w:rsidR="009D6019" w:rsidRDefault="00095092" w:rsidP="009D6019">
      <w:pPr>
        <w:pBdr>
          <w:top w:val="single" w:sz="18" w:space="1" w:color="auto"/>
        </w:pBdr>
        <w:tabs>
          <w:tab w:val="right" w:pos="9412"/>
        </w:tabs>
        <w:spacing w:after="0" w:line="240" w:lineRule="auto"/>
      </w:pPr>
      <w:r>
        <w:t>25 March 2013</w:t>
      </w:r>
    </w:p>
    <w:p w:rsidR="00095092" w:rsidRDefault="00095092" w:rsidP="009D6019">
      <w:pPr>
        <w:pBdr>
          <w:top w:val="single" w:sz="18" w:space="1" w:color="auto"/>
        </w:pBdr>
        <w:tabs>
          <w:tab w:val="right" w:pos="9412"/>
        </w:tabs>
        <w:spacing w:after="0" w:line="240" w:lineRule="auto"/>
      </w:pPr>
    </w:p>
    <w:p w:rsidR="006457CF" w:rsidRDefault="006457CF" w:rsidP="006457CF">
      <w:pPr>
        <w:pBdr>
          <w:top w:val="single" w:sz="18" w:space="1" w:color="auto"/>
        </w:pBdr>
        <w:tabs>
          <w:tab w:val="right" w:pos="9412"/>
        </w:tabs>
        <w:spacing w:after="0" w:line="240" w:lineRule="auto"/>
      </w:pPr>
      <w:r>
        <w:t>Major Project Development Assessment Processes</w:t>
      </w:r>
    </w:p>
    <w:p w:rsidR="006457CF" w:rsidRDefault="006457CF" w:rsidP="006457CF">
      <w:pPr>
        <w:pBdr>
          <w:top w:val="single" w:sz="18" w:space="1" w:color="auto"/>
        </w:pBdr>
        <w:tabs>
          <w:tab w:val="right" w:pos="9412"/>
        </w:tabs>
        <w:spacing w:after="0" w:line="240" w:lineRule="auto"/>
      </w:pPr>
      <w:r>
        <w:t>Productivity Commission</w:t>
      </w:r>
    </w:p>
    <w:p w:rsidR="006457CF" w:rsidRDefault="006457CF" w:rsidP="006457CF">
      <w:pPr>
        <w:pBdr>
          <w:top w:val="single" w:sz="18" w:space="1" w:color="auto"/>
        </w:pBdr>
        <w:tabs>
          <w:tab w:val="right" w:pos="9412"/>
        </w:tabs>
        <w:spacing w:after="0" w:line="240" w:lineRule="auto"/>
      </w:pPr>
      <w:r>
        <w:t>Locked Bag 2, Collins St East</w:t>
      </w:r>
    </w:p>
    <w:p w:rsidR="006457CF" w:rsidRDefault="006457CF" w:rsidP="006457CF">
      <w:pPr>
        <w:pBdr>
          <w:top w:val="single" w:sz="18" w:space="1" w:color="auto"/>
        </w:pBdr>
        <w:tabs>
          <w:tab w:val="right" w:pos="9412"/>
        </w:tabs>
        <w:spacing w:after="0" w:line="240" w:lineRule="auto"/>
      </w:pPr>
      <w:r>
        <w:t>Melbourne Vic 8003</w:t>
      </w:r>
    </w:p>
    <w:p w:rsidR="006457CF" w:rsidRDefault="006457CF" w:rsidP="006457CF">
      <w:pPr>
        <w:pBdr>
          <w:top w:val="single" w:sz="18" w:space="1" w:color="auto"/>
        </w:pBdr>
        <w:tabs>
          <w:tab w:val="right" w:pos="9412"/>
        </w:tabs>
        <w:spacing w:after="0" w:line="240" w:lineRule="auto"/>
      </w:pPr>
    </w:p>
    <w:p w:rsidR="006457CF" w:rsidRDefault="006457CF" w:rsidP="006457CF">
      <w:pPr>
        <w:pBdr>
          <w:top w:val="single" w:sz="18" w:space="1" w:color="auto"/>
        </w:pBdr>
        <w:tabs>
          <w:tab w:val="right" w:pos="9412"/>
        </w:tabs>
        <w:spacing w:after="0" w:line="240" w:lineRule="auto"/>
      </w:pPr>
      <w:r>
        <w:t xml:space="preserve">Email: </w:t>
      </w:r>
      <w:hyperlink r:id="rId9" w:history="1">
        <w:proofErr w:type="spellStart"/>
        <w:r w:rsidR="00EA65E7" w:rsidRPr="00CF5191">
          <w:rPr>
            <w:rStyle w:val="Hyperlink"/>
          </w:rPr>
          <w:t>major.projects@pc.gov.au</w:t>
        </w:r>
        <w:proofErr w:type="spellEnd"/>
      </w:hyperlink>
      <w:bookmarkStart w:id="0" w:name="_GoBack"/>
      <w:bookmarkEnd w:id="0"/>
    </w:p>
    <w:p w:rsidR="00EA65E7" w:rsidRDefault="00EA65E7" w:rsidP="006457CF">
      <w:pPr>
        <w:pBdr>
          <w:top w:val="single" w:sz="18" w:space="1" w:color="auto"/>
        </w:pBdr>
        <w:tabs>
          <w:tab w:val="right" w:pos="9412"/>
        </w:tabs>
        <w:spacing w:after="0" w:line="240" w:lineRule="auto"/>
      </w:pPr>
    </w:p>
    <w:p w:rsidR="00EA65E7" w:rsidRDefault="00EA65E7" w:rsidP="00311047">
      <w:pPr>
        <w:tabs>
          <w:tab w:val="right" w:pos="9412"/>
        </w:tabs>
        <w:spacing w:after="0" w:line="360" w:lineRule="auto"/>
      </w:pPr>
      <w:r w:rsidRPr="00EA65E7">
        <w:t>Capricorn Conservation Council has since 1973 been the principal non-government environmental organisation in Central Queensland</w:t>
      </w:r>
      <w:r>
        <w:t xml:space="preserve">, </w:t>
      </w:r>
      <w:r w:rsidRPr="00EA65E7">
        <w:t>cover</w:t>
      </w:r>
      <w:r>
        <w:t>ing t</w:t>
      </w:r>
      <w:r w:rsidRPr="00EA65E7">
        <w:t>he Fitzroy Basin, plus the coastal and marine areas f</w:t>
      </w:r>
      <w:r>
        <w:t>rom Baffle Creek to St Lawrence.</w:t>
      </w:r>
    </w:p>
    <w:p w:rsidR="00EA65E7" w:rsidRDefault="00EA65E7" w:rsidP="00311047">
      <w:pPr>
        <w:tabs>
          <w:tab w:val="right" w:pos="9412"/>
        </w:tabs>
        <w:spacing w:after="0" w:line="360" w:lineRule="auto"/>
      </w:pPr>
    </w:p>
    <w:p w:rsidR="00EA65E7" w:rsidRDefault="00EA65E7" w:rsidP="00311047">
      <w:pPr>
        <w:tabs>
          <w:tab w:val="right" w:pos="9412"/>
        </w:tabs>
        <w:spacing w:after="0" w:line="360" w:lineRule="auto"/>
      </w:pPr>
      <w:r>
        <w:t xml:space="preserve">Capricorn Conservation Council is deeply concerned by </w:t>
      </w:r>
      <w:r w:rsidR="00095092">
        <w:t xml:space="preserve">any reduction in environmental protection and oversight of major projects including referral of federal </w:t>
      </w:r>
      <w:r>
        <w:t xml:space="preserve">environmental law </w:t>
      </w:r>
      <w:r w:rsidR="00095092">
        <w:t>powers to State governments</w:t>
      </w:r>
      <w:r w:rsidR="00AF18C7">
        <w:t xml:space="preserve"> as the follow should illustrate</w:t>
      </w:r>
      <w:r>
        <w:t xml:space="preserve">. </w:t>
      </w:r>
    </w:p>
    <w:p w:rsidR="00EA65E7" w:rsidRDefault="00EA65E7" w:rsidP="00311047">
      <w:pPr>
        <w:tabs>
          <w:tab w:val="right" w:pos="9412"/>
        </w:tabs>
        <w:spacing w:after="0" w:line="360" w:lineRule="auto"/>
      </w:pPr>
    </w:p>
    <w:p w:rsidR="00095092" w:rsidRDefault="00095092" w:rsidP="00311047">
      <w:pPr>
        <w:tabs>
          <w:tab w:val="right" w:pos="9412"/>
        </w:tabs>
        <w:spacing w:after="0" w:line="360" w:lineRule="auto"/>
      </w:pPr>
      <w:r>
        <w:t xml:space="preserve">The current </w:t>
      </w:r>
      <w:r w:rsidR="00613502">
        <w:t>UNESCO World Heritage Committee review of whether or not the ‘outstanding universal values’ of the Great Barrier Reef are ‘at risk</w:t>
      </w:r>
      <w:r w:rsidR="00AF18C7">
        <w:t>’</w:t>
      </w:r>
      <w:r w:rsidR="00613502">
        <w:t xml:space="preserve">, plus the recorded decline of terrestrial biodiversity, </w:t>
      </w:r>
      <w:r>
        <w:t xml:space="preserve">the </w:t>
      </w:r>
      <w:r w:rsidR="00613502">
        <w:t xml:space="preserve">declining </w:t>
      </w:r>
      <w:r>
        <w:t>health of our watersheds and forests</w:t>
      </w:r>
      <w:r w:rsidR="00AF18C7">
        <w:t>,</w:t>
      </w:r>
      <w:r w:rsidR="00613502">
        <w:t xml:space="preserve"> should raise sufficient alarm that current planning and regulatory processes are inadequate and need strengthening more than ‘streamlining’.</w:t>
      </w:r>
    </w:p>
    <w:p w:rsidR="00613502" w:rsidRDefault="00613502" w:rsidP="00311047">
      <w:pPr>
        <w:tabs>
          <w:tab w:val="right" w:pos="9412"/>
        </w:tabs>
        <w:spacing w:after="0" w:line="360" w:lineRule="auto"/>
      </w:pPr>
    </w:p>
    <w:p w:rsidR="00613502" w:rsidRDefault="00613502" w:rsidP="00311047">
      <w:pPr>
        <w:tabs>
          <w:tab w:val="right" w:pos="9412"/>
        </w:tabs>
        <w:spacing w:after="0" w:line="360" w:lineRule="auto"/>
      </w:pPr>
      <w:r>
        <w:t xml:space="preserve">It is clear from examples like the major project approvals for Gladstone Harbour, past and current, that despite multiple layers of laws and jurisdictions, decisions have been made on major projects without sufficient baseline scientific and ecological knowledge. There are now two scientific panels charged with sifting through the environmental legacies from </w:t>
      </w:r>
      <w:r w:rsidR="005D4807">
        <w:t>5</w:t>
      </w:r>
      <w:r>
        <w:t>0 year</w:t>
      </w:r>
      <w:r w:rsidR="005D4807">
        <w:t>s</w:t>
      </w:r>
      <w:r>
        <w:t xml:space="preserve"> of industrial expansion</w:t>
      </w:r>
      <w:r w:rsidR="005D4807">
        <w:t xml:space="preserve"> and the complex interactions with the current Curtis Island LNG precinct and the Western Basin Dredging. Offsets required under environmental authorities have not been delivered 2 ½ years after approval; independent expert advice from cetacean researchers and fish pathologists is treated with contempt and there is no rigour in compliance monitoring by regulatory agencies.</w:t>
      </w:r>
    </w:p>
    <w:p w:rsidR="00095092" w:rsidRDefault="00095092" w:rsidP="00311047">
      <w:pPr>
        <w:tabs>
          <w:tab w:val="right" w:pos="9412"/>
        </w:tabs>
        <w:spacing w:after="0" w:line="360" w:lineRule="auto"/>
      </w:pPr>
    </w:p>
    <w:p w:rsidR="00095092" w:rsidRDefault="005D4807" w:rsidP="00311047">
      <w:pPr>
        <w:tabs>
          <w:tab w:val="right" w:pos="9412"/>
        </w:tabs>
        <w:spacing w:after="0" w:line="360" w:lineRule="auto"/>
      </w:pPr>
      <w:r>
        <w:t xml:space="preserve">CCC as a key contributor to the environmental impact assessments and as a member of the recently formed Gladstone Healthy Harbour Partnership (under the auspice of Queensland Department of </w:t>
      </w:r>
      <w:r w:rsidR="001148BC">
        <w:t>Environment</w:t>
      </w:r>
      <w:r>
        <w:t xml:space="preserve"> and </w:t>
      </w:r>
      <w:r w:rsidR="001148BC">
        <w:t>H</w:t>
      </w:r>
      <w:r>
        <w:t>eritage</w:t>
      </w:r>
      <w:r w:rsidR="001148BC">
        <w:t>)</w:t>
      </w:r>
      <w:r>
        <w:t xml:space="preserve"> submits that the assessment </w:t>
      </w:r>
      <w:r w:rsidR="001148BC">
        <w:t xml:space="preserve">and approval </w:t>
      </w:r>
      <w:r>
        <w:t xml:space="preserve">of these projects </w:t>
      </w:r>
      <w:r w:rsidR="001148BC">
        <w:t xml:space="preserve">has been </w:t>
      </w:r>
      <w:r w:rsidR="001148BC">
        <w:lastRenderedPageBreak/>
        <w:t>inadequate. Consequently we cannot support any diminution of environmental powers, or streamlining of the approval process.</w:t>
      </w:r>
    </w:p>
    <w:p w:rsidR="00095092" w:rsidRDefault="00095092" w:rsidP="00311047">
      <w:pPr>
        <w:tabs>
          <w:tab w:val="right" w:pos="9412"/>
        </w:tabs>
        <w:spacing w:after="0" w:line="360" w:lineRule="auto"/>
      </w:pPr>
    </w:p>
    <w:p w:rsidR="001148BC" w:rsidRDefault="001148BC" w:rsidP="00311047">
      <w:pPr>
        <w:tabs>
          <w:tab w:val="right" w:pos="9412"/>
        </w:tabs>
        <w:spacing w:after="0" w:line="360" w:lineRule="auto"/>
      </w:pPr>
      <w:r>
        <w:t>Other local examples of potential environmental harm and almost certain economic risks from ‘scaling’ back major project timeframes or proper application of the precautionary principle by minimising or avoiding assessments ecological condition and resilience, would be:</w:t>
      </w:r>
    </w:p>
    <w:p w:rsidR="001148BC" w:rsidRDefault="001148BC" w:rsidP="00311047">
      <w:pPr>
        <w:pStyle w:val="ListParagraph"/>
        <w:numPr>
          <w:ilvl w:val="0"/>
          <w:numId w:val="1"/>
        </w:numPr>
        <w:tabs>
          <w:tab w:val="right" w:pos="9412"/>
        </w:tabs>
        <w:spacing w:after="0" w:line="360" w:lineRule="auto"/>
      </w:pPr>
      <w:r>
        <w:t xml:space="preserve">The </w:t>
      </w:r>
      <w:proofErr w:type="spellStart"/>
      <w:r>
        <w:t>Byfield</w:t>
      </w:r>
      <w:proofErr w:type="spellEnd"/>
      <w:r>
        <w:t xml:space="preserve"> Coal Port (Waratah Coal) approved by the Queensland Government but rejected under </w:t>
      </w:r>
      <w:proofErr w:type="spellStart"/>
      <w:r>
        <w:t>EPBC</w:t>
      </w:r>
      <w:proofErr w:type="spellEnd"/>
      <w:r w:rsidR="00C94F1F">
        <w:t xml:space="preserve">, similarly </w:t>
      </w:r>
    </w:p>
    <w:p w:rsidR="00C94F1F" w:rsidRDefault="00EA65E7" w:rsidP="00311047">
      <w:pPr>
        <w:pStyle w:val="ListParagraph"/>
        <w:numPr>
          <w:ilvl w:val="0"/>
          <w:numId w:val="1"/>
        </w:numPr>
        <w:tabs>
          <w:tab w:val="right" w:pos="9412"/>
        </w:tabs>
        <w:spacing w:after="0" w:line="360" w:lineRule="auto"/>
      </w:pPr>
      <w:r>
        <w:t xml:space="preserve">Great Keppel Island </w:t>
      </w:r>
      <w:r w:rsidR="001148BC">
        <w:t xml:space="preserve">Pty Ltd </w:t>
      </w:r>
      <w:r>
        <w:t>propo</w:t>
      </w:r>
      <w:r w:rsidR="00C94F1F">
        <w:t>sal would be twice the size and</w:t>
      </w:r>
    </w:p>
    <w:p w:rsidR="00C94F1F" w:rsidRDefault="00C94F1F" w:rsidP="00311047">
      <w:pPr>
        <w:pStyle w:val="ListParagraph"/>
        <w:numPr>
          <w:ilvl w:val="0"/>
          <w:numId w:val="1"/>
        </w:numPr>
        <w:tabs>
          <w:tab w:val="right" w:pos="9412"/>
        </w:tabs>
        <w:spacing w:after="0" w:line="360" w:lineRule="auto"/>
      </w:pPr>
      <w:r>
        <w:t xml:space="preserve">Gladstone Harbour dredging and Curtis Island LNG </w:t>
      </w:r>
      <w:r w:rsidR="00EA65E7">
        <w:t>environmental conditions would be even more inadequate</w:t>
      </w:r>
    </w:p>
    <w:p w:rsidR="00EA65E7" w:rsidRDefault="00EA65E7" w:rsidP="00311047">
      <w:pPr>
        <w:pStyle w:val="ListParagraph"/>
        <w:numPr>
          <w:ilvl w:val="0"/>
          <w:numId w:val="1"/>
        </w:numPr>
        <w:tabs>
          <w:tab w:val="right" w:pos="9412"/>
        </w:tabs>
        <w:spacing w:after="0" w:line="360" w:lineRule="auto"/>
      </w:pPr>
      <w:r>
        <w:t xml:space="preserve">Un-checked state </w:t>
      </w:r>
      <w:r w:rsidR="00C94F1F">
        <w:t xml:space="preserve">government </w:t>
      </w:r>
      <w:r>
        <w:t>power</w:t>
      </w:r>
      <w:r w:rsidR="00C94F1F">
        <w:t>s</w:t>
      </w:r>
      <w:r>
        <w:t xml:space="preserve"> would rubber stamp the Fitzroy Delta </w:t>
      </w:r>
      <w:r w:rsidR="00C94F1F">
        <w:t xml:space="preserve">and Keppel Bay </w:t>
      </w:r>
      <w:r>
        <w:t>coal ports with little regard for the fish habitats and t</w:t>
      </w:r>
      <w:r w:rsidR="00C94F1F">
        <w:t>he Australian Snub-fin Dolphin.</w:t>
      </w:r>
    </w:p>
    <w:p w:rsidR="00EA65E7" w:rsidRDefault="00EA65E7" w:rsidP="00311047">
      <w:pPr>
        <w:tabs>
          <w:tab w:val="right" w:pos="9412"/>
        </w:tabs>
        <w:spacing w:after="0" w:line="360" w:lineRule="auto"/>
      </w:pPr>
    </w:p>
    <w:p w:rsidR="00252AED" w:rsidRDefault="00C94F1F" w:rsidP="00311047">
      <w:pPr>
        <w:tabs>
          <w:tab w:val="right" w:pos="9412"/>
        </w:tabs>
        <w:spacing w:after="0" w:line="360" w:lineRule="auto"/>
      </w:pPr>
      <w:r>
        <w:t xml:space="preserve">Central Queensland and in particular the Fitzroy River system, the largest catchment entering the Great Barrier Reef lagoon </w:t>
      </w:r>
      <w:r w:rsidR="003C6975">
        <w:t>shows clear evidence</w:t>
      </w:r>
      <w:r>
        <w:t xml:space="preserve"> of the toxic legacy of past and current mining practices with the abandoned Mount Morgan gold, silver and copper mine leaching acidic, heavy metal laden waters into the catchment (Dee, Don and Dawson Rivers). Under the past and existing major project approval frameworks there are 45 large open cut coal mines (plus pending approvals for 35 new mines) in the Fitzroy’s floodplains. These mines currently contain over 250 billion litres of water</w:t>
      </w:r>
      <w:r w:rsidR="00252AED">
        <w:t>.</w:t>
      </w:r>
      <w:r>
        <w:t xml:space="preserve"> </w:t>
      </w:r>
      <w:r w:rsidR="00252AED">
        <w:t xml:space="preserve">Under </w:t>
      </w:r>
      <w:r>
        <w:t xml:space="preserve">existing environmental approvals </w:t>
      </w:r>
      <w:r w:rsidR="00252AED">
        <w:t xml:space="preserve">mines </w:t>
      </w:r>
      <w:r>
        <w:t xml:space="preserve">are allowed to leave numerous large final voids. </w:t>
      </w:r>
    </w:p>
    <w:p w:rsidR="00252AED" w:rsidRDefault="00252AED" w:rsidP="00311047">
      <w:pPr>
        <w:tabs>
          <w:tab w:val="right" w:pos="9412"/>
        </w:tabs>
        <w:spacing w:after="0" w:line="360" w:lineRule="auto"/>
      </w:pPr>
    </w:p>
    <w:p w:rsidR="00252AED" w:rsidRDefault="00C94F1F" w:rsidP="00311047">
      <w:pPr>
        <w:tabs>
          <w:tab w:val="right" w:pos="9412"/>
        </w:tabs>
        <w:spacing w:after="0" w:line="360" w:lineRule="auto"/>
      </w:pPr>
      <w:r>
        <w:t xml:space="preserve">Representatives of mining companies have freely admitted </w:t>
      </w:r>
      <w:r w:rsidR="00252AED">
        <w:t>(at the Fitzroy Water Quality Advisory Group set following the devastating pollution</w:t>
      </w:r>
      <w:r w:rsidR="003C6975">
        <w:t xml:space="preserve"> of the r</w:t>
      </w:r>
      <w:r w:rsidR="00252AED">
        <w:t xml:space="preserve">iver and </w:t>
      </w:r>
      <w:proofErr w:type="spellStart"/>
      <w:r w:rsidR="00252AED">
        <w:t>GBR</w:t>
      </w:r>
      <w:proofErr w:type="spellEnd"/>
      <w:r w:rsidR="00252AED">
        <w:t xml:space="preserve"> from the 2008 flooding of </w:t>
      </w:r>
      <w:proofErr w:type="spellStart"/>
      <w:r w:rsidR="00252AED">
        <w:t>Ensham</w:t>
      </w:r>
      <w:proofErr w:type="spellEnd"/>
      <w:r w:rsidR="00252AED">
        <w:t xml:space="preserve"> and other Bowen Basin coal mines) </w:t>
      </w:r>
      <w:r>
        <w:t xml:space="preserve">that </w:t>
      </w:r>
      <w:r w:rsidR="00252AED">
        <w:t xml:space="preserve">even with a reduction of their environmental authority requirements for water quality and allowance of much increased discharge rates much ‘that the water might be in the pits forever’. CCC submits that the water management problems of major coal mines projects is another </w:t>
      </w:r>
      <w:proofErr w:type="spellStart"/>
      <w:r w:rsidR="00252AED">
        <w:t>self evident</w:t>
      </w:r>
      <w:proofErr w:type="spellEnd"/>
      <w:r w:rsidR="00252AED">
        <w:t xml:space="preserve"> example of why there must be a strengthening not weakening of reduction in project approvals and the regulatory regime.</w:t>
      </w:r>
    </w:p>
    <w:p w:rsidR="00252AED" w:rsidRDefault="00252AED" w:rsidP="00311047">
      <w:pPr>
        <w:tabs>
          <w:tab w:val="right" w:pos="9412"/>
        </w:tabs>
        <w:spacing w:after="0" w:line="360" w:lineRule="auto"/>
      </w:pPr>
    </w:p>
    <w:p w:rsidR="003C6975" w:rsidRDefault="00252AED" w:rsidP="00311047">
      <w:pPr>
        <w:tabs>
          <w:tab w:val="right" w:pos="9412"/>
        </w:tabs>
        <w:spacing w:after="0" w:line="360" w:lineRule="auto"/>
      </w:pPr>
      <w:r>
        <w:t xml:space="preserve">Capricorn Conservation Council </w:t>
      </w:r>
      <w:r w:rsidR="00311047">
        <w:t xml:space="preserve">has for </w:t>
      </w:r>
      <w:r>
        <w:t xml:space="preserve">years raising concerns about coal seam gas and coal mines harming our rivers, wetlands and ground water, including risks to the Great Artesian Basin, </w:t>
      </w:r>
      <w:r w:rsidR="00311047">
        <w:t xml:space="preserve">so supports the recent announcement of the </w:t>
      </w:r>
      <w:r>
        <w:t xml:space="preserve">imposition of federal water powers </w:t>
      </w:r>
      <w:r w:rsidR="00311047">
        <w:t>over major projects</w:t>
      </w:r>
      <w:r w:rsidR="003C6975">
        <w:t>.</w:t>
      </w:r>
    </w:p>
    <w:p w:rsidR="00252AED" w:rsidRDefault="00311047" w:rsidP="00311047">
      <w:pPr>
        <w:tabs>
          <w:tab w:val="right" w:pos="9412"/>
        </w:tabs>
        <w:spacing w:after="0" w:line="360" w:lineRule="auto"/>
      </w:pPr>
      <w:r>
        <w:t>In addition to the coal mine water management issue</w:t>
      </w:r>
      <w:r w:rsidR="003C6975">
        <w:t>s</w:t>
      </w:r>
      <w:r>
        <w:t xml:space="preserve"> above</w:t>
      </w:r>
      <w:r w:rsidR="003C6975">
        <w:t>,</w:t>
      </w:r>
      <w:r>
        <w:t xml:space="preserve"> the e</w:t>
      </w:r>
      <w:r w:rsidR="00252AED">
        <w:t xml:space="preserve">xtraction of </w:t>
      </w:r>
      <w:proofErr w:type="spellStart"/>
      <w:r>
        <w:t>CSG</w:t>
      </w:r>
      <w:proofErr w:type="spellEnd"/>
      <w:r>
        <w:t xml:space="preserve"> in the </w:t>
      </w:r>
      <w:r w:rsidR="00252AED">
        <w:t xml:space="preserve">Surat for the Curtis Island LNG plants is expected to release over 75 billion litres of treated coal seam water </w:t>
      </w:r>
      <w:r w:rsidR="00252AED">
        <w:lastRenderedPageBreak/>
        <w:t>into Dawson River over the next 25 years.</w:t>
      </w:r>
      <w:r>
        <w:t xml:space="preserve"> </w:t>
      </w:r>
      <w:r w:rsidR="00252AED">
        <w:t xml:space="preserve">The proposed 7,000 </w:t>
      </w:r>
      <w:proofErr w:type="spellStart"/>
      <w:r w:rsidR="00252AED">
        <w:t>CSG</w:t>
      </w:r>
      <w:proofErr w:type="spellEnd"/>
      <w:r w:rsidR="00252AED">
        <w:t xml:space="preserve"> wells between Moranbah and Duaringa </w:t>
      </w:r>
      <w:r>
        <w:t xml:space="preserve">will </w:t>
      </w:r>
      <w:r w:rsidR="00252AED">
        <w:t>have an estimated impact on ground water up to a depth of 800 metres over</w:t>
      </w:r>
      <w:r>
        <w:t xml:space="preserve"> a 9,000 square kilometre area. </w:t>
      </w:r>
    </w:p>
    <w:p w:rsidR="00311047" w:rsidRDefault="00311047" w:rsidP="00311047">
      <w:pPr>
        <w:tabs>
          <w:tab w:val="right" w:pos="9412"/>
        </w:tabs>
        <w:spacing w:after="0" w:line="360" w:lineRule="auto"/>
      </w:pPr>
    </w:p>
    <w:p w:rsidR="00311047" w:rsidRDefault="00311047" w:rsidP="00311047">
      <w:pPr>
        <w:tabs>
          <w:tab w:val="right" w:pos="9412"/>
        </w:tabs>
        <w:spacing w:after="0" w:line="360" w:lineRule="auto"/>
      </w:pPr>
      <w:r>
        <w:t xml:space="preserve">Any reduction in assessment and oversight of these </w:t>
      </w:r>
      <w:proofErr w:type="spellStart"/>
      <w:r>
        <w:t>CSG</w:t>
      </w:r>
      <w:proofErr w:type="spellEnd"/>
      <w:r>
        <w:t xml:space="preserve"> projects would create great risk of economic and environmental harm well beyond the horizon of the mooted financial benefits.</w:t>
      </w:r>
    </w:p>
    <w:p w:rsidR="00311047" w:rsidRDefault="00311047" w:rsidP="00311047">
      <w:pPr>
        <w:tabs>
          <w:tab w:val="right" w:pos="9412"/>
        </w:tabs>
        <w:spacing w:after="0" w:line="360" w:lineRule="auto"/>
      </w:pPr>
    </w:p>
    <w:p w:rsidR="00252AED" w:rsidRDefault="00311047" w:rsidP="00311047">
      <w:pPr>
        <w:tabs>
          <w:tab w:val="right" w:pos="9412"/>
        </w:tabs>
        <w:spacing w:after="0" w:line="360" w:lineRule="auto"/>
        <w:rPr>
          <w:i/>
        </w:rPr>
      </w:pPr>
      <w:r>
        <w:t xml:space="preserve">Another area CCC is concerned about surrounds the </w:t>
      </w:r>
      <w:r w:rsidR="00252AED">
        <w:t xml:space="preserve">four major Fitzroy dam and weir proposals </w:t>
      </w:r>
      <w:r>
        <w:t xml:space="preserve">(Nathan Dam, Connors River Dam, Rookwood Weir and Eden Bann Weir expansion) </w:t>
      </w:r>
      <w:r w:rsidR="00252AED">
        <w:t xml:space="preserve">which </w:t>
      </w:r>
      <w:r>
        <w:t xml:space="preserve">if approved </w:t>
      </w:r>
      <w:r w:rsidR="00252AED">
        <w:t xml:space="preserve">would </w:t>
      </w:r>
      <w:r>
        <w:t xml:space="preserve">destroy the remaining connectivity of this important river system and </w:t>
      </w:r>
      <w:r w:rsidR="00252AED">
        <w:t>damage the river’s ecological health</w:t>
      </w:r>
      <w:r>
        <w:t xml:space="preserve">, including increasing the threat of extinction of species like the endemic Fitzroy River Turtle </w:t>
      </w:r>
      <w:proofErr w:type="spellStart"/>
      <w:r w:rsidRPr="00311047">
        <w:rPr>
          <w:i/>
        </w:rPr>
        <w:t>Rheodytes</w:t>
      </w:r>
      <w:proofErr w:type="spellEnd"/>
      <w:r w:rsidRPr="00311047">
        <w:rPr>
          <w:i/>
        </w:rPr>
        <w:t xml:space="preserve"> </w:t>
      </w:r>
      <w:proofErr w:type="spellStart"/>
      <w:r w:rsidRPr="00311047">
        <w:rPr>
          <w:i/>
        </w:rPr>
        <w:t>leucops</w:t>
      </w:r>
      <w:proofErr w:type="spellEnd"/>
      <w:r>
        <w:rPr>
          <w:i/>
        </w:rPr>
        <w:t>.</w:t>
      </w:r>
    </w:p>
    <w:p w:rsidR="00311047" w:rsidRDefault="00311047" w:rsidP="00311047">
      <w:pPr>
        <w:tabs>
          <w:tab w:val="right" w:pos="9412"/>
        </w:tabs>
        <w:spacing w:after="0" w:line="360" w:lineRule="auto"/>
        <w:rPr>
          <w:i/>
        </w:rPr>
      </w:pPr>
    </w:p>
    <w:p w:rsidR="00311047" w:rsidRDefault="00F94C9A" w:rsidP="00311047">
      <w:pPr>
        <w:tabs>
          <w:tab w:val="right" w:pos="9412"/>
        </w:tabs>
        <w:spacing w:after="0" w:line="360" w:lineRule="auto"/>
      </w:pPr>
      <w:r>
        <w:t xml:space="preserve">The </w:t>
      </w:r>
      <w:r w:rsidR="00311047">
        <w:t>clear illustrat</w:t>
      </w:r>
      <w:r>
        <w:t xml:space="preserve">ion of the failure of conventional economics to consider future negative externalities is </w:t>
      </w:r>
      <w:r w:rsidR="00311047">
        <w:t xml:space="preserve">the previously mentioned Mount Morgan </w:t>
      </w:r>
      <w:r>
        <w:t xml:space="preserve">mine, which produced </w:t>
      </w:r>
      <w:r w:rsidRPr="00F94C9A">
        <w:t>262 tonnes of gold, 37 tonnes of silver and 387,000 tonnes of copper</w:t>
      </w:r>
      <w:r>
        <w:t xml:space="preserve"> between </w:t>
      </w:r>
      <w:r w:rsidRPr="00F94C9A">
        <w:t>1882 and 1981</w:t>
      </w:r>
      <w:r>
        <w:t>, yet despite the massive profits</w:t>
      </w:r>
      <w:r w:rsidR="003C6975">
        <w:t>,</w:t>
      </w:r>
      <w:r>
        <w:t xml:space="preserve"> no-one </w:t>
      </w:r>
      <w:r w:rsidR="003C6975">
        <w:t>will</w:t>
      </w:r>
      <w:r>
        <w:t xml:space="preserve"> invest the estimated $100 million minimum needed to prevent the risk of a catastrophic failure and release of up to 11 million litres of toxic water (pH &lt; 3).</w:t>
      </w:r>
    </w:p>
    <w:p w:rsidR="00F94C9A" w:rsidRDefault="00F94C9A" w:rsidP="00311047">
      <w:pPr>
        <w:tabs>
          <w:tab w:val="right" w:pos="9412"/>
        </w:tabs>
        <w:spacing w:after="0" w:line="360" w:lineRule="auto"/>
      </w:pPr>
    </w:p>
    <w:p w:rsidR="00F94C9A" w:rsidRDefault="00F94C9A" w:rsidP="00311047">
      <w:pPr>
        <w:tabs>
          <w:tab w:val="right" w:pos="9412"/>
        </w:tabs>
        <w:spacing w:after="0" w:line="360" w:lineRule="auto"/>
      </w:pPr>
      <w:r>
        <w:t xml:space="preserve">While Mount Morgan mine can be dismissed as being from an era of ignorance of environmental matters, the </w:t>
      </w:r>
      <w:r w:rsidR="005B5C21">
        <w:t>considerable</w:t>
      </w:r>
      <w:r>
        <w:t xml:space="preserve"> larger current and planned major </w:t>
      </w:r>
      <w:r w:rsidR="005B5C21">
        <w:t xml:space="preserve">Central Queensland </w:t>
      </w:r>
      <w:r>
        <w:t>projects</w:t>
      </w:r>
      <w:r w:rsidR="005B5C21">
        <w:t xml:space="preserve"> are occurring</w:t>
      </w:r>
      <w:r>
        <w:t xml:space="preserve"> at a much faster pace</w:t>
      </w:r>
      <w:r w:rsidR="005B5C21">
        <w:t>,</w:t>
      </w:r>
      <w:r>
        <w:t xml:space="preserve"> </w:t>
      </w:r>
      <w:r w:rsidR="005B5C21">
        <w:t xml:space="preserve">overwhelming the capacity for </w:t>
      </w:r>
      <w:r>
        <w:t xml:space="preserve">effective regulatory oversight </w:t>
      </w:r>
      <w:r w:rsidR="005B5C21">
        <w:t xml:space="preserve">and </w:t>
      </w:r>
      <w:r>
        <w:t xml:space="preserve">adequate </w:t>
      </w:r>
      <w:r w:rsidR="005B5C21">
        <w:t>peer reviewed scientific scrutiny.</w:t>
      </w:r>
      <w:r>
        <w:t xml:space="preserve"> </w:t>
      </w:r>
    </w:p>
    <w:p w:rsidR="005B5C21" w:rsidRDefault="005B5C21" w:rsidP="00311047">
      <w:pPr>
        <w:tabs>
          <w:tab w:val="right" w:pos="9412"/>
        </w:tabs>
        <w:spacing w:after="0" w:line="360" w:lineRule="auto"/>
      </w:pPr>
    </w:p>
    <w:p w:rsidR="005B5C21" w:rsidRDefault="005B5C21" w:rsidP="00311047">
      <w:pPr>
        <w:tabs>
          <w:tab w:val="right" w:pos="9412"/>
        </w:tabs>
        <w:spacing w:after="0" w:line="360" w:lineRule="auto"/>
      </w:pPr>
      <w:r>
        <w:t xml:space="preserve">CCC endeavours to work constructively with industry and regulatory agencies for example through </w:t>
      </w:r>
      <w:proofErr w:type="spellStart"/>
      <w:r>
        <w:t>EIS</w:t>
      </w:r>
      <w:proofErr w:type="spellEnd"/>
      <w:r>
        <w:t xml:space="preserve"> consultation and membership of groups such as the Central Queensland Mine Rehabilitation Group. Our positive contribution aims to share knowledge which would </w:t>
      </w:r>
      <w:r w:rsidR="003C6975">
        <w:t>assist</w:t>
      </w:r>
      <w:r>
        <w:t xml:space="preserve"> mining companies achieve better nature conservation outcomes, while saving cost</w:t>
      </w:r>
      <w:r w:rsidR="003C6975">
        <w:t>s</w:t>
      </w:r>
      <w:r>
        <w:t xml:space="preserve"> from their often wasted efforts to revegetate the poor </w:t>
      </w:r>
      <w:proofErr w:type="spellStart"/>
      <w:r>
        <w:t>sodic</w:t>
      </w:r>
      <w:proofErr w:type="spellEnd"/>
      <w:r>
        <w:t xml:space="preserve"> soils predominant in the Bowen Basin. The message we emphasise above about strengthening not watering down environmental management of major projects is equally expressed by the environmental specialists working for the corporations.</w:t>
      </w:r>
    </w:p>
    <w:p w:rsidR="005B5C21" w:rsidRDefault="005B5C21" w:rsidP="00311047">
      <w:pPr>
        <w:tabs>
          <w:tab w:val="right" w:pos="9412"/>
        </w:tabs>
        <w:spacing w:after="0" w:line="360" w:lineRule="auto"/>
      </w:pPr>
    </w:p>
    <w:p w:rsidR="005B5C21" w:rsidRDefault="005B5C21" w:rsidP="00311047">
      <w:pPr>
        <w:tabs>
          <w:tab w:val="right" w:pos="9412"/>
        </w:tabs>
        <w:spacing w:after="0" w:line="360" w:lineRule="auto"/>
      </w:pPr>
      <w:r>
        <w:t>Yours sincerely</w:t>
      </w:r>
    </w:p>
    <w:p w:rsidR="005B5C21" w:rsidRDefault="005B5C21" w:rsidP="00311047">
      <w:pPr>
        <w:tabs>
          <w:tab w:val="right" w:pos="9412"/>
        </w:tabs>
        <w:spacing w:after="0" w:line="360" w:lineRule="auto"/>
      </w:pPr>
    </w:p>
    <w:p w:rsidR="003C6975" w:rsidRDefault="003C6975" w:rsidP="00311047">
      <w:pPr>
        <w:tabs>
          <w:tab w:val="right" w:pos="9412"/>
        </w:tabs>
        <w:spacing w:after="0" w:line="360" w:lineRule="auto"/>
      </w:pPr>
    </w:p>
    <w:p w:rsidR="005B5C21" w:rsidRDefault="005B5C21" w:rsidP="005B5C21">
      <w:pPr>
        <w:tabs>
          <w:tab w:val="right" w:pos="9412"/>
        </w:tabs>
        <w:spacing w:after="0" w:line="240" w:lineRule="auto"/>
      </w:pPr>
      <w:r>
        <w:t>Michael McCabe</w:t>
      </w:r>
    </w:p>
    <w:p w:rsidR="005B5C21" w:rsidRPr="00311047" w:rsidRDefault="006D3D38" w:rsidP="005B5C21">
      <w:pPr>
        <w:tabs>
          <w:tab w:val="right" w:pos="9412"/>
        </w:tabs>
        <w:spacing w:after="0" w:line="240" w:lineRule="auto"/>
      </w:pPr>
      <w:r>
        <w:t>C</w:t>
      </w:r>
      <w:r w:rsidR="005B5C21">
        <w:t>oordinator</w:t>
      </w:r>
    </w:p>
    <w:sectPr w:rsidR="005B5C21" w:rsidRPr="00311047" w:rsidSect="00C93C62">
      <w:footerReference w:type="default" r:id="rId10"/>
      <w:pgSz w:w="11906" w:h="16838" w:code="9"/>
      <w:pgMar w:top="567" w:right="1134" w:bottom="284" w:left="1134" w:header="567" w:footer="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B46" w:rsidRDefault="00FC6B46" w:rsidP="004D521F">
      <w:pPr>
        <w:spacing w:after="0" w:line="240" w:lineRule="auto"/>
      </w:pPr>
      <w:r>
        <w:separator/>
      </w:r>
    </w:p>
  </w:endnote>
  <w:endnote w:type="continuationSeparator" w:id="0">
    <w:p w:rsidR="00FC6B46" w:rsidRDefault="00FC6B46" w:rsidP="004D5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9B9" w:rsidRDefault="00D316D3" w:rsidP="00987DA2">
    <w:pPr>
      <w:jc w:val="center"/>
      <w:rPr>
        <w:rFonts w:ascii="Arial" w:hAnsi="Arial" w:cs="Arial"/>
        <w:b/>
        <w:sz w:val="18"/>
        <w:szCs w:val="18"/>
      </w:rPr>
    </w:pPr>
    <w:r>
      <w:rPr>
        <w:rFonts w:ascii="Arial" w:hAnsi="Arial" w:cs="Arial"/>
        <w:b/>
        <w:sz w:val="18"/>
        <w:szCs w:val="18"/>
      </w:rPr>
      <w:pict>
        <v:rect id="_x0000_i1025" style="width:0;height:1.5pt" o:hralign="center" o:hrstd="t" o:hr="t" fillcolor="#a0a0a0" stroked="f">
          <v:imagedata r:id="rId1" o:title=""/>
        </v:rect>
      </w:pict>
    </w:r>
  </w:p>
  <w:p w:rsidR="008F558F" w:rsidRDefault="00E737FD" w:rsidP="008F558F">
    <w:pPr>
      <w:jc w:val="center"/>
      <w:rPr>
        <w:rFonts w:ascii="Arial" w:hAnsi="Arial" w:cs="Arial"/>
        <w:b/>
        <w:sz w:val="18"/>
        <w:szCs w:val="18"/>
      </w:rPr>
    </w:pPr>
    <w:r w:rsidRPr="008F558F">
      <w:rPr>
        <w:rFonts w:ascii="Arial" w:hAnsi="Arial" w:cs="Arial"/>
        <w:b/>
        <w:sz w:val="18"/>
        <w:szCs w:val="18"/>
      </w:rPr>
      <w:t>Environment Centre Livermore Street Rockhampton</w:t>
    </w:r>
    <w:r w:rsidR="00C93C62">
      <w:rPr>
        <w:rFonts w:ascii="Arial" w:hAnsi="Arial" w:cs="Arial"/>
        <w:b/>
        <w:sz w:val="18"/>
        <w:szCs w:val="18"/>
      </w:rPr>
      <w:t xml:space="preserve"> | </w:t>
    </w:r>
    <w:r w:rsidRPr="008F558F">
      <w:rPr>
        <w:rFonts w:ascii="Arial" w:hAnsi="Arial" w:cs="Arial"/>
        <w:b/>
        <w:sz w:val="18"/>
        <w:szCs w:val="18"/>
      </w:rPr>
      <w:t xml:space="preserve">PO Box 4011 Rockhampton Q 4700 </w:t>
    </w:r>
    <w:r>
      <w:rPr>
        <w:rFonts w:ascii="Arial" w:hAnsi="Arial" w:cs="Arial"/>
        <w:b/>
        <w:sz w:val="18"/>
        <w:szCs w:val="18"/>
      </w:rPr>
      <w:br/>
      <w:t>ABN 14 846 165 788</w:t>
    </w:r>
    <w:r w:rsidR="00C93C62">
      <w:rPr>
        <w:rFonts w:ascii="Arial" w:hAnsi="Arial" w:cs="Arial"/>
        <w:b/>
        <w:sz w:val="18"/>
        <w:szCs w:val="18"/>
      </w:rPr>
      <w:t xml:space="preserve"> | </w:t>
    </w:r>
    <w:r w:rsidRPr="008F558F">
      <w:rPr>
        <w:rFonts w:ascii="Arial" w:hAnsi="Arial" w:cs="Arial"/>
        <w:b/>
        <w:sz w:val="18"/>
        <w:szCs w:val="18"/>
      </w:rPr>
      <w:t>Phone/Fax: (07) 4927 8644</w:t>
    </w:r>
    <w:r w:rsidR="00C93C62">
      <w:rPr>
        <w:rFonts w:ascii="Arial" w:hAnsi="Arial" w:cs="Arial"/>
        <w:b/>
        <w:sz w:val="18"/>
        <w:szCs w:val="18"/>
      </w:rPr>
      <w:t xml:space="preserve"> | </w:t>
    </w:r>
    <w:r w:rsidRPr="008F558F">
      <w:rPr>
        <w:rFonts w:ascii="Arial" w:hAnsi="Arial" w:cs="Arial"/>
        <w:b/>
        <w:sz w:val="18"/>
        <w:szCs w:val="18"/>
      </w:rPr>
      <w:t xml:space="preserve">Email: </w:t>
    </w:r>
    <w:hyperlink r:id="rId2" w:history="1">
      <w:proofErr w:type="spellStart"/>
      <w:r w:rsidRPr="00C35D60">
        <w:rPr>
          <w:rStyle w:val="Hyperlink"/>
          <w:rFonts w:ascii="Arial" w:hAnsi="Arial" w:cs="Arial"/>
          <w:b/>
          <w:sz w:val="18"/>
          <w:szCs w:val="18"/>
        </w:rPr>
        <w:t>ccc@cqnet.com.au</w:t>
      </w:r>
      <w:proofErr w:type="spellEnd"/>
    </w:hyperlink>
    <w:r>
      <w:rPr>
        <w:rFonts w:ascii="Arial" w:hAnsi="Arial" w:cs="Arial"/>
        <w:b/>
        <w:sz w:val="18"/>
        <w:szCs w:val="18"/>
      </w:rPr>
      <w:t xml:space="preserve"> </w:t>
    </w:r>
    <w:r w:rsidR="00C93C62">
      <w:rPr>
        <w:rFonts w:ascii="Arial" w:hAnsi="Arial" w:cs="Arial"/>
        <w:b/>
        <w:sz w:val="18"/>
        <w:szCs w:val="18"/>
      </w:rPr>
      <w:t xml:space="preserve">| </w:t>
    </w:r>
    <w:hyperlink r:id="rId3" w:history="1">
      <w:proofErr w:type="spellStart"/>
      <w:r w:rsidRPr="00C35D60">
        <w:rPr>
          <w:rStyle w:val="Hyperlink"/>
          <w:rFonts w:ascii="Arial" w:hAnsi="Arial" w:cs="Arial"/>
          <w:b/>
          <w:sz w:val="18"/>
          <w:szCs w:val="18"/>
        </w:rPr>
        <w:t>www.cccqld.org.au</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B46" w:rsidRDefault="00FC6B46" w:rsidP="004D521F">
      <w:pPr>
        <w:spacing w:after="0" w:line="240" w:lineRule="auto"/>
      </w:pPr>
      <w:r>
        <w:separator/>
      </w:r>
    </w:p>
  </w:footnote>
  <w:footnote w:type="continuationSeparator" w:id="0">
    <w:p w:rsidR="00FC6B46" w:rsidRDefault="00FC6B46" w:rsidP="004D52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53460"/>
    <w:multiLevelType w:val="hybridMultilevel"/>
    <w:tmpl w:val="18EED60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attachedTemplate r:id="rId1"/>
  <w:defaultTabStop w:val="720"/>
  <w:characterSpacingControl w:val="doNotCompress"/>
  <w:hdrShapeDefaults>
    <o:shapedefaults v:ext="edit" spidmax="12290"/>
  </w:hdrShapeDefaults>
  <w:footnotePr>
    <w:footnote w:id="-1"/>
    <w:footnote w:id="0"/>
  </w:footnotePr>
  <w:endnotePr>
    <w:endnote w:id="-1"/>
    <w:endnote w:id="0"/>
  </w:endnotePr>
  <w:compat>
    <w:useFELayout/>
    <w:compatSetting w:name="compatibilityMode" w:uri="http://schemas.microsoft.com/office/word" w:val="12"/>
  </w:compat>
  <w:rsids>
    <w:rsidRoot w:val="00EA65E7"/>
    <w:rsid w:val="00095092"/>
    <w:rsid w:val="000F16A3"/>
    <w:rsid w:val="001148BC"/>
    <w:rsid w:val="00252AED"/>
    <w:rsid w:val="002727A0"/>
    <w:rsid w:val="00311047"/>
    <w:rsid w:val="003C6975"/>
    <w:rsid w:val="00475679"/>
    <w:rsid w:val="004D521F"/>
    <w:rsid w:val="00597A22"/>
    <w:rsid w:val="005B5C21"/>
    <w:rsid w:val="005D4807"/>
    <w:rsid w:val="00613502"/>
    <w:rsid w:val="006457CF"/>
    <w:rsid w:val="006D3D38"/>
    <w:rsid w:val="00785902"/>
    <w:rsid w:val="00833765"/>
    <w:rsid w:val="009D6019"/>
    <w:rsid w:val="00A90D71"/>
    <w:rsid w:val="00AF18C7"/>
    <w:rsid w:val="00C93C62"/>
    <w:rsid w:val="00C94F1F"/>
    <w:rsid w:val="00CD47C2"/>
    <w:rsid w:val="00E737FD"/>
    <w:rsid w:val="00EA65E7"/>
    <w:rsid w:val="00F94C9A"/>
    <w:rsid w:val="00FC6B4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D6019"/>
    <w:rPr>
      <w:rFonts w:cs="Times New Roman"/>
      <w:color w:val="0000FF"/>
      <w:u w:val="single"/>
    </w:rPr>
  </w:style>
  <w:style w:type="paragraph" w:styleId="Header">
    <w:name w:val="header"/>
    <w:basedOn w:val="Normal"/>
    <w:link w:val="HeaderChar"/>
    <w:uiPriority w:val="99"/>
    <w:unhideWhenUsed/>
    <w:rsid w:val="004D5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21F"/>
  </w:style>
  <w:style w:type="paragraph" w:styleId="Footer">
    <w:name w:val="footer"/>
    <w:basedOn w:val="Normal"/>
    <w:link w:val="FooterChar"/>
    <w:uiPriority w:val="99"/>
    <w:unhideWhenUsed/>
    <w:rsid w:val="004D5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21F"/>
  </w:style>
  <w:style w:type="paragraph" w:styleId="BalloonText">
    <w:name w:val="Balloon Text"/>
    <w:basedOn w:val="Normal"/>
    <w:link w:val="BalloonTextChar"/>
    <w:uiPriority w:val="99"/>
    <w:semiHidden/>
    <w:unhideWhenUsed/>
    <w:rsid w:val="00785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902"/>
    <w:rPr>
      <w:rFonts w:ascii="Tahoma" w:hAnsi="Tahoma" w:cs="Tahoma"/>
      <w:sz w:val="16"/>
      <w:szCs w:val="16"/>
    </w:rPr>
  </w:style>
  <w:style w:type="paragraph" w:styleId="ListParagraph">
    <w:name w:val="List Paragraph"/>
    <w:basedOn w:val="Normal"/>
    <w:uiPriority w:val="34"/>
    <w:qFormat/>
    <w:rsid w:val="001148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jor.projects@pc.gov.a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ccqld.org.au" TargetMode="External"/><Relationship Id="rId2" Type="http://schemas.openxmlformats.org/officeDocument/2006/relationships/hyperlink" Target="mailto:ccc@cqnet.com.au" TargetMode="External"/><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C%20User\AppData\Roaming\Microsoft\Templates\CCC%20letterhea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CCC letterhead2.dotx</Template>
  <TotalTime>0</TotalTime>
  <Pages>3</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Submission 12 - Capricorn Conservation Council - Major Project Development Assessment Processes - Commissioned study</vt:lpstr>
    </vt:vector>
  </TitlesOfParts>
  <Company>Capricorn Conservation Council</Company>
  <LinksUpToDate>false</LinksUpToDate>
  <CharactersWithSpaces>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12 - Capricorn Conservation Council - Major Project Development Assessment Processes - Commissioned study</dc:title>
  <dc:creator>Capricorn Conservation Council</dc:creator>
  <cp:lastModifiedBy>Productivity Commission</cp:lastModifiedBy>
  <cp:revision>2</cp:revision>
  <dcterms:created xsi:type="dcterms:W3CDTF">2013-03-26T23:15:00Z</dcterms:created>
  <dcterms:modified xsi:type="dcterms:W3CDTF">2013-03-26T23:15:00Z</dcterms:modified>
</cp:coreProperties>
</file>