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1EB" w:rsidRDefault="005A11EB" w:rsidP="000B7F9D">
      <w:pPr>
        <w:rPr>
          <w:b/>
          <w:iCs/>
          <w:sz w:val="28"/>
          <w:szCs w:val="28"/>
        </w:rPr>
      </w:pPr>
    </w:p>
    <w:p w:rsidR="005A11EB" w:rsidRDefault="005A11EB" w:rsidP="000B7F9D">
      <w:pPr>
        <w:rPr>
          <w:b/>
          <w:iCs/>
          <w:sz w:val="28"/>
          <w:szCs w:val="28"/>
        </w:rPr>
      </w:pPr>
    </w:p>
    <w:p w:rsidR="000B7F9D" w:rsidRPr="000B7F9D" w:rsidRDefault="00A73B17" w:rsidP="000B7F9D">
      <w:pPr>
        <w:rPr>
          <w:b/>
          <w:iCs/>
          <w:sz w:val="28"/>
          <w:szCs w:val="28"/>
        </w:rPr>
      </w:pPr>
      <w:r>
        <w:rPr>
          <w:b/>
          <w:iCs/>
          <w:sz w:val="28"/>
          <w:szCs w:val="28"/>
        </w:rPr>
        <w:t>Submission on Productivity Commission Issues Paper – Major Project Development Assessment Processes</w:t>
      </w:r>
    </w:p>
    <w:p w:rsidR="000B7F9D" w:rsidRDefault="000B7F9D" w:rsidP="000B7F9D">
      <w:pPr>
        <w:rPr>
          <w:iCs/>
        </w:rPr>
      </w:pPr>
    </w:p>
    <w:p w:rsidR="000B7F9D" w:rsidRPr="000B7F9D" w:rsidRDefault="000475B9" w:rsidP="000B7F9D">
      <w:pPr>
        <w:rPr>
          <w:b/>
          <w:iCs/>
          <w:sz w:val="24"/>
        </w:rPr>
      </w:pPr>
      <w:r w:rsidRPr="000475B9">
        <w:rPr>
          <w:b/>
          <w:iCs/>
          <w:sz w:val="24"/>
        </w:rPr>
        <w:t xml:space="preserve">25 </w:t>
      </w:r>
      <w:r w:rsidR="00A73B17" w:rsidRPr="000475B9">
        <w:rPr>
          <w:b/>
          <w:iCs/>
          <w:sz w:val="24"/>
        </w:rPr>
        <w:t>March 2013</w:t>
      </w:r>
    </w:p>
    <w:p w:rsidR="000B7F9D" w:rsidRDefault="000B7F9D" w:rsidP="000B7F9D">
      <w:pPr>
        <w:rPr>
          <w:iCs/>
        </w:rPr>
      </w:pPr>
    </w:p>
    <w:p w:rsidR="000B7F9D" w:rsidRPr="006F1D9F" w:rsidRDefault="000B7F9D" w:rsidP="000B7F9D">
      <w:pPr>
        <w:rPr>
          <w:iCs/>
        </w:rPr>
      </w:pPr>
    </w:p>
    <w:tbl>
      <w:tblPr>
        <w:tblW w:w="4922" w:type="pct"/>
        <w:tblLook w:val="0000" w:firstRow="0" w:lastRow="0" w:firstColumn="0" w:lastColumn="0" w:noHBand="0" w:noVBand="0"/>
      </w:tblPr>
      <w:tblGrid>
        <w:gridCol w:w="5148"/>
        <w:gridCol w:w="359"/>
        <w:gridCol w:w="3240"/>
      </w:tblGrid>
      <w:tr w:rsidR="00E20A47" w:rsidRPr="00E32660" w:rsidTr="009A4D3E">
        <w:trPr>
          <w:trHeight w:val="80"/>
        </w:trPr>
        <w:tc>
          <w:tcPr>
            <w:tcW w:w="2943" w:type="pct"/>
            <w:shd w:val="clear" w:color="auto" w:fill="auto"/>
          </w:tcPr>
          <w:p w:rsidR="00C511E3" w:rsidRDefault="00C511E3" w:rsidP="00E20A47">
            <w:pPr>
              <w:spacing w:line="360" w:lineRule="auto"/>
              <w:jc w:val="both"/>
            </w:pPr>
            <w:r w:rsidRPr="00E32660">
              <w:t>The Australian Network of Environmental Defender’s Offices (</w:t>
            </w:r>
            <w:proofErr w:type="spellStart"/>
            <w:r w:rsidRPr="002C6FAA">
              <w:rPr>
                <w:b/>
              </w:rPr>
              <w:t>ANEDO</w:t>
            </w:r>
            <w:proofErr w:type="spellEnd"/>
            <w:r w:rsidRPr="00E32660">
              <w:t xml:space="preserve">) consists of nine independently constituted and managed community environmental law centres located in each State and Territory of Australia. </w:t>
            </w:r>
          </w:p>
          <w:p w:rsidR="002C6FAA" w:rsidRPr="00E32660" w:rsidRDefault="002C6FAA" w:rsidP="00E20A47">
            <w:pPr>
              <w:spacing w:line="360" w:lineRule="auto"/>
              <w:jc w:val="both"/>
            </w:pPr>
          </w:p>
          <w:p w:rsidR="00C511E3" w:rsidRPr="00E32660" w:rsidRDefault="00C511E3" w:rsidP="00E2289C">
            <w:pPr>
              <w:spacing w:line="360" w:lineRule="auto"/>
              <w:jc w:val="both"/>
            </w:pPr>
            <w:r w:rsidRPr="00E32660">
              <w:t xml:space="preserve">Each EDO is dedicated to protecting the environment in the public interest. </w:t>
            </w:r>
            <w:proofErr w:type="spellStart"/>
            <w:r w:rsidRPr="00E32660">
              <w:t>EDOs</w:t>
            </w:r>
            <w:proofErr w:type="spellEnd"/>
            <w:r w:rsidRPr="00E32660">
              <w:t xml:space="preserve"> provide legal representation and advice, take an active role in environmental law reform and policy formulation, and offer a significant education program designed to facilitate public participation in environmental decision making. </w:t>
            </w:r>
          </w:p>
        </w:tc>
        <w:tc>
          <w:tcPr>
            <w:tcW w:w="205" w:type="pct"/>
            <w:shd w:val="clear" w:color="auto" w:fill="auto"/>
          </w:tcPr>
          <w:p w:rsidR="00C511E3" w:rsidRPr="00E32660" w:rsidRDefault="00C511E3" w:rsidP="00E32660">
            <w:pPr>
              <w:spacing w:line="360" w:lineRule="auto"/>
            </w:pPr>
          </w:p>
        </w:tc>
        <w:tc>
          <w:tcPr>
            <w:tcW w:w="1852" w:type="pct"/>
            <w:shd w:val="clear" w:color="auto" w:fill="E6E6E6"/>
          </w:tcPr>
          <w:p w:rsidR="00C511E3" w:rsidRDefault="00C511E3" w:rsidP="00E20A47">
            <w:r w:rsidRPr="00E20A47">
              <w:t>EDO ACT (tel. 02 6247 9420)</w:t>
            </w:r>
            <w:r w:rsidR="00E32660" w:rsidRPr="00E20A47">
              <w:br/>
            </w:r>
            <w:hyperlink r:id="rId9" w:history="1">
              <w:proofErr w:type="spellStart"/>
              <w:r w:rsidRPr="00E20A47">
                <w:rPr>
                  <w:rStyle w:val="Hyperlink"/>
                </w:rPr>
                <w:t>edoact@edo.org.au</w:t>
              </w:r>
              <w:proofErr w:type="spellEnd"/>
            </w:hyperlink>
          </w:p>
          <w:p w:rsidR="00E20A47" w:rsidRPr="00E20A47" w:rsidRDefault="00E20A47" w:rsidP="00E20A47"/>
          <w:p w:rsidR="00C511E3" w:rsidRDefault="00C511E3" w:rsidP="00E20A47">
            <w:r w:rsidRPr="00E20A47">
              <w:t>EDO NSW (tel. 02 9262</w:t>
            </w:r>
            <w:r w:rsidR="00E32660" w:rsidRPr="00E20A47">
              <w:t xml:space="preserve"> </w:t>
            </w:r>
            <w:r w:rsidRPr="00E20A47">
              <w:t xml:space="preserve">6989) </w:t>
            </w:r>
            <w:hyperlink r:id="rId10" w:history="1">
              <w:proofErr w:type="spellStart"/>
              <w:r w:rsidR="001837DC" w:rsidRPr="00ED433E">
                <w:rPr>
                  <w:rStyle w:val="Hyperlink"/>
                </w:rPr>
                <w:t>edonsw@edonsw.org.au</w:t>
              </w:r>
              <w:proofErr w:type="spellEnd"/>
            </w:hyperlink>
          </w:p>
          <w:p w:rsidR="00E20A47" w:rsidRPr="00E20A47" w:rsidRDefault="00E20A47" w:rsidP="00E20A47"/>
          <w:p w:rsidR="00C511E3" w:rsidRDefault="00C511E3" w:rsidP="009A4D3E">
            <w:r w:rsidRPr="00E20A47">
              <w:t>EDO NQ (tel. 07 4031 4766)</w:t>
            </w:r>
            <w:r w:rsidR="009A4D3E">
              <w:br/>
            </w:r>
            <w:hyperlink r:id="rId11" w:history="1">
              <w:proofErr w:type="spellStart"/>
              <w:r w:rsidRPr="00E20A47">
                <w:rPr>
                  <w:rStyle w:val="Hyperlink"/>
                </w:rPr>
                <w:t>edonq@edo.org.au</w:t>
              </w:r>
              <w:proofErr w:type="spellEnd"/>
            </w:hyperlink>
          </w:p>
          <w:p w:rsidR="00E20A47" w:rsidRPr="00E20A47" w:rsidRDefault="00E20A47" w:rsidP="00E20A47"/>
          <w:p w:rsidR="00C511E3" w:rsidRDefault="00C511E3" w:rsidP="009A4D3E">
            <w:r w:rsidRPr="00E20A47">
              <w:t>EDO NT (tel. 08 8982 1182)</w:t>
            </w:r>
            <w:r w:rsidR="009A4D3E">
              <w:br/>
            </w:r>
            <w:hyperlink r:id="rId12" w:history="1">
              <w:proofErr w:type="spellStart"/>
              <w:r w:rsidRPr="00E20A47">
                <w:rPr>
                  <w:rStyle w:val="Hyperlink"/>
                </w:rPr>
                <w:t>edont@edo.org.au</w:t>
              </w:r>
              <w:proofErr w:type="spellEnd"/>
            </w:hyperlink>
          </w:p>
          <w:p w:rsidR="00E20A47" w:rsidRPr="00E20A47" w:rsidRDefault="00E20A47" w:rsidP="00E20A47"/>
          <w:p w:rsidR="00C511E3" w:rsidRDefault="00C511E3" w:rsidP="009A4D3E">
            <w:r w:rsidRPr="00E20A47">
              <w:t>EDO QLD (tel. 07 3211 4466)</w:t>
            </w:r>
            <w:r w:rsidR="009A4D3E">
              <w:br/>
            </w:r>
            <w:hyperlink r:id="rId13" w:history="1">
              <w:proofErr w:type="spellStart"/>
              <w:r w:rsidRPr="00E20A47">
                <w:rPr>
                  <w:rStyle w:val="Hyperlink"/>
                </w:rPr>
                <w:t>edoqld@edo.org.au</w:t>
              </w:r>
              <w:proofErr w:type="spellEnd"/>
            </w:hyperlink>
          </w:p>
          <w:p w:rsidR="00E20A47" w:rsidRPr="00E20A47" w:rsidRDefault="00E20A47" w:rsidP="00E20A47"/>
          <w:p w:rsidR="00C511E3" w:rsidRDefault="00C511E3" w:rsidP="009A4D3E">
            <w:r w:rsidRPr="00E20A47">
              <w:t>EDO SA (tel. 08 8410 3833)</w:t>
            </w:r>
            <w:r w:rsidR="009A4D3E">
              <w:br/>
            </w:r>
            <w:hyperlink r:id="rId14" w:history="1">
              <w:proofErr w:type="spellStart"/>
              <w:r w:rsidRPr="00E20A47">
                <w:rPr>
                  <w:rStyle w:val="Hyperlink"/>
                </w:rPr>
                <w:t>edosa@edo.org.au</w:t>
              </w:r>
              <w:proofErr w:type="spellEnd"/>
            </w:hyperlink>
          </w:p>
          <w:p w:rsidR="00E20A47" w:rsidRPr="00E20A47" w:rsidRDefault="00E20A47" w:rsidP="00E20A47"/>
          <w:p w:rsidR="00C511E3" w:rsidRDefault="00C511E3" w:rsidP="009A4D3E">
            <w:r w:rsidRPr="00E20A47">
              <w:t>EDO TAS (tel. 03 6223 2770)</w:t>
            </w:r>
            <w:r w:rsidR="009A4D3E">
              <w:br/>
            </w:r>
            <w:hyperlink r:id="rId15" w:history="1">
              <w:proofErr w:type="spellStart"/>
              <w:r w:rsidR="00E20A47" w:rsidRPr="00E20A47">
                <w:rPr>
                  <w:rStyle w:val="Hyperlink"/>
                </w:rPr>
                <w:t>edotas@edo.org.au</w:t>
              </w:r>
              <w:proofErr w:type="spellEnd"/>
            </w:hyperlink>
            <w:r w:rsidR="00E20A47" w:rsidRPr="00E20A47">
              <w:t xml:space="preserve"> </w:t>
            </w:r>
          </w:p>
          <w:p w:rsidR="00E20A47" w:rsidRPr="00E20A47" w:rsidRDefault="00E20A47" w:rsidP="00E20A47"/>
          <w:p w:rsidR="00C511E3" w:rsidRDefault="00C511E3" w:rsidP="009A4D3E">
            <w:proofErr w:type="spellStart"/>
            <w:r w:rsidRPr="00E20A47">
              <w:t>EDOVIC</w:t>
            </w:r>
            <w:proofErr w:type="spellEnd"/>
            <w:r w:rsidRPr="00E20A47">
              <w:t xml:space="preserve"> (tel. 03 9328 4811)</w:t>
            </w:r>
            <w:r w:rsidR="009A4D3E">
              <w:br/>
            </w:r>
            <w:hyperlink r:id="rId16" w:history="1">
              <w:proofErr w:type="spellStart"/>
              <w:r w:rsidR="001837DC" w:rsidRPr="00ED433E">
                <w:rPr>
                  <w:rStyle w:val="Hyperlink"/>
                </w:rPr>
                <w:t>edovic@edo.org.au</w:t>
              </w:r>
              <w:proofErr w:type="spellEnd"/>
            </w:hyperlink>
          </w:p>
          <w:p w:rsidR="00E20A47" w:rsidRPr="00E20A47" w:rsidRDefault="00E20A47" w:rsidP="00E20A47"/>
          <w:p w:rsidR="00E20A47" w:rsidRPr="00E32660" w:rsidRDefault="00C511E3" w:rsidP="009A4D3E">
            <w:r w:rsidRPr="00E20A47">
              <w:t>EDO WA (tel. 08 9221 3030)</w:t>
            </w:r>
            <w:r w:rsidR="009A4D3E">
              <w:br/>
            </w:r>
            <w:hyperlink r:id="rId17" w:history="1">
              <w:proofErr w:type="spellStart"/>
              <w:r w:rsidR="00E32660" w:rsidRPr="00E20A47">
                <w:rPr>
                  <w:rStyle w:val="Hyperlink"/>
                </w:rPr>
                <w:t>edowa@edowa.org.au</w:t>
              </w:r>
              <w:proofErr w:type="spellEnd"/>
            </w:hyperlink>
          </w:p>
        </w:tc>
        <w:bookmarkStart w:id="0" w:name="_GoBack"/>
        <w:bookmarkEnd w:id="0"/>
      </w:tr>
    </w:tbl>
    <w:p w:rsidR="00C511E3" w:rsidRPr="005B715C" w:rsidRDefault="00C511E3" w:rsidP="00C511E3">
      <w:pPr>
        <w:jc w:val="both"/>
        <w:rPr>
          <w:u w:val="single"/>
        </w:rPr>
      </w:pPr>
    </w:p>
    <w:p w:rsidR="00C511E3" w:rsidRPr="002C6FAA" w:rsidRDefault="00C511E3" w:rsidP="00861A68">
      <w:pPr>
        <w:jc w:val="center"/>
      </w:pPr>
      <w:r w:rsidRPr="00AF101C">
        <w:t xml:space="preserve">Submitted to: </w:t>
      </w:r>
      <w:proofErr w:type="spellStart"/>
      <w:r w:rsidR="00A73B17">
        <w:t>major.projects@pc.gov.au</w:t>
      </w:r>
      <w:proofErr w:type="spellEnd"/>
    </w:p>
    <w:p w:rsidR="000B7F9D" w:rsidRDefault="000B7F9D" w:rsidP="00861A68">
      <w:pPr>
        <w:jc w:val="center"/>
      </w:pPr>
    </w:p>
    <w:p w:rsidR="00126956" w:rsidRPr="00E32660" w:rsidRDefault="00E32660" w:rsidP="00861A68">
      <w:pPr>
        <w:jc w:val="center"/>
        <w:rPr>
          <w:bCs/>
          <w:iCs/>
        </w:rPr>
      </w:pPr>
      <w:r>
        <w:br w:type="page"/>
      </w:r>
    </w:p>
    <w:p w:rsidR="00126956" w:rsidRPr="00B71548" w:rsidRDefault="00126956" w:rsidP="00B71548">
      <w:pPr>
        <w:pStyle w:val="Heading1"/>
      </w:pPr>
      <w:bookmarkStart w:id="1" w:name="_Toc349913748"/>
      <w:bookmarkStart w:id="2" w:name="_Toc350251383"/>
      <w:bookmarkStart w:id="3" w:name="_Toc350412713"/>
      <w:bookmarkStart w:id="4" w:name="_Toc350780834"/>
      <w:bookmarkStart w:id="5" w:name="_Toc351362440"/>
      <w:bookmarkStart w:id="6" w:name="_Toc351370545"/>
      <w:bookmarkStart w:id="7" w:name="_Toc351968339"/>
      <w:bookmarkStart w:id="8" w:name="_Toc351972124"/>
      <w:bookmarkStart w:id="9" w:name="_Toc351985892"/>
      <w:r>
        <w:lastRenderedPageBreak/>
        <w:t>Contents</w:t>
      </w:r>
      <w:bookmarkEnd w:id="1"/>
      <w:bookmarkEnd w:id="2"/>
      <w:bookmarkEnd w:id="3"/>
      <w:bookmarkEnd w:id="4"/>
      <w:bookmarkEnd w:id="5"/>
      <w:bookmarkEnd w:id="6"/>
      <w:bookmarkEnd w:id="7"/>
      <w:bookmarkEnd w:id="8"/>
      <w:bookmarkEnd w:id="9"/>
    </w:p>
    <w:p w:rsidR="00B0373B" w:rsidRPr="004D6F76" w:rsidRDefault="00B0373B" w:rsidP="004D6F76"/>
    <w:p w:rsidR="00B0373B" w:rsidRDefault="00B71548">
      <w:pPr>
        <w:pStyle w:val="TOC1"/>
        <w:rPr>
          <w:rFonts w:asciiTheme="minorHAnsi" w:eastAsiaTheme="minorEastAsia" w:hAnsiTheme="minorHAnsi" w:cstheme="minorBidi"/>
          <w:b w:val="0"/>
          <w:szCs w:val="22"/>
          <w:lang w:eastAsia="en-AU"/>
        </w:rPr>
      </w:pPr>
      <w:r>
        <w:fldChar w:fldCharType="begin"/>
      </w:r>
      <w:r>
        <w:instrText xml:space="preserve"> TOC \o "1-2" \h \z \u </w:instrText>
      </w:r>
      <w:r>
        <w:fldChar w:fldCharType="separate"/>
      </w:r>
      <w:hyperlink w:anchor="_Toc351985893" w:history="1">
        <w:r w:rsidR="00B0373B" w:rsidRPr="00BF2D20">
          <w:rPr>
            <w:rStyle w:val="Hyperlink"/>
          </w:rPr>
          <w:t>Introduction</w:t>
        </w:r>
        <w:r w:rsidR="00B0373B">
          <w:rPr>
            <w:webHidden/>
          </w:rPr>
          <w:tab/>
        </w:r>
        <w:r w:rsidR="00B0373B">
          <w:rPr>
            <w:webHidden/>
          </w:rPr>
          <w:fldChar w:fldCharType="begin"/>
        </w:r>
        <w:r w:rsidR="00B0373B">
          <w:rPr>
            <w:webHidden/>
          </w:rPr>
          <w:instrText xml:space="preserve"> PAGEREF _Toc351985893 \h </w:instrText>
        </w:r>
        <w:r w:rsidR="00B0373B">
          <w:rPr>
            <w:webHidden/>
          </w:rPr>
        </w:r>
        <w:r w:rsidR="00B0373B">
          <w:rPr>
            <w:webHidden/>
          </w:rPr>
          <w:fldChar w:fldCharType="separate"/>
        </w:r>
        <w:r w:rsidR="00C23F14">
          <w:rPr>
            <w:webHidden/>
          </w:rPr>
          <w:t>3</w:t>
        </w:r>
        <w:r w:rsidR="00B0373B">
          <w:rPr>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894" w:history="1">
        <w:r w:rsidR="00B0373B" w:rsidRPr="00BF2D20">
          <w:rPr>
            <w:rStyle w:val="Hyperlink"/>
          </w:rPr>
          <w:t>Summary of recommendations</w:t>
        </w:r>
        <w:r w:rsidR="00B0373B">
          <w:rPr>
            <w:webHidden/>
          </w:rPr>
          <w:tab/>
        </w:r>
        <w:r w:rsidR="00B0373B">
          <w:rPr>
            <w:webHidden/>
          </w:rPr>
          <w:fldChar w:fldCharType="begin"/>
        </w:r>
        <w:r w:rsidR="00B0373B">
          <w:rPr>
            <w:webHidden/>
          </w:rPr>
          <w:instrText xml:space="preserve"> PAGEREF _Toc351985894 \h </w:instrText>
        </w:r>
        <w:r w:rsidR="00B0373B">
          <w:rPr>
            <w:webHidden/>
          </w:rPr>
        </w:r>
        <w:r w:rsidR="00B0373B">
          <w:rPr>
            <w:webHidden/>
          </w:rPr>
          <w:fldChar w:fldCharType="separate"/>
        </w:r>
        <w:r w:rsidR="00C23F14">
          <w:rPr>
            <w:webHidden/>
          </w:rPr>
          <w:t>5</w:t>
        </w:r>
        <w:r w:rsidR="00B0373B">
          <w:rPr>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895" w:history="1">
        <w:r w:rsidR="00B0373B" w:rsidRPr="00BF2D20">
          <w:rPr>
            <w:rStyle w:val="Hyperlink"/>
          </w:rPr>
          <w:t>Recognising the public benefits of environmental regulation</w:t>
        </w:r>
        <w:r w:rsidR="00B0373B">
          <w:rPr>
            <w:webHidden/>
          </w:rPr>
          <w:tab/>
        </w:r>
        <w:r w:rsidR="00B0373B">
          <w:rPr>
            <w:webHidden/>
          </w:rPr>
          <w:fldChar w:fldCharType="begin"/>
        </w:r>
        <w:r w:rsidR="00B0373B">
          <w:rPr>
            <w:webHidden/>
          </w:rPr>
          <w:instrText xml:space="preserve"> PAGEREF _Toc351985895 \h </w:instrText>
        </w:r>
        <w:r w:rsidR="00B0373B">
          <w:rPr>
            <w:webHidden/>
          </w:rPr>
        </w:r>
        <w:r w:rsidR="00B0373B">
          <w:rPr>
            <w:webHidden/>
          </w:rPr>
          <w:fldChar w:fldCharType="separate"/>
        </w:r>
        <w:r w:rsidR="00C23F14">
          <w:rPr>
            <w:webHidden/>
          </w:rPr>
          <w:t>8</w:t>
        </w:r>
        <w:r w:rsidR="00B0373B">
          <w:rPr>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896" w:history="1">
        <w:r w:rsidR="00B0373B" w:rsidRPr="00BF2D20">
          <w:rPr>
            <w:rStyle w:val="Hyperlink"/>
          </w:rPr>
          <w:t>Analysis of COAG proposal to delegate federal approval powers</w:t>
        </w:r>
        <w:r w:rsidR="00B0373B">
          <w:rPr>
            <w:webHidden/>
          </w:rPr>
          <w:tab/>
        </w:r>
        <w:r w:rsidR="00B0373B">
          <w:rPr>
            <w:webHidden/>
          </w:rPr>
          <w:fldChar w:fldCharType="begin"/>
        </w:r>
        <w:r w:rsidR="00B0373B">
          <w:rPr>
            <w:webHidden/>
          </w:rPr>
          <w:instrText xml:space="preserve"> PAGEREF _Toc351985896 \h </w:instrText>
        </w:r>
        <w:r w:rsidR="00B0373B">
          <w:rPr>
            <w:webHidden/>
          </w:rPr>
        </w:r>
        <w:r w:rsidR="00B0373B">
          <w:rPr>
            <w:webHidden/>
          </w:rPr>
          <w:fldChar w:fldCharType="separate"/>
        </w:r>
        <w:r w:rsidR="00C23F14">
          <w:rPr>
            <w:webHidden/>
          </w:rPr>
          <w:t>9</w:t>
        </w:r>
        <w:r w:rsidR="00B0373B">
          <w:rPr>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897" w:history="1">
        <w:r w:rsidR="00B0373B" w:rsidRPr="00BF2D20">
          <w:rPr>
            <w:rStyle w:val="Hyperlink"/>
          </w:rPr>
          <w:t>Benchmarking major project development assessment and approval processes</w:t>
        </w:r>
        <w:r w:rsidR="00B0373B">
          <w:rPr>
            <w:webHidden/>
          </w:rPr>
          <w:tab/>
        </w:r>
        <w:r w:rsidR="00B0373B">
          <w:rPr>
            <w:webHidden/>
          </w:rPr>
          <w:fldChar w:fldCharType="begin"/>
        </w:r>
        <w:r w:rsidR="00B0373B">
          <w:rPr>
            <w:webHidden/>
          </w:rPr>
          <w:instrText xml:space="preserve"> PAGEREF _Toc351985897 \h </w:instrText>
        </w:r>
        <w:r w:rsidR="00B0373B">
          <w:rPr>
            <w:webHidden/>
          </w:rPr>
        </w:r>
        <w:r w:rsidR="00B0373B">
          <w:rPr>
            <w:webHidden/>
          </w:rPr>
          <w:fldChar w:fldCharType="separate"/>
        </w:r>
        <w:r w:rsidR="00C23F14">
          <w:rPr>
            <w:webHidden/>
          </w:rPr>
          <w:t>12</w:t>
        </w:r>
        <w:r w:rsidR="00B0373B">
          <w:rPr>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899" w:history="1">
        <w:r w:rsidR="00B0373B" w:rsidRPr="00BF2D20">
          <w:rPr>
            <w:rStyle w:val="Hyperlink"/>
            <w:noProof/>
          </w:rPr>
          <w:t>i)</w:t>
        </w:r>
        <w:r w:rsidR="00B0373B">
          <w:rPr>
            <w:rFonts w:asciiTheme="minorHAnsi" w:eastAsiaTheme="minorEastAsia" w:hAnsiTheme="minorHAnsi" w:cstheme="minorBidi"/>
            <w:noProof/>
            <w:szCs w:val="22"/>
            <w:lang w:eastAsia="en-AU"/>
          </w:rPr>
          <w:tab/>
        </w:r>
        <w:r w:rsidR="00B0373B" w:rsidRPr="00BF2D20">
          <w:rPr>
            <w:rStyle w:val="Hyperlink"/>
            <w:noProof/>
          </w:rPr>
          <w:t>10 best practice criteria for planning and environmental regulation</w:t>
        </w:r>
        <w:r w:rsidR="00B0373B">
          <w:rPr>
            <w:noProof/>
            <w:webHidden/>
          </w:rPr>
          <w:tab/>
        </w:r>
        <w:r w:rsidR="00B0373B">
          <w:rPr>
            <w:noProof/>
            <w:webHidden/>
          </w:rPr>
          <w:fldChar w:fldCharType="begin"/>
        </w:r>
        <w:r w:rsidR="00B0373B">
          <w:rPr>
            <w:noProof/>
            <w:webHidden/>
          </w:rPr>
          <w:instrText xml:space="preserve"> PAGEREF _Toc351985899 \h </w:instrText>
        </w:r>
        <w:r w:rsidR="00B0373B">
          <w:rPr>
            <w:noProof/>
            <w:webHidden/>
          </w:rPr>
        </w:r>
        <w:r w:rsidR="00B0373B">
          <w:rPr>
            <w:noProof/>
            <w:webHidden/>
          </w:rPr>
          <w:fldChar w:fldCharType="separate"/>
        </w:r>
        <w:r w:rsidR="00C23F14">
          <w:rPr>
            <w:noProof/>
            <w:webHidden/>
          </w:rPr>
          <w:t>12</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00" w:history="1">
        <w:r w:rsidR="00B0373B" w:rsidRPr="00BF2D20">
          <w:rPr>
            <w:rStyle w:val="Hyperlink"/>
            <w:noProof/>
          </w:rPr>
          <w:t>ii)</w:t>
        </w:r>
        <w:r w:rsidR="00B0373B">
          <w:rPr>
            <w:rFonts w:asciiTheme="minorHAnsi" w:eastAsiaTheme="minorEastAsia" w:hAnsiTheme="minorHAnsi" w:cstheme="minorBidi"/>
            <w:noProof/>
            <w:szCs w:val="22"/>
            <w:lang w:eastAsia="en-AU"/>
          </w:rPr>
          <w:tab/>
        </w:r>
        <w:r w:rsidR="00B0373B" w:rsidRPr="00BF2D20">
          <w:rPr>
            <w:rStyle w:val="Hyperlink"/>
            <w:noProof/>
          </w:rPr>
          <w:t>The Commission’s proposed approach and criteria for benchmarking</w:t>
        </w:r>
        <w:r w:rsidR="00B0373B">
          <w:rPr>
            <w:noProof/>
            <w:webHidden/>
          </w:rPr>
          <w:tab/>
        </w:r>
        <w:r w:rsidR="00B0373B">
          <w:rPr>
            <w:noProof/>
            <w:webHidden/>
          </w:rPr>
          <w:fldChar w:fldCharType="begin"/>
        </w:r>
        <w:r w:rsidR="00B0373B">
          <w:rPr>
            <w:noProof/>
            <w:webHidden/>
          </w:rPr>
          <w:instrText xml:space="preserve"> PAGEREF _Toc351985900 \h </w:instrText>
        </w:r>
        <w:r w:rsidR="00B0373B">
          <w:rPr>
            <w:noProof/>
            <w:webHidden/>
          </w:rPr>
        </w:r>
        <w:r w:rsidR="00B0373B">
          <w:rPr>
            <w:noProof/>
            <w:webHidden/>
          </w:rPr>
          <w:fldChar w:fldCharType="separate"/>
        </w:r>
        <w:r w:rsidR="00C23F14">
          <w:rPr>
            <w:noProof/>
            <w:webHidden/>
          </w:rPr>
          <w:t>12</w:t>
        </w:r>
        <w:r w:rsidR="00B0373B">
          <w:rPr>
            <w:noProof/>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01" w:history="1">
        <w:r w:rsidR="00B0373B" w:rsidRPr="00BF2D20">
          <w:rPr>
            <w:rStyle w:val="Hyperlink"/>
          </w:rPr>
          <w:t>Objectives and key features of major project DAA processes</w:t>
        </w:r>
        <w:r w:rsidR="00B0373B">
          <w:rPr>
            <w:webHidden/>
          </w:rPr>
          <w:tab/>
        </w:r>
        <w:r w:rsidR="00B0373B">
          <w:rPr>
            <w:webHidden/>
          </w:rPr>
          <w:fldChar w:fldCharType="begin"/>
        </w:r>
        <w:r w:rsidR="00B0373B">
          <w:rPr>
            <w:webHidden/>
          </w:rPr>
          <w:instrText xml:space="preserve"> PAGEREF _Toc351985901 \h </w:instrText>
        </w:r>
        <w:r w:rsidR="00B0373B">
          <w:rPr>
            <w:webHidden/>
          </w:rPr>
        </w:r>
        <w:r w:rsidR="00B0373B">
          <w:rPr>
            <w:webHidden/>
          </w:rPr>
          <w:fldChar w:fldCharType="separate"/>
        </w:r>
        <w:r w:rsidR="00C23F14">
          <w:rPr>
            <w:webHidden/>
          </w:rPr>
          <w:t>13</w:t>
        </w:r>
        <w:r w:rsidR="00B0373B">
          <w:rPr>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02" w:history="1">
        <w:r w:rsidR="00B0373B" w:rsidRPr="00BF2D20">
          <w:rPr>
            <w:rStyle w:val="Hyperlink"/>
            <w:noProof/>
          </w:rPr>
          <w:t>i)</w:t>
        </w:r>
        <w:r w:rsidR="00B0373B">
          <w:rPr>
            <w:rFonts w:asciiTheme="minorHAnsi" w:eastAsiaTheme="minorEastAsia" w:hAnsiTheme="minorHAnsi" w:cstheme="minorBidi"/>
            <w:noProof/>
            <w:szCs w:val="22"/>
            <w:lang w:eastAsia="en-AU"/>
          </w:rPr>
          <w:tab/>
        </w:r>
        <w:r w:rsidR="00B0373B" w:rsidRPr="00BF2D20">
          <w:rPr>
            <w:rStyle w:val="Hyperlink"/>
            <w:noProof/>
          </w:rPr>
          <w:t>Planning systems must embed ‘ESD’ in objects and decision criteria</w:t>
        </w:r>
        <w:r w:rsidR="00B0373B">
          <w:rPr>
            <w:noProof/>
            <w:webHidden/>
          </w:rPr>
          <w:tab/>
        </w:r>
        <w:r w:rsidR="00B0373B">
          <w:rPr>
            <w:noProof/>
            <w:webHidden/>
          </w:rPr>
          <w:fldChar w:fldCharType="begin"/>
        </w:r>
        <w:r w:rsidR="00B0373B">
          <w:rPr>
            <w:noProof/>
            <w:webHidden/>
          </w:rPr>
          <w:instrText xml:space="preserve"> PAGEREF _Toc351985902 \h </w:instrText>
        </w:r>
        <w:r w:rsidR="00B0373B">
          <w:rPr>
            <w:noProof/>
            <w:webHidden/>
          </w:rPr>
        </w:r>
        <w:r w:rsidR="00B0373B">
          <w:rPr>
            <w:noProof/>
            <w:webHidden/>
          </w:rPr>
          <w:fldChar w:fldCharType="separate"/>
        </w:r>
        <w:r w:rsidR="00C23F14">
          <w:rPr>
            <w:noProof/>
            <w:webHidden/>
          </w:rPr>
          <w:t>13</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03" w:history="1">
        <w:r w:rsidR="00B0373B" w:rsidRPr="00BF2D20">
          <w:rPr>
            <w:rStyle w:val="Hyperlink"/>
            <w:noProof/>
          </w:rPr>
          <w:t>ii)</w:t>
        </w:r>
        <w:r w:rsidR="00B0373B">
          <w:rPr>
            <w:rFonts w:asciiTheme="minorHAnsi" w:eastAsiaTheme="minorEastAsia" w:hAnsiTheme="minorHAnsi" w:cstheme="minorBidi"/>
            <w:noProof/>
            <w:szCs w:val="22"/>
            <w:lang w:eastAsia="en-AU"/>
          </w:rPr>
          <w:tab/>
        </w:r>
        <w:r w:rsidR="00B0373B" w:rsidRPr="00BF2D20">
          <w:rPr>
            <w:rStyle w:val="Hyperlink"/>
            <w:noProof/>
          </w:rPr>
          <w:t>Equitable rights for public participation and engagement</w:t>
        </w:r>
        <w:r w:rsidR="00B0373B">
          <w:rPr>
            <w:noProof/>
            <w:webHidden/>
          </w:rPr>
          <w:tab/>
        </w:r>
        <w:r w:rsidR="00B0373B">
          <w:rPr>
            <w:noProof/>
            <w:webHidden/>
          </w:rPr>
          <w:fldChar w:fldCharType="begin"/>
        </w:r>
        <w:r w:rsidR="00B0373B">
          <w:rPr>
            <w:noProof/>
            <w:webHidden/>
          </w:rPr>
          <w:instrText xml:space="preserve"> PAGEREF _Toc351985903 \h </w:instrText>
        </w:r>
        <w:r w:rsidR="00B0373B">
          <w:rPr>
            <w:noProof/>
            <w:webHidden/>
          </w:rPr>
        </w:r>
        <w:r w:rsidR="00B0373B">
          <w:rPr>
            <w:noProof/>
            <w:webHidden/>
          </w:rPr>
          <w:fldChar w:fldCharType="separate"/>
        </w:r>
        <w:r w:rsidR="00C23F14">
          <w:rPr>
            <w:noProof/>
            <w:webHidden/>
          </w:rPr>
          <w:t>16</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04" w:history="1">
        <w:r w:rsidR="00B0373B" w:rsidRPr="00BF2D20">
          <w:rPr>
            <w:rStyle w:val="Hyperlink"/>
            <w:noProof/>
          </w:rPr>
          <w:t>iii)</w:t>
        </w:r>
        <w:r w:rsidR="00B0373B">
          <w:rPr>
            <w:rFonts w:asciiTheme="minorHAnsi" w:eastAsiaTheme="minorEastAsia" w:hAnsiTheme="minorHAnsi" w:cstheme="minorBidi"/>
            <w:noProof/>
            <w:szCs w:val="22"/>
            <w:lang w:eastAsia="en-AU"/>
          </w:rPr>
          <w:tab/>
        </w:r>
        <w:r w:rsidR="00B0373B" w:rsidRPr="00BF2D20">
          <w:rPr>
            <w:rStyle w:val="Hyperlink"/>
            <w:noProof/>
          </w:rPr>
          <w:t>Robust, independent assessment of all environmental impacts</w:t>
        </w:r>
        <w:r w:rsidR="00B0373B">
          <w:rPr>
            <w:noProof/>
            <w:webHidden/>
          </w:rPr>
          <w:tab/>
        </w:r>
        <w:r w:rsidR="00B0373B">
          <w:rPr>
            <w:noProof/>
            <w:webHidden/>
          </w:rPr>
          <w:fldChar w:fldCharType="begin"/>
        </w:r>
        <w:r w:rsidR="00B0373B">
          <w:rPr>
            <w:noProof/>
            <w:webHidden/>
          </w:rPr>
          <w:instrText xml:space="preserve"> PAGEREF _Toc351985904 \h </w:instrText>
        </w:r>
        <w:r w:rsidR="00B0373B">
          <w:rPr>
            <w:noProof/>
            <w:webHidden/>
          </w:rPr>
        </w:r>
        <w:r w:rsidR="00B0373B">
          <w:rPr>
            <w:noProof/>
            <w:webHidden/>
          </w:rPr>
          <w:fldChar w:fldCharType="separate"/>
        </w:r>
        <w:r w:rsidR="00C23F14">
          <w:rPr>
            <w:noProof/>
            <w:webHidden/>
          </w:rPr>
          <w:t>16</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05" w:history="1">
        <w:r w:rsidR="00B0373B" w:rsidRPr="00BF2D20">
          <w:rPr>
            <w:rStyle w:val="Hyperlink"/>
            <w:noProof/>
          </w:rPr>
          <w:t>iv)</w:t>
        </w:r>
        <w:r w:rsidR="00B0373B">
          <w:rPr>
            <w:rFonts w:asciiTheme="minorHAnsi" w:eastAsiaTheme="minorEastAsia" w:hAnsiTheme="minorHAnsi" w:cstheme="minorBidi"/>
            <w:noProof/>
            <w:szCs w:val="22"/>
            <w:lang w:eastAsia="en-AU"/>
          </w:rPr>
          <w:tab/>
        </w:r>
        <w:r w:rsidR="00B0373B" w:rsidRPr="00BF2D20">
          <w:rPr>
            <w:rStyle w:val="Hyperlink"/>
            <w:noProof/>
          </w:rPr>
          <w:t>Fast-tracking major projects and overriding concurrences contradicts a ‘risk based’ DAA approach</w:t>
        </w:r>
        <w:r w:rsidR="00B0373B">
          <w:rPr>
            <w:noProof/>
            <w:webHidden/>
          </w:rPr>
          <w:tab/>
        </w:r>
        <w:r w:rsidR="00B0373B">
          <w:rPr>
            <w:noProof/>
            <w:webHidden/>
          </w:rPr>
          <w:fldChar w:fldCharType="begin"/>
        </w:r>
        <w:r w:rsidR="00B0373B">
          <w:rPr>
            <w:noProof/>
            <w:webHidden/>
          </w:rPr>
          <w:instrText xml:space="preserve"> PAGEREF _Toc351985905 \h </w:instrText>
        </w:r>
        <w:r w:rsidR="00B0373B">
          <w:rPr>
            <w:noProof/>
            <w:webHidden/>
          </w:rPr>
        </w:r>
        <w:r w:rsidR="00B0373B">
          <w:rPr>
            <w:noProof/>
            <w:webHidden/>
          </w:rPr>
          <w:fldChar w:fldCharType="separate"/>
        </w:r>
        <w:r w:rsidR="00C23F14">
          <w:rPr>
            <w:noProof/>
            <w:webHidden/>
          </w:rPr>
          <w:t>17</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06" w:history="1">
        <w:r w:rsidR="00B0373B" w:rsidRPr="00BF2D20">
          <w:rPr>
            <w:rStyle w:val="Hyperlink"/>
            <w:noProof/>
          </w:rPr>
          <w:t>v)</w:t>
        </w:r>
        <w:r w:rsidR="00B0373B">
          <w:rPr>
            <w:rFonts w:asciiTheme="minorHAnsi" w:eastAsiaTheme="minorEastAsia" w:hAnsiTheme="minorHAnsi" w:cstheme="minorBidi"/>
            <w:noProof/>
            <w:szCs w:val="22"/>
            <w:lang w:eastAsia="en-AU"/>
          </w:rPr>
          <w:tab/>
        </w:r>
        <w:r w:rsidR="00B0373B" w:rsidRPr="00BF2D20">
          <w:rPr>
            <w:rStyle w:val="Hyperlink"/>
            <w:noProof/>
          </w:rPr>
          <w:t>Canadian reforms – a diminished Environmental Assessment Act</w:t>
        </w:r>
        <w:r w:rsidR="00B0373B">
          <w:rPr>
            <w:noProof/>
            <w:webHidden/>
          </w:rPr>
          <w:tab/>
        </w:r>
        <w:r w:rsidR="00B0373B">
          <w:rPr>
            <w:noProof/>
            <w:webHidden/>
          </w:rPr>
          <w:fldChar w:fldCharType="begin"/>
        </w:r>
        <w:r w:rsidR="00B0373B">
          <w:rPr>
            <w:noProof/>
            <w:webHidden/>
          </w:rPr>
          <w:instrText xml:space="preserve"> PAGEREF _Toc351985906 \h </w:instrText>
        </w:r>
        <w:r w:rsidR="00B0373B">
          <w:rPr>
            <w:noProof/>
            <w:webHidden/>
          </w:rPr>
        </w:r>
        <w:r w:rsidR="00B0373B">
          <w:rPr>
            <w:noProof/>
            <w:webHidden/>
          </w:rPr>
          <w:fldChar w:fldCharType="separate"/>
        </w:r>
        <w:r w:rsidR="00C23F14">
          <w:rPr>
            <w:noProof/>
            <w:webHidden/>
          </w:rPr>
          <w:t>20</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07" w:history="1">
        <w:r w:rsidR="00B0373B" w:rsidRPr="00BF2D20">
          <w:rPr>
            <w:rStyle w:val="Hyperlink"/>
            <w:noProof/>
          </w:rPr>
          <w:t>vi)</w:t>
        </w:r>
        <w:r w:rsidR="00B0373B">
          <w:rPr>
            <w:rFonts w:asciiTheme="minorHAnsi" w:eastAsiaTheme="minorEastAsia" w:hAnsiTheme="minorHAnsi" w:cstheme="minorBidi"/>
            <w:noProof/>
            <w:szCs w:val="22"/>
            <w:lang w:eastAsia="en-AU"/>
          </w:rPr>
          <w:tab/>
        </w:r>
        <w:r w:rsidR="00B0373B" w:rsidRPr="00BF2D20">
          <w:rPr>
            <w:rStyle w:val="Hyperlink"/>
            <w:noProof/>
          </w:rPr>
          <w:t>Post-approval monitoring, enforcement and resourcing</w:t>
        </w:r>
        <w:r w:rsidR="00B0373B">
          <w:rPr>
            <w:noProof/>
            <w:webHidden/>
          </w:rPr>
          <w:tab/>
        </w:r>
        <w:r w:rsidR="00B0373B">
          <w:rPr>
            <w:noProof/>
            <w:webHidden/>
          </w:rPr>
          <w:fldChar w:fldCharType="begin"/>
        </w:r>
        <w:r w:rsidR="00B0373B">
          <w:rPr>
            <w:noProof/>
            <w:webHidden/>
          </w:rPr>
          <w:instrText xml:space="preserve"> PAGEREF _Toc351985907 \h </w:instrText>
        </w:r>
        <w:r w:rsidR="00B0373B">
          <w:rPr>
            <w:noProof/>
            <w:webHidden/>
          </w:rPr>
        </w:r>
        <w:r w:rsidR="00B0373B">
          <w:rPr>
            <w:noProof/>
            <w:webHidden/>
          </w:rPr>
          <w:fldChar w:fldCharType="separate"/>
        </w:r>
        <w:r w:rsidR="00C23F14">
          <w:rPr>
            <w:noProof/>
            <w:webHidden/>
          </w:rPr>
          <w:t>22</w:t>
        </w:r>
        <w:r w:rsidR="00B0373B">
          <w:rPr>
            <w:noProof/>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08" w:history="1">
        <w:r w:rsidR="00B0373B" w:rsidRPr="00BF2D20">
          <w:rPr>
            <w:rStyle w:val="Hyperlink"/>
          </w:rPr>
          <w:t>The strategic planning context for major projects in Australia</w:t>
        </w:r>
        <w:r w:rsidR="00B0373B">
          <w:rPr>
            <w:webHidden/>
          </w:rPr>
          <w:tab/>
        </w:r>
        <w:r w:rsidR="00B0373B">
          <w:rPr>
            <w:webHidden/>
          </w:rPr>
          <w:fldChar w:fldCharType="begin"/>
        </w:r>
        <w:r w:rsidR="00B0373B">
          <w:rPr>
            <w:webHidden/>
          </w:rPr>
          <w:instrText xml:space="preserve"> PAGEREF _Toc351985908 \h </w:instrText>
        </w:r>
        <w:r w:rsidR="00B0373B">
          <w:rPr>
            <w:webHidden/>
          </w:rPr>
        </w:r>
        <w:r w:rsidR="00B0373B">
          <w:rPr>
            <w:webHidden/>
          </w:rPr>
          <w:fldChar w:fldCharType="separate"/>
        </w:r>
        <w:r w:rsidR="00C23F14">
          <w:rPr>
            <w:webHidden/>
          </w:rPr>
          <w:t>24</w:t>
        </w:r>
        <w:r w:rsidR="00B0373B">
          <w:rPr>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09" w:history="1">
        <w:r w:rsidR="00B0373B" w:rsidRPr="00BF2D20">
          <w:rPr>
            <w:rStyle w:val="Hyperlink"/>
            <w:noProof/>
          </w:rPr>
          <w:t>i)</w:t>
        </w:r>
        <w:r w:rsidR="00B0373B">
          <w:rPr>
            <w:rFonts w:asciiTheme="minorHAnsi" w:eastAsiaTheme="minorEastAsia" w:hAnsiTheme="minorHAnsi" w:cstheme="minorBidi"/>
            <w:noProof/>
            <w:szCs w:val="22"/>
            <w:lang w:eastAsia="en-AU"/>
          </w:rPr>
          <w:tab/>
        </w:r>
        <w:r w:rsidR="00B0373B" w:rsidRPr="00BF2D20">
          <w:rPr>
            <w:rStyle w:val="Hyperlink"/>
            <w:noProof/>
          </w:rPr>
          <w:t>Leading practices for strategic planning</w:t>
        </w:r>
        <w:r w:rsidR="00B0373B">
          <w:rPr>
            <w:noProof/>
            <w:webHidden/>
          </w:rPr>
          <w:tab/>
        </w:r>
        <w:r w:rsidR="00B0373B">
          <w:rPr>
            <w:noProof/>
            <w:webHidden/>
          </w:rPr>
          <w:fldChar w:fldCharType="begin"/>
        </w:r>
        <w:r w:rsidR="00B0373B">
          <w:rPr>
            <w:noProof/>
            <w:webHidden/>
          </w:rPr>
          <w:instrText xml:space="preserve"> PAGEREF _Toc351985909 \h </w:instrText>
        </w:r>
        <w:r w:rsidR="00B0373B">
          <w:rPr>
            <w:noProof/>
            <w:webHidden/>
          </w:rPr>
        </w:r>
        <w:r w:rsidR="00B0373B">
          <w:rPr>
            <w:noProof/>
            <w:webHidden/>
          </w:rPr>
          <w:fldChar w:fldCharType="separate"/>
        </w:r>
        <w:r w:rsidR="00C23F14">
          <w:rPr>
            <w:noProof/>
            <w:webHidden/>
          </w:rPr>
          <w:t>24</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10" w:history="1">
        <w:r w:rsidR="00B0373B" w:rsidRPr="00BF2D20">
          <w:rPr>
            <w:rStyle w:val="Hyperlink"/>
            <w:noProof/>
          </w:rPr>
          <w:t>ii)</w:t>
        </w:r>
        <w:r w:rsidR="00B0373B">
          <w:rPr>
            <w:rFonts w:asciiTheme="minorHAnsi" w:eastAsiaTheme="minorEastAsia" w:hAnsiTheme="minorHAnsi" w:cstheme="minorBidi"/>
            <w:noProof/>
            <w:szCs w:val="22"/>
            <w:lang w:eastAsia="en-AU"/>
          </w:rPr>
          <w:tab/>
        </w:r>
        <w:r w:rsidR="00B0373B" w:rsidRPr="00BF2D20">
          <w:rPr>
            <w:rStyle w:val="Hyperlink"/>
            <w:noProof/>
          </w:rPr>
          <w:t>Major project DAA must account for cumulative impacts</w:t>
        </w:r>
        <w:r w:rsidR="00B0373B">
          <w:rPr>
            <w:noProof/>
            <w:webHidden/>
          </w:rPr>
          <w:tab/>
        </w:r>
        <w:r w:rsidR="00B0373B">
          <w:rPr>
            <w:noProof/>
            <w:webHidden/>
          </w:rPr>
          <w:fldChar w:fldCharType="begin"/>
        </w:r>
        <w:r w:rsidR="00B0373B">
          <w:rPr>
            <w:noProof/>
            <w:webHidden/>
          </w:rPr>
          <w:instrText xml:space="preserve"> PAGEREF _Toc351985910 \h </w:instrText>
        </w:r>
        <w:r w:rsidR="00B0373B">
          <w:rPr>
            <w:noProof/>
            <w:webHidden/>
          </w:rPr>
        </w:r>
        <w:r w:rsidR="00B0373B">
          <w:rPr>
            <w:noProof/>
            <w:webHidden/>
          </w:rPr>
          <w:fldChar w:fldCharType="separate"/>
        </w:r>
        <w:r w:rsidR="00C23F14">
          <w:rPr>
            <w:noProof/>
            <w:webHidden/>
          </w:rPr>
          <w:t>25</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11" w:history="1">
        <w:r w:rsidR="00B0373B" w:rsidRPr="00BF2D20">
          <w:rPr>
            <w:rStyle w:val="Hyperlink"/>
            <w:noProof/>
          </w:rPr>
          <w:t>iii)</w:t>
        </w:r>
        <w:r w:rsidR="00B0373B">
          <w:rPr>
            <w:rFonts w:asciiTheme="minorHAnsi" w:eastAsiaTheme="minorEastAsia" w:hAnsiTheme="minorHAnsi" w:cstheme="minorBidi"/>
            <w:noProof/>
            <w:szCs w:val="22"/>
            <w:lang w:eastAsia="en-AU"/>
          </w:rPr>
          <w:tab/>
        </w:r>
        <w:r w:rsidR="00B0373B" w:rsidRPr="00BF2D20">
          <w:rPr>
            <w:rStyle w:val="Hyperlink"/>
            <w:noProof/>
          </w:rPr>
          <w:t>Strategic environmental assessments need robust safeguards</w:t>
        </w:r>
        <w:r w:rsidR="00B0373B">
          <w:rPr>
            <w:noProof/>
            <w:webHidden/>
          </w:rPr>
          <w:tab/>
        </w:r>
        <w:r w:rsidR="00B0373B">
          <w:rPr>
            <w:noProof/>
            <w:webHidden/>
          </w:rPr>
          <w:fldChar w:fldCharType="begin"/>
        </w:r>
        <w:r w:rsidR="00B0373B">
          <w:rPr>
            <w:noProof/>
            <w:webHidden/>
          </w:rPr>
          <w:instrText xml:space="preserve"> PAGEREF _Toc351985911 \h </w:instrText>
        </w:r>
        <w:r w:rsidR="00B0373B">
          <w:rPr>
            <w:noProof/>
            <w:webHidden/>
          </w:rPr>
        </w:r>
        <w:r w:rsidR="00B0373B">
          <w:rPr>
            <w:noProof/>
            <w:webHidden/>
          </w:rPr>
          <w:fldChar w:fldCharType="separate"/>
        </w:r>
        <w:r w:rsidR="00C23F14">
          <w:rPr>
            <w:noProof/>
            <w:webHidden/>
          </w:rPr>
          <w:t>26</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12" w:history="1">
        <w:r w:rsidR="00B0373B" w:rsidRPr="00BF2D20">
          <w:rPr>
            <w:rStyle w:val="Hyperlink"/>
            <w:rFonts w:cs="Calibri"/>
            <w:noProof/>
          </w:rPr>
          <w:t>iv)</w:t>
        </w:r>
        <w:r w:rsidR="00B0373B">
          <w:rPr>
            <w:rFonts w:asciiTheme="minorHAnsi" w:eastAsiaTheme="minorEastAsia" w:hAnsiTheme="minorHAnsi" w:cstheme="minorBidi"/>
            <w:noProof/>
            <w:szCs w:val="22"/>
            <w:lang w:eastAsia="en-AU"/>
          </w:rPr>
          <w:tab/>
        </w:r>
        <w:r w:rsidR="00B0373B" w:rsidRPr="00BF2D20">
          <w:rPr>
            <w:rStyle w:val="Hyperlink"/>
            <w:noProof/>
          </w:rPr>
          <w:t>Improving climate change-readiness in major project DAA processes</w:t>
        </w:r>
        <w:r w:rsidR="00B0373B">
          <w:rPr>
            <w:noProof/>
            <w:webHidden/>
          </w:rPr>
          <w:tab/>
        </w:r>
        <w:r w:rsidR="00B0373B">
          <w:rPr>
            <w:noProof/>
            <w:webHidden/>
          </w:rPr>
          <w:fldChar w:fldCharType="begin"/>
        </w:r>
        <w:r w:rsidR="00B0373B">
          <w:rPr>
            <w:noProof/>
            <w:webHidden/>
          </w:rPr>
          <w:instrText xml:space="preserve"> PAGEREF _Toc351985912 \h </w:instrText>
        </w:r>
        <w:r w:rsidR="00B0373B">
          <w:rPr>
            <w:noProof/>
            <w:webHidden/>
          </w:rPr>
        </w:r>
        <w:r w:rsidR="00B0373B">
          <w:rPr>
            <w:noProof/>
            <w:webHidden/>
          </w:rPr>
          <w:fldChar w:fldCharType="separate"/>
        </w:r>
        <w:r w:rsidR="00C23F14">
          <w:rPr>
            <w:noProof/>
            <w:webHidden/>
          </w:rPr>
          <w:t>27</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13" w:history="1">
        <w:r w:rsidR="00B0373B" w:rsidRPr="00BF2D20">
          <w:rPr>
            <w:rStyle w:val="Hyperlink"/>
            <w:noProof/>
          </w:rPr>
          <w:t>v)</w:t>
        </w:r>
        <w:r w:rsidR="00B0373B">
          <w:rPr>
            <w:rFonts w:asciiTheme="minorHAnsi" w:eastAsiaTheme="minorEastAsia" w:hAnsiTheme="minorHAnsi" w:cstheme="minorBidi"/>
            <w:noProof/>
            <w:szCs w:val="22"/>
            <w:lang w:eastAsia="en-AU"/>
          </w:rPr>
          <w:tab/>
        </w:r>
        <w:r w:rsidR="00B0373B" w:rsidRPr="00BF2D20">
          <w:rPr>
            <w:rStyle w:val="Hyperlink"/>
            <w:noProof/>
          </w:rPr>
          <w:t>Improved integration of NRM data and valuation of environmental assets</w:t>
        </w:r>
        <w:r w:rsidR="00B0373B">
          <w:rPr>
            <w:noProof/>
            <w:webHidden/>
          </w:rPr>
          <w:tab/>
        </w:r>
        <w:r w:rsidR="00B0373B">
          <w:rPr>
            <w:noProof/>
            <w:webHidden/>
          </w:rPr>
          <w:fldChar w:fldCharType="begin"/>
        </w:r>
        <w:r w:rsidR="00B0373B">
          <w:rPr>
            <w:noProof/>
            <w:webHidden/>
          </w:rPr>
          <w:instrText xml:space="preserve"> PAGEREF _Toc351985913 \h </w:instrText>
        </w:r>
        <w:r w:rsidR="00B0373B">
          <w:rPr>
            <w:noProof/>
            <w:webHidden/>
          </w:rPr>
        </w:r>
        <w:r w:rsidR="00B0373B">
          <w:rPr>
            <w:noProof/>
            <w:webHidden/>
          </w:rPr>
          <w:fldChar w:fldCharType="separate"/>
        </w:r>
        <w:r w:rsidR="00C23F14">
          <w:rPr>
            <w:noProof/>
            <w:webHidden/>
          </w:rPr>
          <w:t>29</w:t>
        </w:r>
        <w:r w:rsidR="00B0373B">
          <w:rPr>
            <w:noProof/>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14" w:history="1">
        <w:r w:rsidR="00B0373B" w:rsidRPr="00BF2D20">
          <w:rPr>
            <w:rStyle w:val="Hyperlink"/>
          </w:rPr>
          <w:t>Efficiency and effectiveness of Australian DAA processes in protecting social, economic and environmental assets</w:t>
        </w:r>
        <w:r w:rsidR="00B0373B">
          <w:rPr>
            <w:webHidden/>
          </w:rPr>
          <w:tab/>
        </w:r>
        <w:r w:rsidR="00B0373B">
          <w:rPr>
            <w:webHidden/>
          </w:rPr>
          <w:fldChar w:fldCharType="begin"/>
        </w:r>
        <w:r w:rsidR="00B0373B">
          <w:rPr>
            <w:webHidden/>
          </w:rPr>
          <w:instrText xml:space="preserve"> PAGEREF _Toc351985914 \h </w:instrText>
        </w:r>
        <w:r w:rsidR="00B0373B">
          <w:rPr>
            <w:webHidden/>
          </w:rPr>
        </w:r>
        <w:r w:rsidR="00B0373B">
          <w:rPr>
            <w:webHidden/>
          </w:rPr>
          <w:fldChar w:fldCharType="separate"/>
        </w:r>
        <w:r w:rsidR="00C23F14">
          <w:rPr>
            <w:webHidden/>
          </w:rPr>
          <w:t>31</w:t>
        </w:r>
        <w:r w:rsidR="00B0373B">
          <w:rPr>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15" w:history="1">
        <w:r w:rsidR="00B0373B" w:rsidRPr="00BF2D20">
          <w:rPr>
            <w:rStyle w:val="Hyperlink"/>
            <w:noProof/>
          </w:rPr>
          <w:t>i)</w:t>
        </w:r>
        <w:r w:rsidR="00B0373B">
          <w:rPr>
            <w:rFonts w:asciiTheme="minorHAnsi" w:eastAsiaTheme="minorEastAsia" w:hAnsiTheme="minorHAnsi" w:cstheme="minorBidi"/>
            <w:noProof/>
            <w:szCs w:val="22"/>
            <w:lang w:eastAsia="en-AU"/>
          </w:rPr>
          <w:tab/>
        </w:r>
        <w:r w:rsidR="00B0373B" w:rsidRPr="00BF2D20">
          <w:rPr>
            <w:rStyle w:val="Hyperlink"/>
            <w:noProof/>
          </w:rPr>
          <w:t>Planning and major project reports must monitor ‘triple bottom line’</w:t>
        </w:r>
        <w:r w:rsidR="00B0373B">
          <w:rPr>
            <w:noProof/>
            <w:webHidden/>
          </w:rPr>
          <w:tab/>
        </w:r>
        <w:r w:rsidR="00B0373B">
          <w:rPr>
            <w:noProof/>
            <w:webHidden/>
          </w:rPr>
          <w:fldChar w:fldCharType="begin"/>
        </w:r>
        <w:r w:rsidR="00B0373B">
          <w:rPr>
            <w:noProof/>
            <w:webHidden/>
          </w:rPr>
          <w:instrText xml:space="preserve"> PAGEREF _Toc351985915 \h </w:instrText>
        </w:r>
        <w:r w:rsidR="00B0373B">
          <w:rPr>
            <w:noProof/>
            <w:webHidden/>
          </w:rPr>
        </w:r>
        <w:r w:rsidR="00B0373B">
          <w:rPr>
            <w:noProof/>
            <w:webHidden/>
          </w:rPr>
          <w:fldChar w:fldCharType="separate"/>
        </w:r>
        <w:r w:rsidR="00C23F14">
          <w:rPr>
            <w:noProof/>
            <w:webHidden/>
          </w:rPr>
          <w:t>31</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16" w:history="1">
        <w:r w:rsidR="00B0373B" w:rsidRPr="00BF2D20">
          <w:rPr>
            <w:rStyle w:val="Hyperlink"/>
            <w:noProof/>
          </w:rPr>
          <w:t>ii)</w:t>
        </w:r>
        <w:r w:rsidR="00B0373B">
          <w:rPr>
            <w:rFonts w:asciiTheme="minorHAnsi" w:eastAsiaTheme="minorEastAsia" w:hAnsiTheme="minorHAnsi" w:cstheme="minorBidi"/>
            <w:noProof/>
            <w:szCs w:val="22"/>
            <w:lang w:eastAsia="en-AU"/>
          </w:rPr>
          <w:tab/>
        </w:r>
        <w:r w:rsidR="00B0373B" w:rsidRPr="00BF2D20">
          <w:rPr>
            <w:rStyle w:val="Hyperlink"/>
            <w:noProof/>
          </w:rPr>
          <w:t>Effectiveness of federal laws – Independent review of the EPBC Act</w:t>
        </w:r>
        <w:r w:rsidR="00B0373B">
          <w:rPr>
            <w:noProof/>
            <w:webHidden/>
          </w:rPr>
          <w:tab/>
        </w:r>
        <w:r w:rsidR="00B0373B">
          <w:rPr>
            <w:noProof/>
            <w:webHidden/>
          </w:rPr>
          <w:fldChar w:fldCharType="begin"/>
        </w:r>
        <w:r w:rsidR="00B0373B">
          <w:rPr>
            <w:noProof/>
            <w:webHidden/>
          </w:rPr>
          <w:instrText xml:space="preserve"> PAGEREF _Toc351985916 \h </w:instrText>
        </w:r>
        <w:r w:rsidR="00B0373B">
          <w:rPr>
            <w:noProof/>
            <w:webHidden/>
          </w:rPr>
        </w:r>
        <w:r w:rsidR="00B0373B">
          <w:rPr>
            <w:noProof/>
            <w:webHidden/>
          </w:rPr>
          <w:fldChar w:fldCharType="separate"/>
        </w:r>
        <w:r w:rsidR="00C23F14">
          <w:rPr>
            <w:noProof/>
            <w:webHidden/>
          </w:rPr>
          <w:t>32</w:t>
        </w:r>
        <w:r w:rsidR="00B0373B">
          <w:rPr>
            <w:noProof/>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17" w:history="1">
        <w:r w:rsidR="00B0373B" w:rsidRPr="00BF2D20">
          <w:rPr>
            <w:rStyle w:val="Hyperlink"/>
          </w:rPr>
          <w:t>Major projects and the NSW Planning System Review</w:t>
        </w:r>
        <w:r w:rsidR="00B0373B">
          <w:rPr>
            <w:webHidden/>
          </w:rPr>
          <w:tab/>
        </w:r>
        <w:r w:rsidR="00B0373B">
          <w:rPr>
            <w:webHidden/>
          </w:rPr>
          <w:fldChar w:fldCharType="begin"/>
        </w:r>
        <w:r w:rsidR="00B0373B">
          <w:rPr>
            <w:webHidden/>
          </w:rPr>
          <w:instrText xml:space="preserve"> PAGEREF _Toc351985917 \h </w:instrText>
        </w:r>
        <w:r w:rsidR="00B0373B">
          <w:rPr>
            <w:webHidden/>
          </w:rPr>
        </w:r>
        <w:r w:rsidR="00B0373B">
          <w:rPr>
            <w:webHidden/>
          </w:rPr>
          <w:fldChar w:fldCharType="separate"/>
        </w:r>
        <w:r w:rsidR="00C23F14">
          <w:rPr>
            <w:webHidden/>
          </w:rPr>
          <w:t>33</w:t>
        </w:r>
        <w:r w:rsidR="00B0373B">
          <w:rPr>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18" w:history="1">
        <w:r w:rsidR="00B0373B" w:rsidRPr="00BF2D20">
          <w:rPr>
            <w:rStyle w:val="Hyperlink"/>
            <w:noProof/>
          </w:rPr>
          <w:t>i)</w:t>
        </w:r>
        <w:r w:rsidR="00B0373B">
          <w:rPr>
            <w:rFonts w:asciiTheme="minorHAnsi" w:eastAsiaTheme="minorEastAsia" w:hAnsiTheme="minorHAnsi" w:cstheme="minorBidi"/>
            <w:noProof/>
            <w:szCs w:val="22"/>
            <w:lang w:eastAsia="en-AU"/>
          </w:rPr>
          <w:tab/>
        </w:r>
        <w:r w:rsidR="00B0373B" w:rsidRPr="00BF2D20">
          <w:rPr>
            <w:rStyle w:val="Hyperlink"/>
            <w:noProof/>
          </w:rPr>
          <w:t>From ‘Part 3A’ to ‘State Significant’ Development &amp; Infrastructure</w:t>
        </w:r>
        <w:r w:rsidR="00B0373B">
          <w:rPr>
            <w:noProof/>
            <w:webHidden/>
          </w:rPr>
          <w:tab/>
        </w:r>
        <w:r w:rsidR="00B0373B">
          <w:rPr>
            <w:noProof/>
            <w:webHidden/>
          </w:rPr>
          <w:fldChar w:fldCharType="begin"/>
        </w:r>
        <w:r w:rsidR="00B0373B">
          <w:rPr>
            <w:noProof/>
            <w:webHidden/>
          </w:rPr>
          <w:instrText xml:space="preserve"> PAGEREF _Toc351985918 \h </w:instrText>
        </w:r>
        <w:r w:rsidR="00B0373B">
          <w:rPr>
            <w:noProof/>
            <w:webHidden/>
          </w:rPr>
        </w:r>
        <w:r w:rsidR="00B0373B">
          <w:rPr>
            <w:noProof/>
            <w:webHidden/>
          </w:rPr>
          <w:fldChar w:fldCharType="separate"/>
        </w:r>
        <w:r w:rsidR="00C23F14">
          <w:rPr>
            <w:noProof/>
            <w:webHidden/>
          </w:rPr>
          <w:t>33</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19" w:history="1">
        <w:r w:rsidR="00B0373B" w:rsidRPr="00BF2D20">
          <w:rPr>
            <w:rStyle w:val="Hyperlink"/>
            <w:noProof/>
          </w:rPr>
          <w:t>ii)</w:t>
        </w:r>
        <w:r w:rsidR="00B0373B">
          <w:rPr>
            <w:rFonts w:asciiTheme="minorHAnsi" w:eastAsiaTheme="minorEastAsia" w:hAnsiTheme="minorHAnsi" w:cstheme="minorBidi"/>
            <w:noProof/>
            <w:szCs w:val="22"/>
            <w:lang w:eastAsia="en-AU"/>
          </w:rPr>
          <w:tab/>
        </w:r>
        <w:r w:rsidR="00B0373B" w:rsidRPr="00BF2D20">
          <w:rPr>
            <w:rStyle w:val="Hyperlink"/>
            <w:noProof/>
          </w:rPr>
          <w:t>NSW Planning Green Paper: general comments &amp; recommendations</w:t>
        </w:r>
        <w:r w:rsidR="00B0373B">
          <w:rPr>
            <w:noProof/>
            <w:webHidden/>
          </w:rPr>
          <w:tab/>
        </w:r>
        <w:r w:rsidR="00B0373B">
          <w:rPr>
            <w:noProof/>
            <w:webHidden/>
          </w:rPr>
          <w:fldChar w:fldCharType="begin"/>
        </w:r>
        <w:r w:rsidR="00B0373B">
          <w:rPr>
            <w:noProof/>
            <w:webHidden/>
          </w:rPr>
          <w:instrText xml:space="preserve"> PAGEREF _Toc351985919 \h </w:instrText>
        </w:r>
        <w:r w:rsidR="00B0373B">
          <w:rPr>
            <w:noProof/>
            <w:webHidden/>
          </w:rPr>
        </w:r>
        <w:r w:rsidR="00B0373B">
          <w:rPr>
            <w:noProof/>
            <w:webHidden/>
          </w:rPr>
          <w:fldChar w:fldCharType="separate"/>
        </w:r>
        <w:r w:rsidR="00C23F14">
          <w:rPr>
            <w:noProof/>
            <w:webHidden/>
          </w:rPr>
          <w:t>35</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20" w:history="1">
        <w:r w:rsidR="00B0373B" w:rsidRPr="00BF2D20">
          <w:rPr>
            <w:rStyle w:val="Hyperlink"/>
            <w:noProof/>
          </w:rPr>
          <w:t>iii)</w:t>
        </w:r>
        <w:r w:rsidR="00B0373B">
          <w:rPr>
            <w:rFonts w:asciiTheme="minorHAnsi" w:eastAsiaTheme="minorEastAsia" w:hAnsiTheme="minorHAnsi" w:cstheme="minorBidi"/>
            <w:noProof/>
            <w:szCs w:val="22"/>
            <w:lang w:eastAsia="en-AU"/>
          </w:rPr>
          <w:tab/>
        </w:r>
        <w:r w:rsidR="00B0373B" w:rsidRPr="00BF2D20">
          <w:rPr>
            <w:rStyle w:val="Hyperlink"/>
            <w:noProof/>
          </w:rPr>
          <w:t>NSW Planning Green Paper: proposals to streamline major projects approval</w:t>
        </w:r>
        <w:r w:rsidR="00B0373B">
          <w:rPr>
            <w:noProof/>
            <w:webHidden/>
          </w:rPr>
          <w:tab/>
        </w:r>
        <w:r w:rsidR="00B0373B">
          <w:rPr>
            <w:noProof/>
            <w:webHidden/>
          </w:rPr>
          <w:fldChar w:fldCharType="begin"/>
        </w:r>
        <w:r w:rsidR="00B0373B">
          <w:rPr>
            <w:noProof/>
            <w:webHidden/>
          </w:rPr>
          <w:instrText xml:space="preserve"> PAGEREF _Toc351985920 \h </w:instrText>
        </w:r>
        <w:r w:rsidR="00B0373B">
          <w:rPr>
            <w:noProof/>
            <w:webHidden/>
          </w:rPr>
        </w:r>
        <w:r w:rsidR="00B0373B">
          <w:rPr>
            <w:noProof/>
            <w:webHidden/>
          </w:rPr>
          <w:fldChar w:fldCharType="separate"/>
        </w:r>
        <w:r w:rsidR="00C23F14">
          <w:rPr>
            <w:noProof/>
            <w:webHidden/>
          </w:rPr>
          <w:t>36</w:t>
        </w:r>
        <w:r w:rsidR="00B0373B">
          <w:rPr>
            <w:noProof/>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21" w:history="1">
        <w:r w:rsidR="00B0373B" w:rsidRPr="00BF2D20">
          <w:rPr>
            <w:rStyle w:val="Hyperlink"/>
          </w:rPr>
          <w:t>Major projects and the Victorian ‘Environmental Effects Statement’ Process</w:t>
        </w:r>
        <w:r w:rsidR="00B0373B">
          <w:rPr>
            <w:webHidden/>
          </w:rPr>
          <w:tab/>
        </w:r>
        <w:r w:rsidR="00B0373B">
          <w:rPr>
            <w:webHidden/>
          </w:rPr>
          <w:fldChar w:fldCharType="begin"/>
        </w:r>
        <w:r w:rsidR="00B0373B">
          <w:rPr>
            <w:webHidden/>
          </w:rPr>
          <w:instrText xml:space="preserve"> PAGEREF _Toc351985921 \h </w:instrText>
        </w:r>
        <w:r w:rsidR="00B0373B">
          <w:rPr>
            <w:webHidden/>
          </w:rPr>
        </w:r>
        <w:r w:rsidR="00B0373B">
          <w:rPr>
            <w:webHidden/>
          </w:rPr>
          <w:fldChar w:fldCharType="separate"/>
        </w:r>
        <w:r w:rsidR="00C23F14">
          <w:rPr>
            <w:webHidden/>
          </w:rPr>
          <w:t>37</w:t>
        </w:r>
        <w:r w:rsidR="00B0373B">
          <w:rPr>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22" w:history="1">
        <w:r w:rsidR="00B0373B" w:rsidRPr="00BF2D20">
          <w:rPr>
            <w:rStyle w:val="Hyperlink"/>
          </w:rPr>
          <w:t xml:space="preserve">Attachment A – ANEDO, </w:t>
        </w:r>
        <w:r w:rsidR="00B0373B" w:rsidRPr="00BF2D20">
          <w:rPr>
            <w:rStyle w:val="Hyperlink"/>
            <w:i/>
          </w:rPr>
          <w:t xml:space="preserve">Best practice standards for planning and environmental regulation </w:t>
        </w:r>
        <w:r w:rsidR="00B0373B" w:rsidRPr="00BF2D20">
          <w:rPr>
            <w:rStyle w:val="Hyperlink"/>
          </w:rPr>
          <w:t>(June 2012)</w:t>
        </w:r>
        <w:r w:rsidR="00B0373B">
          <w:rPr>
            <w:webHidden/>
          </w:rPr>
          <w:tab/>
        </w:r>
        <w:r w:rsidR="00B0373B">
          <w:rPr>
            <w:webHidden/>
          </w:rPr>
          <w:fldChar w:fldCharType="begin"/>
        </w:r>
        <w:r w:rsidR="00B0373B">
          <w:rPr>
            <w:webHidden/>
          </w:rPr>
          <w:instrText xml:space="preserve"> PAGEREF _Toc351985922 \h </w:instrText>
        </w:r>
        <w:r w:rsidR="00B0373B">
          <w:rPr>
            <w:webHidden/>
          </w:rPr>
        </w:r>
        <w:r w:rsidR="00B0373B">
          <w:rPr>
            <w:webHidden/>
          </w:rPr>
          <w:fldChar w:fldCharType="separate"/>
        </w:r>
        <w:r w:rsidR="00C23F14">
          <w:rPr>
            <w:webHidden/>
          </w:rPr>
          <w:t>39</w:t>
        </w:r>
        <w:r w:rsidR="00B0373B">
          <w:rPr>
            <w:webHidden/>
          </w:rPr>
          <w:fldChar w:fldCharType="end"/>
        </w:r>
      </w:hyperlink>
    </w:p>
    <w:p w:rsidR="00B0373B" w:rsidRDefault="009B4000">
      <w:pPr>
        <w:pStyle w:val="TOC1"/>
        <w:rPr>
          <w:rFonts w:asciiTheme="minorHAnsi" w:eastAsiaTheme="minorEastAsia" w:hAnsiTheme="minorHAnsi" w:cstheme="minorBidi"/>
          <w:b w:val="0"/>
          <w:szCs w:val="22"/>
          <w:lang w:eastAsia="en-AU"/>
        </w:rPr>
      </w:pPr>
      <w:hyperlink w:anchor="_Toc351985923" w:history="1">
        <w:r w:rsidR="00B0373B" w:rsidRPr="00BF2D20">
          <w:rPr>
            <w:rStyle w:val="Hyperlink"/>
            <w:lang w:val="en-US"/>
          </w:rPr>
          <w:t>Attachment B</w:t>
        </w:r>
        <w:r w:rsidR="00B0373B" w:rsidRPr="00BF2D20">
          <w:rPr>
            <w:rStyle w:val="Hyperlink"/>
            <w:i/>
          </w:rPr>
          <w:t xml:space="preserve"> – Excerpts from EDO NSW Submission (Sept 2012) on the NSW Government’s Planning System Green Paper</w:t>
        </w:r>
        <w:r w:rsidR="00B0373B">
          <w:rPr>
            <w:webHidden/>
          </w:rPr>
          <w:tab/>
        </w:r>
        <w:r w:rsidR="00B0373B">
          <w:rPr>
            <w:webHidden/>
          </w:rPr>
          <w:fldChar w:fldCharType="begin"/>
        </w:r>
        <w:r w:rsidR="00B0373B">
          <w:rPr>
            <w:webHidden/>
          </w:rPr>
          <w:instrText xml:space="preserve"> PAGEREF _Toc351985923 \h </w:instrText>
        </w:r>
        <w:r w:rsidR="00B0373B">
          <w:rPr>
            <w:webHidden/>
          </w:rPr>
        </w:r>
        <w:r w:rsidR="00B0373B">
          <w:rPr>
            <w:webHidden/>
          </w:rPr>
          <w:fldChar w:fldCharType="separate"/>
        </w:r>
        <w:r w:rsidR="00C23F14">
          <w:rPr>
            <w:webHidden/>
          </w:rPr>
          <w:t>42</w:t>
        </w:r>
        <w:r w:rsidR="00B0373B">
          <w:rPr>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24" w:history="1">
        <w:r w:rsidR="00B0373B" w:rsidRPr="00BF2D20">
          <w:rPr>
            <w:rStyle w:val="Hyperlink"/>
            <w:noProof/>
          </w:rPr>
          <w:t>i)</w:t>
        </w:r>
        <w:r w:rsidR="00B0373B">
          <w:rPr>
            <w:rFonts w:asciiTheme="minorHAnsi" w:eastAsiaTheme="minorEastAsia" w:hAnsiTheme="minorHAnsi" w:cstheme="minorBidi"/>
            <w:noProof/>
            <w:szCs w:val="22"/>
            <w:lang w:eastAsia="en-AU"/>
          </w:rPr>
          <w:tab/>
        </w:r>
        <w:r w:rsidR="00B0373B" w:rsidRPr="00BF2D20">
          <w:rPr>
            <w:rStyle w:val="Hyperlink"/>
            <w:noProof/>
          </w:rPr>
          <w:t>State significant development – greatest impacts need greatest scrutiny</w:t>
        </w:r>
        <w:r w:rsidR="00B0373B">
          <w:rPr>
            <w:noProof/>
            <w:webHidden/>
          </w:rPr>
          <w:tab/>
        </w:r>
        <w:r w:rsidR="00B0373B">
          <w:rPr>
            <w:noProof/>
            <w:webHidden/>
          </w:rPr>
          <w:fldChar w:fldCharType="begin"/>
        </w:r>
        <w:r w:rsidR="00B0373B">
          <w:rPr>
            <w:noProof/>
            <w:webHidden/>
          </w:rPr>
          <w:instrText xml:space="preserve"> PAGEREF _Toc351985924 \h </w:instrText>
        </w:r>
        <w:r w:rsidR="00B0373B">
          <w:rPr>
            <w:noProof/>
            <w:webHidden/>
          </w:rPr>
        </w:r>
        <w:r w:rsidR="00B0373B">
          <w:rPr>
            <w:noProof/>
            <w:webHidden/>
          </w:rPr>
          <w:fldChar w:fldCharType="separate"/>
        </w:r>
        <w:r w:rsidR="00C23F14">
          <w:rPr>
            <w:noProof/>
            <w:webHidden/>
          </w:rPr>
          <w:t>42</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25" w:history="1">
        <w:r w:rsidR="00B0373B" w:rsidRPr="00BF2D20">
          <w:rPr>
            <w:rStyle w:val="Hyperlink"/>
            <w:noProof/>
          </w:rPr>
          <w:t>ii)</w:t>
        </w:r>
        <w:r w:rsidR="00B0373B">
          <w:rPr>
            <w:rFonts w:asciiTheme="minorHAnsi" w:eastAsiaTheme="minorEastAsia" w:hAnsiTheme="minorHAnsi" w:cstheme="minorBidi"/>
            <w:noProof/>
            <w:szCs w:val="22"/>
            <w:lang w:eastAsia="en-AU"/>
          </w:rPr>
          <w:tab/>
        </w:r>
        <w:r w:rsidR="00B0373B" w:rsidRPr="00BF2D20">
          <w:rPr>
            <w:rStyle w:val="Hyperlink"/>
            <w:noProof/>
          </w:rPr>
          <w:t>‘Strategic compliance’ and removal of concurrences</w:t>
        </w:r>
        <w:r w:rsidR="00B0373B">
          <w:rPr>
            <w:noProof/>
            <w:webHidden/>
          </w:rPr>
          <w:tab/>
        </w:r>
        <w:r w:rsidR="00B0373B">
          <w:rPr>
            <w:noProof/>
            <w:webHidden/>
          </w:rPr>
          <w:fldChar w:fldCharType="begin"/>
        </w:r>
        <w:r w:rsidR="00B0373B">
          <w:rPr>
            <w:noProof/>
            <w:webHidden/>
          </w:rPr>
          <w:instrText xml:space="preserve"> PAGEREF _Toc351985925 \h </w:instrText>
        </w:r>
        <w:r w:rsidR="00B0373B">
          <w:rPr>
            <w:noProof/>
            <w:webHidden/>
          </w:rPr>
        </w:r>
        <w:r w:rsidR="00B0373B">
          <w:rPr>
            <w:noProof/>
            <w:webHidden/>
          </w:rPr>
          <w:fldChar w:fldCharType="separate"/>
        </w:r>
        <w:r w:rsidR="00C23F14">
          <w:rPr>
            <w:noProof/>
            <w:webHidden/>
          </w:rPr>
          <w:t>44</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26" w:history="1">
        <w:r w:rsidR="00B0373B" w:rsidRPr="00BF2D20">
          <w:rPr>
            <w:rStyle w:val="Hyperlink"/>
            <w:noProof/>
          </w:rPr>
          <w:t>iii)</w:t>
        </w:r>
        <w:r w:rsidR="00B0373B">
          <w:rPr>
            <w:rFonts w:asciiTheme="minorHAnsi" w:eastAsiaTheme="minorEastAsia" w:hAnsiTheme="minorHAnsi" w:cstheme="minorBidi"/>
            <w:noProof/>
            <w:szCs w:val="22"/>
            <w:lang w:eastAsia="en-AU"/>
          </w:rPr>
          <w:tab/>
        </w:r>
        <w:r w:rsidR="00B0373B" w:rsidRPr="00BF2D20">
          <w:rPr>
            <w:rStyle w:val="Hyperlink"/>
            <w:noProof/>
          </w:rPr>
          <w:t>Development assessment criteria – Objective tests needed for environmental outcomes</w:t>
        </w:r>
        <w:r w:rsidR="00B0373B">
          <w:rPr>
            <w:noProof/>
            <w:webHidden/>
          </w:rPr>
          <w:tab/>
        </w:r>
        <w:r w:rsidR="00B0373B">
          <w:rPr>
            <w:noProof/>
            <w:webHidden/>
          </w:rPr>
          <w:fldChar w:fldCharType="begin"/>
        </w:r>
        <w:r w:rsidR="00B0373B">
          <w:rPr>
            <w:noProof/>
            <w:webHidden/>
          </w:rPr>
          <w:instrText xml:space="preserve"> PAGEREF _Toc351985926 \h </w:instrText>
        </w:r>
        <w:r w:rsidR="00B0373B">
          <w:rPr>
            <w:noProof/>
            <w:webHidden/>
          </w:rPr>
        </w:r>
        <w:r w:rsidR="00B0373B">
          <w:rPr>
            <w:noProof/>
            <w:webHidden/>
          </w:rPr>
          <w:fldChar w:fldCharType="separate"/>
        </w:r>
        <w:r w:rsidR="00C23F14">
          <w:rPr>
            <w:noProof/>
            <w:webHidden/>
          </w:rPr>
          <w:t>47</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27" w:history="1">
        <w:r w:rsidR="00B0373B" w:rsidRPr="00BF2D20">
          <w:rPr>
            <w:rStyle w:val="Hyperlink"/>
            <w:noProof/>
          </w:rPr>
          <w:t>iv)</w:t>
        </w:r>
        <w:r w:rsidR="00B0373B">
          <w:rPr>
            <w:rFonts w:asciiTheme="minorHAnsi" w:eastAsiaTheme="minorEastAsia" w:hAnsiTheme="minorHAnsi" w:cstheme="minorBidi"/>
            <w:noProof/>
            <w:szCs w:val="22"/>
            <w:lang w:eastAsia="en-AU"/>
          </w:rPr>
          <w:tab/>
        </w:r>
        <w:r w:rsidR="00B0373B" w:rsidRPr="00BF2D20">
          <w:rPr>
            <w:rStyle w:val="Hyperlink"/>
            <w:noProof/>
          </w:rPr>
          <w:t>Independent and comprehensive environmental impact assessment</w:t>
        </w:r>
        <w:r w:rsidR="00B0373B">
          <w:rPr>
            <w:noProof/>
            <w:webHidden/>
          </w:rPr>
          <w:tab/>
        </w:r>
        <w:r w:rsidR="00B0373B">
          <w:rPr>
            <w:noProof/>
            <w:webHidden/>
          </w:rPr>
          <w:fldChar w:fldCharType="begin"/>
        </w:r>
        <w:r w:rsidR="00B0373B">
          <w:rPr>
            <w:noProof/>
            <w:webHidden/>
          </w:rPr>
          <w:instrText xml:space="preserve"> PAGEREF _Toc351985927 \h </w:instrText>
        </w:r>
        <w:r w:rsidR="00B0373B">
          <w:rPr>
            <w:noProof/>
            <w:webHidden/>
          </w:rPr>
        </w:r>
        <w:r w:rsidR="00B0373B">
          <w:rPr>
            <w:noProof/>
            <w:webHidden/>
          </w:rPr>
          <w:fldChar w:fldCharType="separate"/>
        </w:r>
        <w:r w:rsidR="00C23F14">
          <w:rPr>
            <w:noProof/>
            <w:webHidden/>
          </w:rPr>
          <w:t>48</w:t>
        </w:r>
        <w:r w:rsidR="00B0373B">
          <w:rPr>
            <w:noProof/>
            <w:webHidden/>
          </w:rPr>
          <w:fldChar w:fldCharType="end"/>
        </w:r>
      </w:hyperlink>
    </w:p>
    <w:p w:rsidR="00B0373B" w:rsidRDefault="009B4000">
      <w:pPr>
        <w:pStyle w:val="TOC2"/>
        <w:tabs>
          <w:tab w:val="left" w:pos="660"/>
          <w:tab w:val="right" w:leader="dot" w:pos="8660"/>
        </w:tabs>
        <w:rPr>
          <w:rFonts w:asciiTheme="minorHAnsi" w:eastAsiaTheme="minorEastAsia" w:hAnsiTheme="minorHAnsi" w:cstheme="minorBidi"/>
          <w:noProof/>
          <w:szCs w:val="22"/>
          <w:lang w:eastAsia="en-AU"/>
        </w:rPr>
      </w:pPr>
      <w:hyperlink w:anchor="_Toc351985928" w:history="1">
        <w:r w:rsidR="00B0373B" w:rsidRPr="00BF2D20">
          <w:rPr>
            <w:rStyle w:val="Hyperlink"/>
            <w:noProof/>
          </w:rPr>
          <w:t>v)</w:t>
        </w:r>
        <w:r w:rsidR="00B0373B">
          <w:rPr>
            <w:rFonts w:asciiTheme="minorHAnsi" w:eastAsiaTheme="minorEastAsia" w:hAnsiTheme="minorHAnsi" w:cstheme="minorBidi"/>
            <w:noProof/>
            <w:szCs w:val="22"/>
            <w:lang w:eastAsia="en-AU"/>
          </w:rPr>
          <w:tab/>
        </w:r>
        <w:r w:rsidR="00B0373B" w:rsidRPr="00BF2D20">
          <w:rPr>
            <w:rStyle w:val="Hyperlink"/>
            <w:noProof/>
          </w:rPr>
          <w:t>Equitable third party review and appeal rights: for accountable decisions</w:t>
        </w:r>
        <w:r w:rsidR="00B0373B">
          <w:rPr>
            <w:noProof/>
            <w:webHidden/>
          </w:rPr>
          <w:tab/>
        </w:r>
        <w:r w:rsidR="00B0373B">
          <w:rPr>
            <w:noProof/>
            <w:webHidden/>
          </w:rPr>
          <w:fldChar w:fldCharType="begin"/>
        </w:r>
        <w:r w:rsidR="00B0373B">
          <w:rPr>
            <w:noProof/>
            <w:webHidden/>
          </w:rPr>
          <w:instrText xml:space="preserve"> PAGEREF _Toc351985928 \h </w:instrText>
        </w:r>
        <w:r w:rsidR="00B0373B">
          <w:rPr>
            <w:noProof/>
            <w:webHidden/>
          </w:rPr>
        </w:r>
        <w:r w:rsidR="00B0373B">
          <w:rPr>
            <w:noProof/>
            <w:webHidden/>
          </w:rPr>
          <w:fldChar w:fldCharType="separate"/>
        </w:r>
        <w:r w:rsidR="00C23F14">
          <w:rPr>
            <w:noProof/>
            <w:webHidden/>
          </w:rPr>
          <w:t>49</w:t>
        </w:r>
        <w:r w:rsidR="00B0373B">
          <w:rPr>
            <w:noProof/>
            <w:webHidden/>
          </w:rPr>
          <w:fldChar w:fldCharType="end"/>
        </w:r>
      </w:hyperlink>
    </w:p>
    <w:p w:rsidR="00B0373B" w:rsidRDefault="009B4000">
      <w:pPr>
        <w:pStyle w:val="TOC2"/>
        <w:tabs>
          <w:tab w:val="left" w:pos="880"/>
          <w:tab w:val="right" w:leader="dot" w:pos="8660"/>
        </w:tabs>
        <w:rPr>
          <w:rFonts w:asciiTheme="minorHAnsi" w:eastAsiaTheme="minorEastAsia" w:hAnsiTheme="minorHAnsi" w:cstheme="minorBidi"/>
          <w:noProof/>
          <w:szCs w:val="22"/>
          <w:lang w:eastAsia="en-AU"/>
        </w:rPr>
      </w:pPr>
      <w:hyperlink w:anchor="_Toc351985929" w:history="1">
        <w:r w:rsidR="00B0373B" w:rsidRPr="00BF2D20">
          <w:rPr>
            <w:rStyle w:val="Hyperlink"/>
            <w:noProof/>
          </w:rPr>
          <w:t>vi)</w:t>
        </w:r>
        <w:r w:rsidR="00B0373B">
          <w:rPr>
            <w:rFonts w:asciiTheme="minorHAnsi" w:eastAsiaTheme="minorEastAsia" w:hAnsiTheme="minorHAnsi" w:cstheme="minorBidi"/>
            <w:noProof/>
            <w:szCs w:val="22"/>
            <w:lang w:eastAsia="en-AU"/>
          </w:rPr>
          <w:tab/>
        </w:r>
        <w:r w:rsidR="00B0373B" w:rsidRPr="00BF2D20">
          <w:rPr>
            <w:rStyle w:val="Hyperlink"/>
            <w:noProof/>
          </w:rPr>
          <w:t>Fast-tracking ‘environmentally friendly’ development for the mainstream</w:t>
        </w:r>
        <w:r w:rsidR="00B0373B">
          <w:rPr>
            <w:noProof/>
            <w:webHidden/>
          </w:rPr>
          <w:tab/>
        </w:r>
        <w:r w:rsidR="00B0373B">
          <w:rPr>
            <w:noProof/>
            <w:webHidden/>
          </w:rPr>
          <w:fldChar w:fldCharType="begin"/>
        </w:r>
        <w:r w:rsidR="00B0373B">
          <w:rPr>
            <w:noProof/>
            <w:webHidden/>
          </w:rPr>
          <w:instrText xml:space="preserve"> PAGEREF _Toc351985929 \h </w:instrText>
        </w:r>
        <w:r w:rsidR="00B0373B">
          <w:rPr>
            <w:noProof/>
            <w:webHidden/>
          </w:rPr>
        </w:r>
        <w:r w:rsidR="00B0373B">
          <w:rPr>
            <w:noProof/>
            <w:webHidden/>
          </w:rPr>
          <w:fldChar w:fldCharType="separate"/>
        </w:r>
        <w:r w:rsidR="00C23F14">
          <w:rPr>
            <w:noProof/>
            <w:webHidden/>
          </w:rPr>
          <w:t>50</w:t>
        </w:r>
        <w:r w:rsidR="00B0373B">
          <w:rPr>
            <w:noProof/>
            <w:webHidden/>
          </w:rPr>
          <w:fldChar w:fldCharType="end"/>
        </w:r>
      </w:hyperlink>
    </w:p>
    <w:p w:rsidR="00FF47B6" w:rsidRPr="000B7F9D" w:rsidRDefault="00B71548" w:rsidP="00B71548">
      <w:pPr>
        <w:pStyle w:val="Heading1"/>
        <w:keepNext/>
        <w:pageBreakBefore/>
      </w:pPr>
      <w:r>
        <w:rPr>
          <w:rFonts w:cs="Times New Roman"/>
          <w:b w:val="0"/>
          <w:sz w:val="22"/>
          <w:szCs w:val="24"/>
        </w:rPr>
        <w:lastRenderedPageBreak/>
        <w:fldChar w:fldCharType="end"/>
      </w:r>
      <w:bookmarkStart w:id="10" w:name="_Toc351985893"/>
      <w:r w:rsidR="00744084">
        <w:t>Introduction</w:t>
      </w:r>
      <w:bookmarkEnd w:id="10"/>
    </w:p>
    <w:p w:rsidR="00307ABA" w:rsidRDefault="00307ABA" w:rsidP="00D03CC6">
      <w:pPr>
        <w:keepNext/>
        <w:rPr>
          <w:rFonts w:cs="Arial"/>
          <w:szCs w:val="22"/>
        </w:rPr>
      </w:pPr>
    </w:p>
    <w:p w:rsidR="00307ABA" w:rsidRDefault="00307ABA" w:rsidP="00307ABA">
      <w:r>
        <w:t>T</w:t>
      </w:r>
      <w:r w:rsidRPr="003866AD">
        <w:t>he Australian Network of Environmental Defenders Office’s (</w:t>
      </w:r>
      <w:proofErr w:type="spellStart"/>
      <w:r w:rsidRPr="003866AD">
        <w:rPr>
          <w:b/>
        </w:rPr>
        <w:t>ANEDO</w:t>
      </w:r>
      <w:proofErr w:type="spellEnd"/>
      <w:r>
        <w:t xml:space="preserve">) </w:t>
      </w:r>
      <w:r w:rsidR="00006551">
        <w:t xml:space="preserve">is a </w:t>
      </w:r>
      <w:r w:rsidR="000475B9">
        <w:t xml:space="preserve">network of </w:t>
      </w:r>
      <w:r w:rsidRPr="003866AD">
        <w:t xml:space="preserve">independent </w:t>
      </w:r>
      <w:r w:rsidR="00006551">
        <w:t>community legal centres</w:t>
      </w:r>
      <w:r w:rsidRPr="003866AD">
        <w:t xml:space="preserve"> in each State and Territory</w:t>
      </w:r>
      <w:r w:rsidR="00006551">
        <w:t>. We have diverse</w:t>
      </w:r>
      <w:r>
        <w:t xml:space="preserve"> expertise in</w:t>
      </w:r>
      <w:r w:rsidR="00006551">
        <w:t xml:space="preserve"> law and policy on</w:t>
      </w:r>
      <w:r>
        <w:t xml:space="preserve"> environmental </w:t>
      </w:r>
      <w:r w:rsidR="00006551">
        <w:t xml:space="preserve">protection, development </w:t>
      </w:r>
      <w:r>
        <w:t>assessment</w:t>
      </w:r>
      <w:r w:rsidR="00BA3887">
        <w:t xml:space="preserve">, planning and </w:t>
      </w:r>
      <w:r>
        <w:t>approval</w:t>
      </w:r>
      <w:r w:rsidR="00006551">
        <w:t xml:space="preserve"> processes</w:t>
      </w:r>
      <w:r>
        <w:t>. As public interest lawyers, we</w:t>
      </w:r>
      <w:r w:rsidRPr="003866AD">
        <w:t xml:space="preserve"> strongly support the </w:t>
      </w:r>
      <w:r>
        <w:t>implementation</w:t>
      </w:r>
      <w:r w:rsidRPr="003866AD">
        <w:t xml:space="preserve"> of </w:t>
      </w:r>
      <w:r w:rsidRPr="00AE6B89">
        <w:t xml:space="preserve">efficient and effective environmental </w:t>
      </w:r>
      <w:r>
        <w:t>laws</w:t>
      </w:r>
      <w:r w:rsidRPr="00AE6B89">
        <w:t xml:space="preserve"> in all Australian jurisdictions</w:t>
      </w:r>
      <w:r w:rsidR="00BA3887">
        <w:t xml:space="preserve"> for the benefit and </w:t>
      </w:r>
      <w:r w:rsidR="00284E11">
        <w:t>wellbeing</w:t>
      </w:r>
      <w:r w:rsidR="00BA3887">
        <w:t xml:space="preserve"> of the Australian community</w:t>
      </w:r>
      <w:r w:rsidRPr="00AE6B89">
        <w:t xml:space="preserve">. </w:t>
      </w:r>
      <w:r w:rsidR="00284E11">
        <w:t xml:space="preserve">Major project </w:t>
      </w:r>
      <w:r w:rsidR="00006551">
        <w:t xml:space="preserve">development </w:t>
      </w:r>
      <w:r w:rsidR="00284E11">
        <w:t xml:space="preserve">assessment and approval </w:t>
      </w:r>
      <w:r w:rsidR="00006551">
        <w:t>(</w:t>
      </w:r>
      <w:proofErr w:type="spellStart"/>
      <w:r w:rsidR="00006551" w:rsidRPr="00006551">
        <w:rPr>
          <w:b/>
        </w:rPr>
        <w:t>DAA</w:t>
      </w:r>
      <w:proofErr w:type="spellEnd"/>
      <w:r w:rsidR="00006551">
        <w:t xml:space="preserve">) </w:t>
      </w:r>
      <w:r w:rsidR="00284E11">
        <w:t>processes are an integral part of these laws</w:t>
      </w:r>
      <w:r w:rsidR="00006551">
        <w:t>,</w:t>
      </w:r>
      <w:r w:rsidR="00284E11">
        <w:t xml:space="preserve"> and are often a touchstone for public perceptions of environmental planning systems generally.</w:t>
      </w:r>
    </w:p>
    <w:p w:rsidR="00307ABA" w:rsidRDefault="00307ABA" w:rsidP="00307ABA"/>
    <w:p w:rsidR="00B52A06" w:rsidRDefault="002107C4" w:rsidP="00284E11">
      <w:pPr>
        <w:spacing w:after="120"/>
      </w:pPr>
      <w:r>
        <w:t>The Australian Government has asked the</w:t>
      </w:r>
      <w:r w:rsidR="00006551">
        <w:t xml:space="preserve"> Productivity</w:t>
      </w:r>
      <w:r>
        <w:t xml:space="preserve"> </w:t>
      </w:r>
      <w:r w:rsidR="00307ABA">
        <w:t>Commission</w:t>
      </w:r>
      <w:r>
        <w:t xml:space="preserve"> to undertake </w:t>
      </w:r>
      <w:r w:rsidRPr="002107C4">
        <w:t>a study to benchmark Australia's major project development assessment processes against international best practice.</w:t>
      </w:r>
      <w:r>
        <w:t xml:space="preserve"> </w:t>
      </w:r>
      <w:r w:rsidR="00006551">
        <w:t xml:space="preserve">The Commission is now seeking comment on its </w:t>
      </w:r>
      <w:r w:rsidR="00006551" w:rsidRPr="00307ABA">
        <w:rPr>
          <w:i/>
        </w:rPr>
        <w:t>Major Project Development Assessment Processes</w:t>
      </w:r>
      <w:r w:rsidR="00006551">
        <w:t xml:space="preserve"> Issues Paper (</w:t>
      </w:r>
      <w:r w:rsidR="00006551" w:rsidRPr="00307ABA">
        <w:rPr>
          <w:b/>
        </w:rPr>
        <w:t>Is</w:t>
      </w:r>
      <w:r w:rsidR="00006551">
        <w:rPr>
          <w:b/>
        </w:rPr>
        <w:t>sues </w:t>
      </w:r>
      <w:r w:rsidR="00006551" w:rsidRPr="00307ABA">
        <w:rPr>
          <w:b/>
        </w:rPr>
        <w:t>Paper</w:t>
      </w:r>
      <w:r w:rsidR="00006551">
        <w:t>).</w:t>
      </w:r>
      <w:r w:rsidR="00006551">
        <w:rPr>
          <w:rStyle w:val="FootnoteReference"/>
        </w:rPr>
        <w:footnoteReference w:id="1"/>
      </w:r>
      <w:r w:rsidR="00006551">
        <w:t xml:space="preserve"> </w:t>
      </w:r>
    </w:p>
    <w:p w:rsidR="00E15991" w:rsidRDefault="00B52A06" w:rsidP="00284E11">
      <w:pPr>
        <w:spacing w:after="120"/>
      </w:pPr>
      <w:r>
        <w:rPr>
          <w:rFonts w:cs="Arial"/>
          <w:szCs w:val="22"/>
        </w:rPr>
        <w:t xml:space="preserve">As a preliminary comment, </w:t>
      </w:r>
      <w:proofErr w:type="spellStart"/>
      <w:r>
        <w:rPr>
          <w:rFonts w:cs="Arial"/>
          <w:szCs w:val="22"/>
        </w:rPr>
        <w:t>ANEDO</w:t>
      </w:r>
      <w:proofErr w:type="spellEnd"/>
      <w:r>
        <w:rPr>
          <w:rFonts w:cs="Arial"/>
          <w:szCs w:val="22"/>
        </w:rPr>
        <w:t xml:space="preserve"> is concerned that several recent inquiry referrals to the Commission seem geared towards ‘streamlining’ rather than leading practice environmental regulation.</w:t>
      </w:r>
      <w:r>
        <w:rPr>
          <w:rStyle w:val="FootnoteReference"/>
          <w:rFonts w:cs="Arial"/>
          <w:szCs w:val="22"/>
        </w:rPr>
        <w:footnoteReference w:id="2"/>
      </w:r>
      <w:r>
        <w:rPr>
          <w:rFonts w:cs="Arial"/>
          <w:szCs w:val="22"/>
        </w:rPr>
        <w:t xml:space="preserve"> </w:t>
      </w:r>
      <w:r w:rsidR="00AE0F41">
        <w:rPr>
          <w:rFonts w:cs="Arial"/>
          <w:szCs w:val="22"/>
        </w:rPr>
        <w:t xml:space="preserve"> For example, </w:t>
      </w:r>
      <w:r w:rsidR="00AE0F41">
        <w:t>t</w:t>
      </w:r>
      <w:r w:rsidR="00006551">
        <w:t>h</w:t>
      </w:r>
      <w:r w:rsidR="00AE0F41">
        <w:t>e current</w:t>
      </w:r>
      <w:r w:rsidR="00006551">
        <w:t> </w:t>
      </w:r>
      <w:r w:rsidR="00BA3887">
        <w:t>study arises from a Business Council of Australia</w:t>
      </w:r>
      <w:r w:rsidR="00BD6B11">
        <w:t xml:space="preserve"> (</w:t>
      </w:r>
      <w:r w:rsidR="00BD6B11" w:rsidRPr="00BD6B11">
        <w:rPr>
          <w:b/>
        </w:rPr>
        <w:t>BCA</w:t>
      </w:r>
      <w:r w:rsidR="00BD6B11">
        <w:t>)</w:t>
      </w:r>
      <w:r w:rsidR="00284E11">
        <w:t xml:space="preserve"> </w:t>
      </w:r>
      <w:r w:rsidR="00006551">
        <w:t xml:space="preserve">request, </w:t>
      </w:r>
      <w:r w:rsidR="00284E11">
        <w:t xml:space="preserve">presented to </w:t>
      </w:r>
      <w:r w:rsidR="00BA3887">
        <w:t xml:space="preserve">the </w:t>
      </w:r>
      <w:r w:rsidR="00BA3887" w:rsidRPr="001E217F">
        <w:t>Council of</w:t>
      </w:r>
      <w:r w:rsidR="00BA3887">
        <w:t xml:space="preserve"> Australian Governments (</w:t>
      </w:r>
      <w:r w:rsidR="00BA3887" w:rsidRPr="00307ABA">
        <w:rPr>
          <w:b/>
        </w:rPr>
        <w:t>COAG</w:t>
      </w:r>
      <w:r w:rsidR="00BA3887" w:rsidRPr="00BA3887">
        <w:t>)</w:t>
      </w:r>
      <w:r w:rsidR="00BA3887">
        <w:t xml:space="preserve"> </w:t>
      </w:r>
      <w:r w:rsidR="00284E11">
        <w:t>at</w:t>
      </w:r>
      <w:r w:rsidR="005736B3">
        <w:t xml:space="preserve"> its </w:t>
      </w:r>
      <w:r w:rsidR="00284E11">
        <w:t xml:space="preserve">inaugural </w:t>
      </w:r>
      <w:r w:rsidR="00BA3887">
        <w:t>Business Advisory Forum</w:t>
      </w:r>
      <w:r w:rsidR="00561D64">
        <w:t xml:space="preserve"> (</w:t>
      </w:r>
      <w:proofErr w:type="spellStart"/>
      <w:r w:rsidR="00561D64" w:rsidRPr="00561D64">
        <w:rPr>
          <w:b/>
        </w:rPr>
        <w:t>BAF</w:t>
      </w:r>
      <w:proofErr w:type="spellEnd"/>
      <w:r w:rsidR="00561D64">
        <w:t>)</w:t>
      </w:r>
      <w:r w:rsidR="00284E11">
        <w:t xml:space="preserve"> meeting in April 2012</w:t>
      </w:r>
      <w:r w:rsidR="00BA3887">
        <w:t xml:space="preserve">. </w:t>
      </w:r>
      <w:r w:rsidR="00A11238">
        <w:t xml:space="preserve">The </w:t>
      </w:r>
      <w:r w:rsidR="00284E11">
        <w:t>BCA</w:t>
      </w:r>
      <w:r w:rsidR="00A11238">
        <w:t xml:space="preserve"> enunciated six priority areas</w:t>
      </w:r>
      <w:r w:rsidR="0056501E">
        <w:t xml:space="preserve"> for competition and regulatory reform</w:t>
      </w:r>
      <w:r w:rsidR="00AE0F41">
        <w:t>, including</w:t>
      </w:r>
      <w:r w:rsidR="00AE0F41" w:rsidRPr="00AE0F41">
        <w:t xml:space="preserve"> </w:t>
      </w:r>
      <w:r w:rsidR="00AE0F41">
        <w:t>(relevantly)</w:t>
      </w:r>
      <w:r w:rsidR="0056501E">
        <w:t xml:space="preserve">: </w:t>
      </w:r>
      <w:r w:rsidR="00E15991">
        <w:t xml:space="preserve"> </w:t>
      </w:r>
    </w:p>
    <w:p w:rsidR="00E15991" w:rsidRPr="00006551" w:rsidRDefault="0056501E" w:rsidP="009C52E3">
      <w:pPr>
        <w:numPr>
          <w:ilvl w:val="0"/>
          <w:numId w:val="24"/>
        </w:numPr>
        <w:rPr>
          <w:i/>
        </w:rPr>
      </w:pPr>
      <w:r w:rsidRPr="00006551">
        <w:rPr>
          <w:i/>
        </w:rPr>
        <w:t>s</w:t>
      </w:r>
      <w:r w:rsidR="00E15991" w:rsidRPr="00006551">
        <w:rPr>
          <w:i/>
        </w:rPr>
        <w:t>treamlin</w:t>
      </w:r>
      <w:r w:rsidRPr="00006551">
        <w:rPr>
          <w:i/>
        </w:rPr>
        <w:t>ing</w:t>
      </w:r>
      <w:r w:rsidR="00E15991" w:rsidRPr="00006551">
        <w:rPr>
          <w:i/>
        </w:rPr>
        <w:t xml:space="preserve"> environmental</w:t>
      </w:r>
      <w:r w:rsidR="00A11238" w:rsidRPr="00006551">
        <w:rPr>
          <w:i/>
        </w:rPr>
        <w:t xml:space="preserve"> assessment</w:t>
      </w:r>
      <w:r w:rsidR="00E15991" w:rsidRPr="00006551">
        <w:rPr>
          <w:i/>
        </w:rPr>
        <w:t>s and approvals, and</w:t>
      </w:r>
    </w:p>
    <w:p w:rsidR="00D14A6D" w:rsidRPr="00006551" w:rsidRDefault="0056501E" w:rsidP="009C52E3">
      <w:pPr>
        <w:numPr>
          <w:ilvl w:val="0"/>
          <w:numId w:val="24"/>
        </w:numPr>
        <w:rPr>
          <w:i/>
        </w:rPr>
      </w:pPr>
      <w:r w:rsidRPr="00006551">
        <w:rPr>
          <w:i/>
        </w:rPr>
        <w:t>i</w:t>
      </w:r>
      <w:r w:rsidR="00E15991" w:rsidRPr="00006551">
        <w:rPr>
          <w:i/>
        </w:rPr>
        <w:t>mpr</w:t>
      </w:r>
      <w:r w:rsidRPr="00006551">
        <w:rPr>
          <w:i/>
        </w:rPr>
        <w:t>oving</w:t>
      </w:r>
      <w:r w:rsidR="00E15991" w:rsidRPr="00006551">
        <w:rPr>
          <w:i/>
        </w:rPr>
        <w:t xml:space="preserve"> the efficiency of major </w:t>
      </w:r>
      <w:r w:rsidRPr="00006551">
        <w:rPr>
          <w:i/>
        </w:rPr>
        <w:t xml:space="preserve">project </w:t>
      </w:r>
      <w:r w:rsidR="00E15991" w:rsidRPr="00006551">
        <w:rPr>
          <w:i/>
        </w:rPr>
        <w:t xml:space="preserve">development </w:t>
      </w:r>
      <w:r w:rsidRPr="00006551">
        <w:rPr>
          <w:i/>
        </w:rPr>
        <w:t>approvals</w:t>
      </w:r>
      <w:r w:rsidR="00E15991" w:rsidRPr="00006551">
        <w:rPr>
          <w:i/>
        </w:rPr>
        <w:t>.</w:t>
      </w:r>
      <w:r w:rsidR="00E15991" w:rsidRPr="00006551">
        <w:rPr>
          <w:rStyle w:val="FootnoteReference"/>
          <w:i/>
        </w:rPr>
        <w:footnoteReference w:id="3"/>
      </w:r>
    </w:p>
    <w:p w:rsidR="00D14A6D" w:rsidRDefault="00D14A6D" w:rsidP="00307ABA"/>
    <w:p w:rsidR="00D14A6D" w:rsidRDefault="005736B3" w:rsidP="00D14A6D">
      <w:r>
        <w:t>COAG’s April 2012</w:t>
      </w:r>
      <w:r w:rsidR="00A11238">
        <w:t xml:space="preserve"> </w:t>
      </w:r>
      <w:r w:rsidR="00AE0F41">
        <w:t>agreement</w:t>
      </w:r>
      <w:r w:rsidR="00A7211D">
        <w:t xml:space="preserve"> </w:t>
      </w:r>
      <w:r w:rsidR="00AE0F41">
        <w:t xml:space="preserve">with this </w:t>
      </w:r>
      <w:r w:rsidR="00006551">
        <w:t>(</w:t>
      </w:r>
      <w:r w:rsidR="00CB2981" w:rsidRPr="004D6F76">
        <w:rPr>
          <w:b/>
        </w:rPr>
        <w:t xml:space="preserve">proposed </w:t>
      </w:r>
      <w:r w:rsidR="00006551" w:rsidRPr="00CB2981">
        <w:rPr>
          <w:b/>
        </w:rPr>
        <w:t>COAG</w:t>
      </w:r>
      <w:r w:rsidR="00006551">
        <w:rPr>
          <w:b/>
        </w:rPr>
        <w:t> </w:t>
      </w:r>
      <w:r w:rsidR="00006551" w:rsidRPr="00D47788">
        <w:rPr>
          <w:b/>
        </w:rPr>
        <w:t>reform</w:t>
      </w:r>
      <w:r w:rsidR="00CB2981">
        <w:rPr>
          <w:b/>
        </w:rPr>
        <w:t>s</w:t>
      </w:r>
      <w:r w:rsidR="00006551">
        <w:t xml:space="preserve">) </w:t>
      </w:r>
      <w:r>
        <w:t>pose</w:t>
      </w:r>
      <w:r w:rsidR="00006551">
        <w:t>d</w:t>
      </w:r>
      <w:r>
        <w:t xml:space="preserve"> a significant </w:t>
      </w:r>
      <w:r w:rsidR="00006551">
        <w:t>risk</w:t>
      </w:r>
      <w:r>
        <w:t xml:space="preserve"> to the integrity of Australia’s</w:t>
      </w:r>
      <w:r w:rsidR="00A11238">
        <w:t xml:space="preserve"> environmental laws.</w:t>
      </w:r>
      <w:r w:rsidR="00BD6B11">
        <w:t xml:space="preserve"> </w:t>
      </w:r>
      <w:proofErr w:type="spellStart"/>
      <w:r w:rsidR="00006551">
        <w:t>ANEDO</w:t>
      </w:r>
      <w:proofErr w:type="spellEnd"/>
      <w:r w:rsidR="00006551">
        <w:t xml:space="preserve"> </w:t>
      </w:r>
      <w:r w:rsidR="005603EA">
        <w:t xml:space="preserve">strongly </w:t>
      </w:r>
      <w:r w:rsidR="00006551">
        <w:t xml:space="preserve">opposes </w:t>
      </w:r>
      <w:r w:rsidR="00D14A6D">
        <w:t xml:space="preserve">any ‘streamlining’ of </w:t>
      </w:r>
      <w:r w:rsidR="005603EA">
        <w:t xml:space="preserve">existing </w:t>
      </w:r>
      <w:proofErr w:type="spellStart"/>
      <w:r w:rsidR="005603EA">
        <w:t>DAA</w:t>
      </w:r>
      <w:proofErr w:type="spellEnd"/>
      <w:r w:rsidR="00D14A6D">
        <w:t xml:space="preserve"> processes that provide for public participation, environmental protection and government accountability in planning decisions. </w:t>
      </w:r>
      <w:r w:rsidR="00006551">
        <w:t xml:space="preserve">We also oppose the delegation of federal </w:t>
      </w:r>
      <w:r w:rsidR="005603EA">
        <w:t xml:space="preserve">project </w:t>
      </w:r>
      <w:r w:rsidR="00006551">
        <w:t>approval responsibilities</w:t>
      </w:r>
      <w:r w:rsidR="00006551" w:rsidRPr="00D14A6D">
        <w:t xml:space="preserve"> </w:t>
      </w:r>
      <w:r w:rsidR="00006551">
        <w:t>to the States.</w:t>
      </w:r>
    </w:p>
    <w:p w:rsidR="00D14A6D" w:rsidRDefault="00D14A6D" w:rsidP="00307ABA"/>
    <w:p w:rsidR="0032267F" w:rsidRDefault="0032267F" w:rsidP="00307ABA">
      <w:proofErr w:type="spellStart"/>
      <w:r>
        <w:t>ANEDO</w:t>
      </w:r>
      <w:proofErr w:type="spellEnd"/>
      <w:r>
        <w:t xml:space="preserve"> supports appropriate measures to improve the effectiveness and efficiency of Australian planning systems and major project </w:t>
      </w:r>
      <w:proofErr w:type="spellStart"/>
      <w:r>
        <w:t>DAA</w:t>
      </w:r>
      <w:proofErr w:type="spellEnd"/>
      <w:r>
        <w:t xml:space="preserve"> processes. </w:t>
      </w:r>
      <w:r w:rsidR="001A4932">
        <w:t xml:space="preserve">However, </w:t>
      </w:r>
      <w:r w:rsidRPr="0032267F">
        <w:t>the efficacy of planning processes should not be judged solely on assessment processing timeframes or DA approval rates</w:t>
      </w:r>
      <w:r w:rsidR="0053192F">
        <w:t>;</w:t>
      </w:r>
      <w:r w:rsidRPr="0032267F">
        <w:t xml:space="preserve"> rather</w:t>
      </w:r>
      <w:r w:rsidR="0053192F">
        <w:t>,</w:t>
      </w:r>
      <w:r w:rsidRPr="0032267F">
        <w:t xml:space="preserve"> on whether the process incorporates comprehensive environmental impact assessment</w:t>
      </w:r>
      <w:r w:rsidR="0053192F">
        <w:t xml:space="preserve"> (</w:t>
      </w:r>
      <w:proofErr w:type="spellStart"/>
      <w:r w:rsidR="0053192F" w:rsidRPr="004D6F76">
        <w:rPr>
          <w:b/>
        </w:rPr>
        <w:t>EIA</w:t>
      </w:r>
      <w:proofErr w:type="spellEnd"/>
      <w:r w:rsidR="0053192F">
        <w:t>)</w:t>
      </w:r>
      <w:r w:rsidRPr="0032267F">
        <w:t>, genuine public consultation and produces ecologically sustainable outcomes</w:t>
      </w:r>
      <w:r w:rsidR="001A4932">
        <w:t>. In our view, faster approvals that deliver poor-quality, high-risk or unsustainable development are not in the public interest.</w:t>
      </w:r>
      <w:r w:rsidR="003D5431">
        <w:rPr>
          <w:rStyle w:val="FootnoteReference"/>
        </w:rPr>
        <w:footnoteReference w:id="4"/>
      </w:r>
      <w:r w:rsidR="004C3884">
        <w:t xml:space="preserve"> We</w:t>
      </w:r>
      <w:r w:rsidR="003D5431">
        <w:t> </w:t>
      </w:r>
      <w:r w:rsidR="004C3884">
        <w:t xml:space="preserve">are very concerned that the special treatment of </w:t>
      </w:r>
      <w:r w:rsidR="004C3884" w:rsidRPr="004C3884">
        <w:t xml:space="preserve">major projects </w:t>
      </w:r>
      <w:r w:rsidR="00154D13">
        <w:t xml:space="preserve">in legislation </w:t>
      </w:r>
      <w:r w:rsidR="002E7050">
        <w:t>often results in such a ‘fast-tracking’ scheme.</w:t>
      </w:r>
      <w:r w:rsidR="004C3884">
        <w:t xml:space="preserve"> </w:t>
      </w:r>
      <w:r w:rsidR="002E7050">
        <w:t>This</w:t>
      </w:r>
      <w:r w:rsidR="004C3884">
        <w:t xml:space="preserve"> </w:t>
      </w:r>
      <w:r w:rsidR="00154D13">
        <w:t xml:space="preserve">fundamentally </w:t>
      </w:r>
      <w:r w:rsidR="004C3884">
        <w:t xml:space="preserve">contradicts a ‘risk based’ </w:t>
      </w:r>
      <w:r w:rsidR="004C3884" w:rsidRPr="004C3884">
        <w:t>approach</w:t>
      </w:r>
      <w:r w:rsidR="002E7050">
        <w:t xml:space="preserve"> (discussed</w:t>
      </w:r>
      <w:r w:rsidR="0053192F">
        <w:t xml:space="preserve"> below</w:t>
      </w:r>
      <w:r w:rsidR="002E7050">
        <w:t xml:space="preserve">) </w:t>
      </w:r>
      <w:r w:rsidR="00154D13">
        <w:t xml:space="preserve">and </w:t>
      </w:r>
      <w:r w:rsidR="0053192F">
        <w:t xml:space="preserve">thus </w:t>
      </w:r>
      <w:r w:rsidR="00154D13">
        <w:t xml:space="preserve">is not supported by </w:t>
      </w:r>
      <w:proofErr w:type="spellStart"/>
      <w:r w:rsidR="00154D13">
        <w:t>ANEDO</w:t>
      </w:r>
      <w:proofErr w:type="spellEnd"/>
      <w:r w:rsidR="00154D13">
        <w:t xml:space="preserve">. </w:t>
      </w:r>
    </w:p>
    <w:p w:rsidR="0032267F" w:rsidRDefault="0032267F" w:rsidP="00307ABA"/>
    <w:p w:rsidR="005736B3" w:rsidRDefault="0032267F" w:rsidP="005736B3">
      <w:pPr>
        <w:spacing w:after="120"/>
      </w:pPr>
      <w:proofErr w:type="spellStart"/>
      <w:r>
        <w:t>ANEDO</w:t>
      </w:r>
      <w:proofErr w:type="spellEnd"/>
      <w:r>
        <w:t xml:space="preserve"> has made several recent policy contributions i</w:t>
      </w:r>
      <w:r w:rsidR="005603EA">
        <w:t>n support of th</w:t>
      </w:r>
      <w:r>
        <w:t>e</w:t>
      </w:r>
      <w:r w:rsidR="005603EA">
        <w:t>s</w:t>
      </w:r>
      <w:r>
        <w:t>e</w:t>
      </w:r>
      <w:r w:rsidR="005603EA">
        <w:t xml:space="preserve"> position</w:t>
      </w:r>
      <w:r>
        <w:t>s</w:t>
      </w:r>
      <w:r w:rsidR="005736B3">
        <w:t>:</w:t>
      </w:r>
    </w:p>
    <w:p w:rsidR="005736B3" w:rsidRDefault="005736B3" w:rsidP="009C52E3">
      <w:pPr>
        <w:numPr>
          <w:ilvl w:val="0"/>
          <w:numId w:val="23"/>
        </w:numPr>
        <w:spacing w:after="120"/>
      </w:pPr>
      <w:r>
        <w:t xml:space="preserve">an initial analysis of and response to the COAG agreement of </w:t>
      </w:r>
      <w:r w:rsidRPr="001E217F">
        <w:t xml:space="preserve">13 April 2012 </w:t>
      </w:r>
      <w:r w:rsidR="0013580F">
        <w:t>proposing</w:t>
      </w:r>
      <w:r>
        <w:t xml:space="preserve"> </w:t>
      </w:r>
      <w:r w:rsidRPr="001E217F">
        <w:t>major</w:t>
      </w:r>
      <w:r>
        <w:t xml:space="preserve"> reforms </w:t>
      </w:r>
      <w:r w:rsidR="0013580F">
        <w:t>to</w:t>
      </w:r>
      <w:r w:rsidRPr="001E217F">
        <w:t xml:space="preserve"> </w:t>
      </w:r>
      <w:r>
        <w:t>Australia’s environmental laws</w:t>
      </w:r>
      <w:r w:rsidR="0069597D">
        <w:t>;</w:t>
      </w:r>
      <w:r>
        <w:rPr>
          <w:rStyle w:val="FootnoteReference"/>
          <w:rFonts w:cs="Arial"/>
          <w:szCs w:val="22"/>
        </w:rPr>
        <w:footnoteReference w:id="5"/>
      </w:r>
      <w:r>
        <w:t xml:space="preserve"> </w:t>
      </w:r>
    </w:p>
    <w:p w:rsidR="005736B3" w:rsidRDefault="005736B3" w:rsidP="009C52E3">
      <w:pPr>
        <w:numPr>
          <w:ilvl w:val="0"/>
          <w:numId w:val="23"/>
        </w:numPr>
        <w:spacing w:after="120"/>
      </w:pPr>
      <w:r>
        <w:lastRenderedPageBreak/>
        <w:t xml:space="preserve">meetings with and submissions to the Taskforce progressing the </w:t>
      </w:r>
      <w:r w:rsidR="0013580F">
        <w:t xml:space="preserve">COAG </w:t>
      </w:r>
      <w:r>
        <w:t>reforms</w:t>
      </w:r>
      <w:r w:rsidR="0069597D">
        <w:t>;</w:t>
      </w:r>
    </w:p>
    <w:p w:rsidR="005736B3" w:rsidRDefault="005736B3" w:rsidP="009C52E3">
      <w:pPr>
        <w:numPr>
          <w:ilvl w:val="0"/>
          <w:numId w:val="23"/>
        </w:numPr>
        <w:spacing w:after="120"/>
        <w:ind w:left="714" w:hanging="357"/>
      </w:pPr>
      <w:r>
        <w:t xml:space="preserve">a detailed submission on draft standards </w:t>
      </w:r>
      <w:r w:rsidR="00284E11">
        <w:t>to accredit State approvals</w:t>
      </w:r>
      <w:r>
        <w:t xml:space="preserve"> under the </w:t>
      </w:r>
      <w:r w:rsidRPr="00561D64">
        <w:rPr>
          <w:i/>
        </w:rPr>
        <w:t>Environment Protection and Biodiversity Conservation Act 1999</w:t>
      </w:r>
      <w:r>
        <w:t xml:space="preserve"> (</w:t>
      </w:r>
      <w:proofErr w:type="spellStart"/>
      <w:r w:rsidR="00CB0257">
        <w:rPr>
          <w:b/>
        </w:rPr>
        <w:t>EPBC</w:t>
      </w:r>
      <w:proofErr w:type="spellEnd"/>
      <w:r w:rsidR="00CB0257">
        <w:rPr>
          <w:b/>
        </w:rPr>
        <w:t> </w:t>
      </w:r>
      <w:r w:rsidRPr="00561D64">
        <w:rPr>
          <w:b/>
        </w:rPr>
        <w:t>Act</w:t>
      </w:r>
      <w:r>
        <w:t>)</w:t>
      </w:r>
      <w:r w:rsidR="00CB0257">
        <w:t>;</w:t>
      </w:r>
      <w:r>
        <w:rPr>
          <w:rStyle w:val="FootnoteReference"/>
        </w:rPr>
        <w:footnoteReference w:id="6"/>
      </w:r>
      <w:r>
        <w:t xml:space="preserve"> </w:t>
      </w:r>
    </w:p>
    <w:p w:rsidR="00CB0257" w:rsidRDefault="00CB0257" w:rsidP="009C52E3">
      <w:pPr>
        <w:numPr>
          <w:ilvl w:val="0"/>
          <w:numId w:val="23"/>
        </w:numPr>
      </w:pPr>
      <w:r>
        <w:t xml:space="preserve">a submission on a </w:t>
      </w:r>
      <w:r w:rsidR="0013580F">
        <w:t xml:space="preserve">private member’s </w:t>
      </w:r>
      <w:r>
        <w:t>Bill to remove</w:t>
      </w:r>
      <w:r w:rsidR="0013580F">
        <w:t xml:space="preserve"> </w:t>
      </w:r>
      <w:r w:rsidR="00284E11">
        <w:t xml:space="preserve">the </w:t>
      </w:r>
      <w:r w:rsidR="0013580F">
        <w:t>provisions</w:t>
      </w:r>
      <w:r>
        <w:t xml:space="preserve"> from the </w:t>
      </w:r>
      <w:proofErr w:type="spellStart"/>
      <w:r>
        <w:t>EPBC</w:t>
      </w:r>
      <w:proofErr w:type="spellEnd"/>
      <w:r>
        <w:t xml:space="preserve"> Act</w:t>
      </w:r>
      <w:r w:rsidR="0013580F" w:rsidRPr="0013580F">
        <w:t xml:space="preserve"> </w:t>
      </w:r>
      <w:r w:rsidR="0056501E">
        <w:t>that</w:t>
      </w:r>
      <w:r w:rsidR="0013580F">
        <w:t xml:space="preserve"> allow bilateral agreements </w:t>
      </w:r>
      <w:r w:rsidR="0056501E">
        <w:t>to</w:t>
      </w:r>
      <w:r w:rsidR="0013580F">
        <w:t xml:space="preserve"> delegate federal project </w:t>
      </w:r>
      <w:r w:rsidR="0013580F" w:rsidRPr="00284E11">
        <w:t>approval</w:t>
      </w:r>
      <w:r w:rsidR="0013580F">
        <w:t xml:space="preserve"> powers</w:t>
      </w:r>
      <w:r>
        <w:t>.</w:t>
      </w:r>
      <w:r>
        <w:rPr>
          <w:rStyle w:val="FootnoteReference"/>
        </w:rPr>
        <w:footnoteReference w:id="7"/>
      </w:r>
    </w:p>
    <w:p w:rsidR="00D93C7C" w:rsidRDefault="00D93C7C" w:rsidP="00D93C7C"/>
    <w:p w:rsidR="00D93C7C" w:rsidRDefault="00D93C7C" w:rsidP="00D93C7C">
      <w:r>
        <w:t xml:space="preserve">Analysis by </w:t>
      </w:r>
      <w:proofErr w:type="spellStart"/>
      <w:r>
        <w:t>ANEDO</w:t>
      </w:r>
      <w:proofErr w:type="spellEnd"/>
      <w:r>
        <w:t xml:space="preserve"> and other legal, policy, science and economic experts has revealed a lack of clear evidence for the problems identified in the BCA paper (unnecessary overlap, duplication and delay); and significant drawbacks in the proposed solutions (streamlined assessment, bilateral ‘approval’ </w:t>
      </w:r>
      <w:r w:rsidRPr="0032267F">
        <w:t>agreements).</w:t>
      </w:r>
      <w:r w:rsidRPr="0032267F">
        <w:rPr>
          <w:rStyle w:val="FootnoteReference"/>
        </w:rPr>
        <w:footnoteReference w:id="8"/>
      </w:r>
      <w:r>
        <w:t xml:space="preserve"> This confusion and complexity led to COAG abandoning its initial, ambitious delivery timetable for an accreditation framework and agreements (December 2012</w:t>
      </w:r>
      <w:r w:rsidR="00391751">
        <w:t xml:space="preserve"> and </w:t>
      </w:r>
      <w:r>
        <w:t>March 2013).</w:t>
      </w:r>
      <w:r>
        <w:rPr>
          <w:rStyle w:val="FootnoteReference"/>
        </w:rPr>
        <w:footnoteReference w:id="9"/>
      </w:r>
      <w:r w:rsidRPr="00D14A6D">
        <w:t xml:space="preserve"> </w:t>
      </w:r>
    </w:p>
    <w:p w:rsidR="00D93C7C" w:rsidRDefault="00D93C7C" w:rsidP="00D93C7C"/>
    <w:p w:rsidR="009D5DF3" w:rsidRPr="00341166" w:rsidRDefault="009D5DF3" w:rsidP="009D5DF3">
      <w:pPr>
        <w:rPr>
          <w:rFonts w:cs="Arial"/>
          <w:szCs w:val="22"/>
        </w:rPr>
      </w:pPr>
      <w:proofErr w:type="spellStart"/>
      <w:r w:rsidRPr="00382D6C">
        <w:rPr>
          <w:rFonts w:cs="Arial"/>
        </w:rPr>
        <w:t>ANEDO</w:t>
      </w:r>
      <w:proofErr w:type="spellEnd"/>
      <w:r w:rsidRPr="00382D6C">
        <w:rPr>
          <w:rFonts w:cs="Arial"/>
        </w:rPr>
        <w:t xml:space="preserve"> submits that</w:t>
      </w:r>
      <w:r w:rsidRPr="000475B9">
        <w:rPr>
          <w:rFonts w:cs="Arial"/>
        </w:rPr>
        <w:t xml:space="preserve"> a </w:t>
      </w:r>
      <w:r>
        <w:rPr>
          <w:rFonts w:cs="Arial"/>
        </w:rPr>
        <w:t xml:space="preserve">truly risk-based approach to </w:t>
      </w:r>
      <w:proofErr w:type="spellStart"/>
      <w:r>
        <w:rPr>
          <w:rFonts w:cs="Arial"/>
        </w:rPr>
        <w:t>DAA</w:t>
      </w:r>
      <w:proofErr w:type="spellEnd"/>
      <w:r w:rsidRPr="000475B9">
        <w:rPr>
          <w:rFonts w:cs="Arial"/>
        </w:rPr>
        <w:t xml:space="preserve"> would </w:t>
      </w:r>
      <w:r>
        <w:rPr>
          <w:rFonts w:cs="Arial"/>
        </w:rPr>
        <w:t>increase</w:t>
      </w:r>
      <w:r w:rsidRPr="000475B9">
        <w:rPr>
          <w:rFonts w:cs="Arial"/>
        </w:rPr>
        <w:t xml:space="preserve"> assessment effort on major projects, not override or r</w:t>
      </w:r>
      <w:r>
        <w:rPr>
          <w:rFonts w:cs="Arial"/>
        </w:rPr>
        <w:t xml:space="preserve">educe scrutiny. This is because </w:t>
      </w:r>
      <w:r w:rsidRPr="000475B9">
        <w:rPr>
          <w:rFonts w:cs="Arial"/>
        </w:rPr>
        <w:t>projects with the greatest impacts deserve the greatest scrutiny and safeguards; and</w:t>
      </w:r>
      <w:r>
        <w:rPr>
          <w:rFonts w:cs="Arial"/>
          <w:szCs w:val="22"/>
        </w:rPr>
        <w:t xml:space="preserve"> </w:t>
      </w:r>
      <w:r w:rsidRPr="000475B9">
        <w:rPr>
          <w:rFonts w:cs="Arial"/>
        </w:rPr>
        <w:t>major projects tend to be the most significant in scale, nature, complexity, breadth and duration of impacts, and level of public concern.</w:t>
      </w:r>
      <w:r w:rsidRPr="000475B9">
        <w:rPr>
          <w:rFonts w:ascii="Times New Roman" w:hAnsi="Times New Roman"/>
          <w:sz w:val="24"/>
          <w:lang w:eastAsia="en-AU"/>
        </w:rPr>
        <w:t xml:space="preserve"> </w:t>
      </w:r>
    </w:p>
    <w:p w:rsidR="009D5DF3" w:rsidRDefault="009D5DF3" w:rsidP="00D93C7C"/>
    <w:p w:rsidR="00341166" w:rsidRDefault="00D93C7C" w:rsidP="00307ABA">
      <w:r>
        <w:t>There have been other consequences from COAG’s April 2012 announcement.</w:t>
      </w:r>
      <w:r w:rsidR="00391751">
        <w:t xml:space="preserve"> First</w:t>
      </w:r>
      <w:r w:rsidR="009D5DF3">
        <w:t>ly</w:t>
      </w:r>
      <w:r w:rsidR="00391751">
        <w:t>, t</w:t>
      </w:r>
      <w:r>
        <w:t>he</w:t>
      </w:r>
      <w:r w:rsidR="00391751">
        <w:t xml:space="preserve"> </w:t>
      </w:r>
      <w:r>
        <w:t>haste</w:t>
      </w:r>
      <w:r w:rsidR="00391751">
        <w:t xml:space="preserve"> and lack of transparency in</w:t>
      </w:r>
      <w:r>
        <w:t xml:space="preserve"> the decision has raised questions about the equity of exclusive forums like the </w:t>
      </w:r>
      <w:proofErr w:type="spellStart"/>
      <w:r>
        <w:t>BAF</w:t>
      </w:r>
      <w:proofErr w:type="spellEnd"/>
      <w:r>
        <w:t xml:space="preserve">. </w:t>
      </w:r>
      <w:r w:rsidR="00391751">
        <w:t>Second</w:t>
      </w:r>
      <w:r w:rsidR="009D5DF3">
        <w:t>ly</w:t>
      </w:r>
      <w:r w:rsidR="00391751">
        <w:t xml:space="preserve">, the COAG announcement also overrode the Environment Department’s ability to progress the Government’s 2011 response to the 2009 independent review of the </w:t>
      </w:r>
      <w:proofErr w:type="spellStart"/>
      <w:r w:rsidR="00391751">
        <w:t>EPBC</w:t>
      </w:r>
      <w:proofErr w:type="spellEnd"/>
      <w:r w:rsidR="00391751">
        <w:t xml:space="preserve"> Act (</w:t>
      </w:r>
      <w:r w:rsidR="00391751" w:rsidRPr="0032267F">
        <w:rPr>
          <w:b/>
        </w:rPr>
        <w:t>Hawke Review</w:t>
      </w:r>
      <w:r w:rsidR="00391751">
        <w:t xml:space="preserve">). </w:t>
      </w:r>
      <w:r w:rsidR="009D5DF3">
        <w:t>Thirdly</w:t>
      </w:r>
      <w:r w:rsidR="00391751">
        <w:t>, t</w:t>
      </w:r>
      <w:r w:rsidR="007232CC">
        <w:t xml:space="preserve">he Senate </w:t>
      </w:r>
      <w:r w:rsidR="007232CC" w:rsidRPr="00312252">
        <w:t>Environment and Communicatio</w:t>
      </w:r>
      <w:r w:rsidR="007232CC">
        <w:t>ns Legislation Committee recently inquir</w:t>
      </w:r>
      <w:r w:rsidR="009D5DF3">
        <w:t>ed</w:t>
      </w:r>
      <w:r w:rsidR="003A2B7E">
        <w:t xml:space="preserve"> into a proposal to remove </w:t>
      </w:r>
      <w:r w:rsidR="009D5DF3">
        <w:t xml:space="preserve">powers to establish </w:t>
      </w:r>
      <w:r w:rsidR="003A2B7E">
        <w:t xml:space="preserve">bilateral ‘approval’ agreements from the </w:t>
      </w:r>
      <w:proofErr w:type="spellStart"/>
      <w:r w:rsidR="003A2B7E">
        <w:t>EPBC</w:t>
      </w:r>
      <w:proofErr w:type="spellEnd"/>
      <w:r w:rsidR="003A2B7E">
        <w:t xml:space="preserve"> Act</w:t>
      </w:r>
      <w:r w:rsidR="00391751">
        <w:t>.</w:t>
      </w:r>
      <w:r w:rsidR="007232CC">
        <w:rPr>
          <w:rStyle w:val="FootnoteReference"/>
        </w:rPr>
        <w:footnoteReference w:id="10"/>
      </w:r>
      <w:r w:rsidR="007232CC">
        <w:t xml:space="preserve"> </w:t>
      </w:r>
      <w:r w:rsidR="00391751">
        <w:t>It</w:t>
      </w:r>
      <w:r w:rsidR="009D5DF3">
        <w:t> </w:t>
      </w:r>
      <w:r w:rsidR="007232CC">
        <w:t>concluded</w:t>
      </w:r>
      <w:r w:rsidR="00391751">
        <w:t>:</w:t>
      </w:r>
      <w:r w:rsidR="007232CC">
        <w:t xml:space="preserve"> </w:t>
      </w:r>
      <w:r w:rsidR="00391751">
        <w:t>‘</w:t>
      </w:r>
      <w:r w:rsidR="007232CC" w:rsidRPr="000132D0">
        <w:t>The committee rejects the claims made by business interests that Commonwealth powers of approval are the cause of inefficiencies, delays, and loss of income to project proponents.</w:t>
      </w:r>
      <w:r w:rsidR="00391751">
        <w:t>’</w:t>
      </w:r>
      <w:r w:rsidR="007232CC">
        <w:rPr>
          <w:rStyle w:val="FootnoteReference"/>
        </w:rPr>
        <w:footnoteReference w:id="11"/>
      </w:r>
      <w:r w:rsidR="007232CC">
        <w:t xml:space="preserve"> </w:t>
      </w:r>
      <w:r w:rsidR="0032267F">
        <w:t xml:space="preserve"> </w:t>
      </w:r>
      <w:r w:rsidR="009D5DF3">
        <w:t xml:space="preserve"> Overall, t</w:t>
      </w:r>
      <w:r w:rsidR="0032267F">
        <w:t>h</w:t>
      </w:r>
      <w:r w:rsidR="009D5DF3">
        <w:t>is</w:t>
      </w:r>
      <w:r w:rsidR="00391751">
        <w:t xml:space="preserve"> Productivity Commission</w:t>
      </w:r>
      <w:r w:rsidR="0032267F">
        <w:t xml:space="preserve"> </w:t>
      </w:r>
      <w:r w:rsidR="009D5DF3">
        <w:t>inquiry</w:t>
      </w:r>
      <w:r w:rsidR="00391751">
        <w:t xml:space="preserve"> </w:t>
      </w:r>
      <w:r w:rsidR="0032267F">
        <w:t xml:space="preserve">provides an opportunity for the Commission to take stock of the </w:t>
      </w:r>
      <w:r w:rsidR="00CB2981">
        <w:t xml:space="preserve">proposed </w:t>
      </w:r>
      <w:r w:rsidR="0032267F">
        <w:t xml:space="preserve">COAG reforms, </w:t>
      </w:r>
      <w:r w:rsidR="001A4932">
        <w:t>consider</w:t>
      </w:r>
      <w:r w:rsidR="0032267F">
        <w:t xml:space="preserve"> the recommendations of the Hawke Review</w:t>
      </w:r>
      <w:r w:rsidR="001A4932">
        <w:t xml:space="preserve">, and identify leading practices for major project </w:t>
      </w:r>
      <w:proofErr w:type="spellStart"/>
      <w:r w:rsidR="001A4932">
        <w:t>DAA</w:t>
      </w:r>
      <w:proofErr w:type="spellEnd"/>
      <w:r w:rsidR="001A4932">
        <w:t xml:space="preserve"> that will achieve the aim of ecologically sustainable development</w:t>
      </w:r>
      <w:r w:rsidR="0032267F">
        <w:t>.</w:t>
      </w:r>
      <w:r w:rsidR="001A4932">
        <w:t xml:space="preserve">  </w:t>
      </w:r>
    </w:p>
    <w:p w:rsidR="00BD762C" w:rsidRPr="00632433" w:rsidRDefault="00744084" w:rsidP="002D15BD">
      <w:pPr>
        <w:pStyle w:val="Heading1"/>
      </w:pPr>
      <w:bookmarkStart w:id="11" w:name="_Toc351985894"/>
      <w:r w:rsidRPr="009C52E3">
        <w:lastRenderedPageBreak/>
        <w:t>Summary of recommendations</w:t>
      </w:r>
      <w:bookmarkEnd w:id="11"/>
      <w:r w:rsidR="00DF7699">
        <w:t xml:space="preserve"> </w:t>
      </w:r>
    </w:p>
    <w:p w:rsidR="000475B9" w:rsidRDefault="000475B9" w:rsidP="00CB7D56">
      <w:pPr>
        <w:spacing w:after="120"/>
        <w:rPr>
          <w:b/>
          <w:u w:val="single"/>
        </w:rPr>
      </w:pPr>
    </w:p>
    <w:p w:rsidR="00CB7D56" w:rsidRDefault="00CB7D56" w:rsidP="00382D6C">
      <w:pPr>
        <w:rPr>
          <w:i/>
        </w:rPr>
      </w:pPr>
      <w:r w:rsidRPr="009C52E3">
        <w:rPr>
          <w:b/>
          <w:i/>
        </w:rPr>
        <w:t>Recommendation:</w:t>
      </w:r>
      <w:r w:rsidRPr="00CB7D56">
        <w:rPr>
          <w:i/>
        </w:rPr>
        <w:t xml:space="preserve"> The Productivity Commission’s study and recommendations must recognise the </w:t>
      </w:r>
      <w:r w:rsidRPr="004D6F76">
        <w:rPr>
          <w:b/>
          <w:i/>
        </w:rPr>
        <w:t>public purpose and benefit of environmental laws</w:t>
      </w:r>
      <w:r w:rsidRPr="00CB7D56">
        <w:rPr>
          <w:i/>
        </w:rPr>
        <w:t>, objective standards and leading practices to achieve ecologically sustainable development. G</w:t>
      </w:r>
      <w:r w:rsidRPr="00CB7D56">
        <w:rPr>
          <w:rFonts w:cs="Calibri"/>
          <w:i/>
        </w:rPr>
        <w:t>overnments, industry groups and businesses must also recognise the public benefit of environmental laws as a necessary cost of doing business responsibly.</w:t>
      </w:r>
      <w:r w:rsidRPr="00CB7D56">
        <w:rPr>
          <w:i/>
        </w:rPr>
        <w:t xml:space="preserve"> </w:t>
      </w:r>
    </w:p>
    <w:p w:rsidR="00382D6C" w:rsidRDefault="00382D6C" w:rsidP="00382D6C">
      <w:pPr>
        <w:rPr>
          <w:i/>
        </w:rPr>
      </w:pPr>
    </w:p>
    <w:p w:rsidR="00CB7D56" w:rsidRDefault="000475B9" w:rsidP="00382D6C">
      <w:pPr>
        <w:rPr>
          <w:i/>
        </w:rPr>
      </w:pPr>
      <w:r w:rsidRPr="009C52E3">
        <w:rPr>
          <w:b/>
          <w:i/>
        </w:rPr>
        <w:t>Recommendation:</w:t>
      </w:r>
      <w:r>
        <w:rPr>
          <w:b/>
          <w:i/>
        </w:rPr>
        <w:t xml:space="preserve"> </w:t>
      </w:r>
      <w:r>
        <w:rPr>
          <w:i/>
        </w:rPr>
        <w:t xml:space="preserve">The Commonwealth Government must retain a strong leadership and oversight role in assessment of major projects. The </w:t>
      </w:r>
      <w:r w:rsidRPr="004D6F76">
        <w:rPr>
          <w:b/>
          <w:i/>
        </w:rPr>
        <w:t>Commonwealth Government must not delegate approval processes</w:t>
      </w:r>
      <w:r>
        <w:rPr>
          <w:i/>
        </w:rPr>
        <w:t xml:space="preserve"> to the States and Territories.</w:t>
      </w:r>
    </w:p>
    <w:p w:rsidR="00382D6C" w:rsidRPr="000475B9" w:rsidRDefault="00382D6C" w:rsidP="00382D6C">
      <w:pPr>
        <w:rPr>
          <w:i/>
        </w:rPr>
      </w:pPr>
    </w:p>
    <w:p w:rsidR="000475B9" w:rsidRPr="00CB7D56" w:rsidRDefault="000475B9" w:rsidP="004D6F76">
      <w:pPr>
        <w:spacing w:after="120"/>
        <w:rPr>
          <w:rFonts w:cs="Arial"/>
          <w:i/>
          <w:szCs w:val="22"/>
        </w:rPr>
      </w:pPr>
      <w:r w:rsidRPr="009C52E3">
        <w:rPr>
          <w:b/>
          <w:i/>
        </w:rPr>
        <w:t>Recommendation:</w:t>
      </w:r>
      <w:r w:rsidRPr="000475B9">
        <w:rPr>
          <w:rFonts w:cs="Arial"/>
          <w:i/>
          <w:szCs w:val="22"/>
        </w:rPr>
        <w:t xml:space="preserve"> </w:t>
      </w:r>
      <w:r>
        <w:rPr>
          <w:rFonts w:cs="Arial"/>
          <w:i/>
          <w:szCs w:val="22"/>
        </w:rPr>
        <w:t>T</w:t>
      </w:r>
      <w:r w:rsidRPr="00CB7D56">
        <w:rPr>
          <w:rFonts w:cs="Arial"/>
          <w:i/>
          <w:szCs w:val="22"/>
        </w:rPr>
        <w:t xml:space="preserve">he Productivity Commission </w:t>
      </w:r>
      <w:r w:rsidR="00382D6C">
        <w:rPr>
          <w:rFonts w:cs="Arial"/>
          <w:i/>
          <w:szCs w:val="22"/>
        </w:rPr>
        <w:t xml:space="preserve">should </w:t>
      </w:r>
      <w:r w:rsidR="00382D6C" w:rsidRPr="004D6F76">
        <w:rPr>
          <w:rFonts w:cs="Arial"/>
          <w:b/>
          <w:i/>
          <w:szCs w:val="22"/>
        </w:rPr>
        <w:t xml:space="preserve">adopt </w:t>
      </w:r>
      <w:r w:rsidRPr="004D6F76">
        <w:rPr>
          <w:rFonts w:cs="Arial"/>
          <w:b/>
          <w:i/>
          <w:szCs w:val="22"/>
        </w:rPr>
        <w:t>the following 10 criteria</w:t>
      </w:r>
      <w:r w:rsidRPr="00CB7D56">
        <w:rPr>
          <w:rFonts w:cs="Arial"/>
          <w:i/>
          <w:szCs w:val="22"/>
        </w:rPr>
        <w:t xml:space="preserve"> (outlined further at </w:t>
      </w:r>
      <w:r w:rsidRPr="00382D6C">
        <w:rPr>
          <w:rFonts w:cs="Arial"/>
          <w:b/>
          <w:i/>
          <w:szCs w:val="22"/>
        </w:rPr>
        <w:t>Attachment A</w:t>
      </w:r>
      <w:r w:rsidRPr="00CB7D56">
        <w:rPr>
          <w:rFonts w:cs="Arial"/>
          <w:i/>
          <w:szCs w:val="22"/>
        </w:rPr>
        <w:t>) as a reference point to evaluate and shape major project assessment and approval processes. These elements must be clearly articulated in legislation (state and federal) as the basis of effective, leading practice planning and assessment laws:</w:t>
      </w:r>
    </w:p>
    <w:p w:rsidR="000475B9" w:rsidRPr="009C52E3" w:rsidRDefault="000475B9" w:rsidP="00382D6C">
      <w:pPr>
        <w:numPr>
          <w:ilvl w:val="0"/>
          <w:numId w:val="59"/>
        </w:numPr>
        <w:rPr>
          <w:i/>
        </w:rPr>
      </w:pPr>
      <w:r w:rsidRPr="004D6F76">
        <w:rPr>
          <w:b/>
          <w:i/>
        </w:rPr>
        <w:t>Clear objects that prioritise ecologically sustainable development (</w:t>
      </w:r>
      <w:proofErr w:type="spellStart"/>
      <w:r w:rsidRPr="004D6F76">
        <w:rPr>
          <w:b/>
          <w:i/>
        </w:rPr>
        <w:t>ESD</w:t>
      </w:r>
      <w:proofErr w:type="spellEnd"/>
      <w:r w:rsidRPr="004D6F76">
        <w:rPr>
          <w:b/>
          <w:i/>
        </w:rPr>
        <w:t>)</w:t>
      </w:r>
    </w:p>
    <w:p w:rsidR="000475B9" w:rsidRPr="009C52E3" w:rsidRDefault="000475B9" w:rsidP="00382D6C">
      <w:pPr>
        <w:numPr>
          <w:ilvl w:val="0"/>
          <w:numId w:val="59"/>
        </w:numPr>
        <w:rPr>
          <w:i/>
        </w:rPr>
      </w:pPr>
      <w:r w:rsidRPr="004D6F76">
        <w:rPr>
          <w:b/>
          <w:i/>
        </w:rPr>
        <w:t>Objective tests for good environmental outcomes</w:t>
      </w:r>
      <w:r w:rsidRPr="009C52E3">
        <w:rPr>
          <w:i/>
        </w:rPr>
        <w:t xml:space="preserve"> (‘maintain or improve’)</w:t>
      </w:r>
    </w:p>
    <w:p w:rsidR="000475B9" w:rsidRPr="009C52E3" w:rsidRDefault="000475B9" w:rsidP="00382D6C">
      <w:pPr>
        <w:numPr>
          <w:ilvl w:val="0"/>
          <w:numId w:val="59"/>
        </w:numPr>
        <w:rPr>
          <w:i/>
        </w:rPr>
      </w:pPr>
      <w:r w:rsidRPr="004D6F76">
        <w:rPr>
          <w:b/>
          <w:i/>
        </w:rPr>
        <w:t>Independent assessment</w:t>
      </w:r>
      <w:r w:rsidRPr="009C52E3">
        <w:rPr>
          <w:i/>
        </w:rPr>
        <w:t xml:space="preserve"> (arms-length and quality-assured)</w:t>
      </w:r>
    </w:p>
    <w:p w:rsidR="000475B9" w:rsidRPr="009C52E3" w:rsidRDefault="000475B9" w:rsidP="00382D6C">
      <w:pPr>
        <w:numPr>
          <w:ilvl w:val="0"/>
          <w:numId w:val="59"/>
        </w:numPr>
        <w:rPr>
          <w:i/>
        </w:rPr>
      </w:pPr>
      <w:r w:rsidRPr="004D6F76">
        <w:rPr>
          <w:b/>
          <w:i/>
        </w:rPr>
        <w:t>Comprehensive assessment</w:t>
      </w:r>
      <w:r w:rsidRPr="009C52E3">
        <w:rPr>
          <w:i/>
        </w:rPr>
        <w:t xml:space="preserve"> (including cumulative impacts, climate change)</w:t>
      </w:r>
    </w:p>
    <w:p w:rsidR="000475B9" w:rsidRPr="009C52E3" w:rsidRDefault="000475B9" w:rsidP="00382D6C">
      <w:pPr>
        <w:numPr>
          <w:ilvl w:val="0"/>
          <w:numId w:val="59"/>
        </w:numPr>
        <w:rPr>
          <w:i/>
        </w:rPr>
      </w:pPr>
      <w:r w:rsidRPr="004D6F76">
        <w:rPr>
          <w:b/>
          <w:i/>
        </w:rPr>
        <w:t>Projects must minimise environmental impacts</w:t>
      </w:r>
      <w:r w:rsidRPr="009C52E3">
        <w:rPr>
          <w:i/>
        </w:rPr>
        <w:t xml:space="preserve"> (‘impact hierarchy’)</w:t>
      </w:r>
    </w:p>
    <w:p w:rsidR="000475B9" w:rsidRPr="009C52E3" w:rsidRDefault="000475B9" w:rsidP="00382D6C">
      <w:pPr>
        <w:numPr>
          <w:ilvl w:val="0"/>
          <w:numId w:val="59"/>
        </w:numPr>
        <w:rPr>
          <w:i/>
        </w:rPr>
      </w:pPr>
      <w:r w:rsidRPr="004D6F76">
        <w:rPr>
          <w:b/>
          <w:i/>
        </w:rPr>
        <w:t>Best practice standards for strategic environmental assessment (SEA)</w:t>
      </w:r>
    </w:p>
    <w:p w:rsidR="000475B9" w:rsidRPr="009C52E3" w:rsidRDefault="000475B9" w:rsidP="00382D6C">
      <w:pPr>
        <w:numPr>
          <w:ilvl w:val="0"/>
          <w:numId w:val="59"/>
        </w:numPr>
        <w:rPr>
          <w:i/>
        </w:rPr>
      </w:pPr>
      <w:r w:rsidRPr="004D6F76">
        <w:rPr>
          <w:b/>
          <w:i/>
        </w:rPr>
        <w:t>Oversight and review</w:t>
      </w:r>
      <w:r w:rsidRPr="009C52E3">
        <w:rPr>
          <w:i/>
        </w:rPr>
        <w:t xml:space="preserve"> (including federal ‘call-in’ and independent review)</w:t>
      </w:r>
    </w:p>
    <w:p w:rsidR="000475B9" w:rsidRPr="009C52E3" w:rsidRDefault="000475B9" w:rsidP="00382D6C">
      <w:pPr>
        <w:numPr>
          <w:ilvl w:val="0"/>
          <w:numId w:val="59"/>
        </w:numPr>
        <w:rPr>
          <w:i/>
        </w:rPr>
      </w:pPr>
      <w:r w:rsidRPr="004D6F76">
        <w:rPr>
          <w:b/>
          <w:i/>
        </w:rPr>
        <w:t>Public participation</w:t>
      </w:r>
      <w:r w:rsidRPr="009C52E3">
        <w:rPr>
          <w:i/>
        </w:rPr>
        <w:t xml:space="preserve"> (transparency, engagement, third party appeal rights)</w:t>
      </w:r>
    </w:p>
    <w:p w:rsidR="000475B9" w:rsidRPr="009C52E3" w:rsidRDefault="000475B9" w:rsidP="00382D6C">
      <w:pPr>
        <w:numPr>
          <w:ilvl w:val="0"/>
          <w:numId w:val="59"/>
        </w:numPr>
        <w:rPr>
          <w:i/>
        </w:rPr>
      </w:pPr>
      <w:r w:rsidRPr="004D6F76">
        <w:rPr>
          <w:b/>
          <w:i/>
        </w:rPr>
        <w:t>Compliance and enforcement</w:t>
      </w:r>
      <w:r w:rsidRPr="009C52E3">
        <w:rPr>
          <w:i/>
        </w:rPr>
        <w:t xml:space="preserve"> (effective tools, penalties, resources, ‘standing’)</w:t>
      </w:r>
    </w:p>
    <w:p w:rsidR="000475B9" w:rsidRPr="009C52E3" w:rsidRDefault="000475B9" w:rsidP="004D6F76">
      <w:pPr>
        <w:numPr>
          <w:ilvl w:val="0"/>
          <w:numId w:val="59"/>
        </w:numPr>
        <w:spacing w:after="120"/>
        <w:ind w:left="714" w:hanging="357"/>
        <w:rPr>
          <w:i/>
        </w:rPr>
      </w:pPr>
      <w:r w:rsidRPr="004D6F76">
        <w:rPr>
          <w:b/>
          <w:i/>
        </w:rPr>
        <w:t>Monitoring and review</w:t>
      </w:r>
      <w:r w:rsidRPr="009C52E3">
        <w:rPr>
          <w:i/>
        </w:rPr>
        <w:t xml:space="preserve"> (laws, policies, implementation).</w:t>
      </w:r>
    </w:p>
    <w:p w:rsidR="0040589A" w:rsidRPr="004D6F76" w:rsidRDefault="00A2721F" w:rsidP="00382D6C">
      <w:pPr>
        <w:rPr>
          <w:i/>
        </w:rPr>
      </w:pPr>
      <w:r>
        <w:rPr>
          <w:rFonts w:cs="Arial"/>
          <w:i/>
          <w:szCs w:val="22"/>
        </w:rPr>
        <w:t>These area-specific criteria can support the</w:t>
      </w:r>
      <w:r w:rsidR="0071178B" w:rsidRPr="004D6F76">
        <w:rPr>
          <w:rFonts w:cs="Arial"/>
          <w:i/>
          <w:szCs w:val="22"/>
        </w:rPr>
        <w:t xml:space="preserve"> 12 criteria articulated in the Productivity Commission</w:t>
      </w:r>
      <w:r>
        <w:rPr>
          <w:rFonts w:cs="Arial"/>
          <w:i/>
          <w:szCs w:val="22"/>
        </w:rPr>
        <w:t>’s</w:t>
      </w:r>
      <w:r w:rsidR="0071178B" w:rsidRPr="004D6F76">
        <w:rPr>
          <w:rFonts w:cs="Arial"/>
          <w:i/>
          <w:szCs w:val="22"/>
        </w:rPr>
        <w:t xml:space="preserve"> Issues Paper</w:t>
      </w:r>
      <w:r w:rsidR="000813BD" w:rsidRPr="000813BD">
        <w:rPr>
          <w:rFonts w:cs="Arial"/>
          <w:i/>
          <w:szCs w:val="22"/>
        </w:rPr>
        <w:t xml:space="preserve">, and </w:t>
      </w:r>
      <w:r w:rsidR="0040589A" w:rsidRPr="004D6F76">
        <w:rPr>
          <w:i/>
        </w:rPr>
        <w:t xml:space="preserve">the </w:t>
      </w:r>
      <w:r w:rsidR="000813BD" w:rsidRPr="004D6F76">
        <w:rPr>
          <w:i/>
        </w:rPr>
        <w:t xml:space="preserve">triple bottom line concept </w:t>
      </w:r>
      <w:r w:rsidR="0040589A" w:rsidRPr="004D6F76">
        <w:rPr>
          <w:i/>
        </w:rPr>
        <w:t>of ‘sustainable wellbeing’.</w:t>
      </w:r>
    </w:p>
    <w:p w:rsidR="0040589A" w:rsidRDefault="0040589A" w:rsidP="00382D6C">
      <w:pPr>
        <w:rPr>
          <w:b/>
          <w:i/>
        </w:rPr>
      </w:pPr>
    </w:p>
    <w:p w:rsidR="00CB7D56" w:rsidRPr="00CB7D56" w:rsidRDefault="00CB7D56" w:rsidP="00382D6C">
      <w:pPr>
        <w:rPr>
          <w:i/>
        </w:rPr>
      </w:pPr>
      <w:r w:rsidRPr="009C52E3">
        <w:rPr>
          <w:rFonts w:cs="Arial"/>
          <w:b/>
          <w:i/>
          <w:color w:val="221E1F"/>
        </w:rPr>
        <w:t>Recommendation:</w:t>
      </w:r>
      <w:r w:rsidRPr="00CB7D56">
        <w:rPr>
          <w:rFonts w:cs="Arial"/>
          <w:i/>
          <w:color w:val="221E1F"/>
        </w:rPr>
        <w:t xml:space="preserve"> Planning and development decision-making at all levels (local, regional, State and national) must happen within the scope of a </w:t>
      </w:r>
      <w:r w:rsidRPr="004D6F76">
        <w:rPr>
          <w:rFonts w:cs="Arial"/>
          <w:b/>
          <w:i/>
          <w:color w:val="221E1F"/>
        </w:rPr>
        <w:t xml:space="preserve">clear legal framework </w:t>
      </w:r>
      <w:r w:rsidRPr="000813BD">
        <w:rPr>
          <w:rFonts w:cs="Arial"/>
          <w:i/>
          <w:color w:val="221E1F"/>
        </w:rPr>
        <w:t xml:space="preserve">that </w:t>
      </w:r>
      <w:r w:rsidRPr="004D6F76">
        <w:rPr>
          <w:rFonts w:cs="Arial"/>
          <w:b/>
          <w:i/>
          <w:color w:val="221E1F"/>
        </w:rPr>
        <w:t>aims to achieve ecologically sustainable development (</w:t>
      </w:r>
      <w:proofErr w:type="spellStart"/>
      <w:r w:rsidRPr="004D6F76">
        <w:rPr>
          <w:rFonts w:cs="Arial"/>
          <w:b/>
          <w:i/>
          <w:color w:val="221E1F"/>
        </w:rPr>
        <w:t>ESD</w:t>
      </w:r>
      <w:proofErr w:type="spellEnd"/>
      <w:r w:rsidRPr="004D6F76">
        <w:rPr>
          <w:rFonts w:cs="Arial"/>
          <w:b/>
          <w:i/>
          <w:color w:val="221E1F"/>
        </w:rPr>
        <w:t>).</w:t>
      </w:r>
      <w:r w:rsidRPr="00CB7D56">
        <w:rPr>
          <w:rFonts w:cs="Arial"/>
          <w:i/>
          <w:color w:val="221E1F"/>
        </w:rPr>
        <w:t xml:space="preserve"> </w:t>
      </w:r>
    </w:p>
    <w:p w:rsidR="00CB7D56" w:rsidRDefault="00CB7D56" w:rsidP="00382D6C">
      <w:pPr>
        <w:rPr>
          <w:rFonts w:cs="Arial"/>
          <w:b/>
          <w:szCs w:val="22"/>
        </w:rPr>
      </w:pPr>
    </w:p>
    <w:p w:rsidR="00CB7D56" w:rsidRPr="00CB7D56" w:rsidRDefault="00CB7D56" w:rsidP="004D6F76">
      <w:pPr>
        <w:spacing w:after="120"/>
        <w:rPr>
          <w:rFonts w:cs="Arial"/>
          <w:i/>
          <w:szCs w:val="22"/>
        </w:rPr>
      </w:pPr>
      <w:r w:rsidRPr="009C52E3">
        <w:rPr>
          <w:rFonts w:cs="Arial"/>
          <w:b/>
          <w:i/>
          <w:szCs w:val="22"/>
        </w:rPr>
        <w:t>Recommendation:</w:t>
      </w:r>
      <w:r w:rsidRPr="00CB7D56">
        <w:rPr>
          <w:rFonts w:cs="Arial"/>
          <w:i/>
          <w:szCs w:val="22"/>
        </w:rPr>
        <w:t xml:space="preserve"> In particular, federal, state and territory laws must:</w:t>
      </w:r>
    </w:p>
    <w:p w:rsidR="00CB7D56" w:rsidRPr="00CB7D56" w:rsidRDefault="005A76DC" w:rsidP="00382D6C">
      <w:pPr>
        <w:numPr>
          <w:ilvl w:val="0"/>
          <w:numId w:val="61"/>
        </w:numPr>
        <w:rPr>
          <w:rFonts w:ascii="Times New Roman" w:hAnsi="Times New Roman"/>
          <w:i/>
          <w:lang w:eastAsia="en-AU"/>
        </w:rPr>
      </w:pPr>
      <w:r>
        <w:rPr>
          <w:rFonts w:cs="Arial"/>
          <w:i/>
          <w:szCs w:val="22"/>
        </w:rPr>
        <w:t>a</w:t>
      </w:r>
      <w:r w:rsidR="00CB7D56" w:rsidRPr="00CB7D56">
        <w:rPr>
          <w:rFonts w:cs="Arial"/>
          <w:i/>
          <w:szCs w:val="22"/>
        </w:rPr>
        <w:t xml:space="preserve">dopt </w:t>
      </w:r>
      <w:proofErr w:type="spellStart"/>
      <w:r w:rsidR="00CB7D56" w:rsidRPr="004D6F76">
        <w:rPr>
          <w:rFonts w:cs="Arial"/>
          <w:b/>
          <w:i/>
          <w:szCs w:val="22"/>
        </w:rPr>
        <w:t>ESD</w:t>
      </w:r>
      <w:proofErr w:type="spellEnd"/>
      <w:r w:rsidR="00CB7D56" w:rsidRPr="004D6F76">
        <w:rPr>
          <w:rFonts w:cs="Arial"/>
          <w:b/>
          <w:i/>
          <w:szCs w:val="22"/>
        </w:rPr>
        <w:t xml:space="preserve"> as the overarching aim</w:t>
      </w:r>
      <w:r w:rsidR="00CB7D56" w:rsidRPr="00CB7D56">
        <w:rPr>
          <w:rFonts w:cs="Arial"/>
          <w:i/>
          <w:szCs w:val="22"/>
        </w:rPr>
        <w:t xml:space="preserve"> of planning and major project  schemes;</w:t>
      </w:r>
    </w:p>
    <w:p w:rsidR="00CB7D56" w:rsidRPr="00CB7D56" w:rsidRDefault="005A76DC" w:rsidP="00382D6C">
      <w:pPr>
        <w:numPr>
          <w:ilvl w:val="0"/>
          <w:numId w:val="61"/>
        </w:numPr>
        <w:rPr>
          <w:rFonts w:ascii="Times New Roman" w:hAnsi="Times New Roman"/>
          <w:i/>
          <w:lang w:eastAsia="en-AU"/>
        </w:rPr>
      </w:pPr>
      <w:r>
        <w:rPr>
          <w:rFonts w:cs="Arial"/>
          <w:i/>
          <w:szCs w:val="22"/>
        </w:rPr>
        <w:t>i</w:t>
      </w:r>
      <w:r w:rsidR="00CB7D56" w:rsidRPr="00CB7D56">
        <w:rPr>
          <w:rFonts w:cs="Arial"/>
          <w:i/>
          <w:szCs w:val="22"/>
        </w:rPr>
        <w:t xml:space="preserve">ntroduce </w:t>
      </w:r>
      <w:r w:rsidR="00CB7D56" w:rsidRPr="004D6F76">
        <w:rPr>
          <w:rFonts w:cs="Arial"/>
          <w:b/>
          <w:i/>
          <w:szCs w:val="22"/>
        </w:rPr>
        <w:t>legal requirements</w:t>
      </w:r>
      <w:r w:rsidR="00CB7D56" w:rsidRPr="00CB7D56">
        <w:rPr>
          <w:rFonts w:cs="Arial"/>
          <w:i/>
          <w:szCs w:val="22"/>
        </w:rPr>
        <w:t xml:space="preserve"> to exercise powers and functions (including major project </w:t>
      </w:r>
      <w:proofErr w:type="spellStart"/>
      <w:r w:rsidR="00CB7D56" w:rsidRPr="00CB7D56">
        <w:rPr>
          <w:rFonts w:cs="Arial"/>
          <w:i/>
          <w:szCs w:val="22"/>
        </w:rPr>
        <w:t>DAA</w:t>
      </w:r>
      <w:proofErr w:type="spellEnd"/>
      <w:r w:rsidR="00CB7D56" w:rsidRPr="00CB7D56">
        <w:rPr>
          <w:rFonts w:cs="Arial"/>
          <w:i/>
          <w:szCs w:val="22"/>
        </w:rPr>
        <w:t xml:space="preserve"> decision-making) in accordance with </w:t>
      </w:r>
      <w:proofErr w:type="spellStart"/>
      <w:r w:rsidR="00CB7D56" w:rsidRPr="00CB7D56">
        <w:rPr>
          <w:rFonts w:cs="Arial"/>
          <w:i/>
          <w:szCs w:val="22"/>
        </w:rPr>
        <w:t>ESD</w:t>
      </w:r>
      <w:proofErr w:type="spellEnd"/>
      <w:r w:rsidR="00CB7D56" w:rsidRPr="00CB7D56">
        <w:rPr>
          <w:rFonts w:cs="Arial"/>
          <w:i/>
          <w:szCs w:val="22"/>
        </w:rPr>
        <w:t xml:space="preserve"> principles;</w:t>
      </w:r>
    </w:p>
    <w:p w:rsidR="00CB7D56" w:rsidRPr="00CB7D56" w:rsidRDefault="005A76DC" w:rsidP="00382D6C">
      <w:pPr>
        <w:numPr>
          <w:ilvl w:val="0"/>
          <w:numId w:val="61"/>
        </w:numPr>
        <w:rPr>
          <w:rFonts w:ascii="Times New Roman" w:hAnsi="Times New Roman"/>
          <w:i/>
          <w:lang w:eastAsia="en-AU"/>
        </w:rPr>
      </w:pPr>
      <w:r>
        <w:rPr>
          <w:rFonts w:cs="Arial"/>
          <w:i/>
          <w:szCs w:val="22"/>
        </w:rPr>
        <w:t>b</w:t>
      </w:r>
      <w:r w:rsidR="00CB7D56" w:rsidRPr="00CB7D56">
        <w:rPr>
          <w:rFonts w:cs="Arial"/>
          <w:i/>
          <w:szCs w:val="22"/>
        </w:rPr>
        <w:t xml:space="preserve">uild in </w:t>
      </w:r>
      <w:r w:rsidR="00CB7D56" w:rsidRPr="004D6F76">
        <w:rPr>
          <w:rFonts w:cs="Arial"/>
          <w:b/>
          <w:i/>
          <w:szCs w:val="22"/>
        </w:rPr>
        <w:t>objective decision criteria and accountability mechanisms</w:t>
      </w:r>
      <w:r w:rsidR="00CB7D56" w:rsidRPr="00CB7D56">
        <w:rPr>
          <w:rFonts w:cs="Arial"/>
          <w:i/>
          <w:szCs w:val="22"/>
        </w:rPr>
        <w:t xml:space="preserve"> to protect environmental assets in accordance with </w:t>
      </w:r>
      <w:proofErr w:type="spellStart"/>
      <w:r w:rsidR="00CB7D56" w:rsidRPr="00CB7D56">
        <w:rPr>
          <w:rFonts w:cs="Arial"/>
          <w:i/>
          <w:szCs w:val="22"/>
        </w:rPr>
        <w:t>ESD</w:t>
      </w:r>
      <w:proofErr w:type="spellEnd"/>
      <w:r w:rsidR="00CB7D56" w:rsidRPr="00CB7D56">
        <w:rPr>
          <w:rFonts w:cs="Arial"/>
          <w:i/>
          <w:szCs w:val="22"/>
        </w:rPr>
        <w:t xml:space="preserve"> principles;</w:t>
      </w:r>
    </w:p>
    <w:p w:rsidR="00CB7D56" w:rsidRPr="00CB7D56" w:rsidRDefault="005A76DC" w:rsidP="00382D6C">
      <w:pPr>
        <w:numPr>
          <w:ilvl w:val="0"/>
          <w:numId w:val="61"/>
        </w:numPr>
        <w:rPr>
          <w:rFonts w:ascii="Times New Roman" w:hAnsi="Times New Roman"/>
          <w:i/>
          <w:lang w:eastAsia="en-AU"/>
        </w:rPr>
      </w:pPr>
      <w:r>
        <w:rPr>
          <w:rFonts w:cs="Arial"/>
          <w:b/>
          <w:i/>
          <w:szCs w:val="22"/>
        </w:rPr>
        <w:t>a</w:t>
      </w:r>
      <w:r w:rsidR="00CB7D56" w:rsidRPr="004D6F76">
        <w:rPr>
          <w:rFonts w:cs="Arial"/>
          <w:b/>
          <w:i/>
          <w:szCs w:val="22"/>
        </w:rPr>
        <w:t>pprove</w:t>
      </w:r>
      <w:r w:rsidR="00CB7D56" w:rsidRPr="00CB7D56">
        <w:rPr>
          <w:rFonts w:cs="Arial"/>
          <w:i/>
          <w:szCs w:val="22"/>
        </w:rPr>
        <w:t xml:space="preserve"> major project activities only if their impacts remain within identified and acceptable </w:t>
      </w:r>
      <w:r w:rsidR="00CB7D56" w:rsidRPr="004D6F76">
        <w:rPr>
          <w:rFonts w:cs="Arial"/>
          <w:b/>
          <w:i/>
          <w:szCs w:val="22"/>
        </w:rPr>
        <w:t>environmental limits</w:t>
      </w:r>
      <w:r w:rsidR="00CB7D56" w:rsidRPr="00CB7D56">
        <w:rPr>
          <w:rFonts w:cs="Arial"/>
          <w:i/>
          <w:szCs w:val="22"/>
        </w:rPr>
        <w:t xml:space="preserve"> of the catchment or region;</w:t>
      </w:r>
      <w:r w:rsidR="0026215A">
        <w:rPr>
          <w:rFonts w:cs="Arial"/>
          <w:i/>
          <w:szCs w:val="22"/>
        </w:rPr>
        <w:t xml:space="preserve"> </w:t>
      </w:r>
      <w:r w:rsidR="00382D6C">
        <w:rPr>
          <w:rFonts w:cs="Arial"/>
          <w:i/>
          <w:szCs w:val="22"/>
        </w:rPr>
        <w:t>and</w:t>
      </w:r>
    </w:p>
    <w:p w:rsidR="00CB7D56" w:rsidRPr="00382D6C" w:rsidRDefault="005A76DC" w:rsidP="00382D6C">
      <w:pPr>
        <w:numPr>
          <w:ilvl w:val="0"/>
          <w:numId w:val="61"/>
        </w:numPr>
        <w:rPr>
          <w:rFonts w:ascii="Times New Roman" w:hAnsi="Times New Roman"/>
          <w:i/>
          <w:lang w:eastAsia="en-AU"/>
        </w:rPr>
      </w:pPr>
      <w:r>
        <w:rPr>
          <w:rFonts w:cs="Arial"/>
          <w:i/>
          <w:szCs w:val="22"/>
        </w:rPr>
        <w:t>i</w:t>
      </w:r>
      <w:r w:rsidR="00CB7D56" w:rsidRPr="00CB7D56">
        <w:rPr>
          <w:rFonts w:cs="Arial"/>
          <w:i/>
          <w:szCs w:val="22"/>
        </w:rPr>
        <w:t xml:space="preserve">nclude </w:t>
      </w:r>
      <w:r w:rsidR="00CB7D56" w:rsidRPr="004D6F76">
        <w:rPr>
          <w:rFonts w:cs="Arial"/>
          <w:b/>
          <w:i/>
          <w:szCs w:val="22"/>
        </w:rPr>
        <w:t>performance criteria</w:t>
      </w:r>
      <w:r w:rsidR="00CB7D56" w:rsidRPr="00CB7D56">
        <w:rPr>
          <w:rFonts w:cs="Arial"/>
          <w:i/>
          <w:szCs w:val="22"/>
        </w:rPr>
        <w:t xml:space="preserve"> on whether </w:t>
      </w:r>
      <w:proofErr w:type="spellStart"/>
      <w:r w:rsidR="00CB7D56" w:rsidRPr="00CB7D56">
        <w:rPr>
          <w:rFonts w:cs="Arial"/>
          <w:i/>
          <w:szCs w:val="22"/>
        </w:rPr>
        <w:t>ESD</w:t>
      </w:r>
      <w:proofErr w:type="spellEnd"/>
      <w:r w:rsidR="00CB7D56" w:rsidRPr="00CB7D56">
        <w:rPr>
          <w:rFonts w:cs="Arial"/>
          <w:i/>
          <w:szCs w:val="22"/>
        </w:rPr>
        <w:t xml:space="preserve"> principles are being applied, and whether objective environmental outcomes are being achieved.</w:t>
      </w:r>
      <w:r w:rsidR="00CB7D56" w:rsidRPr="00CB7D56">
        <w:rPr>
          <w:rFonts w:ascii="Times New Roman" w:hAnsi="Times New Roman"/>
          <w:i/>
          <w:sz w:val="24"/>
          <w:lang w:eastAsia="en-AU"/>
        </w:rPr>
        <w:t xml:space="preserve"> </w:t>
      </w:r>
    </w:p>
    <w:p w:rsidR="00382D6C" w:rsidRDefault="00382D6C" w:rsidP="00382D6C">
      <w:pPr>
        <w:pStyle w:val="ListParagraph"/>
        <w:spacing w:after="0" w:line="240" w:lineRule="auto"/>
        <w:ind w:left="0"/>
        <w:rPr>
          <w:rFonts w:ascii="Arial" w:hAnsi="Arial" w:cs="Arial"/>
          <w:b/>
          <w:i/>
          <w:lang w:val="en"/>
        </w:rPr>
      </w:pPr>
    </w:p>
    <w:p w:rsidR="00CB7D56" w:rsidRPr="00CB7D56" w:rsidRDefault="00CB7D56" w:rsidP="004D6F76">
      <w:pPr>
        <w:pStyle w:val="ListParagraph"/>
        <w:spacing w:after="120" w:line="240" w:lineRule="auto"/>
        <w:ind w:left="0"/>
        <w:contextualSpacing w:val="0"/>
        <w:rPr>
          <w:rFonts w:ascii="Arial" w:hAnsi="Arial" w:cs="Arial"/>
          <w:i/>
        </w:rPr>
      </w:pPr>
      <w:r w:rsidRPr="009C52E3">
        <w:rPr>
          <w:rFonts w:ascii="Arial" w:hAnsi="Arial" w:cs="Arial"/>
          <w:b/>
          <w:i/>
          <w:lang w:val="en"/>
        </w:rPr>
        <w:t>Recommendation:</w:t>
      </w:r>
      <w:r w:rsidRPr="00CB7D56">
        <w:rPr>
          <w:rFonts w:ascii="Arial" w:hAnsi="Arial" w:cs="Arial"/>
          <w:i/>
          <w:lang w:val="en"/>
        </w:rPr>
        <w:t xml:space="preserve"> Major project </w:t>
      </w:r>
      <w:proofErr w:type="spellStart"/>
      <w:r w:rsidRPr="00CB7D56">
        <w:rPr>
          <w:rFonts w:ascii="Arial" w:hAnsi="Arial" w:cs="Arial"/>
          <w:i/>
          <w:lang w:val="en"/>
        </w:rPr>
        <w:t>DAA</w:t>
      </w:r>
      <w:proofErr w:type="spellEnd"/>
      <w:r w:rsidRPr="00CB7D56">
        <w:rPr>
          <w:rFonts w:ascii="Arial" w:hAnsi="Arial" w:cs="Arial"/>
          <w:i/>
          <w:lang w:val="en"/>
        </w:rPr>
        <w:t xml:space="preserve"> processes must ensure </w:t>
      </w:r>
      <w:r w:rsidRPr="004D6F76">
        <w:rPr>
          <w:rFonts w:ascii="Arial" w:hAnsi="Arial" w:cs="Arial"/>
          <w:b/>
          <w:i/>
          <w:lang w:val="en"/>
        </w:rPr>
        <w:t>equitable public participation and engagement rights</w:t>
      </w:r>
      <w:r w:rsidRPr="00CB7D56">
        <w:rPr>
          <w:rFonts w:ascii="Arial" w:hAnsi="Arial" w:cs="Arial"/>
          <w:i/>
          <w:lang w:val="en"/>
        </w:rPr>
        <w:t>, including</w:t>
      </w:r>
      <w:r w:rsidRPr="00CB7D56">
        <w:rPr>
          <w:rFonts w:ascii="Arial" w:hAnsi="Arial" w:cs="Arial"/>
          <w:i/>
        </w:rPr>
        <w:t>:</w:t>
      </w:r>
    </w:p>
    <w:p w:rsidR="00CB7D56" w:rsidRPr="00CB7D56" w:rsidRDefault="00CB7D56" w:rsidP="00382D6C">
      <w:pPr>
        <w:numPr>
          <w:ilvl w:val="0"/>
          <w:numId w:val="62"/>
        </w:numPr>
        <w:tabs>
          <w:tab w:val="num" w:pos="1080"/>
        </w:tabs>
        <w:rPr>
          <w:rFonts w:cs="Arial"/>
          <w:i/>
          <w:szCs w:val="22"/>
        </w:rPr>
      </w:pPr>
      <w:r w:rsidRPr="00CB7D56">
        <w:rPr>
          <w:rFonts w:cs="Arial"/>
          <w:i/>
          <w:szCs w:val="22"/>
        </w:rPr>
        <w:t>place clear limits on discretionary decision making;</w:t>
      </w:r>
    </w:p>
    <w:p w:rsidR="00CB7D56" w:rsidRPr="00CB7D56" w:rsidRDefault="00CB7D56" w:rsidP="00382D6C">
      <w:pPr>
        <w:numPr>
          <w:ilvl w:val="0"/>
          <w:numId w:val="62"/>
        </w:numPr>
        <w:tabs>
          <w:tab w:val="num" w:pos="1080"/>
        </w:tabs>
        <w:rPr>
          <w:rFonts w:cs="Arial"/>
          <w:i/>
          <w:szCs w:val="22"/>
        </w:rPr>
      </w:pPr>
      <w:r w:rsidRPr="00CB7D56">
        <w:rPr>
          <w:rFonts w:cs="Arial"/>
          <w:i/>
          <w:szCs w:val="22"/>
        </w:rPr>
        <w:t>require information to be made publicly available prior to decision-making;</w:t>
      </w:r>
    </w:p>
    <w:p w:rsidR="00CB7D56" w:rsidRPr="00CB7D56" w:rsidRDefault="00CB7D56" w:rsidP="00382D6C">
      <w:pPr>
        <w:numPr>
          <w:ilvl w:val="0"/>
          <w:numId w:val="62"/>
        </w:numPr>
        <w:tabs>
          <w:tab w:val="num" w:pos="1080"/>
        </w:tabs>
        <w:rPr>
          <w:rFonts w:cs="Arial"/>
          <w:i/>
          <w:szCs w:val="22"/>
        </w:rPr>
      </w:pPr>
      <w:r w:rsidRPr="00CB7D56">
        <w:rPr>
          <w:rFonts w:cs="Arial"/>
          <w:i/>
          <w:szCs w:val="22"/>
        </w:rPr>
        <w:t xml:space="preserve">mandate genuine public participation at all stages of planning and </w:t>
      </w:r>
      <w:proofErr w:type="spellStart"/>
      <w:r w:rsidRPr="00CB7D56">
        <w:rPr>
          <w:rFonts w:cs="Arial"/>
          <w:i/>
          <w:szCs w:val="22"/>
        </w:rPr>
        <w:t>DAA</w:t>
      </w:r>
      <w:proofErr w:type="spellEnd"/>
      <w:r w:rsidRPr="00CB7D56">
        <w:rPr>
          <w:rFonts w:cs="Arial"/>
          <w:i/>
          <w:szCs w:val="22"/>
        </w:rPr>
        <w:t>;</w:t>
      </w:r>
    </w:p>
    <w:p w:rsidR="00CB7D56" w:rsidRPr="00CB7D56" w:rsidRDefault="00CB7D56" w:rsidP="00382D6C">
      <w:pPr>
        <w:numPr>
          <w:ilvl w:val="0"/>
          <w:numId w:val="62"/>
        </w:numPr>
        <w:tabs>
          <w:tab w:val="num" w:pos="1080"/>
        </w:tabs>
        <w:rPr>
          <w:rFonts w:cs="Arial"/>
          <w:i/>
          <w:szCs w:val="22"/>
        </w:rPr>
      </w:pPr>
      <w:r w:rsidRPr="00CB7D56">
        <w:rPr>
          <w:rFonts w:cs="Arial"/>
          <w:i/>
          <w:szCs w:val="22"/>
        </w:rPr>
        <w:t xml:space="preserve">require decision makers to provide reasons for decisions; </w:t>
      </w:r>
    </w:p>
    <w:p w:rsidR="00CB7D56" w:rsidRPr="00CB7D56" w:rsidRDefault="00CB7D56" w:rsidP="00382D6C">
      <w:pPr>
        <w:numPr>
          <w:ilvl w:val="0"/>
          <w:numId w:val="62"/>
        </w:numPr>
        <w:tabs>
          <w:tab w:val="num" w:pos="1080"/>
        </w:tabs>
        <w:rPr>
          <w:rFonts w:cs="Arial"/>
          <w:i/>
          <w:szCs w:val="22"/>
        </w:rPr>
      </w:pPr>
      <w:r w:rsidRPr="00CB7D56">
        <w:rPr>
          <w:rFonts w:cs="Arial"/>
          <w:i/>
          <w:szCs w:val="22"/>
        </w:rPr>
        <w:lastRenderedPageBreak/>
        <w:t>include equitable merit appeal rights for decisions, and open standing to enforce breaches; and</w:t>
      </w:r>
    </w:p>
    <w:p w:rsidR="00CB7D56" w:rsidRPr="00CB7D56" w:rsidRDefault="00382D6C" w:rsidP="00382D6C">
      <w:pPr>
        <w:numPr>
          <w:ilvl w:val="0"/>
          <w:numId w:val="62"/>
        </w:numPr>
        <w:tabs>
          <w:tab w:val="num" w:pos="1080"/>
        </w:tabs>
        <w:rPr>
          <w:rFonts w:cs="Arial"/>
          <w:i/>
          <w:szCs w:val="22"/>
        </w:rPr>
      </w:pPr>
      <w:r>
        <w:rPr>
          <w:rFonts w:cs="Arial"/>
          <w:i/>
          <w:szCs w:val="22"/>
        </w:rPr>
        <w:t xml:space="preserve">require </w:t>
      </w:r>
      <w:r w:rsidR="00CB7D56" w:rsidRPr="00CB7D56">
        <w:rPr>
          <w:rFonts w:cs="Arial"/>
          <w:i/>
          <w:szCs w:val="22"/>
        </w:rPr>
        <w:t xml:space="preserve">consistent reporting on public participation methods, statistics and outcomes. </w:t>
      </w:r>
    </w:p>
    <w:p w:rsidR="00CB7D56" w:rsidRDefault="00CB7D56" w:rsidP="00382D6C">
      <w:pPr>
        <w:rPr>
          <w:rFonts w:cs="Arial"/>
          <w:b/>
          <w:szCs w:val="22"/>
        </w:rPr>
      </w:pPr>
    </w:p>
    <w:p w:rsidR="00CB7D56" w:rsidRPr="00382D6C" w:rsidRDefault="000475B9" w:rsidP="004D6F76">
      <w:pPr>
        <w:spacing w:after="120"/>
        <w:rPr>
          <w:rFonts w:cs="Arial"/>
          <w:i/>
          <w:szCs w:val="22"/>
        </w:rPr>
      </w:pPr>
      <w:r w:rsidRPr="009C52E3">
        <w:rPr>
          <w:b/>
          <w:i/>
        </w:rPr>
        <w:t>Recommendation:</w:t>
      </w:r>
      <w:r>
        <w:rPr>
          <w:i/>
        </w:rPr>
        <w:t xml:space="preserve"> </w:t>
      </w:r>
      <w:r w:rsidR="00CB7D56" w:rsidRPr="000475B9">
        <w:rPr>
          <w:rFonts w:cs="Arial"/>
          <w:i/>
          <w:szCs w:val="22"/>
        </w:rPr>
        <w:t>The Productivity Commission should</w:t>
      </w:r>
      <w:r w:rsidR="00CB7D56" w:rsidRPr="00CB7D56">
        <w:rPr>
          <w:rFonts w:cs="Arial"/>
          <w:i/>
          <w:szCs w:val="22"/>
        </w:rPr>
        <w:t xml:space="preserve"> identify leading practices for </w:t>
      </w:r>
      <w:r w:rsidR="00CB7D56" w:rsidRPr="004D6F76">
        <w:rPr>
          <w:rFonts w:cs="Arial"/>
          <w:b/>
          <w:i/>
          <w:szCs w:val="22"/>
        </w:rPr>
        <w:t xml:space="preserve">robust </w:t>
      </w:r>
      <w:r w:rsidR="005A76DC">
        <w:rPr>
          <w:rFonts w:cs="Arial"/>
          <w:b/>
          <w:i/>
          <w:szCs w:val="22"/>
        </w:rPr>
        <w:t>environmental impact assessment (</w:t>
      </w:r>
      <w:proofErr w:type="spellStart"/>
      <w:r w:rsidR="00CB7D56" w:rsidRPr="004D6F76">
        <w:rPr>
          <w:rFonts w:cs="Arial"/>
          <w:b/>
          <w:i/>
          <w:szCs w:val="22"/>
        </w:rPr>
        <w:t>EIA</w:t>
      </w:r>
      <w:proofErr w:type="spellEnd"/>
      <w:r w:rsidR="005A76DC">
        <w:rPr>
          <w:rFonts w:cs="Arial"/>
          <w:b/>
          <w:i/>
          <w:szCs w:val="22"/>
        </w:rPr>
        <w:t>)</w:t>
      </w:r>
      <w:r w:rsidR="00CB7D56" w:rsidRPr="00382D6C">
        <w:rPr>
          <w:rFonts w:cs="Arial"/>
          <w:i/>
          <w:szCs w:val="22"/>
        </w:rPr>
        <w:t xml:space="preserve"> for major projects. Broadly, we recommend that Australian jurisdictions must:</w:t>
      </w:r>
    </w:p>
    <w:p w:rsidR="00CB7D56" w:rsidRPr="00382D6C" w:rsidRDefault="00CB7D56" w:rsidP="00382D6C">
      <w:pPr>
        <w:pStyle w:val="ListParagraph"/>
        <w:numPr>
          <w:ilvl w:val="0"/>
          <w:numId w:val="73"/>
        </w:numPr>
        <w:spacing w:after="0" w:line="240" w:lineRule="auto"/>
        <w:rPr>
          <w:rFonts w:ascii="Arial" w:hAnsi="Arial" w:cs="Arial"/>
          <w:i/>
        </w:rPr>
      </w:pPr>
      <w:r w:rsidRPr="00382D6C">
        <w:rPr>
          <w:rFonts w:ascii="Arial" w:hAnsi="Arial" w:cs="Arial"/>
          <w:i/>
        </w:rPr>
        <w:t xml:space="preserve">improve the </w:t>
      </w:r>
      <w:r w:rsidRPr="004D6F76">
        <w:rPr>
          <w:rFonts w:ascii="Arial" w:hAnsi="Arial" w:cs="Arial"/>
          <w:b/>
          <w:i/>
        </w:rPr>
        <w:t>independence and rigour</w:t>
      </w:r>
      <w:r w:rsidRPr="00382D6C">
        <w:rPr>
          <w:rFonts w:ascii="Arial" w:hAnsi="Arial" w:cs="Arial"/>
          <w:i/>
        </w:rPr>
        <w:t xml:space="preserve"> of project assessment and approval (including where a state government or authority is a proponent/beneficiary);</w:t>
      </w:r>
    </w:p>
    <w:p w:rsidR="00CB7D56" w:rsidRPr="00382D6C" w:rsidRDefault="00CB7D56" w:rsidP="00382D6C">
      <w:pPr>
        <w:pStyle w:val="ListParagraph"/>
        <w:numPr>
          <w:ilvl w:val="0"/>
          <w:numId w:val="72"/>
        </w:numPr>
        <w:spacing w:after="0" w:line="240" w:lineRule="auto"/>
        <w:rPr>
          <w:rFonts w:ascii="Arial" w:hAnsi="Arial" w:cs="Arial"/>
          <w:i/>
        </w:rPr>
      </w:pPr>
      <w:r w:rsidRPr="00382D6C">
        <w:rPr>
          <w:rFonts w:ascii="Arial" w:hAnsi="Arial" w:cs="Arial"/>
          <w:i/>
        </w:rPr>
        <w:t xml:space="preserve">identify and adhere to </w:t>
      </w:r>
      <w:r w:rsidRPr="004D6F76">
        <w:rPr>
          <w:rFonts w:ascii="Arial" w:hAnsi="Arial" w:cs="Arial"/>
          <w:b/>
          <w:i/>
        </w:rPr>
        <w:t>targets and limits</w:t>
      </w:r>
      <w:r w:rsidRPr="00382D6C">
        <w:rPr>
          <w:rFonts w:ascii="Arial" w:hAnsi="Arial" w:cs="Arial"/>
          <w:i/>
        </w:rPr>
        <w:t xml:space="preserve"> across environmental indicators such as biodiversity, native vegetation, water, soil and air quality (including public health considerations), and greenhouse gas emissions;</w:t>
      </w:r>
    </w:p>
    <w:p w:rsidR="00CB7D56" w:rsidRPr="00382D6C" w:rsidRDefault="00CB7D56" w:rsidP="00382D6C">
      <w:pPr>
        <w:pStyle w:val="ListParagraph"/>
        <w:numPr>
          <w:ilvl w:val="0"/>
          <w:numId w:val="72"/>
        </w:numPr>
        <w:spacing w:after="0" w:line="240" w:lineRule="auto"/>
        <w:rPr>
          <w:rFonts w:ascii="Arial" w:hAnsi="Arial" w:cs="Arial"/>
          <w:i/>
        </w:rPr>
      </w:pPr>
      <w:r w:rsidRPr="000813BD">
        <w:rPr>
          <w:rFonts w:ascii="Arial" w:hAnsi="Arial" w:cs="Arial"/>
          <w:i/>
        </w:rPr>
        <w:t>approve</w:t>
      </w:r>
      <w:r w:rsidRPr="00382D6C">
        <w:rPr>
          <w:rFonts w:ascii="Arial" w:hAnsi="Arial" w:cs="Arial"/>
          <w:i/>
        </w:rPr>
        <w:t xml:space="preserve"> major projects only if their impacts remain within the identified and </w:t>
      </w:r>
      <w:r w:rsidRPr="004D6F76">
        <w:rPr>
          <w:rFonts w:ascii="Arial" w:hAnsi="Arial" w:cs="Arial"/>
          <w:b/>
          <w:i/>
        </w:rPr>
        <w:t>acceptable environmental limits</w:t>
      </w:r>
      <w:r w:rsidRPr="00382D6C">
        <w:rPr>
          <w:rFonts w:ascii="Arial" w:hAnsi="Arial" w:cs="Arial"/>
          <w:i/>
        </w:rPr>
        <w:t xml:space="preserve"> of the catc</w:t>
      </w:r>
      <w:r w:rsidR="000475B9" w:rsidRPr="00382D6C">
        <w:rPr>
          <w:rFonts w:ascii="Arial" w:hAnsi="Arial" w:cs="Arial"/>
          <w:i/>
        </w:rPr>
        <w:t>hment or region</w:t>
      </w:r>
      <w:r w:rsidRPr="00382D6C">
        <w:rPr>
          <w:rFonts w:ascii="Arial" w:hAnsi="Arial" w:cs="Arial"/>
          <w:i/>
        </w:rPr>
        <w:t xml:space="preserve">; </w:t>
      </w:r>
    </w:p>
    <w:p w:rsidR="00CB7D56" w:rsidRPr="00382D6C" w:rsidRDefault="00CB7D56" w:rsidP="00382D6C">
      <w:pPr>
        <w:pStyle w:val="ListParagraph"/>
        <w:numPr>
          <w:ilvl w:val="0"/>
          <w:numId w:val="72"/>
        </w:numPr>
        <w:spacing w:after="0" w:line="240" w:lineRule="auto"/>
        <w:rPr>
          <w:rFonts w:ascii="Arial" w:hAnsi="Arial" w:cs="Arial"/>
          <w:i/>
        </w:rPr>
      </w:pPr>
      <w:r w:rsidRPr="00382D6C">
        <w:rPr>
          <w:rFonts w:ascii="Arial" w:hAnsi="Arial" w:cs="Arial"/>
          <w:i/>
        </w:rPr>
        <w:t xml:space="preserve">require </w:t>
      </w:r>
      <w:r w:rsidRPr="004D6F76">
        <w:rPr>
          <w:rFonts w:ascii="Arial" w:hAnsi="Arial" w:cs="Arial"/>
          <w:b/>
          <w:i/>
        </w:rPr>
        <w:t>assessment of the climate change impacts</w:t>
      </w:r>
      <w:r w:rsidRPr="00382D6C">
        <w:rPr>
          <w:rFonts w:ascii="Arial" w:hAnsi="Arial" w:cs="Arial"/>
          <w:i/>
        </w:rPr>
        <w:t xml:space="preserve"> of individual projects, and specific </w:t>
      </w:r>
      <w:r w:rsidRPr="004D6F76">
        <w:rPr>
          <w:rFonts w:ascii="Arial" w:hAnsi="Arial" w:cs="Arial"/>
          <w:b/>
          <w:i/>
        </w:rPr>
        <w:t>conditions</w:t>
      </w:r>
      <w:r w:rsidRPr="00382D6C">
        <w:rPr>
          <w:rFonts w:ascii="Arial" w:hAnsi="Arial" w:cs="Arial"/>
          <w:i/>
        </w:rPr>
        <w:t xml:space="preserve"> to address these impacts (for mitigation and adaptation);</w:t>
      </w:r>
      <w:r w:rsidR="00382D6C">
        <w:rPr>
          <w:rFonts w:ascii="Arial" w:hAnsi="Arial" w:cs="Arial"/>
          <w:i/>
        </w:rPr>
        <w:t>and</w:t>
      </w:r>
    </w:p>
    <w:p w:rsidR="00CB7D56" w:rsidRPr="00382D6C" w:rsidRDefault="00382D6C" w:rsidP="00382D6C">
      <w:pPr>
        <w:pStyle w:val="ListParagraph"/>
        <w:numPr>
          <w:ilvl w:val="0"/>
          <w:numId w:val="72"/>
        </w:numPr>
        <w:spacing w:after="0" w:line="240" w:lineRule="auto"/>
        <w:rPr>
          <w:rFonts w:ascii="Arial" w:hAnsi="Arial" w:cs="Arial"/>
          <w:i/>
        </w:rPr>
      </w:pPr>
      <w:r>
        <w:rPr>
          <w:rFonts w:ascii="Arial" w:hAnsi="Arial" w:cs="Arial"/>
          <w:i/>
        </w:rPr>
        <w:t xml:space="preserve">ensure </w:t>
      </w:r>
      <w:r w:rsidR="00CB7D56" w:rsidRPr="00382D6C">
        <w:rPr>
          <w:rFonts w:ascii="Arial" w:hAnsi="Arial" w:cs="Arial"/>
          <w:i/>
        </w:rPr>
        <w:t xml:space="preserve">effective </w:t>
      </w:r>
      <w:r w:rsidR="00CB7D56" w:rsidRPr="004D6F76">
        <w:rPr>
          <w:rFonts w:ascii="Arial" w:hAnsi="Arial" w:cs="Arial"/>
          <w:b/>
          <w:i/>
        </w:rPr>
        <w:t>oversight and quality assurance</w:t>
      </w:r>
      <w:r w:rsidR="00CB7D56" w:rsidRPr="00382D6C">
        <w:rPr>
          <w:rFonts w:ascii="Arial" w:hAnsi="Arial" w:cs="Arial"/>
          <w:i/>
        </w:rPr>
        <w:t xml:space="preserve"> – including better offences and penalties for inaccurate or incomplete information; audits and enforcement; and clear regulatory responsibilities. </w:t>
      </w:r>
    </w:p>
    <w:p w:rsidR="00CB7D56" w:rsidRPr="00CB7D56" w:rsidRDefault="00CB7D56" w:rsidP="00382D6C">
      <w:pPr>
        <w:rPr>
          <w:rFonts w:cs="Arial"/>
          <w:i/>
        </w:rPr>
      </w:pPr>
    </w:p>
    <w:p w:rsidR="00CB7D56" w:rsidRDefault="00CB7D56" w:rsidP="00382D6C">
      <w:pPr>
        <w:rPr>
          <w:rFonts w:cs="Arial"/>
          <w:i/>
        </w:rPr>
      </w:pPr>
      <w:r w:rsidRPr="009C52E3">
        <w:rPr>
          <w:rFonts w:cs="Arial"/>
          <w:b/>
          <w:i/>
        </w:rPr>
        <w:t>Recommendation:</w:t>
      </w:r>
      <w:r w:rsidRPr="00CB7D56">
        <w:rPr>
          <w:rFonts w:cs="Arial"/>
          <w:i/>
        </w:rPr>
        <w:t xml:space="preserve"> Instead of fast-tracking projects with the greatest environmental </w:t>
      </w:r>
      <w:r w:rsidR="00382D6C">
        <w:rPr>
          <w:rFonts w:cs="Arial"/>
          <w:i/>
        </w:rPr>
        <w:t xml:space="preserve">and social impacts, </w:t>
      </w:r>
      <w:proofErr w:type="spellStart"/>
      <w:r w:rsidR="00382D6C">
        <w:rPr>
          <w:rFonts w:cs="Arial"/>
          <w:i/>
        </w:rPr>
        <w:t>ANEDO</w:t>
      </w:r>
      <w:proofErr w:type="spellEnd"/>
      <w:r w:rsidR="00382D6C">
        <w:rPr>
          <w:rFonts w:cs="Arial"/>
          <w:i/>
        </w:rPr>
        <w:t xml:space="preserve"> recommend</w:t>
      </w:r>
      <w:r w:rsidRPr="00CB7D56">
        <w:rPr>
          <w:rFonts w:cs="Arial"/>
          <w:i/>
        </w:rPr>
        <w:t xml:space="preserve">s that Australian planning systems should provide </w:t>
      </w:r>
      <w:r w:rsidRPr="004D6F76">
        <w:rPr>
          <w:rFonts w:cs="Arial"/>
          <w:b/>
          <w:i/>
        </w:rPr>
        <w:t>incentives that reward leading practice ecological sustainability</w:t>
      </w:r>
      <w:r w:rsidRPr="00CB7D56">
        <w:rPr>
          <w:rFonts w:cs="Arial"/>
          <w:i/>
        </w:rPr>
        <w:t>, social inclusion, environmental innovation and low-impact design.</w:t>
      </w:r>
    </w:p>
    <w:p w:rsidR="00382D6C" w:rsidRDefault="00382D6C" w:rsidP="00382D6C">
      <w:pPr>
        <w:rPr>
          <w:rFonts w:ascii="Times New Roman" w:hAnsi="Times New Roman"/>
          <w:i/>
          <w:sz w:val="24"/>
          <w:lang w:eastAsia="en-AU"/>
        </w:rPr>
      </w:pPr>
    </w:p>
    <w:p w:rsidR="00D808E9" w:rsidRPr="00A2721F" w:rsidRDefault="00D808E9" w:rsidP="00D808E9">
      <w:pPr>
        <w:rPr>
          <w:rFonts w:ascii="Times New Roman" w:hAnsi="Times New Roman"/>
          <w:i/>
          <w:sz w:val="24"/>
          <w:lang w:eastAsia="en-AU"/>
        </w:rPr>
      </w:pPr>
      <w:r w:rsidRPr="00A2721F">
        <w:rPr>
          <w:b/>
          <w:i/>
        </w:rPr>
        <w:t>Recommendation:</w:t>
      </w:r>
      <w:r w:rsidRPr="00A2721F">
        <w:rPr>
          <w:i/>
        </w:rPr>
        <w:t xml:space="preserve"> </w:t>
      </w:r>
      <w:proofErr w:type="spellStart"/>
      <w:r w:rsidRPr="00A2721F">
        <w:rPr>
          <w:i/>
        </w:rPr>
        <w:t>ANEDO</w:t>
      </w:r>
      <w:proofErr w:type="spellEnd"/>
      <w:r w:rsidRPr="00A2721F">
        <w:rPr>
          <w:i/>
        </w:rPr>
        <w:t xml:space="preserve"> submits that the </w:t>
      </w:r>
      <w:r w:rsidRPr="004D6F76">
        <w:rPr>
          <w:b/>
          <w:i/>
        </w:rPr>
        <w:t>Canadian model</w:t>
      </w:r>
      <w:r w:rsidRPr="00A2721F">
        <w:rPr>
          <w:i/>
        </w:rPr>
        <w:t xml:space="preserve"> for </w:t>
      </w:r>
      <w:r>
        <w:rPr>
          <w:i/>
        </w:rPr>
        <w:t>reducing</w:t>
      </w:r>
      <w:r w:rsidRPr="00A2721F">
        <w:rPr>
          <w:i/>
        </w:rPr>
        <w:t xml:space="preserve"> major project assessment </w:t>
      </w:r>
      <w:r>
        <w:rPr>
          <w:i/>
        </w:rPr>
        <w:t xml:space="preserve">requirements </w:t>
      </w:r>
      <w:r w:rsidRPr="00A2721F">
        <w:rPr>
          <w:i/>
        </w:rPr>
        <w:t xml:space="preserve">is </w:t>
      </w:r>
      <w:r w:rsidRPr="004D6F76">
        <w:rPr>
          <w:b/>
          <w:i/>
        </w:rPr>
        <w:t>not one that Australian governments can follow</w:t>
      </w:r>
      <w:r w:rsidRPr="00A2721F">
        <w:rPr>
          <w:i/>
        </w:rPr>
        <w:t xml:space="preserve"> if they are genuinely committed to maintaining or strengthening Australia’s environmental </w:t>
      </w:r>
      <w:r w:rsidRPr="00A2721F">
        <w:rPr>
          <w:rFonts w:cs="Arial"/>
          <w:i/>
        </w:rPr>
        <w:t xml:space="preserve">assessment and development approval standards. </w:t>
      </w:r>
    </w:p>
    <w:p w:rsidR="00D808E9" w:rsidRDefault="00D808E9" w:rsidP="00382D6C">
      <w:pPr>
        <w:rPr>
          <w:rFonts w:ascii="Times New Roman" w:hAnsi="Times New Roman"/>
          <w:i/>
          <w:sz w:val="24"/>
          <w:lang w:eastAsia="en-AU"/>
        </w:rPr>
      </w:pPr>
    </w:p>
    <w:p w:rsidR="00CB7D56" w:rsidRPr="00CB7D56" w:rsidRDefault="00CB7D56" w:rsidP="004D6F76">
      <w:pPr>
        <w:spacing w:after="120"/>
        <w:rPr>
          <w:rFonts w:cs="Arial"/>
          <w:i/>
          <w:szCs w:val="22"/>
        </w:rPr>
      </w:pPr>
      <w:r w:rsidRPr="009C52E3">
        <w:rPr>
          <w:rFonts w:cs="Arial"/>
          <w:b/>
          <w:i/>
          <w:szCs w:val="22"/>
          <w:lang w:val="en-US"/>
        </w:rPr>
        <w:t>Recommendation:</w:t>
      </w:r>
      <w:r w:rsidRPr="00CB7D56">
        <w:rPr>
          <w:rFonts w:cs="Arial"/>
          <w:i/>
          <w:szCs w:val="22"/>
          <w:lang w:val="en-US"/>
        </w:rPr>
        <w:t xml:space="preserve"> The Productivity Commission should identify </w:t>
      </w:r>
      <w:r w:rsidRPr="004D6F76">
        <w:rPr>
          <w:rFonts w:cs="Arial"/>
          <w:b/>
          <w:i/>
          <w:szCs w:val="22"/>
          <w:lang w:val="en-US"/>
        </w:rPr>
        <w:t>compliance monitoring, enforcement and reporting</w:t>
      </w:r>
      <w:r w:rsidRPr="00CB7D56">
        <w:rPr>
          <w:rFonts w:cs="Arial"/>
          <w:i/>
          <w:szCs w:val="22"/>
          <w:lang w:val="en-US"/>
        </w:rPr>
        <w:t xml:space="preserve"> as an essential area for improving major project regulation. </w:t>
      </w:r>
      <w:r w:rsidRPr="00CB7D56">
        <w:rPr>
          <w:rFonts w:cs="Arial"/>
          <w:i/>
          <w:szCs w:val="22"/>
        </w:rPr>
        <w:t>Leading practices should include:</w:t>
      </w:r>
    </w:p>
    <w:p w:rsidR="00CB7D56" w:rsidRPr="00CB7D56" w:rsidRDefault="00CB7D56" w:rsidP="00382D6C">
      <w:pPr>
        <w:numPr>
          <w:ilvl w:val="0"/>
          <w:numId w:val="65"/>
        </w:numPr>
        <w:rPr>
          <w:rFonts w:cs="Arial"/>
          <w:i/>
          <w:szCs w:val="22"/>
        </w:rPr>
      </w:pPr>
      <w:r w:rsidRPr="004D6F76">
        <w:rPr>
          <w:rFonts w:cs="Arial"/>
          <w:b/>
          <w:i/>
          <w:szCs w:val="22"/>
        </w:rPr>
        <w:t>independent audits</w:t>
      </w:r>
      <w:r w:rsidRPr="00CB7D56">
        <w:rPr>
          <w:rFonts w:cs="Arial"/>
          <w:i/>
          <w:szCs w:val="22"/>
        </w:rPr>
        <w:t xml:space="preserve"> of project compliance with licensing and consent conditions, as well as the accuracy of </w:t>
      </w:r>
      <w:proofErr w:type="spellStart"/>
      <w:r w:rsidRPr="00CB7D56">
        <w:rPr>
          <w:rFonts w:cs="Arial"/>
          <w:i/>
          <w:szCs w:val="22"/>
        </w:rPr>
        <w:t>EIA</w:t>
      </w:r>
      <w:proofErr w:type="spellEnd"/>
      <w:r w:rsidRPr="00CB7D56">
        <w:rPr>
          <w:rFonts w:cs="Arial"/>
          <w:i/>
          <w:szCs w:val="22"/>
        </w:rPr>
        <w:t xml:space="preserve"> predictions;</w:t>
      </w:r>
    </w:p>
    <w:p w:rsidR="00CB7D56" w:rsidRPr="00CB7D56" w:rsidRDefault="00CB7D56" w:rsidP="00382D6C">
      <w:pPr>
        <w:numPr>
          <w:ilvl w:val="0"/>
          <w:numId w:val="65"/>
        </w:numPr>
        <w:rPr>
          <w:rFonts w:cs="Arial"/>
          <w:i/>
          <w:szCs w:val="22"/>
        </w:rPr>
      </w:pPr>
      <w:r w:rsidRPr="004D6F76">
        <w:rPr>
          <w:rFonts w:cs="Arial"/>
          <w:b/>
          <w:i/>
          <w:szCs w:val="22"/>
        </w:rPr>
        <w:t>accurate, transparent and accessible information</w:t>
      </w:r>
      <w:r w:rsidRPr="00CB7D56">
        <w:rPr>
          <w:rFonts w:cs="Arial"/>
          <w:i/>
          <w:szCs w:val="22"/>
        </w:rPr>
        <w:t>, pre- and post-approval;</w:t>
      </w:r>
    </w:p>
    <w:p w:rsidR="00CB7D56" w:rsidRPr="00CB7D56" w:rsidRDefault="00CB7D56" w:rsidP="00382D6C">
      <w:pPr>
        <w:numPr>
          <w:ilvl w:val="0"/>
          <w:numId w:val="65"/>
        </w:numPr>
        <w:rPr>
          <w:rFonts w:cs="Arial"/>
          <w:i/>
          <w:szCs w:val="22"/>
        </w:rPr>
      </w:pPr>
      <w:r w:rsidRPr="00CB7D56">
        <w:rPr>
          <w:rFonts w:cs="Arial"/>
          <w:i/>
          <w:szCs w:val="22"/>
        </w:rPr>
        <w:t xml:space="preserve">clear lines of </w:t>
      </w:r>
      <w:r w:rsidRPr="004D6F76">
        <w:rPr>
          <w:rFonts w:cs="Arial"/>
          <w:b/>
          <w:i/>
          <w:szCs w:val="22"/>
        </w:rPr>
        <w:t>enforcement responsibility</w:t>
      </w:r>
      <w:r w:rsidRPr="00CB7D56">
        <w:rPr>
          <w:rFonts w:cs="Arial"/>
          <w:i/>
          <w:szCs w:val="22"/>
        </w:rPr>
        <w:t>, and accountability for performance;</w:t>
      </w:r>
    </w:p>
    <w:p w:rsidR="00CB7D56" w:rsidRPr="00CB7D56" w:rsidRDefault="00CB7D56" w:rsidP="00382D6C">
      <w:pPr>
        <w:numPr>
          <w:ilvl w:val="0"/>
          <w:numId w:val="65"/>
        </w:numPr>
        <w:rPr>
          <w:rFonts w:cs="Arial"/>
          <w:i/>
          <w:szCs w:val="22"/>
        </w:rPr>
      </w:pPr>
      <w:r w:rsidRPr="005A76DC">
        <w:rPr>
          <w:rFonts w:cs="Arial"/>
          <w:i/>
          <w:szCs w:val="22"/>
        </w:rPr>
        <w:t>ongoing</w:t>
      </w:r>
      <w:r w:rsidRPr="004D6F76">
        <w:rPr>
          <w:rFonts w:cs="Arial"/>
          <w:b/>
          <w:i/>
          <w:szCs w:val="22"/>
        </w:rPr>
        <w:t xml:space="preserve"> monitoring</w:t>
      </w:r>
      <w:r w:rsidRPr="005A76DC">
        <w:rPr>
          <w:rFonts w:cs="Arial"/>
          <w:i/>
          <w:szCs w:val="22"/>
        </w:rPr>
        <w:t xml:space="preserve"> and </w:t>
      </w:r>
      <w:r w:rsidRPr="004D6F76">
        <w:rPr>
          <w:rFonts w:cs="Arial"/>
          <w:b/>
          <w:i/>
          <w:szCs w:val="22"/>
        </w:rPr>
        <w:t>responsiveness to community reporting</w:t>
      </w:r>
      <w:r w:rsidRPr="00CB7D56">
        <w:rPr>
          <w:rFonts w:cs="Arial"/>
          <w:i/>
          <w:szCs w:val="22"/>
        </w:rPr>
        <w:t xml:space="preserve"> of breaches;</w:t>
      </w:r>
    </w:p>
    <w:p w:rsidR="00CB7D56" w:rsidRPr="00CB7D56" w:rsidRDefault="00CB7D56" w:rsidP="00382D6C">
      <w:pPr>
        <w:numPr>
          <w:ilvl w:val="0"/>
          <w:numId w:val="65"/>
        </w:numPr>
        <w:rPr>
          <w:rFonts w:cs="Arial"/>
          <w:i/>
          <w:szCs w:val="22"/>
        </w:rPr>
      </w:pPr>
      <w:r w:rsidRPr="00CB7D56">
        <w:rPr>
          <w:rFonts w:cs="Arial"/>
          <w:i/>
          <w:szCs w:val="22"/>
        </w:rPr>
        <w:t xml:space="preserve">enduring </w:t>
      </w:r>
      <w:r w:rsidRPr="004D6F76">
        <w:rPr>
          <w:rFonts w:cs="Arial"/>
          <w:b/>
          <w:i/>
          <w:szCs w:val="22"/>
        </w:rPr>
        <w:t>proponent responsibilities</w:t>
      </w:r>
      <w:r w:rsidRPr="00CB7D56">
        <w:rPr>
          <w:rFonts w:cs="Arial"/>
          <w:i/>
          <w:szCs w:val="22"/>
        </w:rPr>
        <w:t xml:space="preserve"> for future impacts and rehabilitation goals;</w:t>
      </w:r>
    </w:p>
    <w:p w:rsidR="00CB7D56" w:rsidRPr="00CB7D56" w:rsidRDefault="00CB7D56" w:rsidP="00382D6C">
      <w:pPr>
        <w:numPr>
          <w:ilvl w:val="0"/>
          <w:numId w:val="65"/>
        </w:numPr>
        <w:rPr>
          <w:rFonts w:cs="Arial"/>
          <w:i/>
          <w:szCs w:val="22"/>
        </w:rPr>
      </w:pPr>
      <w:r w:rsidRPr="00CB7D56">
        <w:rPr>
          <w:rFonts w:cs="Arial"/>
          <w:i/>
          <w:szCs w:val="22"/>
        </w:rPr>
        <w:t xml:space="preserve">a </w:t>
      </w:r>
      <w:r w:rsidRPr="004D6F76">
        <w:rPr>
          <w:rFonts w:cs="Arial"/>
          <w:b/>
          <w:i/>
          <w:szCs w:val="22"/>
        </w:rPr>
        <w:t>tiered enforcement framework</w:t>
      </w:r>
      <w:r w:rsidRPr="00CB7D56">
        <w:rPr>
          <w:rFonts w:cs="Arial"/>
          <w:i/>
          <w:szCs w:val="22"/>
        </w:rPr>
        <w:t xml:space="preserve"> – to deter misconduct and ensure breaches result in proportionate punishment; </w:t>
      </w:r>
    </w:p>
    <w:p w:rsidR="00CB7D56" w:rsidRPr="00CB7D56" w:rsidRDefault="00CB7D56" w:rsidP="00382D6C">
      <w:pPr>
        <w:numPr>
          <w:ilvl w:val="0"/>
          <w:numId w:val="65"/>
        </w:numPr>
        <w:jc w:val="both"/>
        <w:rPr>
          <w:rFonts w:cs="Arial"/>
          <w:i/>
          <w:szCs w:val="22"/>
        </w:rPr>
      </w:pPr>
      <w:r w:rsidRPr="00CB7D56">
        <w:rPr>
          <w:rFonts w:cs="Arial"/>
          <w:i/>
          <w:szCs w:val="22"/>
        </w:rPr>
        <w:t xml:space="preserve">a wider range of </w:t>
      </w:r>
      <w:r w:rsidRPr="004D6F76">
        <w:rPr>
          <w:rFonts w:cs="Arial"/>
          <w:b/>
          <w:i/>
          <w:szCs w:val="22"/>
        </w:rPr>
        <w:t>innovative enforcement tools</w:t>
      </w:r>
      <w:r w:rsidRPr="00CB7D56">
        <w:rPr>
          <w:rFonts w:cs="Arial"/>
          <w:i/>
          <w:szCs w:val="22"/>
        </w:rPr>
        <w:t xml:space="preserve"> for regulators, community and the courts, as found in some other environment and pollution laws;</w:t>
      </w:r>
    </w:p>
    <w:p w:rsidR="00CB7D56" w:rsidRDefault="00CB7D56" w:rsidP="00382D6C">
      <w:pPr>
        <w:numPr>
          <w:ilvl w:val="0"/>
          <w:numId w:val="65"/>
        </w:numPr>
        <w:rPr>
          <w:rFonts w:cs="Arial"/>
          <w:i/>
          <w:szCs w:val="22"/>
        </w:rPr>
      </w:pPr>
      <w:r w:rsidRPr="00CB7D56">
        <w:rPr>
          <w:rFonts w:cs="Arial"/>
          <w:i/>
          <w:szCs w:val="22"/>
        </w:rPr>
        <w:t xml:space="preserve">a shared commitment from industry and governments to </w:t>
      </w:r>
      <w:r w:rsidRPr="004D6F76">
        <w:rPr>
          <w:rFonts w:cs="Arial"/>
          <w:b/>
          <w:i/>
          <w:szCs w:val="22"/>
        </w:rPr>
        <w:t>fund improved monitoring and enforcement</w:t>
      </w:r>
      <w:r w:rsidRPr="00CB7D56">
        <w:rPr>
          <w:rFonts w:cs="Arial"/>
          <w:i/>
          <w:szCs w:val="22"/>
        </w:rPr>
        <w:t xml:space="preserve"> in order to do business safely and </w:t>
      </w:r>
      <w:proofErr w:type="spellStart"/>
      <w:r w:rsidRPr="00CB7D56">
        <w:rPr>
          <w:rFonts w:cs="Arial"/>
          <w:i/>
          <w:szCs w:val="22"/>
        </w:rPr>
        <w:t>responsibly;</w:t>
      </w:r>
      <w:r w:rsidR="008A02C4">
        <w:rPr>
          <w:rFonts w:cs="Arial"/>
          <w:i/>
          <w:szCs w:val="22"/>
        </w:rPr>
        <w:t>and</w:t>
      </w:r>
      <w:proofErr w:type="spellEnd"/>
    </w:p>
    <w:p w:rsidR="00CB7D56" w:rsidRPr="00CB7D56" w:rsidRDefault="00CB7D56" w:rsidP="00382D6C">
      <w:pPr>
        <w:numPr>
          <w:ilvl w:val="0"/>
          <w:numId w:val="65"/>
        </w:numPr>
        <w:rPr>
          <w:rFonts w:cs="Arial"/>
          <w:i/>
          <w:szCs w:val="22"/>
        </w:rPr>
      </w:pPr>
      <w:r w:rsidRPr="00CB7D56">
        <w:rPr>
          <w:rFonts w:cs="Arial"/>
          <w:i/>
          <w:szCs w:val="22"/>
        </w:rPr>
        <w:t xml:space="preserve">options for </w:t>
      </w:r>
      <w:r w:rsidRPr="004D6F76">
        <w:rPr>
          <w:rFonts w:cs="Arial"/>
          <w:b/>
          <w:i/>
          <w:szCs w:val="22"/>
        </w:rPr>
        <w:t>additional funding</w:t>
      </w:r>
      <w:r w:rsidRPr="00CB7D56">
        <w:rPr>
          <w:rFonts w:cs="Arial"/>
          <w:i/>
          <w:szCs w:val="22"/>
        </w:rPr>
        <w:t xml:space="preserve"> of research, monitoring and enforcement activities, such as from royalties, licence fees or industry levies.</w:t>
      </w:r>
    </w:p>
    <w:p w:rsidR="00CB7D56" w:rsidRDefault="00CB7D56" w:rsidP="00382D6C">
      <w:pPr>
        <w:rPr>
          <w:i/>
        </w:rPr>
      </w:pPr>
    </w:p>
    <w:p w:rsidR="00CB7D56" w:rsidRPr="00CB7D56" w:rsidRDefault="00CB7D56" w:rsidP="008577AF">
      <w:pPr>
        <w:keepNext/>
        <w:spacing w:after="120"/>
        <w:rPr>
          <w:i/>
        </w:rPr>
      </w:pPr>
      <w:r w:rsidRPr="009C52E3">
        <w:rPr>
          <w:b/>
          <w:i/>
        </w:rPr>
        <w:t>Recommendation:</w:t>
      </w:r>
      <w:r w:rsidRPr="00CB7D56">
        <w:rPr>
          <w:i/>
        </w:rPr>
        <w:t xml:space="preserve"> </w:t>
      </w:r>
      <w:proofErr w:type="spellStart"/>
      <w:r w:rsidRPr="00CB7D56">
        <w:rPr>
          <w:i/>
        </w:rPr>
        <w:t>ANEDO</w:t>
      </w:r>
      <w:proofErr w:type="spellEnd"/>
      <w:r w:rsidRPr="00CB7D56">
        <w:rPr>
          <w:i/>
        </w:rPr>
        <w:t xml:space="preserve"> submits that leading practice </w:t>
      </w:r>
      <w:r w:rsidRPr="004D6F76">
        <w:rPr>
          <w:rFonts w:cs="Arial"/>
          <w:b/>
          <w:i/>
        </w:rPr>
        <w:t>strategic planning</w:t>
      </w:r>
      <w:r w:rsidRPr="00CB7D56">
        <w:rPr>
          <w:rFonts w:cs="Arial"/>
          <w:i/>
        </w:rPr>
        <w:t xml:space="preserve"> must:</w:t>
      </w:r>
    </w:p>
    <w:p w:rsidR="00CB7D56" w:rsidRPr="00CB7D56" w:rsidRDefault="00CB7D56" w:rsidP="00382D6C">
      <w:pPr>
        <w:numPr>
          <w:ilvl w:val="0"/>
          <w:numId w:val="67"/>
        </w:numPr>
        <w:tabs>
          <w:tab w:val="num" w:pos="720"/>
        </w:tabs>
        <w:autoSpaceDE w:val="0"/>
        <w:autoSpaceDN w:val="0"/>
        <w:adjustRightInd w:val="0"/>
        <w:ind w:left="714" w:hanging="357"/>
        <w:rPr>
          <w:rFonts w:cs="Arial"/>
          <w:i/>
        </w:rPr>
      </w:pPr>
      <w:r w:rsidRPr="00CB7D56">
        <w:rPr>
          <w:rFonts w:cs="Arial"/>
          <w:i/>
        </w:rPr>
        <w:t xml:space="preserve">describe how the goal of </w:t>
      </w:r>
      <w:r w:rsidRPr="004D6F76">
        <w:rPr>
          <w:rFonts w:cs="Arial"/>
          <w:b/>
          <w:bCs/>
          <w:i/>
        </w:rPr>
        <w:t>ecologically sustainable development (</w:t>
      </w:r>
      <w:proofErr w:type="spellStart"/>
      <w:r w:rsidRPr="004D6F76">
        <w:rPr>
          <w:rFonts w:cs="Arial"/>
          <w:b/>
          <w:bCs/>
          <w:i/>
        </w:rPr>
        <w:t>ESD</w:t>
      </w:r>
      <w:proofErr w:type="spellEnd"/>
      <w:r w:rsidRPr="004D6F76">
        <w:rPr>
          <w:rFonts w:cs="Arial"/>
          <w:b/>
          <w:bCs/>
          <w:i/>
        </w:rPr>
        <w:t>)</w:t>
      </w:r>
      <w:r w:rsidRPr="00CB7D56">
        <w:rPr>
          <w:rFonts w:cs="Arial"/>
          <w:bCs/>
          <w:i/>
        </w:rPr>
        <w:t xml:space="preserve"> </w:t>
      </w:r>
      <w:r w:rsidRPr="00CB7D56">
        <w:rPr>
          <w:rFonts w:cs="Arial"/>
          <w:i/>
        </w:rPr>
        <w:t>will be achieved via state, regional and local policies and planning decisions;</w:t>
      </w:r>
    </w:p>
    <w:p w:rsidR="00CB7D56" w:rsidRPr="00CB7D56" w:rsidRDefault="00CB7D56" w:rsidP="00382D6C">
      <w:pPr>
        <w:numPr>
          <w:ilvl w:val="0"/>
          <w:numId w:val="67"/>
        </w:numPr>
        <w:tabs>
          <w:tab w:val="num" w:pos="720"/>
        </w:tabs>
        <w:autoSpaceDE w:val="0"/>
        <w:autoSpaceDN w:val="0"/>
        <w:adjustRightInd w:val="0"/>
        <w:ind w:left="714" w:hanging="357"/>
        <w:rPr>
          <w:rFonts w:cs="Arial"/>
          <w:i/>
          <w:color w:val="000000"/>
          <w:lang w:val="en-US"/>
        </w:rPr>
      </w:pPr>
      <w:r w:rsidRPr="00CB7D56">
        <w:rPr>
          <w:rFonts w:cs="Arial"/>
          <w:i/>
          <w:color w:val="000000"/>
        </w:rPr>
        <w:lastRenderedPageBreak/>
        <w:t xml:space="preserve">undertake independent </w:t>
      </w:r>
      <w:r w:rsidRPr="004D6F76">
        <w:rPr>
          <w:rFonts w:cs="Arial"/>
          <w:b/>
          <w:bCs/>
          <w:i/>
          <w:color w:val="000000"/>
        </w:rPr>
        <w:t>baseline studies</w:t>
      </w:r>
      <w:r w:rsidRPr="00CB7D56">
        <w:rPr>
          <w:rFonts w:cs="Arial"/>
          <w:bCs/>
          <w:i/>
          <w:color w:val="000000"/>
        </w:rPr>
        <w:t xml:space="preserve"> </w:t>
      </w:r>
      <w:r w:rsidRPr="00CB7D56">
        <w:rPr>
          <w:rFonts w:cs="Arial"/>
          <w:i/>
          <w:color w:val="000000"/>
        </w:rPr>
        <w:t>of catchments’</w:t>
      </w:r>
      <w:r w:rsidRPr="00CB7D56">
        <w:rPr>
          <w:rFonts w:eastAsia="MS Mincho" w:cs="Arial"/>
          <w:i/>
          <w:color w:val="000000"/>
        </w:rPr>
        <w:t xml:space="preserve"> </w:t>
      </w:r>
      <w:r w:rsidRPr="00CB7D56">
        <w:rPr>
          <w:rFonts w:cs="Arial"/>
          <w:i/>
          <w:color w:val="000000"/>
        </w:rPr>
        <w:t>environmental qualities, such as water, soil, vegetation, biodiversity, minerals, air quality;</w:t>
      </w:r>
    </w:p>
    <w:p w:rsidR="00CB7D56" w:rsidRPr="00CB7D56" w:rsidRDefault="00CB7D56" w:rsidP="00382D6C">
      <w:pPr>
        <w:numPr>
          <w:ilvl w:val="0"/>
          <w:numId w:val="67"/>
        </w:numPr>
        <w:tabs>
          <w:tab w:val="num" w:pos="720"/>
        </w:tabs>
        <w:autoSpaceDE w:val="0"/>
        <w:autoSpaceDN w:val="0"/>
        <w:adjustRightInd w:val="0"/>
        <w:ind w:left="714" w:hanging="357"/>
        <w:rPr>
          <w:rFonts w:cs="Arial"/>
          <w:i/>
        </w:rPr>
      </w:pPr>
      <w:r w:rsidRPr="00CB7D56">
        <w:rPr>
          <w:rFonts w:cs="Arial"/>
          <w:i/>
        </w:rPr>
        <w:t xml:space="preserve">provide for comprehensive rights of </w:t>
      </w:r>
      <w:r w:rsidRPr="004D6F76">
        <w:rPr>
          <w:rFonts w:cs="Arial"/>
          <w:b/>
          <w:bCs/>
          <w:i/>
        </w:rPr>
        <w:t>public participation</w:t>
      </w:r>
      <w:r w:rsidRPr="00CB7D56">
        <w:rPr>
          <w:rFonts w:cs="Arial"/>
          <w:i/>
        </w:rPr>
        <w:t xml:space="preserve">, and support to engage – including tailored, inclusive engagement for indigenous peoples; </w:t>
      </w:r>
    </w:p>
    <w:p w:rsidR="00CB7D56" w:rsidRPr="00CB7D56" w:rsidRDefault="00CB7D56" w:rsidP="00382D6C">
      <w:pPr>
        <w:numPr>
          <w:ilvl w:val="0"/>
          <w:numId w:val="67"/>
        </w:numPr>
        <w:tabs>
          <w:tab w:val="num" w:pos="720"/>
        </w:tabs>
        <w:autoSpaceDE w:val="0"/>
        <w:autoSpaceDN w:val="0"/>
        <w:adjustRightInd w:val="0"/>
        <w:ind w:left="714" w:hanging="357"/>
        <w:rPr>
          <w:rFonts w:cs="Arial"/>
          <w:i/>
        </w:rPr>
      </w:pPr>
      <w:r w:rsidRPr="00CB7D56">
        <w:rPr>
          <w:rFonts w:cs="Arial"/>
          <w:i/>
          <w:color w:val="000000"/>
        </w:rPr>
        <w:t xml:space="preserve">take account of potential </w:t>
      </w:r>
      <w:r w:rsidRPr="004D6F76">
        <w:rPr>
          <w:rFonts w:cs="Arial"/>
          <w:b/>
          <w:bCs/>
          <w:i/>
          <w:color w:val="000000"/>
        </w:rPr>
        <w:t>cumulative impacts</w:t>
      </w:r>
      <w:r w:rsidRPr="00CB7D56">
        <w:rPr>
          <w:rFonts w:cs="Arial"/>
          <w:bCs/>
          <w:i/>
          <w:color w:val="000000"/>
        </w:rPr>
        <w:t xml:space="preserve"> of development over time; </w:t>
      </w:r>
    </w:p>
    <w:p w:rsidR="00CB7D56" w:rsidRPr="00CB7D56" w:rsidRDefault="00CB7D56" w:rsidP="00382D6C">
      <w:pPr>
        <w:numPr>
          <w:ilvl w:val="0"/>
          <w:numId w:val="67"/>
        </w:numPr>
        <w:tabs>
          <w:tab w:val="num" w:pos="720"/>
        </w:tabs>
        <w:autoSpaceDE w:val="0"/>
        <w:autoSpaceDN w:val="0"/>
        <w:adjustRightInd w:val="0"/>
        <w:ind w:left="714" w:hanging="357"/>
        <w:rPr>
          <w:rFonts w:cs="Arial"/>
          <w:i/>
          <w:color w:val="000000"/>
        </w:rPr>
      </w:pPr>
      <w:r w:rsidRPr="00CB7D56">
        <w:rPr>
          <w:rFonts w:cs="Arial"/>
          <w:i/>
          <w:color w:val="000000"/>
        </w:rPr>
        <w:t xml:space="preserve">identify </w:t>
      </w:r>
      <w:r w:rsidRPr="004D6F76">
        <w:rPr>
          <w:rFonts w:cs="Arial"/>
          <w:b/>
          <w:i/>
          <w:color w:val="000000"/>
        </w:rPr>
        <w:t xml:space="preserve">competing </w:t>
      </w:r>
      <w:r w:rsidRPr="004D6F76">
        <w:rPr>
          <w:rFonts w:cs="Arial"/>
          <w:b/>
          <w:bCs/>
          <w:i/>
          <w:color w:val="000000"/>
        </w:rPr>
        <w:t>land uses, including</w:t>
      </w:r>
      <w:r w:rsidRPr="004D6F76">
        <w:rPr>
          <w:rFonts w:cs="Arial"/>
          <w:b/>
          <w:i/>
        </w:rPr>
        <w:t xml:space="preserve"> sensitive areas</w:t>
      </w:r>
      <w:r w:rsidRPr="00CB7D56">
        <w:rPr>
          <w:rFonts w:cs="Arial"/>
          <w:i/>
        </w:rPr>
        <w:t xml:space="preserve"> where certain development (such as mining) is </w:t>
      </w:r>
      <w:r w:rsidRPr="004D6F76">
        <w:rPr>
          <w:rFonts w:cs="Arial"/>
          <w:b/>
          <w:i/>
        </w:rPr>
        <w:t>prohibited</w:t>
      </w:r>
      <w:r w:rsidRPr="00CB7D56">
        <w:rPr>
          <w:rFonts w:cs="Arial"/>
          <w:i/>
        </w:rPr>
        <w:t xml:space="preserve"> based on economic, environmental, social or cultural criteria</w:t>
      </w:r>
      <w:r w:rsidRPr="00CB7D56">
        <w:rPr>
          <w:rFonts w:cs="Arial"/>
          <w:i/>
          <w:color w:val="000000"/>
        </w:rPr>
        <w:t xml:space="preserve">; </w:t>
      </w:r>
    </w:p>
    <w:p w:rsidR="00CB7D56" w:rsidRPr="00CB7D56" w:rsidRDefault="00CB7D56" w:rsidP="00382D6C">
      <w:pPr>
        <w:numPr>
          <w:ilvl w:val="0"/>
          <w:numId w:val="67"/>
        </w:numPr>
        <w:tabs>
          <w:tab w:val="num" w:pos="720"/>
        </w:tabs>
        <w:autoSpaceDE w:val="0"/>
        <w:autoSpaceDN w:val="0"/>
        <w:adjustRightInd w:val="0"/>
        <w:ind w:left="714" w:hanging="357"/>
        <w:rPr>
          <w:rFonts w:cs="Arial"/>
          <w:i/>
        </w:rPr>
      </w:pPr>
      <w:r w:rsidRPr="00CB7D56">
        <w:rPr>
          <w:rFonts w:cs="Arial"/>
          <w:i/>
        </w:rPr>
        <w:t xml:space="preserve">integrate </w:t>
      </w:r>
      <w:r w:rsidRPr="004D6F76">
        <w:rPr>
          <w:rFonts w:cs="Arial"/>
          <w:b/>
          <w:i/>
        </w:rPr>
        <w:t xml:space="preserve">natural resource management </w:t>
      </w:r>
      <w:r w:rsidRPr="004D6F76">
        <w:rPr>
          <w:rFonts w:cs="Arial"/>
          <w:b/>
          <w:bCs/>
          <w:i/>
        </w:rPr>
        <w:t>goals</w:t>
      </w:r>
      <w:r w:rsidRPr="00CB7D56">
        <w:rPr>
          <w:rFonts w:cs="Arial"/>
          <w:bCs/>
          <w:i/>
        </w:rPr>
        <w:t xml:space="preserve"> </w:t>
      </w:r>
      <w:r w:rsidRPr="00CB7D56">
        <w:rPr>
          <w:rFonts w:cs="Arial"/>
          <w:i/>
        </w:rPr>
        <w:t>into the planning process;</w:t>
      </w:r>
    </w:p>
    <w:p w:rsidR="00CB7D56" w:rsidRPr="00CB7D56" w:rsidRDefault="00CB7D56" w:rsidP="00382D6C">
      <w:pPr>
        <w:numPr>
          <w:ilvl w:val="0"/>
          <w:numId w:val="67"/>
        </w:numPr>
        <w:tabs>
          <w:tab w:val="num" w:pos="720"/>
        </w:tabs>
        <w:autoSpaceDE w:val="0"/>
        <w:autoSpaceDN w:val="0"/>
        <w:adjustRightInd w:val="0"/>
        <w:ind w:left="714" w:hanging="357"/>
        <w:rPr>
          <w:rFonts w:cs="Arial"/>
          <w:i/>
          <w:color w:val="000000"/>
        </w:rPr>
      </w:pPr>
      <w:r w:rsidRPr="005A76DC">
        <w:rPr>
          <w:rFonts w:cs="Arial"/>
          <w:i/>
        </w:rPr>
        <w:t xml:space="preserve">measure, </w:t>
      </w:r>
      <w:r w:rsidRPr="005A76DC">
        <w:rPr>
          <w:rFonts w:cs="Arial"/>
          <w:bCs/>
          <w:i/>
        </w:rPr>
        <w:t>publish and analyse</w:t>
      </w:r>
      <w:r w:rsidRPr="004D6F76">
        <w:rPr>
          <w:rFonts w:cs="Arial"/>
          <w:b/>
          <w:bCs/>
          <w:i/>
        </w:rPr>
        <w:t xml:space="preserve"> environmental data</w:t>
      </w:r>
      <w:r w:rsidRPr="00CB7D56">
        <w:rPr>
          <w:rFonts w:cs="Arial"/>
          <w:bCs/>
          <w:i/>
        </w:rPr>
        <w:t xml:space="preserve"> </w:t>
      </w:r>
      <w:r w:rsidRPr="00CB7D56">
        <w:rPr>
          <w:rFonts w:cs="Arial"/>
          <w:i/>
        </w:rPr>
        <w:t>across jurisdictions and sectors – to promote accuracy, transparency and evidence-based policy;</w:t>
      </w:r>
    </w:p>
    <w:p w:rsidR="00CB7D56" w:rsidRPr="00CB7D56" w:rsidRDefault="00CB7D56" w:rsidP="00382D6C">
      <w:pPr>
        <w:numPr>
          <w:ilvl w:val="0"/>
          <w:numId w:val="67"/>
        </w:numPr>
        <w:tabs>
          <w:tab w:val="num" w:pos="720"/>
        </w:tabs>
        <w:autoSpaceDE w:val="0"/>
        <w:autoSpaceDN w:val="0"/>
        <w:adjustRightInd w:val="0"/>
        <w:ind w:left="714" w:hanging="357"/>
        <w:rPr>
          <w:rFonts w:cs="Arial"/>
          <w:i/>
        </w:rPr>
      </w:pPr>
      <w:r w:rsidRPr="00CB7D56">
        <w:rPr>
          <w:rFonts w:cs="Arial"/>
          <w:i/>
        </w:rPr>
        <w:t xml:space="preserve">promote </w:t>
      </w:r>
      <w:r w:rsidRPr="004D6F76">
        <w:rPr>
          <w:rFonts w:cs="Arial"/>
          <w:b/>
          <w:bCs/>
          <w:i/>
        </w:rPr>
        <w:t>resilience to climate change</w:t>
      </w:r>
      <w:r w:rsidRPr="00CB7D56">
        <w:rPr>
          <w:rFonts w:cs="Arial"/>
          <w:bCs/>
          <w:i/>
        </w:rPr>
        <w:t xml:space="preserve"> </w:t>
      </w:r>
      <w:r w:rsidRPr="00CB7D56">
        <w:rPr>
          <w:rFonts w:cs="Arial"/>
          <w:i/>
        </w:rPr>
        <w:t xml:space="preserve">for communities and the environment, addressing risks and opportunities via mitigation and adaptation; </w:t>
      </w:r>
    </w:p>
    <w:p w:rsidR="00CB7D56" w:rsidRPr="00CB7D56" w:rsidRDefault="00CB7D56" w:rsidP="00382D6C">
      <w:pPr>
        <w:numPr>
          <w:ilvl w:val="0"/>
          <w:numId w:val="67"/>
        </w:numPr>
        <w:tabs>
          <w:tab w:val="num" w:pos="720"/>
        </w:tabs>
        <w:autoSpaceDE w:val="0"/>
        <w:autoSpaceDN w:val="0"/>
        <w:adjustRightInd w:val="0"/>
        <w:ind w:left="714" w:hanging="357"/>
        <w:rPr>
          <w:rFonts w:cs="Arial"/>
          <w:i/>
        </w:rPr>
      </w:pPr>
      <w:r w:rsidRPr="00CB7D56">
        <w:rPr>
          <w:rFonts w:cs="Arial"/>
          <w:i/>
        </w:rPr>
        <w:t xml:space="preserve">integrate </w:t>
      </w:r>
      <w:r w:rsidRPr="004D6F76">
        <w:rPr>
          <w:rFonts w:cs="Arial"/>
          <w:b/>
          <w:bCs/>
          <w:i/>
        </w:rPr>
        <w:t>infrastructure needs</w:t>
      </w:r>
      <w:r w:rsidRPr="00CB7D56">
        <w:rPr>
          <w:rFonts w:cs="Arial"/>
          <w:i/>
        </w:rPr>
        <w:t xml:space="preserve"> </w:t>
      </w:r>
      <w:r w:rsidRPr="00CB7D56">
        <w:rPr>
          <w:rFonts w:cs="Arial"/>
          <w:i/>
          <w:iCs/>
        </w:rPr>
        <w:t xml:space="preserve">ahead of new development, and prioritise </w:t>
      </w:r>
      <w:r w:rsidRPr="004D6F76">
        <w:rPr>
          <w:rFonts w:cs="Arial"/>
          <w:b/>
          <w:i/>
        </w:rPr>
        <w:t>public</w:t>
      </w:r>
      <w:r w:rsidR="005A76DC">
        <w:rPr>
          <w:rFonts w:cs="Arial"/>
          <w:b/>
          <w:i/>
        </w:rPr>
        <w:t> </w:t>
      </w:r>
      <w:r w:rsidRPr="004D6F76">
        <w:rPr>
          <w:rFonts w:cs="Arial"/>
          <w:b/>
          <w:i/>
        </w:rPr>
        <w:t>transport and ‘green infrastructure’.</w:t>
      </w:r>
    </w:p>
    <w:p w:rsidR="009C52E3" w:rsidRDefault="009C52E3" w:rsidP="00382D6C">
      <w:pPr>
        <w:rPr>
          <w:rFonts w:cs="Arial"/>
          <w:b/>
          <w:i/>
          <w:szCs w:val="22"/>
        </w:rPr>
      </w:pPr>
    </w:p>
    <w:p w:rsidR="000813BD" w:rsidRPr="008A1A26" w:rsidRDefault="000813BD" w:rsidP="000813BD">
      <w:pPr>
        <w:rPr>
          <w:rFonts w:cs="Arial"/>
          <w:b/>
          <w:szCs w:val="22"/>
        </w:rPr>
      </w:pPr>
      <w:r w:rsidRPr="00E778F6">
        <w:rPr>
          <w:rFonts w:cs="Arial"/>
          <w:b/>
          <w:i/>
          <w:szCs w:val="22"/>
        </w:rPr>
        <w:t xml:space="preserve">Recommendation: </w:t>
      </w:r>
      <w:proofErr w:type="spellStart"/>
      <w:r w:rsidRPr="004D6F76">
        <w:rPr>
          <w:rFonts w:cs="Arial"/>
          <w:szCs w:val="22"/>
        </w:rPr>
        <w:t>ANEDO</w:t>
      </w:r>
      <w:proofErr w:type="spellEnd"/>
      <w:r w:rsidRPr="004D6F76">
        <w:rPr>
          <w:rFonts w:cs="Arial"/>
          <w:szCs w:val="22"/>
        </w:rPr>
        <w:t xml:space="preserve"> strongly supports </w:t>
      </w:r>
      <w:r w:rsidR="00B30260">
        <w:rPr>
          <w:rFonts w:cs="Arial"/>
          <w:szCs w:val="22"/>
        </w:rPr>
        <w:t>Hawke</w:t>
      </w:r>
      <w:r w:rsidRPr="004D6F76">
        <w:rPr>
          <w:rFonts w:cs="Arial"/>
          <w:szCs w:val="22"/>
        </w:rPr>
        <w:t xml:space="preserve"> </w:t>
      </w:r>
      <w:r w:rsidR="00B30260">
        <w:rPr>
          <w:rFonts w:cs="Arial"/>
          <w:szCs w:val="22"/>
        </w:rPr>
        <w:t>(</w:t>
      </w:r>
      <w:proofErr w:type="spellStart"/>
      <w:r>
        <w:rPr>
          <w:rFonts w:cs="Arial"/>
          <w:szCs w:val="22"/>
        </w:rPr>
        <w:t>EPBC</w:t>
      </w:r>
      <w:proofErr w:type="spellEnd"/>
      <w:r w:rsidR="00B30260">
        <w:rPr>
          <w:rFonts w:cs="Arial"/>
          <w:szCs w:val="22"/>
        </w:rPr>
        <w:t>)</w:t>
      </w:r>
      <w:r>
        <w:rPr>
          <w:rFonts w:cs="Arial"/>
          <w:szCs w:val="22"/>
        </w:rPr>
        <w:t xml:space="preserve"> Review</w:t>
      </w:r>
      <w:r w:rsidRPr="004D6F76">
        <w:rPr>
          <w:rFonts w:cs="Arial"/>
          <w:szCs w:val="22"/>
        </w:rPr>
        <w:t xml:space="preserve"> recommendation </w:t>
      </w:r>
      <w:r>
        <w:rPr>
          <w:rFonts w:cs="Arial"/>
          <w:szCs w:val="22"/>
        </w:rPr>
        <w:t xml:space="preserve">6 </w:t>
      </w:r>
      <w:r w:rsidRPr="004D6F76">
        <w:rPr>
          <w:rFonts w:cs="Arial"/>
          <w:szCs w:val="22"/>
        </w:rPr>
        <w:t xml:space="preserve">to </w:t>
      </w:r>
      <w:r>
        <w:rPr>
          <w:rFonts w:cs="Arial"/>
          <w:iCs/>
          <w:szCs w:val="22"/>
          <w:lang w:eastAsia="en-AU"/>
        </w:rPr>
        <w:t>make</w:t>
      </w:r>
      <w:r w:rsidRPr="004D6F76">
        <w:rPr>
          <w:rFonts w:cs="Arial"/>
          <w:iCs/>
          <w:szCs w:val="22"/>
          <w:lang w:eastAsia="en-AU"/>
        </w:rPr>
        <w:t xml:space="preserve"> the process for undertaking </w:t>
      </w:r>
      <w:r w:rsidRPr="000813BD">
        <w:rPr>
          <w:rFonts w:cs="Arial"/>
          <w:b/>
          <w:iCs/>
          <w:szCs w:val="22"/>
          <w:lang w:eastAsia="en-AU"/>
        </w:rPr>
        <w:t>strategic assessments</w:t>
      </w:r>
      <w:r w:rsidRPr="004D6F76">
        <w:rPr>
          <w:rFonts w:cs="Arial"/>
          <w:iCs/>
          <w:szCs w:val="22"/>
          <w:lang w:eastAsia="en-AU"/>
        </w:rPr>
        <w:t xml:space="preserve"> ‘more substantial and</w:t>
      </w:r>
      <w:r w:rsidRPr="000813BD">
        <w:rPr>
          <w:rFonts w:cs="Arial"/>
          <w:iCs/>
          <w:szCs w:val="22"/>
          <w:lang w:eastAsia="en-AU"/>
        </w:rPr>
        <w:t xml:space="preserve"> robust’</w:t>
      </w:r>
      <w:r w:rsidRPr="004D6F76">
        <w:rPr>
          <w:rFonts w:cs="Arial"/>
          <w:szCs w:val="22"/>
        </w:rPr>
        <w:t xml:space="preserve">. This includes </w:t>
      </w:r>
      <w:r w:rsidRPr="000813BD">
        <w:rPr>
          <w:rFonts w:cs="Arial"/>
          <w:b/>
          <w:szCs w:val="22"/>
        </w:rPr>
        <w:t>mandatory</w:t>
      </w:r>
      <w:r w:rsidRPr="00F83F9B">
        <w:rPr>
          <w:rFonts w:cs="Arial"/>
          <w:b/>
          <w:szCs w:val="22"/>
        </w:rPr>
        <w:t xml:space="preserve"> </w:t>
      </w:r>
      <w:r w:rsidRPr="008577AF">
        <w:rPr>
          <w:rFonts w:cs="Arial"/>
          <w:b/>
          <w:szCs w:val="22"/>
        </w:rPr>
        <w:t>information requirements</w:t>
      </w:r>
      <w:r w:rsidRPr="004D6F76">
        <w:rPr>
          <w:rFonts w:cs="Arial"/>
          <w:szCs w:val="22"/>
        </w:rPr>
        <w:t xml:space="preserve">, and a criterion that approved activities and policies will </w:t>
      </w:r>
      <w:r w:rsidRPr="000813BD">
        <w:rPr>
          <w:rFonts w:cs="Arial"/>
          <w:b/>
          <w:szCs w:val="22"/>
        </w:rPr>
        <w:t>‘maintain or improve’</w:t>
      </w:r>
      <w:r w:rsidRPr="004D6F76">
        <w:rPr>
          <w:rFonts w:cs="Arial"/>
          <w:szCs w:val="22"/>
        </w:rPr>
        <w:t xml:space="preserve"> environmental outcomes. </w:t>
      </w:r>
      <w:proofErr w:type="spellStart"/>
      <w:r w:rsidRPr="004D6F76">
        <w:rPr>
          <w:rFonts w:cs="Arial"/>
          <w:szCs w:val="22"/>
        </w:rPr>
        <w:t>ANEDO</w:t>
      </w:r>
      <w:proofErr w:type="spellEnd"/>
      <w:r w:rsidRPr="004D6F76">
        <w:rPr>
          <w:rFonts w:cs="Arial"/>
          <w:szCs w:val="22"/>
        </w:rPr>
        <w:t xml:space="preserve"> also outlines a range of best practice standards for strategic assessments at </w:t>
      </w:r>
      <w:r w:rsidRPr="000813BD">
        <w:rPr>
          <w:rFonts w:cs="Arial"/>
          <w:b/>
          <w:szCs w:val="22"/>
        </w:rPr>
        <w:t xml:space="preserve">Attachment </w:t>
      </w:r>
      <w:r w:rsidRPr="00F83F9B">
        <w:rPr>
          <w:rFonts w:cs="Arial"/>
          <w:b/>
          <w:szCs w:val="22"/>
        </w:rPr>
        <w:t>A</w:t>
      </w:r>
      <w:r w:rsidRPr="004D6F76">
        <w:rPr>
          <w:rFonts w:cs="Arial"/>
          <w:szCs w:val="22"/>
        </w:rPr>
        <w:t>.</w:t>
      </w:r>
    </w:p>
    <w:p w:rsidR="000813BD" w:rsidRDefault="000813BD" w:rsidP="00382D6C">
      <w:pPr>
        <w:rPr>
          <w:rFonts w:cs="Arial"/>
          <w:b/>
          <w:i/>
          <w:szCs w:val="22"/>
        </w:rPr>
      </w:pPr>
    </w:p>
    <w:p w:rsidR="00CB7D56" w:rsidRPr="00CB7D56" w:rsidRDefault="00382D6C" w:rsidP="00382D6C">
      <w:pPr>
        <w:rPr>
          <w:rFonts w:cs="Arial"/>
          <w:i/>
          <w:szCs w:val="22"/>
        </w:rPr>
      </w:pPr>
      <w:r w:rsidRPr="009C52E3">
        <w:rPr>
          <w:b/>
          <w:i/>
        </w:rPr>
        <w:t>Recommendation:</w:t>
      </w:r>
      <w:r w:rsidRPr="00CB7D56">
        <w:rPr>
          <w:i/>
        </w:rPr>
        <w:t xml:space="preserve"> </w:t>
      </w:r>
      <w:r w:rsidR="00CB7D56" w:rsidRPr="00CB7D56">
        <w:rPr>
          <w:rFonts w:cs="Arial"/>
          <w:i/>
          <w:szCs w:val="22"/>
        </w:rPr>
        <w:t xml:space="preserve">State and federal planning and assessment laws must be amended, to require proponents and decision-makers to deal effectively with the </w:t>
      </w:r>
      <w:r w:rsidR="00CB7D56" w:rsidRPr="004D6F76">
        <w:rPr>
          <w:rFonts w:cs="Arial"/>
          <w:b/>
          <w:i/>
          <w:szCs w:val="22"/>
        </w:rPr>
        <w:t xml:space="preserve">cumulative impacts </w:t>
      </w:r>
      <w:r w:rsidR="00CB7D56" w:rsidRPr="00CB7D56">
        <w:rPr>
          <w:rFonts w:cs="Arial"/>
          <w:i/>
          <w:szCs w:val="22"/>
        </w:rPr>
        <w:t>of development</w:t>
      </w:r>
      <w:r>
        <w:rPr>
          <w:rFonts w:cs="Arial"/>
          <w:i/>
          <w:szCs w:val="22"/>
        </w:rPr>
        <w:t xml:space="preserve">, particularly major projects. </w:t>
      </w:r>
    </w:p>
    <w:p w:rsidR="00CB7D56" w:rsidRDefault="00CB7D56" w:rsidP="00382D6C">
      <w:pPr>
        <w:rPr>
          <w:rFonts w:cs="Arial"/>
          <w:b/>
          <w:i/>
          <w:szCs w:val="22"/>
          <w:lang w:val="en-US"/>
        </w:rPr>
      </w:pPr>
    </w:p>
    <w:p w:rsidR="00CB7D56" w:rsidRPr="00CB7D56" w:rsidRDefault="00CB7D56" w:rsidP="008577AF">
      <w:pPr>
        <w:spacing w:after="120"/>
        <w:rPr>
          <w:rFonts w:cs="Arial"/>
          <w:i/>
          <w:szCs w:val="22"/>
          <w:lang w:val="en-US"/>
        </w:rPr>
      </w:pPr>
      <w:r w:rsidRPr="009C52E3">
        <w:rPr>
          <w:rFonts w:cs="Arial"/>
          <w:b/>
          <w:i/>
          <w:szCs w:val="22"/>
          <w:lang w:val="en-US"/>
        </w:rPr>
        <w:t>Recommendation:</w:t>
      </w:r>
      <w:r w:rsidRPr="00CB7D56">
        <w:rPr>
          <w:rFonts w:cs="Arial"/>
          <w:i/>
          <w:szCs w:val="22"/>
          <w:lang w:val="en-US"/>
        </w:rPr>
        <w:t xml:space="preserve"> The Productivity Commission should consider and recommend a range of mandatory measures to improve the </w:t>
      </w:r>
      <w:r w:rsidRPr="004D6F76">
        <w:rPr>
          <w:rFonts w:cs="Arial"/>
          <w:b/>
          <w:i/>
          <w:szCs w:val="22"/>
          <w:lang w:val="en-US"/>
        </w:rPr>
        <w:t>climate change-readiness</w:t>
      </w:r>
      <w:r w:rsidRPr="00CB7D56">
        <w:rPr>
          <w:rFonts w:cs="Arial"/>
          <w:i/>
          <w:szCs w:val="22"/>
          <w:lang w:val="en-US"/>
        </w:rPr>
        <w:t xml:space="preserve"> of strategic planning systems and major project </w:t>
      </w:r>
      <w:proofErr w:type="spellStart"/>
      <w:r w:rsidRPr="00CB7D56">
        <w:rPr>
          <w:rFonts w:cs="Arial"/>
          <w:i/>
          <w:szCs w:val="22"/>
          <w:lang w:val="en-US"/>
        </w:rPr>
        <w:t>DAA</w:t>
      </w:r>
      <w:proofErr w:type="spellEnd"/>
      <w:r w:rsidRPr="00CB7D56">
        <w:rPr>
          <w:rFonts w:cs="Arial"/>
          <w:i/>
          <w:szCs w:val="22"/>
          <w:lang w:val="en-US"/>
        </w:rPr>
        <w:t xml:space="preserve"> processes. In particular:</w:t>
      </w:r>
    </w:p>
    <w:p w:rsidR="00CB7D56" w:rsidRPr="00CB7D56" w:rsidRDefault="00CB7D56" w:rsidP="00382D6C">
      <w:pPr>
        <w:numPr>
          <w:ilvl w:val="0"/>
          <w:numId w:val="68"/>
        </w:numPr>
        <w:rPr>
          <w:i/>
        </w:rPr>
      </w:pPr>
      <w:r w:rsidRPr="00CB7D56">
        <w:rPr>
          <w:i/>
        </w:rPr>
        <w:t>make the direct and indirect impacts of climate change a mandatory consideration in strategic planning – as per expert recommendations;</w:t>
      </w:r>
      <w:r w:rsidR="008A02C4">
        <w:rPr>
          <w:i/>
        </w:rPr>
        <w:t xml:space="preserve"> </w:t>
      </w:r>
      <w:r w:rsidR="008A02C4">
        <w:rPr>
          <w:rFonts w:cs="Arial"/>
          <w:i/>
        </w:rPr>
        <w:t>and</w:t>
      </w:r>
    </w:p>
    <w:p w:rsidR="00CB7D56" w:rsidRPr="00CB7D56" w:rsidRDefault="00CB7D56" w:rsidP="00382D6C">
      <w:pPr>
        <w:numPr>
          <w:ilvl w:val="0"/>
          <w:numId w:val="69"/>
        </w:numPr>
        <w:rPr>
          <w:i/>
        </w:rPr>
      </w:pPr>
      <w:r w:rsidRPr="00CB7D56">
        <w:rPr>
          <w:i/>
        </w:rPr>
        <w:t>adopt a comprehensive assessment framework for the climate change implications of individual developmen</w:t>
      </w:r>
      <w:r w:rsidR="00382D6C">
        <w:rPr>
          <w:i/>
        </w:rPr>
        <w:t>ts, particularly major projects</w:t>
      </w:r>
      <w:r w:rsidRPr="00CB7D56">
        <w:rPr>
          <w:i/>
        </w:rPr>
        <w:t xml:space="preserve"> – this framework could cover </w:t>
      </w:r>
      <w:r w:rsidRPr="00CB7D56">
        <w:rPr>
          <w:rFonts w:cs="Arial"/>
          <w:i/>
          <w:szCs w:val="22"/>
          <w:lang w:val="en-US"/>
        </w:rPr>
        <w:t>licensing, approval and post-approval mechanisms, and would complement a national carbon price.</w:t>
      </w:r>
    </w:p>
    <w:p w:rsidR="00CB7D56" w:rsidRPr="00CB7D56" w:rsidRDefault="00CB7D56" w:rsidP="00382D6C">
      <w:pPr>
        <w:rPr>
          <w:rFonts w:cs="Arial"/>
          <w:i/>
          <w:szCs w:val="22"/>
        </w:rPr>
      </w:pPr>
    </w:p>
    <w:p w:rsidR="00CB7D56" w:rsidRDefault="00382D6C" w:rsidP="00382D6C">
      <w:pPr>
        <w:rPr>
          <w:rFonts w:cs="Arial"/>
          <w:i/>
          <w:szCs w:val="22"/>
        </w:rPr>
      </w:pPr>
      <w:r>
        <w:rPr>
          <w:rFonts w:cs="Arial"/>
          <w:b/>
          <w:i/>
          <w:szCs w:val="22"/>
        </w:rPr>
        <w:t xml:space="preserve">Recommendation: </w:t>
      </w:r>
      <w:proofErr w:type="spellStart"/>
      <w:r w:rsidR="00CB7D56" w:rsidRPr="00CB7D56">
        <w:rPr>
          <w:rFonts w:cs="Arial"/>
          <w:i/>
          <w:szCs w:val="22"/>
        </w:rPr>
        <w:t>ANEDO</w:t>
      </w:r>
      <w:proofErr w:type="spellEnd"/>
      <w:r w:rsidR="00CB7D56" w:rsidRPr="00CB7D56">
        <w:rPr>
          <w:rFonts w:cs="Arial"/>
          <w:i/>
          <w:szCs w:val="22"/>
        </w:rPr>
        <w:t xml:space="preserve"> strongly supports the accelerated development of tools to better integrate, monitor and report on </w:t>
      </w:r>
      <w:r w:rsidR="00CB7D56" w:rsidRPr="004D6F76">
        <w:rPr>
          <w:rFonts w:cs="Arial"/>
          <w:b/>
          <w:i/>
          <w:szCs w:val="22"/>
        </w:rPr>
        <w:t>environmental indicators</w:t>
      </w:r>
      <w:r w:rsidR="00CB7D56" w:rsidRPr="00CB7D56">
        <w:rPr>
          <w:rFonts w:cs="Arial"/>
          <w:i/>
          <w:szCs w:val="22"/>
        </w:rPr>
        <w:t xml:space="preserve"> in strategic planning and </w:t>
      </w:r>
      <w:r w:rsidR="00CB7D56" w:rsidRPr="00CB7D56">
        <w:rPr>
          <w:rFonts w:cs="Arial"/>
          <w:i/>
        </w:rPr>
        <w:t xml:space="preserve">major project </w:t>
      </w:r>
      <w:proofErr w:type="spellStart"/>
      <w:r w:rsidR="00CB7D56" w:rsidRPr="00CB7D56">
        <w:rPr>
          <w:rFonts w:cs="Arial"/>
          <w:i/>
        </w:rPr>
        <w:t>DAA</w:t>
      </w:r>
      <w:proofErr w:type="spellEnd"/>
      <w:r w:rsidR="00CB7D56" w:rsidRPr="00CB7D56">
        <w:rPr>
          <w:rFonts w:cs="Arial"/>
          <w:i/>
        </w:rPr>
        <w:t xml:space="preserve"> processes.</w:t>
      </w:r>
      <w:r w:rsidR="00CB7D56" w:rsidRPr="00CB7D56">
        <w:rPr>
          <w:rFonts w:cs="Arial"/>
          <w:i/>
          <w:szCs w:val="22"/>
        </w:rPr>
        <w:t xml:space="preserve"> </w:t>
      </w:r>
    </w:p>
    <w:p w:rsidR="00382D6C" w:rsidRDefault="00382D6C" w:rsidP="00382D6C">
      <w:pPr>
        <w:rPr>
          <w:rFonts w:cs="Arial"/>
          <w:i/>
          <w:szCs w:val="22"/>
        </w:rPr>
      </w:pPr>
    </w:p>
    <w:p w:rsidR="00CB7D56" w:rsidRDefault="00382D6C" w:rsidP="00382D6C">
      <w:pPr>
        <w:rPr>
          <w:rFonts w:cs="Arial"/>
          <w:i/>
          <w:szCs w:val="22"/>
        </w:rPr>
      </w:pPr>
      <w:r w:rsidRPr="009C52E3">
        <w:rPr>
          <w:b/>
          <w:i/>
        </w:rPr>
        <w:t>Recommendation:</w:t>
      </w:r>
      <w:r>
        <w:rPr>
          <w:rFonts w:cs="Arial"/>
          <w:b/>
          <w:i/>
          <w:szCs w:val="22"/>
        </w:rPr>
        <w:t xml:space="preserve"> </w:t>
      </w:r>
      <w:r w:rsidR="00CB7D56" w:rsidRPr="00CB7D56">
        <w:rPr>
          <w:rFonts w:cs="Arial"/>
          <w:i/>
          <w:szCs w:val="22"/>
        </w:rPr>
        <w:t xml:space="preserve">National and state-level </w:t>
      </w:r>
      <w:r w:rsidR="00CB7D56" w:rsidRPr="004D6F76">
        <w:rPr>
          <w:rFonts w:cs="Arial"/>
          <w:b/>
          <w:i/>
          <w:szCs w:val="22"/>
        </w:rPr>
        <w:t>environmental accounting</w:t>
      </w:r>
      <w:r w:rsidR="00CB7D56" w:rsidRPr="00CB7D56">
        <w:rPr>
          <w:rFonts w:cs="Arial"/>
          <w:i/>
          <w:szCs w:val="22"/>
        </w:rPr>
        <w:t xml:space="preserve"> should also be accelerated, to ensure planning systems properly account for environmental values, costs and benefits.</w:t>
      </w:r>
    </w:p>
    <w:p w:rsidR="00382D6C" w:rsidRPr="00382D6C" w:rsidRDefault="00382D6C" w:rsidP="00382D6C">
      <w:pPr>
        <w:rPr>
          <w:rFonts w:cs="Arial"/>
          <w:b/>
          <w:i/>
          <w:szCs w:val="22"/>
        </w:rPr>
      </w:pPr>
    </w:p>
    <w:p w:rsidR="00CB7D56" w:rsidRPr="00CB7D56" w:rsidRDefault="00382D6C" w:rsidP="00382D6C">
      <w:pPr>
        <w:rPr>
          <w:rFonts w:ascii="Times New Roman" w:hAnsi="Times New Roman"/>
          <w:i/>
          <w:sz w:val="24"/>
          <w:lang w:eastAsia="en-AU"/>
        </w:rPr>
      </w:pPr>
      <w:r w:rsidRPr="009C52E3">
        <w:rPr>
          <w:b/>
          <w:i/>
        </w:rPr>
        <w:t>Recommendation:</w:t>
      </w:r>
      <w:r w:rsidRPr="00CB7D56">
        <w:rPr>
          <w:i/>
        </w:rPr>
        <w:t xml:space="preserve"> </w:t>
      </w:r>
      <w:r w:rsidR="00CB7D56" w:rsidRPr="00CB7D56">
        <w:rPr>
          <w:rFonts w:cs="Arial"/>
          <w:i/>
          <w:szCs w:val="22"/>
        </w:rPr>
        <w:t xml:space="preserve">A corollary of improved environmental data-sharing and analysis is the need for </w:t>
      </w:r>
      <w:r w:rsidR="00CB7D56" w:rsidRPr="004D6F76">
        <w:rPr>
          <w:rFonts w:cs="Arial"/>
          <w:b/>
          <w:i/>
          <w:szCs w:val="22"/>
        </w:rPr>
        <w:t>accurate, transparent and publicly accessible information</w:t>
      </w:r>
      <w:r w:rsidR="00CB7D56" w:rsidRPr="00CB7D56">
        <w:rPr>
          <w:rFonts w:cs="Arial"/>
          <w:i/>
          <w:szCs w:val="22"/>
        </w:rPr>
        <w:t>. The Productivity Commission could also identify gaps and leading practices in this regard.</w:t>
      </w:r>
    </w:p>
    <w:p w:rsidR="00CB7D56" w:rsidRPr="00CB7D56" w:rsidRDefault="00CB7D56" w:rsidP="00382D6C">
      <w:pPr>
        <w:rPr>
          <w:rFonts w:cs="Arial"/>
          <w:i/>
          <w:szCs w:val="22"/>
        </w:rPr>
      </w:pPr>
    </w:p>
    <w:p w:rsidR="00382D6C" w:rsidRPr="008577AF" w:rsidRDefault="00CB7D56" w:rsidP="008577AF">
      <w:pPr>
        <w:widowControl w:val="0"/>
        <w:rPr>
          <w:rFonts w:cs="Arial"/>
          <w:i/>
          <w:szCs w:val="22"/>
        </w:rPr>
      </w:pPr>
      <w:r w:rsidRPr="009C52E3">
        <w:rPr>
          <w:rFonts w:cs="Arial"/>
          <w:b/>
          <w:i/>
          <w:szCs w:val="22"/>
        </w:rPr>
        <w:t>Recommendation:</w:t>
      </w:r>
      <w:r w:rsidRPr="00CB7D56">
        <w:rPr>
          <w:rFonts w:cs="Arial"/>
          <w:i/>
          <w:szCs w:val="22"/>
        </w:rPr>
        <w:t xml:space="preserve"> </w:t>
      </w:r>
      <w:proofErr w:type="spellStart"/>
      <w:r w:rsidRPr="00CB7D56">
        <w:rPr>
          <w:rFonts w:cs="Arial"/>
          <w:i/>
          <w:szCs w:val="22"/>
        </w:rPr>
        <w:t>ANEDO</w:t>
      </w:r>
      <w:proofErr w:type="spellEnd"/>
      <w:r w:rsidRPr="00CB7D56">
        <w:rPr>
          <w:rFonts w:cs="Arial"/>
          <w:i/>
          <w:szCs w:val="22"/>
        </w:rPr>
        <w:t xml:space="preserve"> supports </w:t>
      </w:r>
      <w:r w:rsidR="008A02C4">
        <w:rPr>
          <w:rFonts w:cs="Arial"/>
          <w:i/>
          <w:szCs w:val="22"/>
        </w:rPr>
        <w:t xml:space="preserve">the establishment of </w:t>
      </w:r>
      <w:r w:rsidRPr="00CB7D56">
        <w:rPr>
          <w:rFonts w:cs="Arial"/>
          <w:i/>
          <w:szCs w:val="22"/>
        </w:rPr>
        <w:t>an independent, statuto</w:t>
      </w:r>
      <w:r w:rsidR="008A02C4">
        <w:rPr>
          <w:rFonts w:cs="Arial"/>
          <w:i/>
          <w:szCs w:val="22"/>
        </w:rPr>
        <w:t xml:space="preserve">ry </w:t>
      </w:r>
      <w:r w:rsidR="008A02C4" w:rsidRPr="004D6F76">
        <w:rPr>
          <w:rFonts w:cs="Arial"/>
          <w:b/>
          <w:i/>
          <w:szCs w:val="22"/>
        </w:rPr>
        <w:t>Environment Commissioner</w:t>
      </w:r>
      <w:r w:rsidR="008A02C4">
        <w:rPr>
          <w:rFonts w:cs="Arial"/>
          <w:i/>
          <w:szCs w:val="22"/>
        </w:rPr>
        <w:t xml:space="preserve"> and Commission</w:t>
      </w:r>
      <w:r w:rsidR="00946D6B">
        <w:rPr>
          <w:rFonts w:cs="Arial"/>
          <w:i/>
          <w:szCs w:val="22"/>
        </w:rPr>
        <w:t xml:space="preserve">, </w:t>
      </w:r>
      <w:r w:rsidR="00946D6B" w:rsidRPr="00946D6B">
        <w:rPr>
          <w:rFonts w:cs="Arial"/>
          <w:i/>
          <w:szCs w:val="22"/>
        </w:rPr>
        <w:t xml:space="preserve">noting the different roles and mandates of the National Sustainability Council and the Independent Expert Scientific Committee on Large coal mining and </w:t>
      </w:r>
      <w:proofErr w:type="spellStart"/>
      <w:r w:rsidR="00946D6B" w:rsidRPr="00946D6B">
        <w:rPr>
          <w:rFonts w:cs="Arial"/>
          <w:i/>
          <w:szCs w:val="22"/>
        </w:rPr>
        <w:t>CSG</w:t>
      </w:r>
      <w:proofErr w:type="spellEnd"/>
      <w:r w:rsidR="00946D6B" w:rsidRPr="00946D6B">
        <w:rPr>
          <w:rFonts w:cs="Arial"/>
          <w:i/>
          <w:szCs w:val="22"/>
        </w:rPr>
        <w:t xml:space="preserve"> developments</w:t>
      </w:r>
      <w:r w:rsidRPr="00CB7D56">
        <w:rPr>
          <w:rFonts w:cs="Arial"/>
          <w:i/>
          <w:szCs w:val="22"/>
        </w:rPr>
        <w:t>.</w:t>
      </w:r>
      <w:r w:rsidR="00382D6C">
        <w:br w:type="page"/>
      </w:r>
    </w:p>
    <w:p w:rsidR="00035157" w:rsidRDefault="00350CCD" w:rsidP="00744084">
      <w:pPr>
        <w:pStyle w:val="Heading1"/>
      </w:pPr>
      <w:bookmarkStart w:id="12" w:name="_Toc351985895"/>
      <w:r>
        <w:lastRenderedPageBreak/>
        <w:t>Recognising the public benefits of e</w:t>
      </w:r>
      <w:r w:rsidR="00744084">
        <w:t>nvironmental regulation</w:t>
      </w:r>
      <w:bookmarkEnd w:id="12"/>
      <w:r w:rsidR="00744084">
        <w:t xml:space="preserve"> </w:t>
      </w:r>
    </w:p>
    <w:p w:rsidR="00744084" w:rsidRDefault="00744084" w:rsidP="00035157"/>
    <w:p w:rsidR="00497CD2" w:rsidRDefault="001A4932" w:rsidP="0028200D">
      <w:pPr>
        <w:rPr>
          <w:rFonts w:cs="Arial"/>
          <w:szCs w:val="22"/>
        </w:rPr>
      </w:pPr>
      <w:proofErr w:type="spellStart"/>
      <w:r>
        <w:t>AN</w:t>
      </w:r>
      <w:r w:rsidR="00035157">
        <w:t>EDO</w:t>
      </w:r>
      <w:proofErr w:type="spellEnd"/>
      <w:r>
        <w:t xml:space="preserve"> agrees with the</w:t>
      </w:r>
      <w:r w:rsidR="00035157">
        <w:t xml:space="preserve"> Australia</w:t>
      </w:r>
      <w:r>
        <w:t xml:space="preserve">n Government </w:t>
      </w:r>
      <w:r w:rsidR="00035157">
        <w:t>that ‘i</w:t>
      </w:r>
      <w:r w:rsidR="00035157" w:rsidRPr="00AE6B89">
        <w:t>mproving environmental outcomes is part of ensuring a sustainable future for Australia’, both for our quality of life, and our continued economic prosperity.</w:t>
      </w:r>
      <w:r w:rsidR="00035157" w:rsidRPr="00AE6B89">
        <w:rPr>
          <w:rStyle w:val="FootnoteReference"/>
          <w:rFonts w:cs="Arial"/>
          <w:szCs w:val="22"/>
        </w:rPr>
        <w:footnoteReference w:id="12"/>
      </w:r>
      <w:r w:rsidR="00035157" w:rsidRPr="00AE6B89">
        <w:t xml:space="preserve"> </w:t>
      </w:r>
      <w:r w:rsidR="00035157" w:rsidRPr="00341166">
        <w:t>The</w:t>
      </w:r>
      <w:r w:rsidR="00F32CA9" w:rsidRPr="00341166">
        <w:t xml:space="preserve">re is </w:t>
      </w:r>
      <w:r w:rsidR="00632827">
        <w:t xml:space="preserve">also </w:t>
      </w:r>
      <w:r w:rsidR="00F32CA9" w:rsidRPr="00341166">
        <w:t>evidence that the</w:t>
      </w:r>
      <w:r w:rsidRPr="00341166">
        <w:t xml:space="preserve"> </w:t>
      </w:r>
      <w:r w:rsidR="00AA175F">
        <w:t xml:space="preserve">Australian </w:t>
      </w:r>
      <w:r w:rsidR="00D221B3">
        <w:t>community</w:t>
      </w:r>
      <w:r w:rsidR="00035157" w:rsidRPr="00341166">
        <w:t xml:space="preserve"> </w:t>
      </w:r>
      <w:r w:rsidR="00D221B3">
        <w:t xml:space="preserve">appreciates the </w:t>
      </w:r>
      <w:r w:rsidR="00AA175F">
        <w:t>need to</w:t>
      </w:r>
      <w:r w:rsidR="00D221B3">
        <w:t xml:space="preserve"> </w:t>
      </w:r>
      <w:r w:rsidR="00D74C7B">
        <w:t xml:space="preserve">protect </w:t>
      </w:r>
      <w:r w:rsidR="00D221B3">
        <w:t>Australia’s environment</w:t>
      </w:r>
      <w:r w:rsidR="00AA175F">
        <w:t>,</w:t>
      </w:r>
      <w:r w:rsidR="00AA175F" w:rsidRPr="00AA175F">
        <w:t xml:space="preserve"> </w:t>
      </w:r>
      <w:r w:rsidR="00AA175F">
        <w:t>and regulate the impacts on it</w:t>
      </w:r>
      <w:r w:rsidR="00035157" w:rsidRPr="00341166">
        <w:t>.</w:t>
      </w:r>
      <w:r w:rsidR="00035157" w:rsidRPr="00341166">
        <w:rPr>
          <w:rStyle w:val="FootnoteReference"/>
        </w:rPr>
        <w:footnoteReference w:id="13"/>
      </w:r>
      <w:r w:rsidR="00035157" w:rsidRPr="006A0A1A">
        <w:t xml:space="preserve"> </w:t>
      </w:r>
      <w:r w:rsidR="00632827">
        <w:rPr>
          <w:rFonts w:cs="Arial"/>
          <w:szCs w:val="22"/>
        </w:rPr>
        <w:t xml:space="preserve">It is striking that the two </w:t>
      </w:r>
      <w:r w:rsidR="009856EB">
        <w:rPr>
          <w:rFonts w:cs="Arial"/>
          <w:szCs w:val="22"/>
        </w:rPr>
        <w:t xml:space="preserve">regulatory </w:t>
      </w:r>
      <w:r w:rsidR="00632827">
        <w:rPr>
          <w:rFonts w:cs="Arial"/>
          <w:szCs w:val="22"/>
        </w:rPr>
        <w:t xml:space="preserve">sectors that the community perceives as being </w:t>
      </w:r>
      <w:r w:rsidR="00C01CEF">
        <w:rPr>
          <w:rFonts w:cs="Arial"/>
          <w:szCs w:val="22"/>
        </w:rPr>
        <w:t xml:space="preserve">‘too lax’ in </w:t>
      </w:r>
      <w:r w:rsidR="00AC43ED">
        <w:t xml:space="preserve">the </w:t>
      </w:r>
      <w:r w:rsidR="00FB66E6">
        <w:t>recent</w:t>
      </w:r>
      <w:r w:rsidR="00AC43ED">
        <w:t xml:space="preserve"> NSW </w:t>
      </w:r>
      <w:r w:rsidR="00FB66E6">
        <w:t>government environmental</w:t>
      </w:r>
      <w:r w:rsidR="00AC43ED">
        <w:t xml:space="preserve"> survey</w:t>
      </w:r>
      <w:r w:rsidR="00AC43ED">
        <w:rPr>
          <w:rStyle w:val="FootnoteReference"/>
        </w:rPr>
        <w:footnoteReference w:id="14"/>
      </w:r>
      <w:r w:rsidR="00C01CEF">
        <w:t xml:space="preserve"> </w:t>
      </w:r>
      <w:r w:rsidR="00AC43ED">
        <w:rPr>
          <w:rFonts w:cs="Arial"/>
          <w:szCs w:val="22"/>
        </w:rPr>
        <w:t xml:space="preserve">– property development and mining – </w:t>
      </w:r>
      <w:r w:rsidR="00632827">
        <w:rPr>
          <w:rFonts w:cs="Arial"/>
          <w:szCs w:val="22"/>
        </w:rPr>
        <w:t>are the same sectors that COAG’s Business Advisory forum is seeking to ‘streamline’.</w:t>
      </w:r>
      <w:r w:rsidR="00632827">
        <w:rPr>
          <w:rStyle w:val="FootnoteReference"/>
          <w:rFonts w:cs="Arial"/>
          <w:szCs w:val="22"/>
        </w:rPr>
        <w:footnoteReference w:id="15"/>
      </w:r>
      <w:r w:rsidR="00632827">
        <w:rPr>
          <w:rFonts w:cs="Arial"/>
          <w:szCs w:val="22"/>
        </w:rPr>
        <w:t xml:space="preserve"> </w:t>
      </w:r>
    </w:p>
    <w:p w:rsidR="00497CD2" w:rsidRDefault="00497CD2" w:rsidP="0028200D">
      <w:pPr>
        <w:rPr>
          <w:rFonts w:cs="Arial"/>
          <w:szCs w:val="22"/>
        </w:rPr>
      </w:pPr>
    </w:p>
    <w:p w:rsidR="0028200D" w:rsidRDefault="00497CD2" w:rsidP="0028200D">
      <w:r>
        <w:t xml:space="preserve">Similarly, </w:t>
      </w:r>
      <w:proofErr w:type="spellStart"/>
      <w:r w:rsidR="0028200D">
        <w:t>ANEDO</w:t>
      </w:r>
      <w:proofErr w:type="spellEnd"/>
      <w:r w:rsidR="0028200D">
        <w:t xml:space="preserve"> </w:t>
      </w:r>
      <w:r w:rsidR="0028200D" w:rsidRPr="00AE6B89">
        <w:t>do</w:t>
      </w:r>
      <w:r w:rsidR="0028200D">
        <w:t>es</w:t>
      </w:r>
      <w:r w:rsidR="0028200D" w:rsidRPr="00AE6B89">
        <w:t xml:space="preserve"> not accept the premise that environmental laws are an </w:t>
      </w:r>
      <w:r w:rsidR="0028200D">
        <w:t xml:space="preserve">unreasonable regulatory burden. Unfortunately, the </w:t>
      </w:r>
      <w:r w:rsidR="009856EB">
        <w:t xml:space="preserve">proposed </w:t>
      </w:r>
      <w:r w:rsidR="0028200D">
        <w:t xml:space="preserve">COAG reforms have shifted the focus further towards ‘streamlining’ </w:t>
      </w:r>
      <w:r>
        <w:t xml:space="preserve">environmental </w:t>
      </w:r>
      <w:r w:rsidR="0028200D">
        <w:t xml:space="preserve">regulation, notwithstanding some verbal commitments to continued environmental rigour. </w:t>
      </w:r>
    </w:p>
    <w:p w:rsidR="00B71548" w:rsidRDefault="00B71548" w:rsidP="0028200D"/>
    <w:p w:rsidR="0028200D" w:rsidRPr="003866AD" w:rsidRDefault="00F73DF5" w:rsidP="00F73DF5">
      <w:pPr>
        <w:spacing w:after="120"/>
      </w:pPr>
      <w:r>
        <w:t>N</w:t>
      </w:r>
      <w:r w:rsidRPr="003866AD">
        <w:t xml:space="preserve">umerous state and federal </w:t>
      </w:r>
      <w:r w:rsidRPr="003866AD">
        <w:rPr>
          <w:i/>
        </w:rPr>
        <w:t>State of the Environment</w:t>
      </w:r>
      <w:r w:rsidRPr="003866AD">
        <w:t xml:space="preserve"> reports </w:t>
      </w:r>
      <w:r>
        <w:t>emphasise t</w:t>
      </w:r>
      <w:r w:rsidRPr="003866AD">
        <w:t>h</w:t>
      </w:r>
      <w:r>
        <w:t>e importance of environmental safeguards for an ecologically sustainable future. Here is a</w:t>
      </w:r>
      <w:r w:rsidR="0028200D" w:rsidRPr="003866AD">
        <w:t xml:space="preserve"> key finding of the </w:t>
      </w:r>
      <w:r>
        <w:t xml:space="preserve">latest </w:t>
      </w:r>
      <w:r w:rsidR="0028200D" w:rsidRPr="003866AD">
        <w:t xml:space="preserve">federal </w:t>
      </w:r>
      <w:r w:rsidR="0028200D" w:rsidRPr="00B7767E">
        <w:t>report</w:t>
      </w:r>
      <w:r w:rsidR="0028200D" w:rsidRPr="003866AD">
        <w:t xml:space="preserve">: </w:t>
      </w:r>
    </w:p>
    <w:p w:rsidR="0028200D" w:rsidRPr="003866AD" w:rsidRDefault="0028200D" w:rsidP="0028200D">
      <w:pPr>
        <w:ind w:left="720"/>
        <w:rPr>
          <w:color w:val="000000"/>
          <w:sz w:val="20"/>
          <w:szCs w:val="20"/>
          <w:lang w:eastAsia="en-AU"/>
        </w:rPr>
      </w:pPr>
      <w:r w:rsidRPr="003866AD">
        <w:rPr>
          <w:i/>
          <w:iCs/>
          <w:color w:val="000000"/>
          <w:sz w:val="20"/>
          <w:szCs w:val="20"/>
          <w:lang w:eastAsia="en-AU"/>
        </w:rPr>
        <w:t xml:space="preserve">Our environment is a national issue requiring national leadership and action at all levels… </w:t>
      </w:r>
    </w:p>
    <w:p w:rsidR="0028200D" w:rsidRPr="003866AD" w:rsidRDefault="0028200D" w:rsidP="00F73DF5">
      <w:pPr>
        <w:spacing w:after="120"/>
        <w:ind w:left="720"/>
        <w:rPr>
          <w:rFonts w:ascii="Verdana" w:hAnsi="Verdana" w:cs="Verdana"/>
          <w:color w:val="000000"/>
          <w:sz w:val="18"/>
          <w:szCs w:val="18"/>
          <w:lang w:eastAsia="en-AU"/>
        </w:rPr>
      </w:pPr>
      <w:r w:rsidRPr="003866AD">
        <w:rPr>
          <w:i/>
          <w:iCs/>
          <w:color w:val="000000"/>
          <w:sz w:val="20"/>
          <w:szCs w:val="20"/>
          <w:lang w:eastAsia="en-AU"/>
        </w:rPr>
        <w:t xml:space="preserve">The prognosis for the environment at a </w:t>
      </w:r>
      <w:r w:rsidRPr="004D6C0D">
        <w:rPr>
          <w:i/>
          <w:iCs/>
          <w:color w:val="000000"/>
          <w:sz w:val="20"/>
          <w:szCs w:val="20"/>
          <w:lang w:eastAsia="en-AU"/>
        </w:rPr>
        <w:t>national level is highly dependent on how seriously the Australian Government takes its leadership role.</w:t>
      </w:r>
      <w:r w:rsidRPr="004D6C0D">
        <w:rPr>
          <w:rStyle w:val="FootnoteReference"/>
          <w:rFonts w:cs="Arial"/>
          <w:i/>
          <w:iCs/>
          <w:color w:val="000000"/>
          <w:sz w:val="20"/>
          <w:szCs w:val="20"/>
          <w:lang w:eastAsia="en-AU"/>
        </w:rPr>
        <w:footnoteReference w:id="16"/>
      </w:r>
    </w:p>
    <w:p w:rsidR="00F73DF5" w:rsidRDefault="00F73DF5" w:rsidP="00035157">
      <w:pPr>
        <w:rPr>
          <w:rFonts w:cs="Arial"/>
        </w:rPr>
      </w:pPr>
      <w:r>
        <w:t>The report concluded</w:t>
      </w:r>
      <w:r w:rsidR="001A4932">
        <w:t xml:space="preserve"> that</w:t>
      </w:r>
      <w:r w:rsidR="00035157">
        <w:t xml:space="preserve"> ‘</w:t>
      </w:r>
      <w:r w:rsidR="00035157" w:rsidRPr="00B7767E">
        <w:rPr>
          <w:rFonts w:cs="Arial"/>
        </w:rPr>
        <w:t>Australians cannot afford to see ourselves as separate from the enviro</w:t>
      </w:r>
      <w:r w:rsidR="00035157">
        <w:rPr>
          <w:rFonts w:cs="Arial"/>
        </w:rPr>
        <w:t>nment’.</w:t>
      </w:r>
      <w:r w:rsidR="00035157">
        <w:rPr>
          <w:rStyle w:val="FootnoteReference"/>
          <w:rFonts w:cs="Arial"/>
        </w:rPr>
        <w:footnoteReference w:id="17"/>
      </w:r>
      <w:r w:rsidR="00035157" w:rsidRPr="00B7767E">
        <w:rPr>
          <w:rFonts w:cs="Arial"/>
        </w:rPr>
        <w:t xml:space="preserve"> </w:t>
      </w:r>
      <w:r w:rsidR="00035157">
        <w:rPr>
          <w:rFonts w:cs="Arial"/>
        </w:rPr>
        <w:t xml:space="preserve"> </w:t>
      </w:r>
    </w:p>
    <w:p w:rsidR="00F73DF5" w:rsidRDefault="00F73DF5" w:rsidP="00035157">
      <w:pPr>
        <w:rPr>
          <w:rFonts w:cs="Arial"/>
        </w:rPr>
      </w:pPr>
    </w:p>
    <w:p w:rsidR="00035157" w:rsidRDefault="001A4932" w:rsidP="00035157">
      <w:r>
        <w:rPr>
          <w:rFonts w:cs="Arial"/>
        </w:rPr>
        <w:t xml:space="preserve">Parliament </w:t>
      </w:r>
      <w:r w:rsidR="0028200D">
        <w:rPr>
          <w:rFonts w:cs="Arial"/>
        </w:rPr>
        <w:t xml:space="preserve">also </w:t>
      </w:r>
      <w:r>
        <w:rPr>
          <w:rFonts w:cs="Arial"/>
        </w:rPr>
        <w:t>recognised t</w:t>
      </w:r>
      <w:r w:rsidR="0028200D">
        <w:rPr>
          <w:rFonts w:cs="Arial"/>
        </w:rPr>
        <w:t xml:space="preserve">his ‘triple bottom line’ </w:t>
      </w:r>
      <w:r w:rsidR="00F73DF5">
        <w:rPr>
          <w:rFonts w:cs="Arial"/>
        </w:rPr>
        <w:t xml:space="preserve">linkage when it </w:t>
      </w:r>
      <w:r>
        <w:t>establish</w:t>
      </w:r>
      <w:r w:rsidR="00F73DF5">
        <w:t>ed</w:t>
      </w:r>
      <w:r>
        <w:t xml:space="preserve"> the Productivity Commission</w:t>
      </w:r>
      <w:r w:rsidR="0028200D">
        <w:t xml:space="preserve">. The Commission must </w:t>
      </w:r>
      <w:r w:rsidR="00035157">
        <w:t>have regard to the need: ‘</w:t>
      </w:r>
      <w:r w:rsidR="00035157" w:rsidRPr="000323BC">
        <w:t>to ensure that industry develops in a way that is ecologically sustainable</w:t>
      </w:r>
      <w:r w:rsidR="00035157">
        <w:t>’; and ‘</w:t>
      </w:r>
      <w:r w:rsidR="00035157" w:rsidRPr="000323BC">
        <w:t>for Australia to meet its international obligations and commitments</w:t>
      </w:r>
      <w:r w:rsidR="00035157">
        <w:t>’.</w:t>
      </w:r>
      <w:r w:rsidR="00035157">
        <w:rPr>
          <w:rStyle w:val="FootnoteReference"/>
        </w:rPr>
        <w:footnoteReference w:id="18"/>
      </w:r>
      <w:r w:rsidR="00035157" w:rsidRPr="00400C2D">
        <w:t xml:space="preserve"> </w:t>
      </w:r>
      <w:r w:rsidR="00F73DF5">
        <w:t>Australia’s environmental</w:t>
      </w:r>
      <w:r>
        <w:t xml:space="preserve"> commitments arise under instruments such as the Convention on Biological Diversity, World Heritage Convention, the Framework Convention on Climate Change, the </w:t>
      </w:r>
      <w:proofErr w:type="spellStart"/>
      <w:r>
        <w:t>Ramsar</w:t>
      </w:r>
      <w:proofErr w:type="spellEnd"/>
      <w:r>
        <w:t xml:space="preserve"> </w:t>
      </w:r>
      <w:r w:rsidR="00F41BA1">
        <w:t>Convention</w:t>
      </w:r>
      <w:r>
        <w:t xml:space="preserve"> on International Wetlands, and the Declaration on the Rights of Indigenous Peoples.</w:t>
      </w:r>
    </w:p>
    <w:p w:rsidR="00035157" w:rsidRDefault="00035157" w:rsidP="00035157"/>
    <w:p w:rsidR="00035157" w:rsidRDefault="00F73DF5" w:rsidP="00035157">
      <w:r>
        <w:t>W</w:t>
      </w:r>
      <w:r w:rsidR="00035157">
        <w:t xml:space="preserve">e welcome the </w:t>
      </w:r>
      <w:r>
        <w:t xml:space="preserve">Commission’s </w:t>
      </w:r>
      <w:r w:rsidR="0028200D">
        <w:t xml:space="preserve">statement that </w:t>
      </w:r>
      <w:r>
        <w:t>it</w:t>
      </w:r>
      <w:r w:rsidR="0028200D">
        <w:t xml:space="preserve"> </w:t>
      </w:r>
      <w:r w:rsidR="00035157" w:rsidRPr="00456D4B">
        <w:t xml:space="preserve">will adopt a </w:t>
      </w:r>
      <w:r w:rsidR="0028200D">
        <w:t>‘</w:t>
      </w:r>
      <w:r w:rsidR="00035157" w:rsidRPr="00456D4B">
        <w:t>community-wide framework</w:t>
      </w:r>
      <w:r w:rsidR="00035157">
        <w:t xml:space="preserve">’ in undertaking this study, </w:t>
      </w:r>
      <w:r w:rsidR="00035157" w:rsidRPr="000323BC">
        <w:t xml:space="preserve">having regard to </w:t>
      </w:r>
      <w:r w:rsidR="00035157">
        <w:t xml:space="preserve">the </w:t>
      </w:r>
      <w:r w:rsidR="00035157" w:rsidRPr="000323BC">
        <w:t xml:space="preserve">regulatory objectives </w:t>
      </w:r>
      <w:r w:rsidR="00035157">
        <w:t xml:space="preserve">of major project </w:t>
      </w:r>
      <w:proofErr w:type="spellStart"/>
      <w:r w:rsidR="00035157">
        <w:t>DAA</w:t>
      </w:r>
      <w:proofErr w:type="spellEnd"/>
      <w:r w:rsidR="00035157">
        <w:t xml:space="preserve"> processes </w:t>
      </w:r>
      <w:r>
        <w:t>‘</w:t>
      </w:r>
      <w:r w:rsidR="00035157" w:rsidRPr="000323BC">
        <w:t>and their net benefit to the wider community.</w:t>
      </w:r>
      <w:r w:rsidR="00035157">
        <w:t>’</w:t>
      </w:r>
      <w:r>
        <w:t xml:space="preserve"> (Issues Paper p 2). </w:t>
      </w:r>
      <w:r w:rsidR="00035157">
        <w:t xml:space="preserve">However, we also express a note of caution, as these regulatory objectives (and the departments tasked with pursuing them) often </w:t>
      </w:r>
      <w:r>
        <w:t>have</w:t>
      </w:r>
      <w:r w:rsidR="00035157">
        <w:t xml:space="preserve"> </w:t>
      </w:r>
      <w:r>
        <w:t xml:space="preserve">in-built </w:t>
      </w:r>
      <w:r w:rsidR="00035157">
        <w:t xml:space="preserve">pressures and incentives to prioritise economic outcomes </w:t>
      </w:r>
      <w:r>
        <w:t>over</w:t>
      </w:r>
      <w:r w:rsidR="00035157">
        <w:t xml:space="preserve"> social and environmental outcomes. A</w:t>
      </w:r>
      <w:r w:rsidR="00F32CA9">
        <w:t>s explored below, clearer objects and a</w:t>
      </w:r>
      <w:r w:rsidR="00035157">
        <w:t xml:space="preserve"> more balanced application of </w:t>
      </w:r>
      <w:proofErr w:type="spellStart"/>
      <w:r w:rsidR="00035157">
        <w:t>ESD</w:t>
      </w:r>
      <w:proofErr w:type="spellEnd"/>
      <w:r w:rsidR="00035157">
        <w:t xml:space="preserve"> principles </w:t>
      </w:r>
      <w:r w:rsidR="00F32CA9">
        <w:t>are</w:t>
      </w:r>
      <w:r w:rsidR="00035157">
        <w:t xml:space="preserve"> needed.</w:t>
      </w:r>
    </w:p>
    <w:p w:rsidR="00035157" w:rsidRDefault="00035157" w:rsidP="00BD762C">
      <w:pPr>
        <w:autoSpaceDE w:val="0"/>
        <w:autoSpaceDN w:val="0"/>
        <w:adjustRightInd w:val="0"/>
        <w:rPr>
          <w:rFonts w:cs="Arial"/>
          <w:sz w:val="24"/>
          <w:highlight w:val="yellow"/>
        </w:rPr>
      </w:pPr>
    </w:p>
    <w:p w:rsidR="009C52E3" w:rsidRDefault="0028200D" w:rsidP="006A0A1A">
      <w:r w:rsidRPr="00F73DF5">
        <w:rPr>
          <w:b/>
          <w:i/>
        </w:rPr>
        <w:t>Recommendation:</w:t>
      </w:r>
      <w:r>
        <w:rPr>
          <w:b/>
        </w:rPr>
        <w:t xml:space="preserve"> T</w:t>
      </w:r>
      <w:r w:rsidRPr="0028200D">
        <w:rPr>
          <w:b/>
        </w:rPr>
        <w:t xml:space="preserve">he Productivity Commission’s study and recommendations </w:t>
      </w:r>
      <w:r>
        <w:rPr>
          <w:b/>
        </w:rPr>
        <w:t xml:space="preserve">must </w:t>
      </w:r>
      <w:r w:rsidRPr="0028200D">
        <w:rPr>
          <w:b/>
        </w:rPr>
        <w:t>recogni</w:t>
      </w:r>
      <w:r w:rsidR="00F73DF5">
        <w:rPr>
          <w:b/>
        </w:rPr>
        <w:t>se</w:t>
      </w:r>
      <w:r w:rsidRPr="0028200D">
        <w:rPr>
          <w:b/>
        </w:rPr>
        <w:t xml:space="preserve"> the public purpose </w:t>
      </w:r>
      <w:r w:rsidR="00F73DF5">
        <w:rPr>
          <w:b/>
        </w:rPr>
        <w:t xml:space="preserve">and benefit </w:t>
      </w:r>
      <w:r w:rsidRPr="0028200D">
        <w:rPr>
          <w:b/>
        </w:rPr>
        <w:t xml:space="preserve">of environmental laws, objective standards and leading practices </w:t>
      </w:r>
      <w:r w:rsidR="00F32CA9">
        <w:rPr>
          <w:b/>
        </w:rPr>
        <w:t>to achieve</w:t>
      </w:r>
      <w:r w:rsidRPr="0028200D">
        <w:rPr>
          <w:b/>
        </w:rPr>
        <w:t xml:space="preserve"> ecolog</w:t>
      </w:r>
      <w:r w:rsidR="00F32CA9">
        <w:rPr>
          <w:b/>
        </w:rPr>
        <w:t>ically sustainable development</w:t>
      </w:r>
      <w:r w:rsidRPr="0028200D">
        <w:rPr>
          <w:b/>
        </w:rPr>
        <w:t>. G</w:t>
      </w:r>
      <w:r w:rsidRPr="0028200D">
        <w:rPr>
          <w:rFonts w:cs="Calibri"/>
          <w:b/>
        </w:rPr>
        <w:t>overnmen</w:t>
      </w:r>
      <w:r w:rsidR="00F73DF5">
        <w:rPr>
          <w:rFonts w:cs="Calibri"/>
          <w:b/>
        </w:rPr>
        <w:t xml:space="preserve">ts, industry groups and businesses </w:t>
      </w:r>
      <w:r w:rsidRPr="0028200D">
        <w:rPr>
          <w:rFonts w:cs="Calibri"/>
          <w:b/>
        </w:rPr>
        <w:t xml:space="preserve">must also recognise the public benefit of environmental laws as a necessary cost of </w:t>
      </w:r>
      <w:r w:rsidR="00F73DF5">
        <w:rPr>
          <w:rFonts w:cs="Calibri"/>
          <w:b/>
        </w:rPr>
        <w:t xml:space="preserve">doing </w:t>
      </w:r>
      <w:r w:rsidRPr="0028200D">
        <w:rPr>
          <w:rFonts w:cs="Calibri"/>
          <w:b/>
        </w:rPr>
        <w:t>business</w:t>
      </w:r>
      <w:r w:rsidR="00F73DF5" w:rsidRPr="00F73DF5">
        <w:rPr>
          <w:rFonts w:cs="Calibri"/>
          <w:b/>
        </w:rPr>
        <w:t xml:space="preserve"> </w:t>
      </w:r>
      <w:r w:rsidR="00F73DF5">
        <w:rPr>
          <w:rFonts w:cs="Calibri"/>
          <w:b/>
        </w:rPr>
        <w:t>responsibly</w:t>
      </w:r>
      <w:r w:rsidRPr="0028200D">
        <w:rPr>
          <w:rFonts w:cs="Calibri"/>
          <w:b/>
        </w:rPr>
        <w:t>.</w:t>
      </w:r>
      <w:r>
        <w:t xml:space="preserve"> </w:t>
      </w:r>
    </w:p>
    <w:p w:rsidR="00F41BA1" w:rsidRDefault="00F41BA1" w:rsidP="006A0A1A"/>
    <w:p w:rsidR="00F41BA1" w:rsidRPr="006A0A1A" w:rsidRDefault="00F41BA1" w:rsidP="006A0A1A"/>
    <w:p w:rsidR="00035157" w:rsidRDefault="00744084" w:rsidP="00744084">
      <w:pPr>
        <w:pStyle w:val="Heading1"/>
      </w:pPr>
      <w:bookmarkStart w:id="13" w:name="_Toc351985896"/>
      <w:r>
        <w:t xml:space="preserve">Analysis of </w:t>
      </w:r>
      <w:r w:rsidR="00035157">
        <w:t>COAG proposal to delegate federal approval powers</w:t>
      </w:r>
      <w:bookmarkEnd w:id="13"/>
    </w:p>
    <w:p w:rsidR="00744084" w:rsidRDefault="00744084" w:rsidP="00744084">
      <w:pPr>
        <w:autoSpaceDE w:val="0"/>
        <w:autoSpaceDN w:val="0"/>
        <w:adjustRightInd w:val="0"/>
        <w:rPr>
          <w:rFonts w:cs="Arial"/>
          <w:sz w:val="24"/>
          <w:highlight w:val="yellow"/>
        </w:rPr>
      </w:pPr>
    </w:p>
    <w:p w:rsidR="00350CCD" w:rsidRDefault="00EC110A" w:rsidP="00350CCD">
      <w:pPr>
        <w:autoSpaceDE w:val="0"/>
        <w:autoSpaceDN w:val="0"/>
        <w:adjustRightInd w:val="0"/>
      </w:pPr>
      <w:r w:rsidRPr="00EC110A">
        <w:t>The Productivity Commission</w:t>
      </w:r>
      <w:r w:rsidR="00F32CA9">
        <w:t>’s</w:t>
      </w:r>
      <w:r w:rsidRPr="00EC110A">
        <w:t xml:space="preserve"> inquiry is t</w:t>
      </w:r>
      <w:r>
        <w:t>o have regard to related work to develop bilateral arrangements for accrediting State and Territory</w:t>
      </w:r>
      <w:r w:rsidR="00F32CA9">
        <w:t xml:space="preserve"> environmental impact assessment (</w:t>
      </w:r>
      <w:proofErr w:type="spellStart"/>
      <w:r w:rsidRPr="00F32CA9">
        <w:rPr>
          <w:b/>
        </w:rPr>
        <w:t>EIA</w:t>
      </w:r>
      <w:proofErr w:type="spellEnd"/>
      <w:r w:rsidR="00F32CA9">
        <w:t>)</w:t>
      </w:r>
      <w:r>
        <w:t xml:space="preserve"> and approval processes.</w:t>
      </w:r>
      <w:r w:rsidR="009131EF" w:rsidRPr="009131EF">
        <w:rPr>
          <w:highlight w:val="yellow"/>
        </w:rPr>
        <w:t xml:space="preserve"> </w:t>
      </w:r>
    </w:p>
    <w:p w:rsidR="00EC110A" w:rsidRDefault="00EC110A" w:rsidP="00744084">
      <w:pPr>
        <w:autoSpaceDE w:val="0"/>
        <w:autoSpaceDN w:val="0"/>
        <w:adjustRightInd w:val="0"/>
        <w:rPr>
          <w:rFonts w:cs="Arial"/>
          <w:sz w:val="24"/>
          <w:highlight w:val="yellow"/>
        </w:rPr>
      </w:pPr>
    </w:p>
    <w:p w:rsidR="00BD762C" w:rsidRPr="00070682" w:rsidRDefault="00BD762C" w:rsidP="00BD762C">
      <w:pPr>
        <w:autoSpaceDE w:val="0"/>
        <w:autoSpaceDN w:val="0"/>
        <w:adjustRightInd w:val="0"/>
        <w:spacing w:after="120"/>
        <w:rPr>
          <w:rFonts w:cs="Arial"/>
          <w:szCs w:val="22"/>
        </w:rPr>
      </w:pPr>
      <w:r w:rsidRPr="00070682">
        <w:rPr>
          <w:rFonts w:cs="Arial"/>
          <w:szCs w:val="22"/>
        </w:rPr>
        <w:t xml:space="preserve">The COAG reforms, </w:t>
      </w:r>
      <w:r>
        <w:rPr>
          <w:rFonts w:cs="Arial"/>
          <w:szCs w:val="22"/>
        </w:rPr>
        <w:t xml:space="preserve">as </w:t>
      </w:r>
      <w:r w:rsidRPr="00070682">
        <w:rPr>
          <w:rFonts w:cs="Arial"/>
          <w:szCs w:val="22"/>
        </w:rPr>
        <w:t xml:space="preserve">proposed by the </w:t>
      </w:r>
      <w:proofErr w:type="spellStart"/>
      <w:r>
        <w:rPr>
          <w:rFonts w:cs="Arial"/>
          <w:szCs w:val="22"/>
        </w:rPr>
        <w:t>BAF</w:t>
      </w:r>
      <w:proofErr w:type="spellEnd"/>
      <w:r w:rsidRPr="00070682">
        <w:rPr>
          <w:rFonts w:cs="Arial"/>
          <w:szCs w:val="22"/>
        </w:rPr>
        <w:t xml:space="preserve">, target </w:t>
      </w:r>
      <w:r>
        <w:rPr>
          <w:rFonts w:cs="Arial"/>
          <w:szCs w:val="22"/>
        </w:rPr>
        <w:t>six</w:t>
      </w:r>
      <w:r w:rsidRPr="00070682">
        <w:rPr>
          <w:rFonts w:cs="Arial"/>
          <w:szCs w:val="22"/>
        </w:rPr>
        <w:t xml:space="preserve"> priority areas: </w:t>
      </w:r>
    </w:p>
    <w:p w:rsidR="00BD762C" w:rsidRPr="0056501E" w:rsidRDefault="00BD762C" w:rsidP="00341166">
      <w:pPr>
        <w:pStyle w:val="ListParagraph"/>
        <w:numPr>
          <w:ilvl w:val="0"/>
          <w:numId w:val="1"/>
        </w:numPr>
        <w:spacing w:line="240" w:lineRule="auto"/>
        <w:ind w:left="714" w:hanging="357"/>
        <w:rPr>
          <w:rFonts w:ascii="Arial" w:hAnsi="Arial" w:cs="Arial"/>
          <w:i/>
        </w:rPr>
      </w:pPr>
      <w:r w:rsidRPr="0056501E">
        <w:rPr>
          <w:rFonts w:ascii="Arial" w:hAnsi="Arial" w:cs="Arial"/>
          <w:i/>
        </w:rPr>
        <w:t>addressing duplicative and cumbersome environment regulation;</w:t>
      </w:r>
    </w:p>
    <w:p w:rsidR="00BD762C" w:rsidRPr="0056501E" w:rsidRDefault="00BD762C" w:rsidP="00341166">
      <w:pPr>
        <w:pStyle w:val="ListParagraph"/>
        <w:numPr>
          <w:ilvl w:val="0"/>
          <w:numId w:val="1"/>
        </w:numPr>
        <w:spacing w:line="240" w:lineRule="auto"/>
        <w:ind w:left="714" w:hanging="357"/>
        <w:rPr>
          <w:rFonts w:ascii="Arial" w:hAnsi="Arial" w:cs="Arial"/>
          <w:i/>
        </w:rPr>
      </w:pPr>
      <w:r w:rsidRPr="0056501E">
        <w:rPr>
          <w:rFonts w:ascii="Arial" w:hAnsi="Arial" w:cs="Arial"/>
          <w:i/>
        </w:rPr>
        <w:t>streamlining the process for approvals of major projects;</w:t>
      </w:r>
    </w:p>
    <w:p w:rsidR="00BD762C" w:rsidRPr="0056501E" w:rsidRDefault="00BD762C" w:rsidP="00341166">
      <w:pPr>
        <w:pStyle w:val="ListParagraph"/>
        <w:numPr>
          <w:ilvl w:val="0"/>
          <w:numId w:val="1"/>
        </w:numPr>
        <w:spacing w:line="240" w:lineRule="auto"/>
        <w:ind w:left="714" w:hanging="357"/>
        <w:rPr>
          <w:rFonts w:ascii="Arial" w:hAnsi="Arial" w:cs="Arial"/>
          <w:i/>
        </w:rPr>
      </w:pPr>
      <w:r w:rsidRPr="0056501E">
        <w:rPr>
          <w:rFonts w:ascii="Arial" w:hAnsi="Arial" w:cs="Arial"/>
          <w:i/>
        </w:rPr>
        <w:t>rationalising carbon reduction and energy efficiency schemes;</w:t>
      </w:r>
    </w:p>
    <w:p w:rsidR="00BD762C" w:rsidRPr="0056501E" w:rsidRDefault="00BD762C" w:rsidP="00341166">
      <w:pPr>
        <w:pStyle w:val="ListParagraph"/>
        <w:numPr>
          <w:ilvl w:val="0"/>
          <w:numId w:val="1"/>
        </w:numPr>
        <w:spacing w:line="240" w:lineRule="auto"/>
        <w:ind w:left="714" w:hanging="357"/>
        <w:rPr>
          <w:rFonts w:ascii="Arial" w:hAnsi="Arial" w:cs="Arial"/>
          <w:i/>
        </w:rPr>
      </w:pPr>
      <w:r w:rsidRPr="0056501E">
        <w:rPr>
          <w:rFonts w:ascii="Arial" w:hAnsi="Arial" w:cs="Arial"/>
          <w:i/>
        </w:rPr>
        <w:t>delivering energy market reforms to reduce costs;</w:t>
      </w:r>
    </w:p>
    <w:p w:rsidR="00BD762C" w:rsidRPr="0056501E" w:rsidRDefault="00BD762C" w:rsidP="00341166">
      <w:pPr>
        <w:pStyle w:val="ListParagraph"/>
        <w:numPr>
          <w:ilvl w:val="0"/>
          <w:numId w:val="1"/>
        </w:numPr>
        <w:spacing w:line="240" w:lineRule="auto"/>
        <w:ind w:left="714" w:hanging="357"/>
        <w:rPr>
          <w:rFonts w:ascii="Arial" w:hAnsi="Arial" w:cs="Arial"/>
          <w:i/>
        </w:rPr>
      </w:pPr>
      <w:r w:rsidRPr="0056501E">
        <w:rPr>
          <w:rFonts w:ascii="Arial" w:hAnsi="Arial" w:cs="Arial"/>
          <w:i/>
        </w:rPr>
        <w:t>improving assessment processes for low risk, low impact developments; and</w:t>
      </w:r>
    </w:p>
    <w:p w:rsidR="00BD762C" w:rsidRPr="0056501E" w:rsidRDefault="00BD762C" w:rsidP="00341166">
      <w:pPr>
        <w:pStyle w:val="ListParagraph"/>
        <w:numPr>
          <w:ilvl w:val="0"/>
          <w:numId w:val="1"/>
        </w:numPr>
        <w:spacing w:line="240" w:lineRule="auto"/>
        <w:ind w:left="714" w:hanging="357"/>
        <w:rPr>
          <w:rFonts w:ascii="Arial" w:hAnsi="Arial" w:cs="Arial"/>
          <w:i/>
        </w:rPr>
      </w:pPr>
      <w:r w:rsidRPr="0056501E">
        <w:rPr>
          <w:rFonts w:ascii="Arial" w:hAnsi="Arial" w:cs="Arial"/>
          <w:i/>
        </w:rPr>
        <w:t>best practice approaches to regulation.</w:t>
      </w:r>
      <w:r w:rsidRPr="0056501E">
        <w:rPr>
          <w:rStyle w:val="FootnoteReference"/>
          <w:rFonts w:ascii="Arial" w:hAnsi="Arial" w:cs="Arial"/>
          <w:i/>
        </w:rPr>
        <w:footnoteReference w:id="19"/>
      </w:r>
      <w:r w:rsidRPr="0056501E">
        <w:rPr>
          <w:rFonts w:ascii="Arial" w:hAnsi="Arial" w:cs="Arial"/>
          <w:i/>
        </w:rPr>
        <w:t xml:space="preserve"> </w:t>
      </w:r>
    </w:p>
    <w:p w:rsidR="00BD762C" w:rsidRPr="00070682" w:rsidRDefault="00BD762C" w:rsidP="00BD762C">
      <w:pPr>
        <w:spacing w:after="120"/>
        <w:rPr>
          <w:rFonts w:cs="Arial"/>
          <w:szCs w:val="22"/>
        </w:rPr>
      </w:pPr>
      <w:r w:rsidRPr="00070682">
        <w:rPr>
          <w:rFonts w:cs="Arial"/>
          <w:szCs w:val="22"/>
        </w:rPr>
        <w:t>At a first reading, these priorit</w:t>
      </w:r>
      <w:r w:rsidR="00FA3CA3">
        <w:rPr>
          <w:rFonts w:cs="Arial"/>
          <w:szCs w:val="22"/>
        </w:rPr>
        <w:t xml:space="preserve">ies seem like common sense – no </w:t>
      </w:r>
      <w:r w:rsidRPr="00070682">
        <w:rPr>
          <w:rFonts w:cs="Arial"/>
          <w:szCs w:val="22"/>
        </w:rPr>
        <w:t xml:space="preserve">one is advocating </w:t>
      </w:r>
      <w:r>
        <w:rPr>
          <w:rFonts w:cs="Arial"/>
          <w:szCs w:val="22"/>
        </w:rPr>
        <w:t>for</w:t>
      </w:r>
      <w:r w:rsidRPr="00070682">
        <w:rPr>
          <w:rFonts w:cs="Arial"/>
          <w:szCs w:val="22"/>
        </w:rPr>
        <w:t xml:space="preserve"> a duplicative or inefficient regulatory system. However, on closer analysis the proposed reforms are extremely concerning for at least three reasons</w:t>
      </w:r>
      <w:r>
        <w:rPr>
          <w:rFonts w:cs="Arial"/>
          <w:szCs w:val="22"/>
        </w:rPr>
        <w:t>:</w:t>
      </w:r>
      <w:r w:rsidRPr="00070682">
        <w:rPr>
          <w:rFonts w:cs="Arial"/>
          <w:szCs w:val="22"/>
        </w:rPr>
        <w:t xml:space="preserve"> </w:t>
      </w:r>
    </w:p>
    <w:p w:rsidR="00BD762C" w:rsidRPr="00070682" w:rsidRDefault="00BD762C" w:rsidP="00341166">
      <w:pPr>
        <w:pStyle w:val="ListParagraph"/>
        <w:numPr>
          <w:ilvl w:val="0"/>
          <w:numId w:val="3"/>
        </w:numPr>
        <w:spacing w:line="240" w:lineRule="auto"/>
        <w:rPr>
          <w:rFonts w:ascii="Arial" w:hAnsi="Arial" w:cs="Arial"/>
        </w:rPr>
      </w:pPr>
      <w:r w:rsidRPr="00070682">
        <w:rPr>
          <w:rFonts w:ascii="Arial" w:hAnsi="Arial" w:cs="Arial"/>
        </w:rPr>
        <w:t xml:space="preserve">the existence of sectoral bias; </w:t>
      </w:r>
    </w:p>
    <w:p w:rsidR="00BD762C" w:rsidRPr="00070682" w:rsidRDefault="00BD762C" w:rsidP="00341166">
      <w:pPr>
        <w:pStyle w:val="ListParagraph"/>
        <w:numPr>
          <w:ilvl w:val="0"/>
          <w:numId w:val="3"/>
        </w:numPr>
        <w:spacing w:line="240" w:lineRule="auto"/>
        <w:rPr>
          <w:rFonts w:ascii="Arial" w:hAnsi="Arial" w:cs="Arial"/>
        </w:rPr>
      </w:pPr>
      <w:r w:rsidRPr="00070682">
        <w:rPr>
          <w:rFonts w:ascii="Arial" w:hAnsi="Arial" w:cs="Arial"/>
        </w:rPr>
        <w:t xml:space="preserve">the abrogation of Commonwealth legal responsibilities; and </w:t>
      </w:r>
    </w:p>
    <w:p w:rsidR="00BD762C" w:rsidRPr="00070682" w:rsidRDefault="00BD762C" w:rsidP="00341166">
      <w:pPr>
        <w:pStyle w:val="ListParagraph"/>
        <w:numPr>
          <w:ilvl w:val="0"/>
          <w:numId w:val="3"/>
        </w:numPr>
        <w:spacing w:line="240" w:lineRule="auto"/>
        <w:rPr>
          <w:rFonts w:ascii="Arial" w:hAnsi="Arial" w:cs="Arial"/>
        </w:rPr>
      </w:pPr>
      <w:r w:rsidRPr="00070682">
        <w:rPr>
          <w:rFonts w:ascii="Arial" w:hAnsi="Arial" w:cs="Arial"/>
        </w:rPr>
        <w:t xml:space="preserve">because the reform criteria do not relate to improved environmental outcomes. </w:t>
      </w:r>
    </w:p>
    <w:p w:rsidR="00BD762C" w:rsidRDefault="00BD762C" w:rsidP="00341166">
      <w:pPr>
        <w:rPr>
          <w:rFonts w:cs="Arial"/>
          <w:szCs w:val="22"/>
        </w:rPr>
      </w:pPr>
      <w:r w:rsidRPr="00070682">
        <w:rPr>
          <w:rFonts w:cs="Arial"/>
          <w:i/>
          <w:szCs w:val="22"/>
        </w:rPr>
        <w:t>First,</w:t>
      </w:r>
      <w:r w:rsidRPr="00070682">
        <w:rPr>
          <w:rFonts w:cs="Arial"/>
          <w:szCs w:val="22"/>
        </w:rPr>
        <w:t xml:space="preserve"> the proposals come from </w:t>
      </w:r>
      <w:r>
        <w:rPr>
          <w:rFonts w:cs="Arial"/>
          <w:szCs w:val="22"/>
        </w:rPr>
        <w:t xml:space="preserve">one section of </w:t>
      </w:r>
      <w:r w:rsidRPr="00070682">
        <w:rPr>
          <w:rFonts w:cs="Arial"/>
          <w:szCs w:val="22"/>
        </w:rPr>
        <w:t xml:space="preserve">one sector </w:t>
      </w:r>
      <w:r>
        <w:rPr>
          <w:rFonts w:cs="Arial"/>
          <w:szCs w:val="22"/>
        </w:rPr>
        <w:t>–</w:t>
      </w:r>
      <w:r w:rsidRPr="00070682">
        <w:rPr>
          <w:rFonts w:cs="Arial"/>
          <w:szCs w:val="22"/>
        </w:rPr>
        <w:t xml:space="preserve"> the business community </w:t>
      </w:r>
      <w:r>
        <w:rPr>
          <w:rFonts w:cs="Arial"/>
          <w:szCs w:val="22"/>
        </w:rPr>
        <w:t xml:space="preserve">– </w:t>
      </w:r>
      <w:r w:rsidRPr="00070682">
        <w:rPr>
          <w:rFonts w:cs="Arial"/>
          <w:szCs w:val="22"/>
        </w:rPr>
        <w:t>a</w:t>
      </w:r>
      <w:r>
        <w:rPr>
          <w:rFonts w:cs="Arial"/>
          <w:szCs w:val="22"/>
        </w:rPr>
        <w:t>s </w:t>
      </w:r>
      <w:r w:rsidRPr="00070682">
        <w:rPr>
          <w:rFonts w:cs="Arial"/>
          <w:szCs w:val="22"/>
        </w:rPr>
        <w:t xml:space="preserve">represented by the </w:t>
      </w:r>
      <w:proofErr w:type="spellStart"/>
      <w:r w:rsidRPr="00FA3CA3">
        <w:rPr>
          <w:rFonts w:cs="Arial"/>
          <w:szCs w:val="22"/>
        </w:rPr>
        <w:t>BAF</w:t>
      </w:r>
      <w:proofErr w:type="spellEnd"/>
      <w:r w:rsidRPr="00070682">
        <w:rPr>
          <w:rFonts w:cs="Arial"/>
          <w:szCs w:val="22"/>
        </w:rPr>
        <w:t>.</w:t>
      </w:r>
      <w:r w:rsidRPr="00070682">
        <w:rPr>
          <w:rStyle w:val="FootnoteReference"/>
          <w:rFonts w:cs="Arial"/>
          <w:szCs w:val="22"/>
        </w:rPr>
        <w:footnoteReference w:id="20"/>
      </w:r>
      <w:r w:rsidRPr="00070682">
        <w:rPr>
          <w:rFonts w:cs="Arial"/>
          <w:szCs w:val="22"/>
        </w:rPr>
        <w:t xml:space="preserve"> No such forum exists for any other sector of the community. In comparison, the</w:t>
      </w:r>
      <w:r>
        <w:rPr>
          <w:rFonts w:cs="Arial"/>
          <w:szCs w:val="22"/>
        </w:rPr>
        <w:t xml:space="preserve"> Independent Hawke</w:t>
      </w:r>
      <w:r w:rsidRPr="00070682">
        <w:rPr>
          <w:rFonts w:cs="Arial"/>
          <w:szCs w:val="22"/>
        </w:rPr>
        <w:t xml:space="preserve"> Review process sought and analysed specific feedback on </w:t>
      </w:r>
      <w:r w:rsidR="00FA3CA3">
        <w:rPr>
          <w:rFonts w:cs="Arial"/>
          <w:szCs w:val="22"/>
        </w:rPr>
        <w:t>essentially</w:t>
      </w:r>
      <w:r w:rsidRPr="00070682">
        <w:rPr>
          <w:rFonts w:cs="Arial"/>
          <w:szCs w:val="22"/>
        </w:rPr>
        <w:t xml:space="preserve"> </w:t>
      </w:r>
      <w:r w:rsidR="00FA3CA3">
        <w:rPr>
          <w:rFonts w:cs="Arial"/>
          <w:szCs w:val="22"/>
        </w:rPr>
        <w:t xml:space="preserve">the </w:t>
      </w:r>
      <w:r w:rsidRPr="00070682">
        <w:rPr>
          <w:rFonts w:cs="Arial"/>
          <w:szCs w:val="22"/>
        </w:rPr>
        <w:t>same issue</w:t>
      </w:r>
      <w:r w:rsidRPr="00BD762C">
        <w:rPr>
          <w:rFonts w:cs="Arial"/>
          <w:szCs w:val="22"/>
        </w:rPr>
        <w:t xml:space="preserve"> </w:t>
      </w:r>
      <w:r>
        <w:rPr>
          <w:rFonts w:cs="Arial"/>
          <w:szCs w:val="22"/>
        </w:rPr>
        <w:t xml:space="preserve">(the effectiveness of the </w:t>
      </w:r>
      <w:proofErr w:type="spellStart"/>
      <w:r w:rsidRPr="00070682">
        <w:rPr>
          <w:rFonts w:cs="Arial"/>
          <w:szCs w:val="22"/>
        </w:rPr>
        <w:t>EPBC</w:t>
      </w:r>
      <w:proofErr w:type="spellEnd"/>
      <w:r w:rsidRPr="00070682">
        <w:rPr>
          <w:rFonts w:cs="Arial"/>
          <w:szCs w:val="22"/>
        </w:rPr>
        <w:t xml:space="preserve"> Act</w:t>
      </w:r>
      <w:r>
        <w:rPr>
          <w:rFonts w:cs="Arial"/>
          <w:szCs w:val="22"/>
        </w:rPr>
        <w:t>)</w:t>
      </w:r>
      <w:r w:rsidR="00FA3CA3">
        <w:rPr>
          <w:rFonts w:cs="Arial"/>
          <w:szCs w:val="22"/>
        </w:rPr>
        <w:t xml:space="preserve">. The Hawke Review </w:t>
      </w:r>
      <w:r w:rsidRPr="00070682">
        <w:rPr>
          <w:rFonts w:cs="Arial"/>
          <w:szCs w:val="22"/>
        </w:rPr>
        <w:t>involv</w:t>
      </w:r>
      <w:r w:rsidR="00FA3CA3">
        <w:rPr>
          <w:rFonts w:cs="Arial"/>
          <w:szCs w:val="22"/>
        </w:rPr>
        <w:t>ed</w:t>
      </w:r>
      <w:r w:rsidRPr="00070682">
        <w:rPr>
          <w:rFonts w:cs="Arial"/>
          <w:szCs w:val="22"/>
        </w:rPr>
        <w:t xml:space="preserve"> 220 </w:t>
      </w:r>
      <w:r w:rsidR="00FA3CA3">
        <w:rPr>
          <w:rFonts w:cs="Arial"/>
          <w:szCs w:val="22"/>
        </w:rPr>
        <w:t xml:space="preserve">public </w:t>
      </w:r>
      <w:r w:rsidRPr="00070682">
        <w:rPr>
          <w:rFonts w:cs="Arial"/>
          <w:szCs w:val="22"/>
        </w:rPr>
        <w:t xml:space="preserve">submissions, 119 supplementary submissions, as well as face- to-face consultations in each State and Territory. </w:t>
      </w:r>
    </w:p>
    <w:p w:rsidR="00BD762C" w:rsidRPr="00070682" w:rsidRDefault="00BD762C" w:rsidP="00341166">
      <w:pPr>
        <w:rPr>
          <w:rFonts w:cs="Arial"/>
          <w:szCs w:val="22"/>
        </w:rPr>
      </w:pPr>
    </w:p>
    <w:p w:rsidR="00BD762C" w:rsidRPr="00070682" w:rsidRDefault="00BD762C" w:rsidP="00341166">
      <w:pPr>
        <w:spacing w:after="120"/>
        <w:rPr>
          <w:rFonts w:cs="Arial"/>
          <w:szCs w:val="22"/>
        </w:rPr>
      </w:pPr>
      <w:r w:rsidRPr="00070682">
        <w:rPr>
          <w:rFonts w:cs="Arial"/>
          <w:i/>
          <w:szCs w:val="22"/>
        </w:rPr>
        <w:t>Second</w:t>
      </w:r>
      <w:r>
        <w:rPr>
          <w:rFonts w:cs="Arial"/>
          <w:i/>
          <w:szCs w:val="22"/>
        </w:rPr>
        <w:t>,</w:t>
      </w:r>
      <w:r w:rsidRPr="00070682">
        <w:rPr>
          <w:rFonts w:cs="Arial"/>
          <w:szCs w:val="22"/>
        </w:rPr>
        <w:t xml:space="preserve"> </w:t>
      </w:r>
      <w:r>
        <w:rPr>
          <w:rFonts w:cs="Arial"/>
          <w:szCs w:val="22"/>
        </w:rPr>
        <w:t>t</w:t>
      </w:r>
      <w:r w:rsidRPr="00070682">
        <w:rPr>
          <w:rFonts w:cs="Arial"/>
          <w:szCs w:val="22"/>
        </w:rPr>
        <w:t xml:space="preserve">he </w:t>
      </w:r>
      <w:proofErr w:type="spellStart"/>
      <w:r w:rsidR="00FA3CA3">
        <w:rPr>
          <w:rFonts w:cs="Arial"/>
          <w:szCs w:val="22"/>
        </w:rPr>
        <w:t>BAF</w:t>
      </w:r>
      <w:proofErr w:type="spellEnd"/>
      <w:r w:rsidRPr="00070682">
        <w:rPr>
          <w:rFonts w:cs="Arial"/>
          <w:szCs w:val="22"/>
        </w:rPr>
        <w:t xml:space="preserve"> </w:t>
      </w:r>
      <w:r>
        <w:rPr>
          <w:rFonts w:cs="Arial"/>
          <w:szCs w:val="22"/>
        </w:rPr>
        <w:t>has</w:t>
      </w:r>
      <w:r w:rsidRPr="00070682">
        <w:rPr>
          <w:rFonts w:cs="Arial"/>
          <w:szCs w:val="22"/>
        </w:rPr>
        <w:t xml:space="preserve"> </w:t>
      </w:r>
      <w:r w:rsidR="00FA3CA3" w:rsidRPr="00070682">
        <w:rPr>
          <w:rFonts w:cs="Arial"/>
          <w:szCs w:val="22"/>
        </w:rPr>
        <w:t xml:space="preserve">effectively </w:t>
      </w:r>
      <w:r w:rsidRPr="00070682">
        <w:rPr>
          <w:rFonts w:cs="Arial"/>
          <w:szCs w:val="22"/>
        </w:rPr>
        <w:t>s</w:t>
      </w:r>
      <w:r>
        <w:rPr>
          <w:rFonts w:cs="Arial"/>
          <w:szCs w:val="22"/>
        </w:rPr>
        <w:t>ought</w:t>
      </w:r>
      <w:r w:rsidRPr="00070682">
        <w:rPr>
          <w:rFonts w:cs="Arial"/>
          <w:szCs w:val="22"/>
        </w:rPr>
        <w:t xml:space="preserve"> to remove the Commonwealth from the development assessment process by delegating these powers to the States. This is flawed for many reasons </w:t>
      </w:r>
      <w:proofErr w:type="spellStart"/>
      <w:r>
        <w:rPr>
          <w:rFonts w:cs="Arial"/>
          <w:szCs w:val="22"/>
        </w:rPr>
        <w:t>ANEDO</w:t>
      </w:r>
      <w:proofErr w:type="spellEnd"/>
      <w:r>
        <w:rPr>
          <w:rFonts w:cs="Arial"/>
          <w:szCs w:val="22"/>
        </w:rPr>
        <w:t xml:space="preserve"> has outlined, </w:t>
      </w:r>
      <w:r w:rsidRPr="00070682">
        <w:rPr>
          <w:rFonts w:cs="Arial"/>
          <w:szCs w:val="22"/>
        </w:rPr>
        <w:t>including that:</w:t>
      </w:r>
    </w:p>
    <w:p w:rsidR="00BD762C" w:rsidRPr="00070682" w:rsidRDefault="00BD762C" w:rsidP="00341166">
      <w:pPr>
        <w:pStyle w:val="ListParagraph"/>
        <w:numPr>
          <w:ilvl w:val="0"/>
          <w:numId w:val="1"/>
        </w:numPr>
        <w:spacing w:line="240" w:lineRule="auto"/>
        <w:ind w:left="714" w:hanging="357"/>
        <w:rPr>
          <w:rFonts w:ascii="Arial" w:hAnsi="Arial" w:cs="Arial"/>
        </w:rPr>
      </w:pPr>
      <w:r w:rsidRPr="00070682">
        <w:rPr>
          <w:rFonts w:ascii="Arial" w:hAnsi="Arial" w:cs="Arial"/>
        </w:rPr>
        <w:t>States are not legally mandated to act in the national interest;</w:t>
      </w:r>
    </w:p>
    <w:p w:rsidR="00BD762C" w:rsidRPr="00070682" w:rsidRDefault="00BD762C" w:rsidP="00341166">
      <w:pPr>
        <w:pStyle w:val="ListParagraph"/>
        <w:numPr>
          <w:ilvl w:val="0"/>
          <w:numId w:val="1"/>
        </w:numPr>
        <w:spacing w:line="240" w:lineRule="auto"/>
        <w:ind w:left="714" w:hanging="357"/>
        <w:rPr>
          <w:rFonts w:ascii="Arial" w:hAnsi="Arial" w:cs="Arial"/>
        </w:rPr>
      </w:pPr>
      <w:r w:rsidRPr="00070682">
        <w:rPr>
          <w:rFonts w:ascii="Arial" w:hAnsi="Arial" w:cs="Arial"/>
        </w:rPr>
        <w:lastRenderedPageBreak/>
        <w:t xml:space="preserve">States may have inherent conflicts of interest </w:t>
      </w:r>
      <w:r w:rsidR="00FA3CA3">
        <w:rPr>
          <w:rFonts w:ascii="Arial" w:hAnsi="Arial" w:cs="Arial"/>
        </w:rPr>
        <w:t>as</w:t>
      </w:r>
      <w:r w:rsidRPr="00070682">
        <w:rPr>
          <w:rFonts w:ascii="Arial" w:hAnsi="Arial" w:cs="Arial"/>
        </w:rPr>
        <w:t xml:space="preserve"> proponents of major projects;</w:t>
      </w:r>
    </w:p>
    <w:p w:rsidR="00BD762C" w:rsidRPr="00070682" w:rsidRDefault="00BD762C" w:rsidP="00341166">
      <w:pPr>
        <w:pStyle w:val="ListParagraph"/>
        <w:numPr>
          <w:ilvl w:val="0"/>
          <w:numId w:val="1"/>
        </w:numPr>
        <w:spacing w:line="240" w:lineRule="auto"/>
        <w:ind w:left="714" w:hanging="357"/>
        <w:rPr>
          <w:rFonts w:ascii="Arial" w:hAnsi="Arial" w:cs="Arial"/>
        </w:rPr>
      </w:pPr>
      <w:r w:rsidRPr="00070682">
        <w:rPr>
          <w:rFonts w:ascii="Arial" w:hAnsi="Arial" w:cs="Arial"/>
        </w:rPr>
        <w:t>The Commonwealth is responsible for implementing Australia’s international environmental obligations, for example to prote</w:t>
      </w:r>
      <w:r>
        <w:rPr>
          <w:rFonts w:ascii="Arial" w:hAnsi="Arial" w:cs="Arial"/>
        </w:rPr>
        <w:t xml:space="preserve">ct world heritage sites, </w:t>
      </w:r>
      <w:proofErr w:type="spellStart"/>
      <w:r>
        <w:rPr>
          <w:rFonts w:ascii="Arial" w:hAnsi="Arial" w:cs="Arial"/>
        </w:rPr>
        <w:t>Ramsar</w:t>
      </w:r>
      <w:proofErr w:type="spellEnd"/>
      <w:r>
        <w:rPr>
          <w:rFonts w:ascii="Arial" w:hAnsi="Arial" w:cs="Arial"/>
        </w:rPr>
        <w:t> </w:t>
      </w:r>
      <w:r w:rsidRPr="00070682">
        <w:rPr>
          <w:rFonts w:ascii="Arial" w:hAnsi="Arial" w:cs="Arial"/>
        </w:rPr>
        <w:t>wetlands and federally listed threatened and migratory species; and</w:t>
      </w:r>
    </w:p>
    <w:p w:rsidR="00BD762C" w:rsidRPr="00070682" w:rsidRDefault="00BD762C" w:rsidP="00341166">
      <w:pPr>
        <w:pStyle w:val="ListParagraph"/>
        <w:widowControl w:val="0"/>
        <w:numPr>
          <w:ilvl w:val="0"/>
          <w:numId w:val="1"/>
        </w:numPr>
        <w:spacing w:line="240" w:lineRule="auto"/>
        <w:ind w:left="714" w:hanging="357"/>
        <w:rPr>
          <w:rFonts w:ascii="Arial" w:hAnsi="Arial" w:cs="Arial"/>
        </w:rPr>
      </w:pPr>
      <w:r w:rsidRPr="00070682">
        <w:rPr>
          <w:rFonts w:ascii="Arial" w:hAnsi="Arial" w:cs="Arial"/>
        </w:rPr>
        <w:t>The Commonwealth has an essential role in requiring consistent environmental standards and oversight of State processes relevant to matters of national environmental significance.</w:t>
      </w:r>
      <w:r w:rsidRPr="00070682">
        <w:rPr>
          <w:rStyle w:val="FootnoteReference"/>
          <w:rFonts w:ascii="Arial" w:hAnsi="Arial" w:cs="Arial"/>
        </w:rPr>
        <w:footnoteReference w:id="21"/>
      </w:r>
    </w:p>
    <w:p w:rsidR="00245128" w:rsidRPr="00245128" w:rsidRDefault="00BD762C" w:rsidP="00245128">
      <w:pPr>
        <w:rPr>
          <w:rFonts w:cs="Arial"/>
          <w:szCs w:val="22"/>
        </w:rPr>
      </w:pPr>
      <w:r w:rsidRPr="00070682">
        <w:rPr>
          <w:rFonts w:cs="Arial"/>
          <w:szCs w:val="22"/>
        </w:rPr>
        <w:t>It is interesting that, notwithstanding the Government’s adoption of the COAG reforms,</w:t>
      </w:r>
      <w:r w:rsidR="00FA3CA3" w:rsidRPr="00FA3CA3">
        <w:rPr>
          <w:rFonts w:cs="Arial"/>
          <w:szCs w:val="22"/>
        </w:rPr>
        <w:t xml:space="preserve"> </w:t>
      </w:r>
      <w:r w:rsidR="00FA3CA3">
        <w:rPr>
          <w:rFonts w:cs="Arial"/>
          <w:szCs w:val="22"/>
        </w:rPr>
        <w:t>i</w:t>
      </w:r>
      <w:r w:rsidR="00FA3CA3" w:rsidRPr="00070682">
        <w:rPr>
          <w:rFonts w:cs="Arial"/>
          <w:szCs w:val="22"/>
        </w:rPr>
        <w:t>n late 2012</w:t>
      </w:r>
      <w:r w:rsidR="00FA3CA3">
        <w:rPr>
          <w:rFonts w:cs="Arial"/>
          <w:szCs w:val="22"/>
        </w:rPr>
        <w:t xml:space="preserve"> the federal</w:t>
      </w:r>
      <w:r w:rsidRPr="00070682">
        <w:rPr>
          <w:rFonts w:cs="Arial"/>
          <w:szCs w:val="22"/>
        </w:rPr>
        <w:t xml:space="preserve"> Environment </w:t>
      </w:r>
      <w:r w:rsidR="00FA3CA3" w:rsidRPr="00070682">
        <w:rPr>
          <w:rFonts w:cs="Arial"/>
          <w:szCs w:val="22"/>
        </w:rPr>
        <w:t xml:space="preserve">Minister </w:t>
      </w:r>
      <w:r w:rsidR="00FA3CA3">
        <w:rPr>
          <w:rFonts w:cs="Arial"/>
          <w:szCs w:val="22"/>
        </w:rPr>
        <w:t>was</w:t>
      </w:r>
      <w:r w:rsidRPr="00070682">
        <w:rPr>
          <w:rFonts w:cs="Arial"/>
          <w:szCs w:val="22"/>
        </w:rPr>
        <w:t xml:space="preserve"> publicly scathing of State-based </w:t>
      </w:r>
      <w:r w:rsidRPr="00341166">
        <w:rPr>
          <w:rFonts w:cs="Arial"/>
          <w:szCs w:val="22"/>
        </w:rPr>
        <w:t>approval processes</w:t>
      </w:r>
      <w:r w:rsidR="00FA3CA3" w:rsidRPr="00341166">
        <w:rPr>
          <w:rFonts w:cs="Arial"/>
          <w:szCs w:val="22"/>
        </w:rPr>
        <w:t xml:space="preserve"> in relation to Queensland’s</w:t>
      </w:r>
      <w:r w:rsidRPr="00341166">
        <w:rPr>
          <w:rFonts w:cs="Arial"/>
          <w:szCs w:val="22"/>
        </w:rPr>
        <w:t xml:space="preserve"> Alpha Coal </w:t>
      </w:r>
      <w:r w:rsidR="00FA3CA3" w:rsidRPr="00341166">
        <w:rPr>
          <w:rFonts w:cs="Arial"/>
          <w:szCs w:val="22"/>
        </w:rPr>
        <w:t>Mine. This and other recent examples (including proposals for alpine grazing, hunting and logging in national parks</w:t>
      </w:r>
      <w:r w:rsidR="00FA3CA3">
        <w:rPr>
          <w:rFonts w:cs="Arial"/>
          <w:szCs w:val="22"/>
        </w:rPr>
        <w:t xml:space="preserve">) </w:t>
      </w:r>
      <w:r w:rsidRPr="00070682">
        <w:rPr>
          <w:rFonts w:cs="Arial"/>
          <w:szCs w:val="22"/>
        </w:rPr>
        <w:t>clearly reinforce the need for rigorous Federal Government oversight</w:t>
      </w:r>
      <w:r w:rsidR="00FA3CA3">
        <w:rPr>
          <w:rFonts w:cs="Arial"/>
          <w:szCs w:val="22"/>
        </w:rPr>
        <w:t>,</w:t>
      </w:r>
      <w:r w:rsidRPr="00070682">
        <w:rPr>
          <w:rFonts w:cs="Arial"/>
          <w:szCs w:val="22"/>
        </w:rPr>
        <w:t xml:space="preserve"> and the maintenance of high national </w:t>
      </w:r>
      <w:r w:rsidR="00FA3CA3">
        <w:rPr>
          <w:rFonts w:cs="Arial"/>
          <w:szCs w:val="22"/>
        </w:rPr>
        <w:t xml:space="preserve">environmental </w:t>
      </w:r>
      <w:r w:rsidRPr="00070682">
        <w:rPr>
          <w:rFonts w:cs="Arial"/>
          <w:szCs w:val="22"/>
        </w:rPr>
        <w:t>standards</w:t>
      </w:r>
      <w:r w:rsidR="00FA3CA3">
        <w:rPr>
          <w:rFonts w:cs="Arial"/>
          <w:szCs w:val="22"/>
        </w:rPr>
        <w:t>.</w:t>
      </w:r>
      <w:r w:rsidR="00245128">
        <w:rPr>
          <w:rFonts w:cs="Arial"/>
          <w:szCs w:val="22"/>
        </w:rPr>
        <w:t xml:space="preserve"> This is further demonstrated by the </w:t>
      </w:r>
      <w:r w:rsidR="0040589A">
        <w:rPr>
          <w:rFonts w:cs="Arial"/>
          <w:szCs w:val="22"/>
        </w:rPr>
        <w:t>Australian</w:t>
      </w:r>
      <w:r w:rsidR="00245128">
        <w:rPr>
          <w:rFonts w:cs="Arial"/>
          <w:szCs w:val="22"/>
        </w:rPr>
        <w:t xml:space="preserve"> Government’s recent move to introduce </w:t>
      </w:r>
      <w:r w:rsidR="00245128" w:rsidRPr="00245128">
        <w:rPr>
          <w:rFonts w:cs="Arial"/>
          <w:szCs w:val="22"/>
        </w:rPr>
        <w:t xml:space="preserve">additional powers </w:t>
      </w:r>
      <w:r w:rsidR="00245128">
        <w:rPr>
          <w:rFonts w:cs="Arial"/>
          <w:szCs w:val="22"/>
        </w:rPr>
        <w:t>to enable the federal Environment Minister to</w:t>
      </w:r>
      <w:r w:rsidR="00245128" w:rsidRPr="00245128">
        <w:rPr>
          <w:rFonts w:cs="Arial"/>
          <w:szCs w:val="22"/>
        </w:rPr>
        <w:t xml:space="preserve"> </w:t>
      </w:r>
      <w:r w:rsidR="00245128">
        <w:rPr>
          <w:rFonts w:cs="Arial"/>
          <w:szCs w:val="22"/>
        </w:rPr>
        <w:t xml:space="preserve">consider the impact on water resources of </w:t>
      </w:r>
      <w:r w:rsidR="00245128" w:rsidRPr="00245128">
        <w:rPr>
          <w:rFonts w:cs="Arial"/>
          <w:szCs w:val="22"/>
        </w:rPr>
        <w:t xml:space="preserve">coal seam gas </w:t>
      </w:r>
      <w:r w:rsidR="00245128">
        <w:rPr>
          <w:rFonts w:cs="Arial"/>
          <w:szCs w:val="22"/>
        </w:rPr>
        <w:t xml:space="preserve">and coal mine operations under the </w:t>
      </w:r>
      <w:proofErr w:type="spellStart"/>
      <w:r w:rsidR="00245128">
        <w:rPr>
          <w:rFonts w:cs="Arial"/>
          <w:szCs w:val="22"/>
        </w:rPr>
        <w:t>EPBC</w:t>
      </w:r>
      <w:proofErr w:type="spellEnd"/>
      <w:r w:rsidR="00245128">
        <w:rPr>
          <w:rFonts w:cs="Arial"/>
          <w:szCs w:val="22"/>
        </w:rPr>
        <w:t xml:space="preserve"> Act.</w:t>
      </w:r>
      <w:r w:rsidR="00245128">
        <w:rPr>
          <w:rStyle w:val="FootnoteReference"/>
          <w:rFonts w:cs="Arial"/>
          <w:szCs w:val="22"/>
        </w:rPr>
        <w:footnoteReference w:id="22"/>
      </w:r>
    </w:p>
    <w:p w:rsidR="00245128" w:rsidRPr="00245128" w:rsidRDefault="00245128" w:rsidP="00245128">
      <w:pPr>
        <w:rPr>
          <w:rFonts w:cs="Arial"/>
          <w:szCs w:val="22"/>
        </w:rPr>
      </w:pPr>
    </w:p>
    <w:p w:rsidR="00BD762C" w:rsidRPr="00070682" w:rsidRDefault="00BD762C" w:rsidP="00BD762C">
      <w:pPr>
        <w:rPr>
          <w:rFonts w:ascii="Times New Roman" w:hAnsi="Times New Roman"/>
          <w:szCs w:val="22"/>
          <w:lang w:eastAsia="en-AU"/>
        </w:rPr>
      </w:pPr>
      <w:r w:rsidRPr="00070682">
        <w:rPr>
          <w:rFonts w:cs="Arial"/>
          <w:i/>
          <w:szCs w:val="22"/>
        </w:rPr>
        <w:t>Third</w:t>
      </w:r>
      <w:r>
        <w:rPr>
          <w:rFonts w:cs="Arial"/>
          <w:i/>
          <w:szCs w:val="22"/>
        </w:rPr>
        <w:t>,</w:t>
      </w:r>
      <w:r w:rsidRPr="00070682">
        <w:rPr>
          <w:rFonts w:cs="Arial"/>
          <w:szCs w:val="22"/>
        </w:rPr>
        <w:t xml:space="preserve"> </w:t>
      </w:r>
      <w:r>
        <w:rPr>
          <w:rFonts w:cs="Arial"/>
          <w:szCs w:val="22"/>
        </w:rPr>
        <w:t>t</w:t>
      </w:r>
      <w:r w:rsidRPr="00070682">
        <w:rPr>
          <w:rFonts w:cs="Arial"/>
          <w:szCs w:val="22"/>
        </w:rPr>
        <w:t xml:space="preserve">he COAG reforms are designed to reduce cost and time delays for new projects. </w:t>
      </w:r>
      <w:r w:rsidR="00341166">
        <w:rPr>
          <w:rFonts w:cs="Arial"/>
          <w:szCs w:val="22"/>
        </w:rPr>
        <w:t>As noted by the recent Senate Committee report</w:t>
      </w:r>
      <w:r w:rsidR="000A4743">
        <w:rPr>
          <w:rFonts w:cs="Arial"/>
          <w:szCs w:val="22"/>
        </w:rPr>
        <w:t>, there is</w:t>
      </w:r>
      <w:r w:rsidR="00341166">
        <w:rPr>
          <w:rFonts w:cs="Arial"/>
          <w:szCs w:val="22"/>
        </w:rPr>
        <w:t xml:space="preserve"> a dearth of hard evidence of purported cost and time delays.</w:t>
      </w:r>
      <w:r w:rsidR="00341166">
        <w:rPr>
          <w:rStyle w:val="FootnoteReference"/>
          <w:rFonts w:cs="Arial"/>
          <w:szCs w:val="22"/>
        </w:rPr>
        <w:footnoteReference w:id="23"/>
      </w:r>
      <w:r w:rsidR="00341166">
        <w:rPr>
          <w:rFonts w:cs="Arial"/>
          <w:szCs w:val="22"/>
        </w:rPr>
        <w:t xml:space="preserve"> </w:t>
      </w:r>
      <w:r w:rsidRPr="00070682">
        <w:rPr>
          <w:rFonts w:cs="Arial"/>
          <w:szCs w:val="22"/>
        </w:rPr>
        <w:t xml:space="preserve">There is </w:t>
      </w:r>
      <w:r w:rsidRPr="00070682">
        <w:rPr>
          <w:rFonts w:cs="Arial"/>
          <w:i/>
          <w:szCs w:val="22"/>
        </w:rPr>
        <w:t>no</w:t>
      </w:r>
      <w:r w:rsidRPr="00070682">
        <w:rPr>
          <w:rFonts w:cs="Arial"/>
          <w:szCs w:val="22"/>
        </w:rPr>
        <w:t xml:space="preserve"> </w:t>
      </w:r>
      <w:r>
        <w:rPr>
          <w:rFonts w:cs="Arial"/>
          <w:szCs w:val="22"/>
        </w:rPr>
        <w:t xml:space="preserve">substantive </w:t>
      </w:r>
      <w:r w:rsidRPr="00070682">
        <w:rPr>
          <w:rFonts w:cs="Arial"/>
          <w:szCs w:val="22"/>
        </w:rPr>
        <w:t xml:space="preserve">evidence presented to show </w:t>
      </w:r>
      <w:r>
        <w:rPr>
          <w:rFonts w:cs="Arial"/>
          <w:szCs w:val="22"/>
        </w:rPr>
        <w:t>how</w:t>
      </w:r>
      <w:r w:rsidRPr="00070682">
        <w:rPr>
          <w:rFonts w:cs="Arial"/>
          <w:szCs w:val="22"/>
        </w:rPr>
        <w:t xml:space="preserve"> the reforms will main</w:t>
      </w:r>
      <w:r w:rsidR="00272400">
        <w:rPr>
          <w:rFonts w:cs="Arial"/>
          <w:szCs w:val="22"/>
        </w:rPr>
        <w:t xml:space="preserve">tain environmental protection, </w:t>
      </w:r>
      <w:r w:rsidRPr="00070682">
        <w:rPr>
          <w:rFonts w:cs="Arial"/>
          <w:szCs w:val="22"/>
        </w:rPr>
        <w:t>guarantee public participation in assessment processes</w:t>
      </w:r>
      <w:r w:rsidR="00272400">
        <w:rPr>
          <w:rFonts w:cs="Arial"/>
          <w:szCs w:val="22"/>
        </w:rPr>
        <w:t>, or ensure that monitoring and enforcement under a ‘States-only’ model</w:t>
      </w:r>
      <w:r w:rsidR="00272400" w:rsidRPr="00272400">
        <w:rPr>
          <w:rFonts w:cs="Arial"/>
          <w:szCs w:val="22"/>
        </w:rPr>
        <w:t xml:space="preserve"> </w:t>
      </w:r>
      <w:r w:rsidR="00272400">
        <w:rPr>
          <w:rFonts w:cs="Arial"/>
          <w:szCs w:val="22"/>
        </w:rPr>
        <w:t>will be sufficiently comprehensive</w:t>
      </w:r>
      <w:r w:rsidRPr="00070682">
        <w:rPr>
          <w:rFonts w:cs="Arial"/>
          <w:szCs w:val="22"/>
        </w:rPr>
        <w:t xml:space="preserve">. Conversely, there </w:t>
      </w:r>
      <w:r w:rsidRPr="00070682">
        <w:rPr>
          <w:rFonts w:cs="Arial"/>
          <w:i/>
          <w:szCs w:val="22"/>
        </w:rPr>
        <w:t>is</w:t>
      </w:r>
      <w:r w:rsidRPr="00070682">
        <w:rPr>
          <w:rFonts w:cs="Arial"/>
          <w:szCs w:val="22"/>
        </w:rPr>
        <w:t xml:space="preserve"> evidence to show that schemes to ‘fast-track’ approval of major projects do reduce the rigour of environmental assessment and public participation.</w:t>
      </w:r>
      <w:r w:rsidRPr="00070682">
        <w:rPr>
          <w:rStyle w:val="FootnoteReference"/>
          <w:rFonts w:cs="Arial"/>
          <w:szCs w:val="22"/>
        </w:rPr>
        <w:footnoteReference w:id="24"/>
      </w:r>
      <w:r w:rsidRPr="00070682">
        <w:rPr>
          <w:rFonts w:cs="Arial"/>
          <w:szCs w:val="22"/>
        </w:rPr>
        <w:t xml:space="preserve"> </w:t>
      </w:r>
    </w:p>
    <w:p w:rsidR="00BD762C" w:rsidRPr="00070682" w:rsidRDefault="00BD762C" w:rsidP="00BD762C">
      <w:pPr>
        <w:rPr>
          <w:rFonts w:cs="Arial"/>
          <w:szCs w:val="22"/>
        </w:rPr>
      </w:pPr>
    </w:p>
    <w:p w:rsidR="00BD762C" w:rsidRPr="00070682" w:rsidRDefault="00BD762C" w:rsidP="00BD762C">
      <w:pPr>
        <w:rPr>
          <w:rFonts w:cs="Arial"/>
          <w:szCs w:val="22"/>
        </w:rPr>
      </w:pPr>
      <w:r w:rsidRPr="00070682">
        <w:rPr>
          <w:rFonts w:cs="Arial"/>
          <w:szCs w:val="22"/>
        </w:rPr>
        <w:t>The environmental consequences of fast-tracking major projects (including those projects with the greatest potential impacts regarding carbon emissions, water usage, land clearing, pollution, human health, biodiversity and cultural heritage) have not been quantified, nor is there a clear process for accounting for these impacts and assets, and the impacts of major projects on key environmental services</w:t>
      </w:r>
      <w:r w:rsidR="00272400">
        <w:rPr>
          <w:rFonts w:cs="Arial"/>
          <w:szCs w:val="22"/>
        </w:rPr>
        <w:t xml:space="preserve"> provided by our landscapes</w:t>
      </w:r>
      <w:r w:rsidRPr="00070682">
        <w:rPr>
          <w:rFonts w:cs="Arial"/>
          <w:szCs w:val="22"/>
        </w:rPr>
        <w:t xml:space="preserve">. </w:t>
      </w:r>
    </w:p>
    <w:p w:rsidR="00BD762C" w:rsidRPr="00070682" w:rsidRDefault="00BD762C" w:rsidP="00BD762C">
      <w:pPr>
        <w:rPr>
          <w:rFonts w:cs="Arial"/>
          <w:szCs w:val="22"/>
        </w:rPr>
      </w:pPr>
    </w:p>
    <w:p w:rsidR="00BD762C" w:rsidRPr="00070682" w:rsidRDefault="00BD762C" w:rsidP="00BD762C">
      <w:pPr>
        <w:rPr>
          <w:rFonts w:cs="Arial"/>
          <w:szCs w:val="22"/>
        </w:rPr>
      </w:pPr>
      <w:r w:rsidRPr="00070682">
        <w:rPr>
          <w:rFonts w:cs="Arial"/>
          <w:szCs w:val="22"/>
        </w:rPr>
        <w:t>The COAG reforms are incorrectly premise</w:t>
      </w:r>
      <w:r w:rsidR="00272400">
        <w:rPr>
          <w:rFonts w:cs="Arial"/>
          <w:szCs w:val="22"/>
        </w:rPr>
        <w:t>d on the assumption that any so-</w:t>
      </w:r>
      <w:r w:rsidRPr="00070682">
        <w:rPr>
          <w:rFonts w:cs="Arial"/>
          <w:szCs w:val="22"/>
        </w:rPr>
        <w:t xml:space="preserve">called ‘green tape’ is unnecessary, instead of accommodating the unavoidable fact that adequate time must be allowed for comprehensively and accurately assessing the potentially </w:t>
      </w:r>
      <w:r w:rsidR="00272400">
        <w:rPr>
          <w:rFonts w:cs="Arial"/>
          <w:szCs w:val="22"/>
        </w:rPr>
        <w:t xml:space="preserve">significant or </w:t>
      </w:r>
      <w:r w:rsidRPr="00070682">
        <w:rPr>
          <w:rFonts w:cs="Arial"/>
          <w:szCs w:val="22"/>
        </w:rPr>
        <w:t xml:space="preserve">irreversible impacts of a proposed development. </w:t>
      </w:r>
    </w:p>
    <w:p w:rsidR="00BD762C" w:rsidRPr="00070682" w:rsidRDefault="00BD762C" w:rsidP="00BD762C">
      <w:pPr>
        <w:rPr>
          <w:rFonts w:cs="Arial"/>
          <w:szCs w:val="22"/>
        </w:rPr>
      </w:pPr>
    </w:p>
    <w:p w:rsidR="00BD762C" w:rsidRPr="00070682" w:rsidRDefault="00272400" w:rsidP="00EC110A">
      <w:pPr>
        <w:spacing w:after="120"/>
        <w:rPr>
          <w:rFonts w:ascii="Times New Roman" w:hAnsi="Times New Roman"/>
          <w:szCs w:val="22"/>
          <w:lang w:eastAsia="en-AU"/>
        </w:rPr>
      </w:pPr>
      <w:r>
        <w:rPr>
          <w:rFonts w:cs="Arial"/>
          <w:szCs w:val="22"/>
        </w:rPr>
        <w:t xml:space="preserve">In an initial response to COAG’s far-reaching </w:t>
      </w:r>
      <w:r w:rsidR="00BD762C" w:rsidRPr="00070682">
        <w:rPr>
          <w:rFonts w:cs="Arial"/>
          <w:szCs w:val="22"/>
        </w:rPr>
        <w:t xml:space="preserve">‘streamlining’ </w:t>
      </w:r>
      <w:r>
        <w:rPr>
          <w:rFonts w:cs="Arial"/>
          <w:szCs w:val="22"/>
        </w:rPr>
        <w:t xml:space="preserve">agenda, </w:t>
      </w:r>
      <w:proofErr w:type="spellStart"/>
      <w:r w:rsidR="00BD762C" w:rsidRPr="00070682">
        <w:rPr>
          <w:rFonts w:cs="Arial"/>
          <w:szCs w:val="22"/>
        </w:rPr>
        <w:t>ANEDO</w:t>
      </w:r>
      <w:proofErr w:type="spellEnd"/>
      <w:r>
        <w:rPr>
          <w:rFonts w:cs="Arial"/>
          <w:szCs w:val="22"/>
        </w:rPr>
        <w:t xml:space="preserve"> </w:t>
      </w:r>
      <w:r w:rsidR="00FA3CA3" w:rsidRPr="00070682">
        <w:rPr>
          <w:rFonts w:cs="Arial"/>
          <w:szCs w:val="22"/>
        </w:rPr>
        <w:t>identifie</w:t>
      </w:r>
      <w:r w:rsidR="00FA3CA3">
        <w:rPr>
          <w:rFonts w:cs="Arial"/>
          <w:szCs w:val="22"/>
        </w:rPr>
        <w:t>d</w:t>
      </w:r>
      <w:r w:rsidR="00FA3CA3" w:rsidRPr="00070682">
        <w:rPr>
          <w:rFonts w:cs="Arial"/>
          <w:szCs w:val="22"/>
        </w:rPr>
        <w:t xml:space="preserve"> a number of public interest benefits </w:t>
      </w:r>
      <w:r w:rsidR="00FA3CA3">
        <w:rPr>
          <w:rFonts w:cs="Arial"/>
          <w:szCs w:val="22"/>
        </w:rPr>
        <w:t>of</w:t>
      </w:r>
      <w:r w:rsidR="00FA3CA3" w:rsidRPr="00070682">
        <w:rPr>
          <w:rFonts w:cs="Arial"/>
          <w:szCs w:val="22"/>
        </w:rPr>
        <w:t xml:space="preserve"> robust environmental laws at all levels of government</w:t>
      </w:r>
      <w:r w:rsidR="00FA3CA3">
        <w:rPr>
          <w:rFonts w:cs="Arial"/>
          <w:szCs w:val="22"/>
        </w:rPr>
        <w:t>.</w:t>
      </w:r>
      <w:r w:rsidR="00BD762C" w:rsidRPr="00070682">
        <w:rPr>
          <w:rStyle w:val="FootnoteReference"/>
          <w:rFonts w:cs="Arial"/>
          <w:szCs w:val="22"/>
        </w:rPr>
        <w:footnoteReference w:id="25"/>
      </w:r>
      <w:r w:rsidR="00BD762C" w:rsidRPr="00070682">
        <w:rPr>
          <w:rFonts w:cs="Arial"/>
          <w:szCs w:val="22"/>
        </w:rPr>
        <w:t xml:space="preserve"> </w:t>
      </w:r>
      <w:r w:rsidR="00FA3CA3">
        <w:rPr>
          <w:rFonts w:cs="Arial"/>
          <w:szCs w:val="22"/>
        </w:rPr>
        <w:t>In brief, e</w:t>
      </w:r>
      <w:r>
        <w:rPr>
          <w:rFonts w:cs="Arial"/>
          <w:szCs w:val="22"/>
        </w:rPr>
        <w:t>nvironmental laws</w:t>
      </w:r>
      <w:r w:rsidR="00BD762C" w:rsidRPr="00070682">
        <w:rPr>
          <w:rFonts w:cs="Arial"/>
          <w:szCs w:val="22"/>
        </w:rPr>
        <w:t>:</w:t>
      </w:r>
      <w:r w:rsidR="00BD762C" w:rsidRPr="00070682">
        <w:rPr>
          <w:rFonts w:ascii="Times New Roman" w:hAnsi="Times New Roman"/>
          <w:szCs w:val="22"/>
          <w:lang w:eastAsia="en-AU"/>
        </w:rPr>
        <w:t xml:space="preserve"> </w:t>
      </w:r>
    </w:p>
    <w:p w:rsidR="00BD762C" w:rsidRPr="00070682" w:rsidRDefault="00BD762C" w:rsidP="00EC110A">
      <w:pPr>
        <w:pStyle w:val="ListParagraph"/>
        <w:numPr>
          <w:ilvl w:val="0"/>
          <w:numId w:val="2"/>
        </w:numPr>
        <w:spacing w:after="120" w:line="240" w:lineRule="auto"/>
        <w:ind w:left="714" w:hanging="357"/>
        <w:contextualSpacing w:val="0"/>
      </w:pPr>
      <w:r w:rsidRPr="00070682">
        <w:rPr>
          <w:rFonts w:ascii="Arial" w:hAnsi="Arial" w:cs="Arial"/>
        </w:rPr>
        <w:lastRenderedPageBreak/>
        <w:t xml:space="preserve">lead to better decision-making as, with principles of </w:t>
      </w:r>
      <w:proofErr w:type="spellStart"/>
      <w:r w:rsidRPr="00070682">
        <w:rPr>
          <w:rFonts w:ascii="Arial" w:hAnsi="Arial" w:cs="Arial"/>
        </w:rPr>
        <w:t>ESD</w:t>
      </w:r>
      <w:proofErr w:type="spellEnd"/>
      <w:r w:rsidRPr="00070682">
        <w:rPr>
          <w:rFonts w:ascii="Arial" w:hAnsi="Arial" w:cs="Arial"/>
        </w:rPr>
        <w:t xml:space="preserve"> at their core, they ensure that long-term economic, environmental, social and equitable considerati</w:t>
      </w:r>
      <w:r w:rsidR="00272400">
        <w:rPr>
          <w:rFonts w:ascii="Arial" w:hAnsi="Arial" w:cs="Arial"/>
        </w:rPr>
        <w:t>ons are all taken into account;</w:t>
      </w:r>
    </w:p>
    <w:p w:rsidR="00BD762C" w:rsidRPr="00070682" w:rsidRDefault="00BD762C" w:rsidP="00EC110A">
      <w:pPr>
        <w:pStyle w:val="ListParagraph"/>
        <w:numPr>
          <w:ilvl w:val="0"/>
          <w:numId w:val="2"/>
        </w:numPr>
        <w:spacing w:after="120" w:line="240" w:lineRule="auto"/>
        <w:ind w:left="714" w:hanging="357"/>
        <w:contextualSpacing w:val="0"/>
      </w:pPr>
      <w:r w:rsidRPr="00070682">
        <w:rPr>
          <w:rFonts w:ascii="Arial" w:hAnsi="Arial" w:cs="Arial"/>
        </w:rPr>
        <w:t>secure the rights of the community to be involved in decision-making</w:t>
      </w:r>
      <w:r w:rsidR="00272400">
        <w:rPr>
          <w:rFonts w:ascii="Arial" w:hAnsi="Arial" w:cs="Arial"/>
        </w:rPr>
        <w:t>,</w:t>
      </w:r>
      <w:r w:rsidRPr="00070682">
        <w:rPr>
          <w:rFonts w:ascii="Arial" w:hAnsi="Arial" w:cs="Arial"/>
        </w:rPr>
        <w:t xml:space="preserve"> and allow communities to </w:t>
      </w:r>
      <w:r w:rsidR="00272400">
        <w:rPr>
          <w:rFonts w:ascii="Arial" w:hAnsi="Arial" w:cs="Arial"/>
        </w:rPr>
        <w:t>contribute valuable information and feedback ‘on the ground’;</w:t>
      </w:r>
    </w:p>
    <w:p w:rsidR="00BD762C" w:rsidRPr="00070682" w:rsidRDefault="00BD762C" w:rsidP="00EC110A">
      <w:pPr>
        <w:pStyle w:val="ListParagraph"/>
        <w:numPr>
          <w:ilvl w:val="0"/>
          <w:numId w:val="2"/>
        </w:numPr>
        <w:spacing w:after="120" w:line="240" w:lineRule="auto"/>
        <w:ind w:left="714" w:hanging="357"/>
        <w:contextualSpacing w:val="0"/>
      </w:pPr>
      <w:r w:rsidRPr="00070682">
        <w:rPr>
          <w:rFonts w:ascii="Arial" w:hAnsi="Arial" w:cs="Arial"/>
        </w:rPr>
        <w:t>promote transparency and accountability by including reporting requirements, access to</w:t>
      </w:r>
      <w:r w:rsidR="00272400">
        <w:rPr>
          <w:rFonts w:ascii="Arial" w:hAnsi="Arial" w:cs="Arial"/>
        </w:rPr>
        <w:t xml:space="preserve"> information and review rights;</w:t>
      </w:r>
    </w:p>
    <w:p w:rsidR="00BD762C" w:rsidRPr="00070682" w:rsidRDefault="00BD762C" w:rsidP="00EC110A">
      <w:pPr>
        <w:pStyle w:val="ListParagraph"/>
        <w:numPr>
          <w:ilvl w:val="0"/>
          <w:numId w:val="2"/>
        </w:numPr>
        <w:spacing w:after="120" w:line="240" w:lineRule="auto"/>
        <w:ind w:left="714" w:hanging="357"/>
        <w:contextualSpacing w:val="0"/>
      </w:pPr>
      <w:r w:rsidRPr="00070682">
        <w:rPr>
          <w:rFonts w:ascii="Arial" w:hAnsi="Arial" w:cs="Arial"/>
        </w:rPr>
        <w:t>can help to address social disadvantage and ‘fairness’ in the legal system</w:t>
      </w:r>
      <w:r w:rsidR="00272400">
        <w:rPr>
          <w:rFonts w:ascii="Arial" w:hAnsi="Arial" w:cs="Arial"/>
        </w:rPr>
        <w:t xml:space="preserve"> – e</w:t>
      </w:r>
      <w:r w:rsidRPr="00070682">
        <w:rPr>
          <w:rFonts w:ascii="Arial" w:hAnsi="Arial" w:cs="Arial"/>
        </w:rPr>
        <w:t>nvironmental law can, for example, play a crucial role in assisting Aboriginal Australians to p</w:t>
      </w:r>
      <w:r w:rsidR="00272400">
        <w:rPr>
          <w:rFonts w:ascii="Arial" w:hAnsi="Arial" w:cs="Arial"/>
        </w:rPr>
        <w:t>rotect their cultural heritage;</w:t>
      </w:r>
    </w:p>
    <w:p w:rsidR="00BD762C" w:rsidRPr="00744084" w:rsidRDefault="00BD762C" w:rsidP="00EC110A">
      <w:pPr>
        <w:pStyle w:val="ListParagraph"/>
        <w:numPr>
          <w:ilvl w:val="0"/>
          <w:numId w:val="2"/>
        </w:numPr>
        <w:spacing w:line="240" w:lineRule="auto"/>
      </w:pPr>
      <w:r w:rsidRPr="00070682">
        <w:rPr>
          <w:rFonts w:ascii="Arial" w:hAnsi="Arial" w:cs="Arial"/>
        </w:rPr>
        <w:t xml:space="preserve">can ensure rigorous, objective, science-based approaches are </w:t>
      </w:r>
      <w:r w:rsidR="00FB6C67">
        <w:rPr>
          <w:rFonts w:ascii="Arial" w:hAnsi="Arial" w:cs="Arial"/>
        </w:rPr>
        <w:t>used to assess</w:t>
      </w:r>
      <w:r w:rsidRPr="00070682">
        <w:rPr>
          <w:rFonts w:ascii="Arial" w:hAnsi="Arial" w:cs="Arial"/>
        </w:rPr>
        <w:t xml:space="preserve"> the environmental impacts</w:t>
      </w:r>
      <w:r w:rsidR="00FB6C67">
        <w:rPr>
          <w:rFonts w:ascii="Arial" w:hAnsi="Arial" w:cs="Arial"/>
        </w:rPr>
        <w:t xml:space="preserve"> of development proposals</w:t>
      </w:r>
      <w:r w:rsidRPr="00070682">
        <w:rPr>
          <w:rFonts w:ascii="Arial" w:hAnsi="Arial" w:cs="Arial"/>
        </w:rPr>
        <w:t>.</w:t>
      </w:r>
    </w:p>
    <w:p w:rsidR="00744084" w:rsidRPr="00070682" w:rsidRDefault="00744084" w:rsidP="009131EF">
      <w:pPr>
        <w:pStyle w:val="ListParagraph"/>
        <w:spacing w:after="0"/>
        <w:ind w:left="0"/>
        <w:contextualSpacing w:val="0"/>
      </w:pPr>
    </w:p>
    <w:p w:rsidR="00744084" w:rsidRDefault="001409FC" w:rsidP="00326B70">
      <w:pPr>
        <w:rPr>
          <w:rFonts w:cs="Arial"/>
          <w:szCs w:val="22"/>
        </w:rPr>
      </w:pPr>
      <w:r>
        <w:rPr>
          <w:rFonts w:cs="Arial"/>
          <w:szCs w:val="22"/>
        </w:rPr>
        <w:t>Overall, t</w:t>
      </w:r>
      <w:r w:rsidR="00326B70" w:rsidRPr="00994998">
        <w:rPr>
          <w:rFonts w:cs="Arial"/>
          <w:szCs w:val="22"/>
        </w:rPr>
        <w:t xml:space="preserve">he direct involvement of </w:t>
      </w:r>
      <w:proofErr w:type="spellStart"/>
      <w:r w:rsidR="00326B70" w:rsidRPr="00994998">
        <w:rPr>
          <w:rFonts w:cs="Arial"/>
          <w:szCs w:val="22"/>
        </w:rPr>
        <w:t>EDOs</w:t>
      </w:r>
      <w:proofErr w:type="spellEnd"/>
      <w:r w:rsidR="00326B70" w:rsidRPr="00994998">
        <w:rPr>
          <w:rFonts w:cs="Arial"/>
          <w:szCs w:val="22"/>
        </w:rPr>
        <w:t xml:space="preserve"> across Australia in environmental law over </w:t>
      </w:r>
      <w:r w:rsidR="00FB6C67">
        <w:rPr>
          <w:rFonts w:cs="Arial"/>
          <w:szCs w:val="22"/>
        </w:rPr>
        <w:t>three decades</w:t>
      </w:r>
      <w:r w:rsidR="00326B70" w:rsidRPr="00994998">
        <w:rPr>
          <w:rFonts w:cs="Arial"/>
          <w:szCs w:val="22"/>
        </w:rPr>
        <w:t xml:space="preserve"> has shown us that </w:t>
      </w:r>
      <w:r w:rsidR="00326B70">
        <w:rPr>
          <w:rFonts w:cs="Arial"/>
          <w:szCs w:val="22"/>
        </w:rPr>
        <w:t>strong Commonwealth involvement is critical to effective environmental protection</w:t>
      </w:r>
      <w:r w:rsidR="00326B70" w:rsidRPr="00994998">
        <w:rPr>
          <w:rFonts w:cs="Arial"/>
          <w:szCs w:val="22"/>
        </w:rPr>
        <w:t xml:space="preserve">. </w:t>
      </w:r>
      <w:proofErr w:type="spellStart"/>
      <w:r w:rsidR="00FB6C67">
        <w:rPr>
          <w:rFonts w:cs="Arial"/>
          <w:szCs w:val="22"/>
        </w:rPr>
        <w:t>ANEDO</w:t>
      </w:r>
      <w:proofErr w:type="spellEnd"/>
      <w:r w:rsidR="00FB6C67">
        <w:rPr>
          <w:rFonts w:cs="Arial"/>
          <w:szCs w:val="22"/>
        </w:rPr>
        <w:t xml:space="preserve"> believes that the proposal to delegate</w:t>
      </w:r>
      <w:r w:rsidR="00326B70">
        <w:rPr>
          <w:rFonts w:cs="Arial"/>
          <w:szCs w:val="22"/>
        </w:rPr>
        <w:t xml:space="preserve"> Commonwealth approval responsibilities under the </w:t>
      </w:r>
      <w:proofErr w:type="spellStart"/>
      <w:r w:rsidR="00326B70">
        <w:rPr>
          <w:rFonts w:cs="Arial"/>
          <w:szCs w:val="22"/>
        </w:rPr>
        <w:t>EPBC</w:t>
      </w:r>
      <w:proofErr w:type="spellEnd"/>
      <w:r w:rsidR="00326B70">
        <w:rPr>
          <w:rFonts w:cs="Arial"/>
          <w:szCs w:val="22"/>
        </w:rPr>
        <w:t xml:space="preserve"> Act to States and Territories </w:t>
      </w:r>
      <w:r>
        <w:rPr>
          <w:rFonts w:cs="Arial"/>
          <w:szCs w:val="22"/>
        </w:rPr>
        <w:t>would</w:t>
      </w:r>
      <w:r w:rsidR="00326B70">
        <w:rPr>
          <w:rFonts w:cs="Arial"/>
          <w:szCs w:val="22"/>
        </w:rPr>
        <w:t xml:space="preserve"> </w:t>
      </w:r>
      <w:r w:rsidR="00326B70" w:rsidRPr="00994998">
        <w:rPr>
          <w:rFonts w:cs="Arial"/>
          <w:szCs w:val="22"/>
        </w:rPr>
        <w:t>wind back 30 years of important gains in environmental regulation.</w:t>
      </w:r>
      <w:r w:rsidR="00326B70">
        <w:rPr>
          <w:rFonts w:cs="Arial"/>
          <w:szCs w:val="22"/>
        </w:rPr>
        <w:t xml:space="preserve"> </w:t>
      </w:r>
    </w:p>
    <w:p w:rsidR="00EC1A1E" w:rsidRDefault="00EC1A1E" w:rsidP="00326B70">
      <w:pPr>
        <w:rPr>
          <w:rFonts w:cs="Arial"/>
          <w:szCs w:val="22"/>
        </w:rPr>
      </w:pPr>
    </w:p>
    <w:p w:rsidR="00EC1A1E" w:rsidRDefault="00FB6C67" w:rsidP="00EC1A1E">
      <w:r>
        <w:t>Unfortunately, neither the 2012 draft standards to accredit State approval processes, nor the 2011 Australian</w:t>
      </w:r>
      <w:r w:rsidR="00EC1A1E">
        <w:t xml:space="preserve"> </w:t>
      </w:r>
      <w:r w:rsidR="000A4743">
        <w:t>Government R</w:t>
      </w:r>
      <w:r>
        <w:t>esponse to the Hawke Review</w:t>
      </w:r>
      <w:r w:rsidRPr="00FB6C67">
        <w:t xml:space="preserve"> </w:t>
      </w:r>
      <w:r>
        <w:t xml:space="preserve">of the </w:t>
      </w:r>
      <w:proofErr w:type="spellStart"/>
      <w:r>
        <w:t>EPBC</w:t>
      </w:r>
      <w:proofErr w:type="spellEnd"/>
      <w:r>
        <w:t xml:space="preserve"> Act, </w:t>
      </w:r>
      <w:r w:rsidR="00EC1A1E">
        <w:t xml:space="preserve">constitute </w:t>
      </w:r>
      <w:r w:rsidR="00A1550A">
        <w:t xml:space="preserve">best practice standards. </w:t>
      </w:r>
      <w:r>
        <w:t xml:space="preserve">Neither option </w:t>
      </w:r>
      <w:r w:rsidR="00EC1A1E">
        <w:t>include</w:t>
      </w:r>
      <w:r>
        <w:t>s</w:t>
      </w:r>
      <w:r w:rsidR="00EC1A1E">
        <w:t xml:space="preserve"> the necessary improvements and regulatory innovations proposed by the Hawke Review</w:t>
      </w:r>
      <w:r>
        <w:t xml:space="preserve"> </w:t>
      </w:r>
      <w:r w:rsidR="00EC1A1E">
        <w:t>– such as cons</w:t>
      </w:r>
      <w:r>
        <w:t>ideration of cumulative impacts, climate change and objective environmental tests</w:t>
      </w:r>
      <w:r w:rsidR="00EC1A1E">
        <w:t>. The proposed COAG reforms risk perpetuat</w:t>
      </w:r>
      <w:r>
        <w:t>ing</w:t>
      </w:r>
      <w:r w:rsidR="00EC1A1E">
        <w:t xml:space="preserve"> certain deficiencies of the current system</w:t>
      </w:r>
      <w:r w:rsidR="00A1550A">
        <w:t>, to the long-term detriment of our environment, economy and society</w:t>
      </w:r>
      <w:r w:rsidR="00EC1A1E">
        <w:t>.</w:t>
      </w:r>
    </w:p>
    <w:p w:rsidR="00FB6C67" w:rsidRDefault="00FB6C67" w:rsidP="00EC1A1E"/>
    <w:p w:rsidR="00FB6C67" w:rsidRDefault="00FB6C67" w:rsidP="00FB6C67">
      <w:r w:rsidRPr="000A4743">
        <w:t xml:space="preserve">For further information and analysis, </w:t>
      </w:r>
      <w:r w:rsidR="00674F30" w:rsidRPr="000A4743">
        <w:t>please see</w:t>
      </w:r>
      <w:r w:rsidR="00674F30" w:rsidRPr="000A4743">
        <w:rPr>
          <w:b/>
        </w:rPr>
        <w:t xml:space="preserve"> </w:t>
      </w:r>
      <w:proofErr w:type="spellStart"/>
      <w:r w:rsidRPr="000A4743">
        <w:t>ANEDO’s</w:t>
      </w:r>
      <w:proofErr w:type="spellEnd"/>
      <w:r w:rsidRPr="000A4743">
        <w:t xml:space="preserve"> </w:t>
      </w:r>
      <w:r w:rsidRPr="000A4743">
        <w:rPr>
          <w:i/>
        </w:rPr>
        <w:t xml:space="preserve">Submission on Draft Framework of Standards for Accreditation of Environmental Approvals under the </w:t>
      </w:r>
      <w:proofErr w:type="spellStart"/>
      <w:r w:rsidRPr="000A4743">
        <w:rPr>
          <w:i/>
        </w:rPr>
        <w:t>EPBC</w:t>
      </w:r>
      <w:proofErr w:type="spellEnd"/>
      <w:r w:rsidRPr="000A4743">
        <w:rPr>
          <w:i/>
        </w:rPr>
        <w:t xml:space="preserve"> Act </w:t>
      </w:r>
      <w:r w:rsidRPr="000A4743">
        <w:t>(November 2012).</w:t>
      </w:r>
      <w:r w:rsidR="009C52E3" w:rsidRPr="000A4743">
        <w:rPr>
          <w:rStyle w:val="FootnoteReference"/>
        </w:rPr>
        <w:footnoteReference w:id="26"/>
      </w:r>
      <w:r>
        <w:t xml:space="preserve"> </w:t>
      </w:r>
    </w:p>
    <w:p w:rsidR="00FB6C67" w:rsidRDefault="00FB6C67" w:rsidP="00EC1A1E"/>
    <w:p w:rsidR="00EC1A1E" w:rsidRPr="0016371C" w:rsidRDefault="00EC1A1E" w:rsidP="00EC1A1E">
      <w:pPr>
        <w:spacing w:after="120"/>
        <w:rPr>
          <w:b/>
        </w:rPr>
      </w:pPr>
      <w:proofErr w:type="spellStart"/>
      <w:r w:rsidRPr="0016371C">
        <w:rPr>
          <w:b/>
        </w:rPr>
        <w:t>ANEDO</w:t>
      </w:r>
      <w:proofErr w:type="spellEnd"/>
      <w:r w:rsidRPr="0016371C">
        <w:rPr>
          <w:b/>
        </w:rPr>
        <w:t xml:space="preserve"> submits that:</w:t>
      </w:r>
    </w:p>
    <w:p w:rsidR="00A1550A" w:rsidRPr="0016371C" w:rsidRDefault="00A1550A" w:rsidP="00437F5D">
      <w:pPr>
        <w:numPr>
          <w:ilvl w:val="0"/>
          <w:numId w:val="15"/>
        </w:numPr>
        <w:spacing w:after="120"/>
        <w:rPr>
          <w:b/>
        </w:rPr>
      </w:pPr>
      <w:r w:rsidRPr="0016371C">
        <w:rPr>
          <w:b/>
        </w:rPr>
        <w:t>delegating Commonwealth project approval powers will not achieve sought-after improvements to planning regulation, productivity and environmental outcomes;</w:t>
      </w:r>
    </w:p>
    <w:p w:rsidR="00EC1A1E" w:rsidRPr="0016371C" w:rsidRDefault="00EC1A1E" w:rsidP="00437F5D">
      <w:pPr>
        <w:numPr>
          <w:ilvl w:val="0"/>
          <w:numId w:val="15"/>
        </w:numPr>
        <w:spacing w:after="120"/>
        <w:rPr>
          <w:b/>
        </w:rPr>
      </w:pPr>
      <w:r w:rsidRPr="0016371C">
        <w:rPr>
          <w:b/>
          <w:i/>
        </w:rPr>
        <w:t>no</w:t>
      </w:r>
      <w:r w:rsidRPr="0016371C">
        <w:rPr>
          <w:b/>
        </w:rPr>
        <w:t xml:space="preserve"> state or territory planning or environmental laws currently meet the minimum requirements of the 106 elements outlined in the </w:t>
      </w:r>
      <w:r w:rsidR="001A2B1A">
        <w:rPr>
          <w:b/>
        </w:rPr>
        <w:t xml:space="preserve">Australian Government’s </w:t>
      </w:r>
      <w:r w:rsidRPr="0016371C">
        <w:rPr>
          <w:b/>
        </w:rPr>
        <w:t xml:space="preserve">Draft Standards </w:t>
      </w:r>
      <w:r w:rsidR="001A2B1A">
        <w:rPr>
          <w:b/>
        </w:rPr>
        <w:t xml:space="preserve">Accreditation </w:t>
      </w:r>
      <w:r w:rsidRPr="0016371C">
        <w:rPr>
          <w:b/>
        </w:rPr>
        <w:t>Framework, let alone the full suite of best practice standards that Australia should implement;</w:t>
      </w:r>
      <w:r w:rsidRPr="0016371C">
        <w:rPr>
          <w:b/>
          <w:vertAlign w:val="superscript"/>
        </w:rPr>
        <w:footnoteReference w:id="27"/>
      </w:r>
    </w:p>
    <w:p w:rsidR="00A1550A" w:rsidRPr="006A0A1A" w:rsidRDefault="00A1550A" w:rsidP="00437F5D">
      <w:pPr>
        <w:numPr>
          <w:ilvl w:val="0"/>
          <w:numId w:val="15"/>
        </w:numPr>
        <w:ind w:left="714" w:hanging="357"/>
        <w:rPr>
          <w:b/>
        </w:rPr>
      </w:pPr>
      <w:r w:rsidRPr="0016371C">
        <w:rPr>
          <w:rFonts w:cs="Arial"/>
          <w:b/>
          <w:szCs w:val="22"/>
        </w:rPr>
        <w:t xml:space="preserve">States are fundamentally not in </w:t>
      </w:r>
      <w:r w:rsidR="001A2B1A">
        <w:rPr>
          <w:rFonts w:cs="Arial"/>
          <w:b/>
          <w:szCs w:val="22"/>
        </w:rPr>
        <w:t>a</w:t>
      </w:r>
      <w:r w:rsidRPr="0016371C">
        <w:rPr>
          <w:rFonts w:cs="Arial"/>
          <w:b/>
          <w:szCs w:val="22"/>
        </w:rPr>
        <w:t xml:space="preserve"> position to stand in the </w:t>
      </w:r>
      <w:r w:rsidR="001A2B1A" w:rsidRPr="0016371C">
        <w:rPr>
          <w:rFonts w:cs="Arial"/>
          <w:b/>
          <w:szCs w:val="22"/>
        </w:rPr>
        <w:t>Commonwealth</w:t>
      </w:r>
      <w:r w:rsidR="001A2B1A">
        <w:rPr>
          <w:rFonts w:cs="Arial"/>
          <w:b/>
          <w:szCs w:val="22"/>
        </w:rPr>
        <w:t>’s</w:t>
      </w:r>
      <w:r w:rsidR="001A2B1A" w:rsidRPr="0016371C">
        <w:rPr>
          <w:rFonts w:cs="Arial"/>
          <w:b/>
          <w:szCs w:val="22"/>
        </w:rPr>
        <w:t xml:space="preserve"> </w:t>
      </w:r>
      <w:r w:rsidRPr="0016371C">
        <w:rPr>
          <w:rFonts w:cs="Arial"/>
          <w:b/>
          <w:szCs w:val="22"/>
        </w:rPr>
        <w:t xml:space="preserve">shoes </w:t>
      </w:r>
      <w:r w:rsidR="001A2B1A">
        <w:rPr>
          <w:rFonts w:cs="Arial"/>
          <w:b/>
          <w:szCs w:val="22"/>
        </w:rPr>
        <w:t xml:space="preserve">to assess and approve </w:t>
      </w:r>
      <w:r w:rsidRPr="0016371C">
        <w:rPr>
          <w:rFonts w:cs="Arial"/>
          <w:b/>
          <w:szCs w:val="22"/>
        </w:rPr>
        <w:t>impacts on matters of national environmental significance in the public interest, even with the most carefully worded standards.</w:t>
      </w:r>
    </w:p>
    <w:p w:rsidR="006A0A1A" w:rsidRDefault="006A0A1A" w:rsidP="006A0A1A">
      <w:pPr>
        <w:rPr>
          <w:rFonts w:cs="Arial"/>
          <w:b/>
          <w:szCs w:val="22"/>
        </w:rPr>
      </w:pPr>
    </w:p>
    <w:p w:rsidR="006A0A1A" w:rsidRPr="0016371C" w:rsidRDefault="006A0A1A" w:rsidP="006A0A1A">
      <w:pPr>
        <w:rPr>
          <w:b/>
        </w:rPr>
      </w:pPr>
    </w:p>
    <w:p w:rsidR="0069632B" w:rsidRPr="00B71548" w:rsidRDefault="0069632B" w:rsidP="00B71548">
      <w:pPr>
        <w:pStyle w:val="Heading1"/>
      </w:pPr>
      <w:bookmarkStart w:id="14" w:name="_Toc351985897"/>
      <w:r w:rsidRPr="00B71548">
        <w:lastRenderedPageBreak/>
        <w:t>Benchmarking major project development assessment and approval processes</w:t>
      </w:r>
      <w:bookmarkEnd w:id="14"/>
      <w:r w:rsidRPr="00B71548">
        <w:t xml:space="preserve"> </w:t>
      </w:r>
    </w:p>
    <w:p w:rsidR="0071178B" w:rsidRDefault="0071178B" w:rsidP="004D6F76">
      <w:pPr>
        <w:pStyle w:val="Heading2"/>
        <w:numPr>
          <w:ilvl w:val="0"/>
          <w:numId w:val="81"/>
        </w:numPr>
      </w:pPr>
      <w:bookmarkStart w:id="15" w:name="_Toc351968345"/>
      <w:bookmarkStart w:id="16" w:name="_Toc351972130"/>
      <w:bookmarkStart w:id="17" w:name="_Toc351978527"/>
      <w:bookmarkStart w:id="18" w:name="_Toc351985898"/>
      <w:bookmarkStart w:id="19" w:name="_Toc351985899"/>
      <w:bookmarkEnd w:id="15"/>
      <w:bookmarkEnd w:id="16"/>
      <w:bookmarkEnd w:id="17"/>
      <w:bookmarkEnd w:id="18"/>
      <w:r>
        <w:t>10 best practice criteria for planning and environmental regulation</w:t>
      </w:r>
      <w:bookmarkEnd w:id="19"/>
    </w:p>
    <w:p w:rsidR="007F0787" w:rsidRDefault="00744084" w:rsidP="00FB6C67">
      <w:pPr>
        <w:keepNext/>
        <w:rPr>
          <w:rFonts w:cs="Arial"/>
          <w:szCs w:val="22"/>
        </w:rPr>
      </w:pPr>
      <w:r>
        <w:rPr>
          <w:rFonts w:cs="Arial"/>
          <w:szCs w:val="22"/>
        </w:rPr>
        <w:t>I</w:t>
      </w:r>
      <w:r w:rsidR="002725F7" w:rsidRPr="00EA041C">
        <w:rPr>
          <w:rFonts w:cs="Arial"/>
          <w:szCs w:val="22"/>
        </w:rPr>
        <w:t>n</w:t>
      </w:r>
      <w:r>
        <w:rPr>
          <w:rFonts w:cs="Arial"/>
          <w:szCs w:val="22"/>
        </w:rPr>
        <w:t xml:space="preserve"> </w:t>
      </w:r>
      <w:r w:rsidR="0071178B">
        <w:rPr>
          <w:rFonts w:cs="Arial"/>
          <w:szCs w:val="22"/>
        </w:rPr>
        <w:t xml:space="preserve">June 2012, in </w:t>
      </w:r>
      <w:r>
        <w:rPr>
          <w:rFonts w:cs="Arial"/>
          <w:szCs w:val="22"/>
        </w:rPr>
        <w:t xml:space="preserve">response to the </w:t>
      </w:r>
      <w:r w:rsidR="0071178B">
        <w:rPr>
          <w:rFonts w:cs="Arial"/>
          <w:szCs w:val="22"/>
        </w:rPr>
        <w:t xml:space="preserve">proposed </w:t>
      </w:r>
      <w:r>
        <w:rPr>
          <w:rFonts w:cs="Arial"/>
          <w:szCs w:val="22"/>
        </w:rPr>
        <w:t>COAG</w:t>
      </w:r>
      <w:r w:rsidR="002725F7" w:rsidRPr="00EA041C">
        <w:rPr>
          <w:rFonts w:cs="Arial"/>
          <w:szCs w:val="22"/>
        </w:rPr>
        <w:t xml:space="preserve"> </w:t>
      </w:r>
      <w:r>
        <w:rPr>
          <w:rFonts w:cs="Arial"/>
          <w:szCs w:val="22"/>
        </w:rPr>
        <w:t>reforms</w:t>
      </w:r>
      <w:r w:rsidR="002725F7" w:rsidRPr="00EA041C">
        <w:rPr>
          <w:rFonts w:cs="Arial"/>
          <w:szCs w:val="22"/>
        </w:rPr>
        <w:t xml:space="preserve">, </w:t>
      </w:r>
      <w:proofErr w:type="spellStart"/>
      <w:r w:rsidR="002725F7" w:rsidRPr="00EA041C">
        <w:rPr>
          <w:rFonts w:cs="Arial"/>
          <w:szCs w:val="22"/>
        </w:rPr>
        <w:t>ANEDO</w:t>
      </w:r>
      <w:proofErr w:type="spellEnd"/>
      <w:r w:rsidR="002725F7" w:rsidRPr="00EA041C">
        <w:rPr>
          <w:rFonts w:cs="Arial"/>
          <w:szCs w:val="22"/>
        </w:rPr>
        <w:t xml:space="preserve"> prepared a series of best practice </w:t>
      </w:r>
      <w:r>
        <w:rPr>
          <w:rFonts w:cs="Arial"/>
          <w:szCs w:val="22"/>
        </w:rPr>
        <w:t>criteria</w:t>
      </w:r>
      <w:r w:rsidR="002725F7" w:rsidRPr="00EA041C">
        <w:rPr>
          <w:rFonts w:cs="Arial"/>
          <w:szCs w:val="22"/>
        </w:rPr>
        <w:t xml:space="preserve"> for planning and environmental regulation. </w:t>
      </w:r>
    </w:p>
    <w:p w:rsidR="007F0787" w:rsidRDefault="007F0787" w:rsidP="00FB6C67">
      <w:pPr>
        <w:keepNext/>
        <w:rPr>
          <w:rFonts w:cs="Arial"/>
          <w:szCs w:val="22"/>
        </w:rPr>
      </w:pPr>
    </w:p>
    <w:p w:rsidR="002725F7" w:rsidRPr="0069632B" w:rsidRDefault="003A131E" w:rsidP="00FB6C67">
      <w:pPr>
        <w:rPr>
          <w:rFonts w:cs="Arial"/>
          <w:szCs w:val="22"/>
        </w:rPr>
      </w:pPr>
      <w:proofErr w:type="spellStart"/>
      <w:r w:rsidRPr="0069632B">
        <w:rPr>
          <w:rFonts w:cs="Arial"/>
          <w:b/>
          <w:szCs w:val="22"/>
        </w:rPr>
        <w:t>ANEDO</w:t>
      </w:r>
      <w:proofErr w:type="spellEnd"/>
      <w:r w:rsidRPr="0069632B">
        <w:rPr>
          <w:rFonts w:cs="Arial"/>
          <w:b/>
          <w:szCs w:val="22"/>
        </w:rPr>
        <w:t xml:space="preserve"> recommends </w:t>
      </w:r>
      <w:r w:rsidR="00FB6C67" w:rsidRPr="0069632B">
        <w:rPr>
          <w:rFonts w:cs="Arial"/>
          <w:b/>
          <w:szCs w:val="22"/>
        </w:rPr>
        <w:t xml:space="preserve">that the Productivity Commission use </w:t>
      </w:r>
      <w:r w:rsidRPr="0069632B">
        <w:rPr>
          <w:rFonts w:cs="Arial"/>
          <w:b/>
          <w:szCs w:val="22"/>
        </w:rPr>
        <w:t>the</w:t>
      </w:r>
      <w:r w:rsidR="00FB6C67" w:rsidRPr="0069632B">
        <w:rPr>
          <w:rFonts w:cs="Arial"/>
          <w:b/>
          <w:szCs w:val="22"/>
        </w:rPr>
        <w:t xml:space="preserve"> following </w:t>
      </w:r>
      <w:r w:rsidRPr="0069632B">
        <w:rPr>
          <w:rFonts w:cs="Arial"/>
          <w:b/>
          <w:szCs w:val="22"/>
        </w:rPr>
        <w:t xml:space="preserve">10 </w:t>
      </w:r>
      <w:r w:rsidRPr="00497CD2">
        <w:rPr>
          <w:rFonts w:cs="Arial"/>
          <w:b/>
          <w:szCs w:val="22"/>
        </w:rPr>
        <w:t xml:space="preserve">criteria (outlined further at Attachment </w:t>
      </w:r>
      <w:r w:rsidR="00674F30" w:rsidRPr="00497CD2">
        <w:rPr>
          <w:rFonts w:cs="Arial"/>
          <w:b/>
          <w:szCs w:val="22"/>
        </w:rPr>
        <w:t>A</w:t>
      </w:r>
      <w:r w:rsidRPr="00497CD2">
        <w:rPr>
          <w:rFonts w:cs="Arial"/>
          <w:b/>
          <w:szCs w:val="22"/>
        </w:rPr>
        <w:t xml:space="preserve">) </w:t>
      </w:r>
      <w:r w:rsidR="00FB6C67" w:rsidRPr="00497CD2">
        <w:rPr>
          <w:rFonts w:cs="Arial"/>
          <w:b/>
          <w:szCs w:val="22"/>
        </w:rPr>
        <w:t>as</w:t>
      </w:r>
      <w:r w:rsidRPr="0069632B">
        <w:rPr>
          <w:rFonts w:cs="Arial"/>
          <w:b/>
          <w:szCs w:val="22"/>
        </w:rPr>
        <w:t xml:space="preserve"> a reference point to evaluate and shape major project assessment and </w:t>
      </w:r>
      <w:r w:rsidRPr="0040589A">
        <w:rPr>
          <w:rFonts w:cs="Arial"/>
          <w:b/>
          <w:szCs w:val="22"/>
        </w:rPr>
        <w:t>approval processes</w:t>
      </w:r>
      <w:r w:rsidRPr="004D6F76">
        <w:rPr>
          <w:rFonts w:cs="Arial"/>
          <w:b/>
          <w:szCs w:val="22"/>
        </w:rPr>
        <w:t xml:space="preserve">. </w:t>
      </w:r>
      <w:r w:rsidR="00FB6C67" w:rsidRPr="004D6F76">
        <w:rPr>
          <w:rFonts w:cs="Arial"/>
          <w:b/>
          <w:szCs w:val="22"/>
        </w:rPr>
        <w:t>T</w:t>
      </w:r>
      <w:r w:rsidR="00EC110A" w:rsidRPr="004D6F76">
        <w:rPr>
          <w:rFonts w:cs="Arial"/>
          <w:b/>
          <w:szCs w:val="22"/>
        </w:rPr>
        <w:t>hese elements must be clearly articulated in legislation (state and federal) as the basis of effective, leading practice planning and assessment laws:</w:t>
      </w:r>
    </w:p>
    <w:p w:rsidR="0069632B" w:rsidRPr="0069632B" w:rsidRDefault="0069632B" w:rsidP="0069632B">
      <w:pPr>
        <w:rPr>
          <w:rFonts w:cs="Arial"/>
          <w:szCs w:val="22"/>
        </w:rPr>
      </w:pPr>
    </w:p>
    <w:p w:rsidR="0069632B"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Clear objects that prioritise ecologically sustainable development (</w:t>
      </w:r>
      <w:proofErr w:type="spellStart"/>
      <w:r w:rsidRPr="004D6F76">
        <w:rPr>
          <w:rFonts w:ascii="Arial" w:hAnsi="Arial" w:cs="Arial"/>
          <w:b/>
          <w:i/>
        </w:rPr>
        <w:t>ESD</w:t>
      </w:r>
      <w:proofErr w:type="spellEnd"/>
      <w:r w:rsidRPr="004D6F76">
        <w:rPr>
          <w:rFonts w:ascii="Arial" w:hAnsi="Arial" w:cs="Arial"/>
          <w:b/>
          <w:i/>
        </w:rPr>
        <w:t>)</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Objective test</w:t>
      </w:r>
      <w:r w:rsidR="00F27E3C" w:rsidRPr="004D6F76">
        <w:rPr>
          <w:rFonts w:ascii="Arial" w:hAnsi="Arial" w:cs="Arial"/>
          <w:b/>
          <w:i/>
        </w:rPr>
        <w:t>s</w:t>
      </w:r>
      <w:r w:rsidRPr="004D6F76">
        <w:rPr>
          <w:rFonts w:ascii="Arial" w:hAnsi="Arial" w:cs="Arial"/>
          <w:b/>
          <w:i/>
        </w:rPr>
        <w:t xml:space="preserve"> for good environmental outcomes</w:t>
      </w:r>
      <w:r w:rsidR="00F27E3C" w:rsidRPr="004D6F76">
        <w:rPr>
          <w:rFonts w:ascii="Arial" w:hAnsi="Arial" w:cs="Arial"/>
          <w:b/>
          <w:i/>
        </w:rPr>
        <w:t xml:space="preserve"> </w:t>
      </w:r>
      <w:r w:rsidR="00F27E3C" w:rsidRPr="0040589A">
        <w:rPr>
          <w:rFonts w:ascii="Arial" w:hAnsi="Arial" w:cs="Arial"/>
          <w:i/>
        </w:rPr>
        <w:t>(‘maintain or improve’)</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Independent assessment</w:t>
      </w:r>
      <w:r w:rsidR="00F27E3C" w:rsidRPr="004D6F76">
        <w:rPr>
          <w:rFonts w:ascii="Arial" w:hAnsi="Arial" w:cs="Arial"/>
          <w:b/>
          <w:i/>
        </w:rPr>
        <w:t xml:space="preserve"> </w:t>
      </w:r>
      <w:r w:rsidR="00F27E3C" w:rsidRPr="0040589A">
        <w:rPr>
          <w:rFonts w:ascii="Arial" w:hAnsi="Arial" w:cs="Arial"/>
          <w:i/>
        </w:rPr>
        <w:t>(arms-length and quality-assured)</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 xml:space="preserve">Comprehensive assessment </w:t>
      </w:r>
      <w:r w:rsidR="00F27E3C" w:rsidRPr="0040589A">
        <w:rPr>
          <w:rFonts w:ascii="Arial" w:hAnsi="Arial" w:cs="Arial"/>
          <w:i/>
        </w:rPr>
        <w:t>(</w:t>
      </w:r>
      <w:r w:rsidR="00645554" w:rsidRPr="0040589A">
        <w:rPr>
          <w:rFonts w:ascii="Arial" w:hAnsi="Arial" w:cs="Arial"/>
          <w:i/>
        </w:rPr>
        <w:t xml:space="preserve">including </w:t>
      </w:r>
      <w:r w:rsidR="00F27E3C" w:rsidRPr="0040589A">
        <w:rPr>
          <w:rFonts w:ascii="Arial" w:hAnsi="Arial" w:cs="Arial"/>
          <w:i/>
        </w:rPr>
        <w:t>cumulative impacts, climate change)</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 xml:space="preserve">Projects must minimise environmental impacts </w:t>
      </w:r>
      <w:r w:rsidRPr="0040589A">
        <w:rPr>
          <w:rFonts w:ascii="Arial" w:hAnsi="Arial" w:cs="Arial"/>
          <w:i/>
        </w:rPr>
        <w:t>(</w:t>
      </w:r>
      <w:r w:rsidR="00F27E3C" w:rsidRPr="0040589A">
        <w:rPr>
          <w:rFonts w:ascii="Arial" w:hAnsi="Arial" w:cs="Arial"/>
          <w:i/>
        </w:rPr>
        <w:t>‘</w:t>
      </w:r>
      <w:r w:rsidRPr="0040589A">
        <w:rPr>
          <w:rFonts w:ascii="Arial" w:hAnsi="Arial" w:cs="Arial"/>
          <w:i/>
        </w:rPr>
        <w:t>impact hierarchy</w:t>
      </w:r>
      <w:r w:rsidR="00F27E3C" w:rsidRPr="0040589A">
        <w:rPr>
          <w:rFonts w:ascii="Arial" w:hAnsi="Arial" w:cs="Arial"/>
          <w:i/>
        </w:rPr>
        <w:t>’</w:t>
      </w:r>
      <w:r w:rsidRPr="0040589A">
        <w:rPr>
          <w:rFonts w:ascii="Arial" w:hAnsi="Arial" w:cs="Arial"/>
          <w:i/>
        </w:rPr>
        <w:t>)</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 xml:space="preserve">Best practice standards for strategic environmental assessment </w:t>
      </w:r>
      <w:r w:rsidR="001A2B1A" w:rsidRPr="004D6F76">
        <w:rPr>
          <w:rFonts w:ascii="Arial" w:hAnsi="Arial" w:cs="Arial"/>
          <w:b/>
          <w:i/>
        </w:rPr>
        <w:t>(SEA)</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Oversight and review</w:t>
      </w:r>
      <w:r w:rsidR="00EA041C" w:rsidRPr="004D6F76">
        <w:rPr>
          <w:rFonts w:ascii="Arial" w:hAnsi="Arial" w:cs="Arial"/>
          <w:b/>
          <w:i/>
        </w:rPr>
        <w:t xml:space="preserve"> </w:t>
      </w:r>
      <w:r w:rsidR="00F27E3C" w:rsidRPr="0040589A">
        <w:rPr>
          <w:rFonts w:ascii="Arial" w:hAnsi="Arial" w:cs="Arial"/>
          <w:i/>
        </w:rPr>
        <w:t>(including federal ‘call-in’ and independent review)</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Public participation</w:t>
      </w:r>
      <w:r w:rsidR="00EA041C" w:rsidRPr="004D6F76">
        <w:rPr>
          <w:rFonts w:ascii="Arial" w:hAnsi="Arial" w:cs="Arial"/>
          <w:b/>
          <w:i/>
        </w:rPr>
        <w:t xml:space="preserve"> </w:t>
      </w:r>
      <w:r w:rsidR="00EA041C" w:rsidRPr="0040589A">
        <w:rPr>
          <w:rFonts w:ascii="Arial" w:hAnsi="Arial" w:cs="Arial"/>
          <w:i/>
        </w:rPr>
        <w:t>(</w:t>
      </w:r>
      <w:r w:rsidR="00645554" w:rsidRPr="0040589A">
        <w:rPr>
          <w:rFonts w:ascii="Arial" w:hAnsi="Arial" w:cs="Arial"/>
          <w:i/>
        </w:rPr>
        <w:t>transparency</w:t>
      </w:r>
      <w:r w:rsidR="00F27E3C" w:rsidRPr="0040589A">
        <w:rPr>
          <w:rFonts w:ascii="Arial" w:hAnsi="Arial" w:cs="Arial"/>
          <w:i/>
        </w:rPr>
        <w:t>,</w:t>
      </w:r>
      <w:r w:rsidR="00645554" w:rsidRPr="0040589A">
        <w:rPr>
          <w:rFonts w:ascii="Arial" w:hAnsi="Arial" w:cs="Arial"/>
          <w:i/>
        </w:rPr>
        <w:t xml:space="preserve"> engagement, </w:t>
      </w:r>
      <w:r w:rsidR="001A2B1A" w:rsidRPr="0040589A">
        <w:rPr>
          <w:rFonts w:ascii="Arial" w:hAnsi="Arial" w:cs="Arial"/>
          <w:i/>
        </w:rPr>
        <w:t>third party appeal rights</w:t>
      </w:r>
      <w:r w:rsidR="00EA041C" w:rsidRPr="0040589A">
        <w:rPr>
          <w:rFonts w:ascii="Arial" w:hAnsi="Arial" w:cs="Arial"/>
          <w:i/>
        </w:rPr>
        <w:t>)</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Compliance and enforcement</w:t>
      </w:r>
      <w:r w:rsidR="00EA041C" w:rsidRPr="004D6F76">
        <w:rPr>
          <w:rFonts w:ascii="Arial" w:hAnsi="Arial" w:cs="Arial"/>
          <w:b/>
          <w:i/>
        </w:rPr>
        <w:t xml:space="preserve"> </w:t>
      </w:r>
      <w:r w:rsidR="001A2B1A" w:rsidRPr="0040589A">
        <w:rPr>
          <w:rFonts w:ascii="Arial" w:hAnsi="Arial" w:cs="Arial"/>
          <w:i/>
        </w:rPr>
        <w:t>(effective tools, penalties, resources,</w:t>
      </w:r>
      <w:r w:rsidR="00EA041C" w:rsidRPr="0040589A">
        <w:rPr>
          <w:rFonts w:ascii="Arial" w:hAnsi="Arial" w:cs="Arial"/>
          <w:i/>
        </w:rPr>
        <w:t xml:space="preserve"> </w:t>
      </w:r>
      <w:r w:rsidR="001A2B1A" w:rsidRPr="0040589A">
        <w:rPr>
          <w:rFonts w:ascii="Arial" w:hAnsi="Arial" w:cs="Arial"/>
          <w:i/>
        </w:rPr>
        <w:t>‘</w:t>
      </w:r>
      <w:r w:rsidR="00EA041C" w:rsidRPr="0040589A">
        <w:rPr>
          <w:rFonts w:ascii="Arial" w:hAnsi="Arial" w:cs="Arial"/>
          <w:i/>
        </w:rPr>
        <w:t>standing</w:t>
      </w:r>
      <w:r w:rsidR="001A2B1A" w:rsidRPr="0040589A">
        <w:rPr>
          <w:rFonts w:ascii="Arial" w:hAnsi="Arial" w:cs="Arial"/>
          <w:i/>
        </w:rPr>
        <w:t>’)</w:t>
      </w:r>
    </w:p>
    <w:p w:rsidR="002725F7" w:rsidRPr="004D6F76" w:rsidRDefault="002725F7" w:rsidP="0069632B">
      <w:pPr>
        <w:pStyle w:val="ListParagraph"/>
        <w:numPr>
          <w:ilvl w:val="0"/>
          <w:numId w:val="75"/>
        </w:numPr>
        <w:spacing w:line="240" w:lineRule="auto"/>
        <w:rPr>
          <w:rFonts w:ascii="Arial" w:hAnsi="Arial" w:cs="Arial"/>
          <w:b/>
          <w:i/>
        </w:rPr>
      </w:pPr>
      <w:r w:rsidRPr="004D6F76">
        <w:rPr>
          <w:rFonts w:ascii="Arial" w:hAnsi="Arial" w:cs="Arial"/>
          <w:b/>
          <w:i/>
        </w:rPr>
        <w:t>Monitoring</w:t>
      </w:r>
      <w:r w:rsidR="00FB6C67" w:rsidRPr="004D6F76">
        <w:rPr>
          <w:rFonts w:ascii="Arial" w:hAnsi="Arial" w:cs="Arial"/>
          <w:b/>
          <w:i/>
        </w:rPr>
        <w:t xml:space="preserve"> and</w:t>
      </w:r>
      <w:r w:rsidR="00EA041C" w:rsidRPr="004D6F76">
        <w:rPr>
          <w:rFonts w:ascii="Arial" w:hAnsi="Arial" w:cs="Arial"/>
          <w:b/>
          <w:i/>
        </w:rPr>
        <w:t xml:space="preserve"> </w:t>
      </w:r>
      <w:r w:rsidRPr="004D6F76">
        <w:rPr>
          <w:rFonts w:ascii="Arial" w:hAnsi="Arial" w:cs="Arial"/>
          <w:b/>
          <w:i/>
        </w:rPr>
        <w:t>review</w:t>
      </w:r>
      <w:r w:rsidR="00EA041C" w:rsidRPr="004D6F76">
        <w:rPr>
          <w:rFonts w:ascii="Arial" w:hAnsi="Arial" w:cs="Arial"/>
          <w:b/>
          <w:i/>
        </w:rPr>
        <w:t xml:space="preserve"> </w:t>
      </w:r>
      <w:r w:rsidR="00EA041C" w:rsidRPr="0040589A">
        <w:rPr>
          <w:rFonts w:ascii="Arial" w:hAnsi="Arial" w:cs="Arial"/>
          <w:i/>
        </w:rPr>
        <w:t xml:space="preserve">(laws, </w:t>
      </w:r>
      <w:r w:rsidR="00645554" w:rsidRPr="0040589A">
        <w:rPr>
          <w:rFonts w:ascii="Arial" w:hAnsi="Arial" w:cs="Arial"/>
          <w:i/>
        </w:rPr>
        <w:t>policies, implementation</w:t>
      </w:r>
      <w:r w:rsidR="00EA041C" w:rsidRPr="0040589A">
        <w:rPr>
          <w:rFonts w:ascii="Arial" w:hAnsi="Arial" w:cs="Arial"/>
          <w:i/>
        </w:rPr>
        <w:t>)</w:t>
      </w:r>
      <w:r w:rsidR="001A2B1A" w:rsidRPr="0040589A">
        <w:rPr>
          <w:rFonts w:ascii="Arial" w:hAnsi="Arial" w:cs="Arial"/>
          <w:i/>
        </w:rPr>
        <w:t>.</w:t>
      </w:r>
    </w:p>
    <w:p w:rsidR="00D92461" w:rsidRPr="00C775CA" w:rsidRDefault="00D92461" w:rsidP="004D6F76">
      <w:pPr>
        <w:pStyle w:val="Heading2"/>
        <w:numPr>
          <w:ilvl w:val="0"/>
          <w:numId w:val="81"/>
        </w:numPr>
      </w:pPr>
      <w:bookmarkStart w:id="20" w:name="_Toc350780840"/>
      <w:bookmarkStart w:id="21" w:name="_Toc351985900"/>
      <w:r w:rsidRPr="00E41C9C">
        <w:t>The Commission’s proposed approach and criteria for benchmarking</w:t>
      </w:r>
      <w:bookmarkEnd w:id="20"/>
      <w:bookmarkEnd w:id="21"/>
      <w:r>
        <w:t xml:space="preserve"> </w:t>
      </w:r>
    </w:p>
    <w:p w:rsidR="001A2B1A" w:rsidRDefault="00D92461" w:rsidP="001A2B1A">
      <w:proofErr w:type="spellStart"/>
      <w:r>
        <w:rPr>
          <w:rFonts w:cs="Arial"/>
          <w:szCs w:val="22"/>
        </w:rPr>
        <w:t>ANEDO</w:t>
      </w:r>
      <w:proofErr w:type="spellEnd"/>
      <w:r>
        <w:rPr>
          <w:rFonts w:cs="Arial"/>
          <w:szCs w:val="22"/>
        </w:rPr>
        <w:t xml:space="preserve"> also welcome</w:t>
      </w:r>
      <w:r w:rsidR="00B85711">
        <w:rPr>
          <w:rFonts w:cs="Arial"/>
          <w:szCs w:val="22"/>
        </w:rPr>
        <w:t>s</w:t>
      </w:r>
      <w:r>
        <w:rPr>
          <w:rFonts w:cs="Arial"/>
          <w:szCs w:val="22"/>
        </w:rPr>
        <w:t xml:space="preserve"> the 12 criteria articulated in the Productivity Commission’s Issues Paper (</w:t>
      </w:r>
      <w:proofErr w:type="spellStart"/>
      <w:r>
        <w:rPr>
          <w:rFonts w:cs="Arial"/>
          <w:szCs w:val="22"/>
        </w:rPr>
        <w:t>pp</w:t>
      </w:r>
      <w:proofErr w:type="spellEnd"/>
      <w:r>
        <w:rPr>
          <w:rFonts w:cs="Arial"/>
          <w:szCs w:val="22"/>
        </w:rPr>
        <w:t xml:space="preserve"> 8-9)</w:t>
      </w:r>
      <w:r w:rsidR="001A7AD6">
        <w:rPr>
          <w:rFonts w:cs="Arial"/>
          <w:szCs w:val="22"/>
        </w:rPr>
        <w:t xml:space="preserve">, based on </w:t>
      </w:r>
      <w:r w:rsidR="003A131E">
        <w:rPr>
          <w:rFonts w:cs="Arial"/>
          <w:szCs w:val="22"/>
        </w:rPr>
        <w:t>‘commonly-used principles of good governance and regulatory design’</w:t>
      </w:r>
      <w:r w:rsidR="00DF7699">
        <w:rPr>
          <w:rFonts w:cs="Arial"/>
          <w:szCs w:val="22"/>
        </w:rPr>
        <w:t>.</w:t>
      </w:r>
      <w:r w:rsidR="00DF7699">
        <w:rPr>
          <w:rStyle w:val="FootnoteReference"/>
          <w:rFonts w:cs="Arial"/>
          <w:szCs w:val="22"/>
        </w:rPr>
        <w:footnoteReference w:id="28"/>
      </w:r>
      <w:r w:rsidRPr="00D92461">
        <w:t xml:space="preserve"> </w:t>
      </w:r>
      <w:proofErr w:type="spellStart"/>
      <w:r w:rsidR="00B85711">
        <w:t>ANEDO’s</w:t>
      </w:r>
      <w:proofErr w:type="spellEnd"/>
      <w:r w:rsidR="00B85711">
        <w:t xml:space="preserve"> 10 elements above </w:t>
      </w:r>
      <w:r w:rsidR="008272D0">
        <w:t>complement the Commission’s propos</w:t>
      </w:r>
      <w:r w:rsidR="003A131E">
        <w:t>ed criteria</w:t>
      </w:r>
      <w:r w:rsidR="008272D0">
        <w:t xml:space="preserve">, providing further </w:t>
      </w:r>
      <w:r w:rsidR="00B85711">
        <w:t xml:space="preserve">specifics around the role and function of environmental protection and planning laws. </w:t>
      </w:r>
    </w:p>
    <w:p w:rsidR="001A2B1A" w:rsidRDefault="001A2B1A" w:rsidP="001A2B1A"/>
    <w:p w:rsidR="008272D0" w:rsidRDefault="008272D0" w:rsidP="001A2B1A">
      <w:pPr>
        <w:spacing w:after="120"/>
      </w:pPr>
      <w:r>
        <w:t xml:space="preserve">As the Productivity Commission recently observed in </w:t>
      </w:r>
      <w:r w:rsidR="003A131E">
        <w:t>relation to</w:t>
      </w:r>
      <w:r>
        <w:t xml:space="preserve"> planning </w:t>
      </w:r>
      <w:r w:rsidR="003A131E">
        <w:t>benchmarks</w:t>
      </w:r>
      <w:r>
        <w:t xml:space="preserve">: </w:t>
      </w:r>
    </w:p>
    <w:p w:rsidR="003E4BB4" w:rsidRDefault="008272D0" w:rsidP="009131EF">
      <w:pPr>
        <w:ind w:left="720"/>
        <w:rPr>
          <w:sz w:val="20"/>
          <w:szCs w:val="20"/>
        </w:rPr>
      </w:pPr>
      <w:r w:rsidRPr="00B85711">
        <w:rPr>
          <w:bCs/>
          <w:i/>
          <w:iCs/>
          <w:sz w:val="20"/>
          <w:szCs w:val="20"/>
        </w:rPr>
        <w:t>…a combination of several benchmarks is often needed to reflect system performance. For example, while longer development approval times may seem to be less efficient, if they reflect more effective community engagement or integrated referrals, the end result may be greater community support and preferred overall outcome.</w:t>
      </w:r>
      <w:r w:rsidRPr="00B85711">
        <w:rPr>
          <w:bCs/>
          <w:i/>
          <w:iCs/>
          <w:sz w:val="20"/>
          <w:szCs w:val="20"/>
          <w:vertAlign w:val="superscript"/>
        </w:rPr>
        <w:footnoteReference w:id="29"/>
      </w:r>
    </w:p>
    <w:p w:rsidR="009131EF" w:rsidRPr="009131EF" w:rsidRDefault="009131EF" w:rsidP="009131EF">
      <w:pPr>
        <w:ind w:left="720"/>
        <w:rPr>
          <w:sz w:val="20"/>
          <w:szCs w:val="20"/>
        </w:rPr>
      </w:pPr>
    </w:p>
    <w:p w:rsidR="00D727C7" w:rsidRDefault="001A2B1A" w:rsidP="00D727C7">
      <w:r>
        <w:t>T</w:t>
      </w:r>
      <w:r w:rsidR="009131EF" w:rsidRPr="00B76875">
        <w:t xml:space="preserve">he Commission’s </w:t>
      </w:r>
      <w:r w:rsidR="00B76875">
        <w:t xml:space="preserve">previous </w:t>
      </w:r>
      <w:r w:rsidR="00D727C7" w:rsidRPr="00B76875">
        <w:t>reports have not specific</w:t>
      </w:r>
      <w:r w:rsidR="009131EF" w:rsidRPr="00B76875">
        <w:t>ally recommended b</w:t>
      </w:r>
      <w:r w:rsidR="00D727C7" w:rsidRPr="00B76875">
        <w:t>enchmark</w:t>
      </w:r>
      <w:r w:rsidR="009131EF" w:rsidRPr="00B76875">
        <w:t xml:space="preserve">s </w:t>
      </w:r>
      <w:r w:rsidR="00B76875">
        <w:t>or criteria that measure the</w:t>
      </w:r>
      <w:r w:rsidR="009131EF" w:rsidRPr="00B76875">
        <w:t xml:space="preserve"> </w:t>
      </w:r>
      <w:r w:rsidR="00B76875">
        <w:t>conservation of</w:t>
      </w:r>
      <w:r w:rsidR="00B76875" w:rsidRPr="00B76875">
        <w:t xml:space="preserve"> </w:t>
      </w:r>
      <w:r w:rsidR="00D727C7" w:rsidRPr="00B76875">
        <w:t xml:space="preserve">environmental </w:t>
      </w:r>
      <w:r w:rsidR="00B76875">
        <w:t>and natural resources</w:t>
      </w:r>
      <w:r w:rsidR="003A131E" w:rsidRPr="00B76875">
        <w:t>,</w:t>
      </w:r>
      <w:r w:rsidR="009131EF" w:rsidRPr="00B76875">
        <w:t xml:space="preserve"> such as </w:t>
      </w:r>
      <w:proofErr w:type="spellStart"/>
      <w:r>
        <w:t>ANEDO’s</w:t>
      </w:r>
      <w:proofErr w:type="spellEnd"/>
      <w:r>
        <w:t xml:space="preserve"> criteria </w:t>
      </w:r>
      <w:r w:rsidR="009131EF" w:rsidRPr="00B76875">
        <w:t>1</w:t>
      </w:r>
      <w:r>
        <w:t xml:space="preserve"> to </w:t>
      </w:r>
      <w:r w:rsidR="009131EF" w:rsidRPr="00B76875">
        <w:t>6 above</w:t>
      </w:r>
      <w:r w:rsidR="003A131E" w:rsidRPr="00B76875">
        <w:t xml:space="preserve">. Until planning systems include such criteria, the ways we evaluate these systems’ effectiveness will be incomplete, and there will be </w:t>
      </w:r>
      <w:r w:rsidRPr="00B76875">
        <w:t>continue</w:t>
      </w:r>
      <w:r>
        <w:t>d</w:t>
      </w:r>
      <w:r w:rsidRPr="00B76875">
        <w:t xml:space="preserve"> </w:t>
      </w:r>
      <w:r w:rsidR="003A131E" w:rsidRPr="00B76875">
        <w:t xml:space="preserve">pressure from some parts of industry, business and government to </w:t>
      </w:r>
      <w:r w:rsidR="00B76875" w:rsidRPr="00B76875">
        <w:t>reduce</w:t>
      </w:r>
      <w:r w:rsidR="003A131E" w:rsidRPr="00B76875">
        <w:t xml:space="preserve"> environmental regulation</w:t>
      </w:r>
      <w:r w:rsidR="00B76875" w:rsidRPr="00B76875">
        <w:t>, and portray it as</w:t>
      </w:r>
      <w:r w:rsidR="00B76875">
        <w:t xml:space="preserve"> unnecessary</w:t>
      </w:r>
      <w:r w:rsidR="00B76875" w:rsidRPr="00B76875">
        <w:t xml:space="preserve"> ‘green tape’</w:t>
      </w:r>
      <w:r w:rsidR="009131EF" w:rsidRPr="00B76875">
        <w:t>.</w:t>
      </w:r>
      <w:r>
        <w:t xml:space="preserve"> </w:t>
      </w:r>
      <w:proofErr w:type="spellStart"/>
      <w:r>
        <w:t>ANEDO</w:t>
      </w:r>
      <w:proofErr w:type="spellEnd"/>
      <w:r>
        <w:t xml:space="preserve"> urges the Commission</w:t>
      </w:r>
      <w:r w:rsidR="00B76875">
        <w:t xml:space="preserve"> to examine and recommend new ways of balancing the ledger through </w:t>
      </w:r>
      <w:r w:rsidR="009305B5">
        <w:t>‘</w:t>
      </w:r>
      <w:r w:rsidR="00B76875">
        <w:t>triple bottom line</w:t>
      </w:r>
      <w:r w:rsidR="009305B5">
        <w:t>’</w:t>
      </w:r>
      <w:r w:rsidR="00B76875">
        <w:t xml:space="preserve"> indicators, with an overarching </w:t>
      </w:r>
      <w:r w:rsidR="009305B5">
        <w:t xml:space="preserve">policy </w:t>
      </w:r>
      <w:r w:rsidR="00B76875">
        <w:t xml:space="preserve">aim of </w:t>
      </w:r>
      <w:r w:rsidR="009305B5">
        <w:t xml:space="preserve">achieving </w:t>
      </w:r>
      <w:proofErr w:type="spellStart"/>
      <w:r w:rsidR="00B76875">
        <w:t>ESD</w:t>
      </w:r>
      <w:proofErr w:type="spellEnd"/>
      <w:r w:rsidR="00B76875">
        <w:t>.</w:t>
      </w:r>
    </w:p>
    <w:p w:rsidR="00D727C7" w:rsidRPr="008F7D6E" w:rsidRDefault="00D727C7" w:rsidP="009131EF">
      <w:pPr>
        <w:rPr>
          <w:i/>
        </w:rPr>
      </w:pPr>
    </w:p>
    <w:p w:rsidR="00D92461" w:rsidRDefault="001A2B1A" w:rsidP="00D92461">
      <w:r w:rsidRPr="001A2B1A">
        <w:rPr>
          <w:b/>
        </w:rPr>
        <w:t>I</w:t>
      </w:r>
      <w:r w:rsidR="00B85711" w:rsidRPr="001A2B1A">
        <w:rPr>
          <w:b/>
        </w:rPr>
        <w:t>n a</w:t>
      </w:r>
      <w:r w:rsidR="00CE558A" w:rsidRPr="001A2B1A">
        <w:rPr>
          <w:b/>
        </w:rPr>
        <w:t xml:space="preserve">ddition to </w:t>
      </w:r>
      <w:r w:rsidR="00B76875" w:rsidRPr="001A2B1A">
        <w:rPr>
          <w:b/>
        </w:rPr>
        <w:t xml:space="preserve">applying </w:t>
      </w:r>
      <w:r w:rsidRPr="001A2B1A">
        <w:rPr>
          <w:b/>
        </w:rPr>
        <w:t>the</w:t>
      </w:r>
      <w:r w:rsidR="00CE558A" w:rsidRPr="001A2B1A">
        <w:rPr>
          <w:b/>
        </w:rPr>
        <w:t xml:space="preserve"> criteria noted above,</w:t>
      </w:r>
      <w:r w:rsidR="00B85711" w:rsidRPr="001A2B1A">
        <w:rPr>
          <w:b/>
        </w:rPr>
        <w:t xml:space="preserve"> t</w:t>
      </w:r>
      <w:r w:rsidR="00DF7699" w:rsidRPr="001A2B1A">
        <w:rPr>
          <w:b/>
        </w:rPr>
        <w:t>he Commission</w:t>
      </w:r>
      <w:r w:rsidRPr="001A2B1A">
        <w:rPr>
          <w:b/>
        </w:rPr>
        <w:t xml:space="preserve"> could also apply the lens of </w:t>
      </w:r>
      <w:r w:rsidRPr="001A2B1A">
        <w:rPr>
          <w:b/>
          <w:i/>
        </w:rPr>
        <w:t>sustainable wellbeing</w:t>
      </w:r>
      <w:r w:rsidR="00D92461" w:rsidRPr="001A2B1A">
        <w:rPr>
          <w:b/>
        </w:rPr>
        <w:t xml:space="preserve"> </w:t>
      </w:r>
      <w:r w:rsidR="00B85711" w:rsidRPr="001A2B1A">
        <w:rPr>
          <w:b/>
        </w:rPr>
        <w:t xml:space="preserve">as part of its </w:t>
      </w:r>
      <w:r w:rsidRPr="001A2B1A">
        <w:rPr>
          <w:b/>
        </w:rPr>
        <w:t>‘</w:t>
      </w:r>
      <w:r w:rsidR="00B85711" w:rsidRPr="001A2B1A">
        <w:rPr>
          <w:b/>
        </w:rPr>
        <w:t>community-wide framework</w:t>
      </w:r>
      <w:r w:rsidRPr="001A2B1A">
        <w:rPr>
          <w:b/>
        </w:rPr>
        <w:t>’</w:t>
      </w:r>
      <w:r w:rsidR="00B85711" w:rsidRPr="001A2B1A">
        <w:rPr>
          <w:b/>
        </w:rPr>
        <w:t xml:space="preserve"> for the inquiry</w:t>
      </w:r>
      <w:r w:rsidR="00D92461" w:rsidRPr="001A2B1A">
        <w:rPr>
          <w:b/>
        </w:rPr>
        <w:t>.</w:t>
      </w:r>
      <w:r w:rsidR="00D92461" w:rsidRPr="00AF5D67">
        <w:t xml:space="preserve"> </w:t>
      </w:r>
      <w:r w:rsidR="00B76875">
        <w:t>T</w:t>
      </w:r>
      <w:r w:rsidR="00D92461" w:rsidRPr="00AF5D67">
        <w:t xml:space="preserve">he federal Treasury Secretary </w:t>
      </w:r>
      <w:r w:rsidR="00B76875">
        <w:t xml:space="preserve">has </w:t>
      </w:r>
      <w:r w:rsidR="00D92461" w:rsidRPr="00AF5D67">
        <w:t>put forward this concept</w:t>
      </w:r>
      <w:r w:rsidR="00D92461" w:rsidRPr="00AF5D67">
        <w:rPr>
          <w:iCs/>
        </w:rPr>
        <w:t xml:space="preserve"> as a benchmark for guiding Australia’s economic future</w:t>
      </w:r>
      <w:r w:rsidR="00D92461" w:rsidRPr="00AF5D67">
        <w:t xml:space="preserve">. To maintain sustainable wellbeing, </w:t>
      </w:r>
      <w:r w:rsidR="00B85711">
        <w:t>Dr Parkinson</w:t>
      </w:r>
      <w:r w:rsidR="00D92461" w:rsidRPr="00AF5D67">
        <w:t xml:space="preserve"> </w:t>
      </w:r>
      <w:r>
        <w:t xml:space="preserve">has </w:t>
      </w:r>
      <w:r w:rsidR="00D92461" w:rsidRPr="00AF5D67">
        <w:t>emphasised the need to balance environmental and social capital, in addition to traditional notions of physical, financial and human capital</w:t>
      </w:r>
      <w:r w:rsidR="00B76875">
        <w:t xml:space="preserve">: </w:t>
      </w:r>
      <w:r w:rsidR="00D92461" w:rsidRPr="00AF5D67">
        <w:t>‘Running down the stock of capital in aggregate diminishes the opportunities for future generations.’</w:t>
      </w:r>
      <w:r w:rsidR="00D92461" w:rsidRPr="00AF5D67">
        <w:rPr>
          <w:vertAlign w:val="superscript"/>
        </w:rPr>
        <w:footnoteReference w:id="30"/>
      </w:r>
      <w:r w:rsidR="00D92461" w:rsidRPr="00AF5D67">
        <w:t xml:space="preserve"> </w:t>
      </w:r>
      <w:r>
        <w:t xml:space="preserve">This long-term perspective encompasses a core principle of </w:t>
      </w:r>
      <w:proofErr w:type="spellStart"/>
      <w:r>
        <w:t>ESD</w:t>
      </w:r>
      <w:proofErr w:type="spellEnd"/>
      <w:r>
        <w:t xml:space="preserve"> – intergenerational equity. </w:t>
      </w:r>
    </w:p>
    <w:p w:rsidR="00D92461" w:rsidRDefault="00D92461" w:rsidP="00D03CC6">
      <w:pPr>
        <w:pStyle w:val="ListBullet"/>
        <w:numPr>
          <w:ilvl w:val="0"/>
          <w:numId w:val="0"/>
        </w:numPr>
      </w:pPr>
    </w:p>
    <w:p w:rsidR="00D92461" w:rsidRDefault="003A6C4A" w:rsidP="00D92461">
      <w:pPr>
        <w:pStyle w:val="Heading1"/>
      </w:pPr>
      <w:bookmarkStart w:id="22" w:name="_Toc351985901"/>
      <w:r>
        <w:t>O</w:t>
      </w:r>
      <w:r w:rsidR="00D92461" w:rsidRPr="00094F8B">
        <w:t xml:space="preserve">bjectives and key features of major project </w:t>
      </w:r>
      <w:proofErr w:type="spellStart"/>
      <w:r w:rsidR="00D0695C" w:rsidRPr="00094F8B">
        <w:t>DAA</w:t>
      </w:r>
      <w:proofErr w:type="spellEnd"/>
      <w:r w:rsidR="00D92461" w:rsidRPr="00094F8B">
        <w:t xml:space="preserve"> processes</w:t>
      </w:r>
      <w:bookmarkEnd w:id="22"/>
    </w:p>
    <w:p w:rsidR="00611947" w:rsidRDefault="00611947" w:rsidP="00611947"/>
    <w:p w:rsidR="00611947" w:rsidRDefault="00611947" w:rsidP="00611947">
      <w:pPr>
        <w:spacing w:after="120"/>
      </w:pPr>
      <w:r w:rsidRPr="000407C6">
        <w:t xml:space="preserve">This part of the submission considers the following </w:t>
      </w:r>
      <w:r>
        <w:t>aspects of objects and key features</w:t>
      </w:r>
      <w:r w:rsidR="001A2B1A">
        <w:t xml:space="preserve"> for major project development assessment and approval (</w:t>
      </w:r>
      <w:proofErr w:type="spellStart"/>
      <w:r w:rsidR="001A2B1A" w:rsidRPr="001A2B1A">
        <w:rPr>
          <w:b/>
        </w:rPr>
        <w:t>DAA</w:t>
      </w:r>
      <w:proofErr w:type="spellEnd"/>
      <w:r w:rsidR="001A2B1A">
        <w:t>) processes</w:t>
      </w:r>
      <w:r>
        <w:t>:</w:t>
      </w:r>
    </w:p>
    <w:p w:rsidR="00611947" w:rsidRPr="004D6F76" w:rsidRDefault="00611947" w:rsidP="009C52E3">
      <w:pPr>
        <w:numPr>
          <w:ilvl w:val="0"/>
          <w:numId w:val="41"/>
        </w:numPr>
        <w:rPr>
          <w:i/>
        </w:rPr>
      </w:pPr>
      <w:r w:rsidRPr="004D6F76">
        <w:rPr>
          <w:i/>
        </w:rPr>
        <w:t>Planning systems must embed ‘</w:t>
      </w:r>
      <w:proofErr w:type="spellStart"/>
      <w:r w:rsidRPr="004D6F76">
        <w:rPr>
          <w:i/>
        </w:rPr>
        <w:t>ESD</w:t>
      </w:r>
      <w:proofErr w:type="spellEnd"/>
      <w:r w:rsidRPr="004D6F76">
        <w:rPr>
          <w:i/>
        </w:rPr>
        <w:t>’ in objects and decision criteria</w:t>
      </w:r>
    </w:p>
    <w:p w:rsidR="001A2B1A" w:rsidRPr="004D6F76" w:rsidRDefault="001A2B1A" w:rsidP="009C52E3">
      <w:pPr>
        <w:numPr>
          <w:ilvl w:val="0"/>
          <w:numId w:val="41"/>
        </w:numPr>
        <w:rPr>
          <w:i/>
        </w:rPr>
      </w:pPr>
      <w:r w:rsidRPr="004D6F76">
        <w:rPr>
          <w:i/>
        </w:rPr>
        <w:t>Equitable rights for public participation</w:t>
      </w:r>
      <w:r w:rsidR="00731FFA" w:rsidRPr="004D6F76">
        <w:rPr>
          <w:i/>
        </w:rPr>
        <w:t xml:space="preserve"> and engagement </w:t>
      </w:r>
    </w:p>
    <w:p w:rsidR="00611947" w:rsidRPr="004D6F76" w:rsidRDefault="00611947" w:rsidP="009C52E3">
      <w:pPr>
        <w:numPr>
          <w:ilvl w:val="0"/>
          <w:numId w:val="41"/>
        </w:numPr>
        <w:rPr>
          <w:i/>
        </w:rPr>
      </w:pPr>
      <w:r w:rsidRPr="004D6F76">
        <w:rPr>
          <w:i/>
        </w:rPr>
        <w:t xml:space="preserve">Robust, independent assessment of all environmental impacts </w:t>
      </w:r>
    </w:p>
    <w:p w:rsidR="00611947" w:rsidRDefault="00611947" w:rsidP="009C52E3">
      <w:pPr>
        <w:numPr>
          <w:ilvl w:val="0"/>
          <w:numId w:val="41"/>
        </w:numPr>
        <w:rPr>
          <w:i/>
        </w:rPr>
      </w:pPr>
      <w:r w:rsidRPr="004D6F76">
        <w:rPr>
          <w:i/>
        </w:rPr>
        <w:t xml:space="preserve">Fast-tracking major projects </w:t>
      </w:r>
      <w:r w:rsidR="002063CC" w:rsidRPr="004D6F76">
        <w:rPr>
          <w:i/>
        </w:rPr>
        <w:t xml:space="preserve">and overriding concurrences </w:t>
      </w:r>
      <w:r w:rsidRPr="004D6F76">
        <w:rPr>
          <w:i/>
        </w:rPr>
        <w:t xml:space="preserve">contradicts a ‘risk based’ </w:t>
      </w:r>
      <w:proofErr w:type="spellStart"/>
      <w:r w:rsidRPr="004D6F76">
        <w:rPr>
          <w:i/>
        </w:rPr>
        <w:t>DAA</w:t>
      </w:r>
      <w:proofErr w:type="spellEnd"/>
      <w:r w:rsidRPr="004D6F76">
        <w:rPr>
          <w:i/>
        </w:rPr>
        <w:t xml:space="preserve"> approach</w:t>
      </w:r>
    </w:p>
    <w:p w:rsidR="00FF0FD0" w:rsidRPr="004D6F76" w:rsidRDefault="00FF0FD0" w:rsidP="009C52E3">
      <w:pPr>
        <w:numPr>
          <w:ilvl w:val="0"/>
          <w:numId w:val="41"/>
        </w:numPr>
        <w:rPr>
          <w:i/>
        </w:rPr>
      </w:pPr>
      <w:r>
        <w:rPr>
          <w:i/>
        </w:rPr>
        <w:t>Canadian reforms – a diminished Environmental Assessment Act</w:t>
      </w:r>
    </w:p>
    <w:p w:rsidR="00611947" w:rsidRPr="004D6F76" w:rsidRDefault="00611947" w:rsidP="009C52E3">
      <w:pPr>
        <w:numPr>
          <w:ilvl w:val="0"/>
          <w:numId w:val="41"/>
        </w:numPr>
        <w:rPr>
          <w:i/>
        </w:rPr>
      </w:pPr>
      <w:r w:rsidRPr="004D6F76">
        <w:rPr>
          <w:i/>
        </w:rPr>
        <w:t>Compliance, enforcement tools and resourcing</w:t>
      </w:r>
      <w:r w:rsidR="001A2B1A" w:rsidRPr="004D6F76">
        <w:rPr>
          <w:i/>
        </w:rPr>
        <w:t>.</w:t>
      </w:r>
    </w:p>
    <w:p w:rsidR="00F64D6A" w:rsidRDefault="0016371C" w:rsidP="009C52E3">
      <w:pPr>
        <w:pStyle w:val="Heading2"/>
        <w:numPr>
          <w:ilvl w:val="0"/>
          <w:numId w:val="42"/>
        </w:numPr>
      </w:pPr>
      <w:bookmarkStart w:id="23" w:name="_Toc351985902"/>
      <w:r>
        <w:t>P</w:t>
      </w:r>
      <w:r w:rsidR="00F64D6A" w:rsidRPr="00094F8B">
        <w:t xml:space="preserve">lanning systems must embed </w:t>
      </w:r>
      <w:r>
        <w:t>‘</w:t>
      </w:r>
      <w:proofErr w:type="spellStart"/>
      <w:r w:rsidR="00F64D6A" w:rsidRPr="00094F8B">
        <w:t>ESD</w:t>
      </w:r>
      <w:proofErr w:type="spellEnd"/>
      <w:r>
        <w:t>’</w:t>
      </w:r>
      <w:r w:rsidR="00F64D6A" w:rsidRPr="00094F8B">
        <w:t xml:space="preserve"> </w:t>
      </w:r>
      <w:r>
        <w:t>in objects and decision criteria</w:t>
      </w:r>
      <w:bookmarkEnd w:id="23"/>
    </w:p>
    <w:p w:rsidR="00F64D6A" w:rsidRPr="00946D6B" w:rsidRDefault="00E31F8F" w:rsidP="00946D6B">
      <w:pPr>
        <w:rPr>
          <w:rFonts w:ascii="Times New Roman" w:hAnsi="Times New Roman"/>
          <w:sz w:val="24"/>
          <w:lang w:eastAsia="en-AU"/>
        </w:rPr>
      </w:pPr>
      <w:r w:rsidRPr="00A1550A">
        <w:t xml:space="preserve">A </w:t>
      </w:r>
      <w:r>
        <w:t xml:space="preserve">fundamental problem with Australia’s </w:t>
      </w:r>
      <w:r w:rsidR="001B247F">
        <w:t>planning systems</w:t>
      </w:r>
      <w:r w:rsidR="001A2B1A">
        <w:t xml:space="preserve"> is the lack of clear </w:t>
      </w:r>
      <w:r w:rsidR="003A6C4A">
        <w:t xml:space="preserve">and consistent regulatory objectives. </w:t>
      </w:r>
      <w:r w:rsidR="003A6C4A">
        <w:rPr>
          <w:rFonts w:cs="Arial"/>
          <w:szCs w:val="22"/>
        </w:rPr>
        <w:t>This reduces the likelihood of balanced, ‘triple bottom line’ decision making.</w:t>
      </w:r>
      <w:r w:rsidR="003A6C4A">
        <w:t xml:space="preserve"> </w:t>
      </w:r>
      <w:r w:rsidR="001A2B1A">
        <w:t>M</w:t>
      </w:r>
      <w:r>
        <w:t xml:space="preserve">ajor project </w:t>
      </w:r>
      <w:proofErr w:type="spellStart"/>
      <w:r w:rsidR="001A2B1A">
        <w:t>DAA</w:t>
      </w:r>
      <w:proofErr w:type="spellEnd"/>
      <w:r>
        <w:t xml:space="preserve"> processes</w:t>
      </w:r>
      <w:r w:rsidR="003A6C4A">
        <w:t xml:space="preserve"> </w:t>
      </w:r>
      <w:r w:rsidRPr="003B2A09">
        <w:rPr>
          <w:rFonts w:cs="Arial"/>
        </w:rPr>
        <w:t>tend to</w:t>
      </w:r>
      <w:r w:rsidR="003A6C4A">
        <w:rPr>
          <w:rFonts w:cs="Arial"/>
        </w:rPr>
        <w:t xml:space="preserve"> further</w:t>
      </w:r>
      <w:r w:rsidRPr="003B2A09">
        <w:rPr>
          <w:rFonts w:cs="Arial"/>
        </w:rPr>
        <w:t xml:space="preserve"> prioritise economic outcomes and benefits</w:t>
      </w:r>
      <w:r w:rsidR="001B247F">
        <w:rPr>
          <w:rFonts w:cs="Arial"/>
        </w:rPr>
        <w:t xml:space="preserve"> –</w:t>
      </w:r>
      <w:r w:rsidRPr="003B2A09">
        <w:rPr>
          <w:rFonts w:cs="Arial"/>
        </w:rPr>
        <w:t xml:space="preserve"> without sufficient</w:t>
      </w:r>
      <w:r w:rsidR="001B247F">
        <w:rPr>
          <w:rFonts w:cs="Arial"/>
        </w:rPr>
        <w:t>ly</w:t>
      </w:r>
      <w:r w:rsidRPr="003B2A09">
        <w:rPr>
          <w:rFonts w:cs="Arial"/>
        </w:rPr>
        <w:t xml:space="preserve"> </w:t>
      </w:r>
      <w:r w:rsidR="001B247F">
        <w:rPr>
          <w:rFonts w:cs="Arial"/>
        </w:rPr>
        <w:t>valuing</w:t>
      </w:r>
      <w:r w:rsidRPr="003B2A09">
        <w:rPr>
          <w:rFonts w:cs="Arial"/>
        </w:rPr>
        <w:t xml:space="preserve"> environmental and social </w:t>
      </w:r>
      <w:r w:rsidR="001B247F">
        <w:rPr>
          <w:rFonts w:cs="Arial"/>
        </w:rPr>
        <w:t>benefits and</w:t>
      </w:r>
      <w:r w:rsidRPr="003B2A09">
        <w:rPr>
          <w:rFonts w:cs="Arial"/>
        </w:rPr>
        <w:t xml:space="preserve"> costs.</w:t>
      </w:r>
      <w:r w:rsidR="001B247F">
        <w:rPr>
          <w:rStyle w:val="FootnoteReference"/>
          <w:rFonts w:cs="Arial"/>
        </w:rPr>
        <w:footnoteReference w:id="31"/>
      </w:r>
      <w:r>
        <w:rPr>
          <w:rFonts w:cs="Arial"/>
        </w:rPr>
        <w:t xml:space="preserve"> </w:t>
      </w:r>
      <w:r w:rsidR="001B247F">
        <w:rPr>
          <w:rFonts w:cs="Arial"/>
        </w:rPr>
        <w:t xml:space="preserve"> To restore public confidence in planning</w:t>
      </w:r>
      <w:r w:rsidR="005154B1">
        <w:rPr>
          <w:rFonts w:cs="Arial"/>
        </w:rPr>
        <w:t xml:space="preserve"> systems</w:t>
      </w:r>
      <w:r w:rsidR="001B247F">
        <w:rPr>
          <w:rFonts w:cs="Arial"/>
        </w:rPr>
        <w:t xml:space="preserve"> and major project regulation, governments must </w:t>
      </w:r>
      <w:r w:rsidR="00D458DE">
        <w:rPr>
          <w:rFonts w:cs="Arial"/>
        </w:rPr>
        <w:t xml:space="preserve">ensure </w:t>
      </w:r>
      <w:r w:rsidR="003868A7">
        <w:rPr>
          <w:rFonts w:cs="Arial"/>
        </w:rPr>
        <w:t>that</w:t>
      </w:r>
      <w:r w:rsidR="003A6C4A">
        <w:rPr>
          <w:rFonts w:cs="Arial"/>
        </w:rPr>
        <w:t xml:space="preserve"> </w:t>
      </w:r>
      <w:r w:rsidR="001B247F">
        <w:rPr>
          <w:rFonts w:cs="Arial"/>
        </w:rPr>
        <w:t xml:space="preserve">economic imperatives are not unduly </w:t>
      </w:r>
      <w:r w:rsidR="005154B1">
        <w:rPr>
          <w:rFonts w:cs="Arial"/>
        </w:rPr>
        <w:t>favoured</w:t>
      </w:r>
      <w:r w:rsidR="00D458DE">
        <w:rPr>
          <w:rFonts w:cs="Arial"/>
        </w:rPr>
        <w:t xml:space="preserve"> at the expense of long-term sustainability</w:t>
      </w:r>
      <w:r w:rsidR="005154B1">
        <w:rPr>
          <w:rFonts w:cs="Arial"/>
        </w:rPr>
        <w:t>.</w:t>
      </w:r>
      <w:r w:rsidR="008A145C" w:rsidRPr="008A145C">
        <w:rPr>
          <w:rFonts w:cs="Arial"/>
        </w:rPr>
        <w:t xml:space="preserve"> </w:t>
      </w:r>
      <w:r w:rsidR="008A145C">
        <w:rPr>
          <w:rFonts w:cs="Arial"/>
        </w:rPr>
        <w:t xml:space="preserve">The concept of </w:t>
      </w:r>
      <w:r w:rsidR="008A145C" w:rsidRPr="008A145C">
        <w:rPr>
          <w:rFonts w:cs="Arial"/>
          <w:b/>
        </w:rPr>
        <w:t>ecologically sustainable development (</w:t>
      </w:r>
      <w:proofErr w:type="spellStart"/>
      <w:r w:rsidR="008A145C" w:rsidRPr="008A145C">
        <w:rPr>
          <w:rFonts w:cs="Arial"/>
          <w:b/>
        </w:rPr>
        <w:t>ESD</w:t>
      </w:r>
      <w:proofErr w:type="spellEnd"/>
      <w:r w:rsidR="008A145C" w:rsidRPr="008A145C">
        <w:rPr>
          <w:rFonts w:cs="Arial"/>
          <w:b/>
        </w:rPr>
        <w:t>)</w:t>
      </w:r>
      <w:r w:rsidR="008A145C">
        <w:rPr>
          <w:rFonts w:cs="Arial"/>
        </w:rPr>
        <w:t xml:space="preserve">, and its principles provide this framework. Unlike the current approach however, </w:t>
      </w:r>
      <w:proofErr w:type="spellStart"/>
      <w:r w:rsidR="008A145C">
        <w:rPr>
          <w:rFonts w:cs="Arial"/>
        </w:rPr>
        <w:t>ESD</w:t>
      </w:r>
      <w:proofErr w:type="spellEnd"/>
      <w:r w:rsidR="008A145C">
        <w:rPr>
          <w:rFonts w:cs="Arial"/>
        </w:rPr>
        <w:t xml:space="preserve"> </w:t>
      </w:r>
      <w:r w:rsidR="008A145C" w:rsidRPr="00E31F8F">
        <w:rPr>
          <w:rFonts w:cs="Calibri"/>
        </w:rPr>
        <w:t xml:space="preserve">is </w:t>
      </w:r>
      <w:r w:rsidR="008A145C">
        <w:rPr>
          <w:rFonts w:cs="Calibri"/>
        </w:rPr>
        <w:t>‘</w:t>
      </w:r>
      <w:r w:rsidR="008A145C" w:rsidRPr="00E31F8F">
        <w:rPr>
          <w:rFonts w:cs="Calibri"/>
        </w:rPr>
        <w:t xml:space="preserve">not a factor to be balanced against other considerations; </w:t>
      </w:r>
      <w:proofErr w:type="spellStart"/>
      <w:r w:rsidR="008A145C" w:rsidRPr="00E31F8F">
        <w:rPr>
          <w:rFonts w:cs="Calibri"/>
        </w:rPr>
        <w:t>ESD</w:t>
      </w:r>
      <w:proofErr w:type="spellEnd"/>
      <w:r w:rsidR="008A145C" w:rsidRPr="00E31F8F">
        <w:rPr>
          <w:rFonts w:cs="Calibri"/>
        </w:rPr>
        <w:t xml:space="preserve"> </w:t>
      </w:r>
      <w:r w:rsidR="008A145C" w:rsidRPr="00E31F8F">
        <w:rPr>
          <w:rFonts w:cs="Calibri"/>
          <w:i/>
        </w:rPr>
        <w:t>is</w:t>
      </w:r>
      <w:r w:rsidR="008A145C" w:rsidRPr="00E31F8F">
        <w:rPr>
          <w:rFonts w:cs="Calibri"/>
        </w:rPr>
        <w:t xml:space="preserve"> the balance between developmen</w:t>
      </w:r>
      <w:r w:rsidR="008A145C">
        <w:rPr>
          <w:rFonts w:cs="Calibri"/>
        </w:rPr>
        <w:t>t and environmental imperatives’</w:t>
      </w:r>
      <w:r w:rsidR="008A145C" w:rsidRPr="00E31F8F">
        <w:rPr>
          <w:rFonts w:cs="Calibri"/>
        </w:rPr>
        <w:t>.</w:t>
      </w:r>
      <w:r w:rsidR="008A145C" w:rsidRPr="00E31F8F">
        <w:rPr>
          <w:rStyle w:val="FootnoteReference"/>
          <w:rFonts w:cs="Calibri"/>
        </w:rPr>
        <w:footnoteReference w:id="32"/>
      </w:r>
      <w:r w:rsidR="008A145C">
        <w:rPr>
          <w:rFonts w:ascii="Times New Roman" w:hAnsi="Times New Roman"/>
          <w:sz w:val="24"/>
          <w:lang w:eastAsia="en-AU"/>
        </w:rPr>
        <w:t xml:space="preserve">  </w:t>
      </w:r>
      <w:proofErr w:type="spellStart"/>
      <w:r w:rsidR="00946D6B">
        <w:rPr>
          <w:rFonts w:cs="Arial"/>
        </w:rPr>
        <w:t>ESD</w:t>
      </w:r>
      <w:proofErr w:type="spellEnd"/>
      <w:r w:rsidR="00946D6B">
        <w:rPr>
          <w:rFonts w:cs="Arial"/>
        </w:rPr>
        <w:t> </w:t>
      </w:r>
      <w:r w:rsidR="00F64D6A" w:rsidRPr="006A0A1A">
        <w:rPr>
          <w:rFonts w:cs="Arial"/>
        </w:rPr>
        <w:t xml:space="preserve">principles include: </w:t>
      </w:r>
    </w:p>
    <w:p w:rsidR="00F64D6A" w:rsidRPr="006A0A1A" w:rsidRDefault="00F64D6A" w:rsidP="006A0A1A">
      <w:pPr>
        <w:pStyle w:val="ListParagraph"/>
        <w:numPr>
          <w:ilvl w:val="0"/>
          <w:numId w:val="56"/>
        </w:numPr>
        <w:spacing w:after="0" w:line="240" w:lineRule="auto"/>
        <w:contextualSpacing w:val="0"/>
        <w:rPr>
          <w:rFonts w:ascii="Arial" w:hAnsi="Arial" w:cs="Arial"/>
        </w:rPr>
      </w:pPr>
      <w:r w:rsidRPr="006A0A1A">
        <w:rPr>
          <w:rFonts w:ascii="Arial" w:hAnsi="Arial" w:cs="Arial"/>
        </w:rPr>
        <w:t>the precautionary principle</w:t>
      </w:r>
      <w:r w:rsidR="008A145C" w:rsidRPr="006A0A1A">
        <w:rPr>
          <w:rStyle w:val="FootnoteReference"/>
          <w:rFonts w:ascii="Arial" w:hAnsi="Arial" w:cs="Arial"/>
        </w:rPr>
        <w:footnoteReference w:id="33"/>
      </w:r>
      <w:r w:rsidRPr="006A0A1A">
        <w:rPr>
          <w:rFonts w:ascii="Arial" w:hAnsi="Arial" w:cs="Arial"/>
        </w:rPr>
        <w:t xml:space="preserve"> </w:t>
      </w:r>
    </w:p>
    <w:p w:rsidR="00F64D6A" w:rsidRPr="006A0A1A" w:rsidRDefault="008A145C" w:rsidP="006A0A1A">
      <w:pPr>
        <w:pStyle w:val="ListParagraph"/>
        <w:numPr>
          <w:ilvl w:val="0"/>
          <w:numId w:val="56"/>
        </w:numPr>
        <w:spacing w:after="0" w:line="240" w:lineRule="auto"/>
        <w:contextualSpacing w:val="0"/>
        <w:rPr>
          <w:rFonts w:ascii="Arial" w:hAnsi="Arial" w:cs="Arial"/>
        </w:rPr>
      </w:pPr>
      <w:r w:rsidRPr="006A0A1A">
        <w:rPr>
          <w:rFonts w:ascii="Arial" w:hAnsi="Arial" w:cs="Arial"/>
        </w:rPr>
        <w:t>c</w:t>
      </w:r>
      <w:r w:rsidR="00F64D6A" w:rsidRPr="006A0A1A">
        <w:rPr>
          <w:rFonts w:ascii="Arial" w:hAnsi="Arial" w:cs="Arial"/>
        </w:rPr>
        <w:t>onservation of biodiversity and ecological integrity as a fundamental consideration in decision-making;</w:t>
      </w:r>
    </w:p>
    <w:p w:rsidR="00F64D6A" w:rsidRPr="006A0A1A" w:rsidRDefault="008A145C" w:rsidP="006A0A1A">
      <w:pPr>
        <w:pStyle w:val="ListParagraph"/>
        <w:numPr>
          <w:ilvl w:val="0"/>
          <w:numId w:val="56"/>
        </w:numPr>
        <w:spacing w:after="0" w:line="240" w:lineRule="auto"/>
        <w:contextualSpacing w:val="0"/>
        <w:rPr>
          <w:rFonts w:ascii="Arial" w:hAnsi="Arial" w:cs="Arial"/>
        </w:rPr>
      </w:pPr>
      <w:r w:rsidRPr="006A0A1A">
        <w:rPr>
          <w:rFonts w:ascii="Arial" w:hAnsi="Arial" w:cs="Arial"/>
        </w:rPr>
        <w:t>i</w:t>
      </w:r>
      <w:r w:rsidR="00F64D6A" w:rsidRPr="006A0A1A">
        <w:rPr>
          <w:rFonts w:ascii="Arial" w:hAnsi="Arial" w:cs="Arial"/>
        </w:rPr>
        <w:t>ntergenerational equity</w:t>
      </w:r>
      <w:r w:rsidRPr="006A0A1A">
        <w:rPr>
          <w:rStyle w:val="FootnoteReference"/>
          <w:rFonts w:ascii="Arial" w:hAnsi="Arial" w:cs="Arial"/>
        </w:rPr>
        <w:footnoteReference w:id="34"/>
      </w:r>
    </w:p>
    <w:p w:rsidR="00F64D6A" w:rsidRPr="006A0A1A" w:rsidRDefault="008A145C" w:rsidP="006A0A1A">
      <w:pPr>
        <w:pStyle w:val="ListParagraph"/>
        <w:numPr>
          <w:ilvl w:val="0"/>
          <w:numId w:val="56"/>
        </w:numPr>
        <w:spacing w:after="0" w:line="240" w:lineRule="auto"/>
        <w:contextualSpacing w:val="0"/>
        <w:rPr>
          <w:rFonts w:ascii="Arial" w:hAnsi="Arial" w:cs="Arial"/>
        </w:rPr>
      </w:pPr>
      <w:r w:rsidRPr="006A0A1A">
        <w:rPr>
          <w:rFonts w:ascii="Arial" w:hAnsi="Arial" w:cs="Arial"/>
        </w:rPr>
        <w:t>i</w:t>
      </w:r>
      <w:r w:rsidR="00F64D6A" w:rsidRPr="006A0A1A">
        <w:rPr>
          <w:rFonts w:ascii="Arial" w:hAnsi="Arial" w:cs="Arial"/>
        </w:rPr>
        <w:t>mproved valuation, pricing and incentive mechanisms</w:t>
      </w:r>
      <w:r w:rsidRPr="006A0A1A">
        <w:rPr>
          <w:rFonts w:ascii="Arial" w:hAnsi="Arial" w:cs="Arial"/>
        </w:rPr>
        <w:t>;</w:t>
      </w:r>
      <w:r w:rsidRPr="006A0A1A">
        <w:rPr>
          <w:rStyle w:val="FootnoteReference"/>
          <w:rFonts w:ascii="Arial" w:hAnsi="Arial" w:cs="Arial"/>
        </w:rPr>
        <w:footnoteReference w:id="35"/>
      </w:r>
      <w:r w:rsidR="00F64D6A" w:rsidRPr="006A0A1A">
        <w:rPr>
          <w:rFonts w:ascii="Arial" w:hAnsi="Arial" w:cs="Arial"/>
        </w:rPr>
        <w:t xml:space="preserve"> and </w:t>
      </w:r>
      <w:r w:rsidRPr="006A0A1A">
        <w:rPr>
          <w:rFonts w:ascii="Arial" w:hAnsi="Arial" w:cs="Arial"/>
        </w:rPr>
        <w:t>relatedly,</w:t>
      </w:r>
    </w:p>
    <w:p w:rsidR="00F64D6A" w:rsidRPr="006A0A1A" w:rsidRDefault="008A145C" w:rsidP="006A0A1A">
      <w:pPr>
        <w:pStyle w:val="ListParagraph"/>
        <w:numPr>
          <w:ilvl w:val="0"/>
          <w:numId w:val="56"/>
        </w:numPr>
        <w:spacing w:after="0" w:line="240" w:lineRule="auto"/>
        <w:contextualSpacing w:val="0"/>
        <w:rPr>
          <w:rFonts w:ascii="Arial" w:hAnsi="Arial" w:cs="Arial"/>
        </w:rPr>
      </w:pPr>
      <w:r w:rsidRPr="006A0A1A">
        <w:rPr>
          <w:rFonts w:ascii="Arial" w:hAnsi="Arial" w:cs="Arial"/>
        </w:rPr>
        <w:t>t</w:t>
      </w:r>
      <w:r w:rsidR="00F64D6A" w:rsidRPr="006A0A1A">
        <w:rPr>
          <w:rFonts w:ascii="Arial" w:hAnsi="Arial" w:cs="Arial"/>
        </w:rPr>
        <w:t xml:space="preserve">he polluter pays principle. </w:t>
      </w:r>
    </w:p>
    <w:p w:rsidR="00F64D6A" w:rsidRDefault="00F64D6A" w:rsidP="008A145C">
      <w:pPr>
        <w:pStyle w:val="ListParagraph"/>
        <w:spacing w:after="0" w:line="240" w:lineRule="auto"/>
        <w:ind w:left="0"/>
        <w:contextualSpacing w:val="0"/>
        <w:rPr>
          <w:rFonts w:ascii="Arial" w:hAnsi="Arial" w:cs="Arial"/>
        </w:rPr>
      </w:pPr>
    </w:p>
    <w:p w:rsidR="005154B1" w:rsidRDefault="00706802" w:rsidP="005154B1">
      <w:pPr>
        <w:pStyle w:val="ListParagraph"/>
        <w:spacing w:after="0" w:line="240" w:lineRule="auto"/>
        <w:ind w:left="0"/>
        <w:contextualSpacing w:val="0"/>
        <w:rPr>
          <w:rFonts w:ascii="Arial" w:hAnsi="Arial" w:cs="Arial"/>
        </w:rPr>
      </w:pPr>
      <w:r>
        <w:rPr>
          <w:rFonts w:ascii="Arial" w:hAnsi="Arial" w:cs="Arial"/>
        </w:rPr>
        <w:t xml:space="preserve">These </w:t>
      </w:r>
      <w:r w:rsidRPr="003B2A09">
        <w:rPr>
          <w:rFonts w:ascii="Arial" w:hAnsi="Arial" w:cs="Arial"/>
        </w:rPr>
        <w:t>principles have been adopted across international, federal, State and Territory legal systems, at least in some measure.</w:t>
      </w:r>
      <w:r w:rsidRPr="003B2A09">
        <w:rPr>
          <w:rStyle w:val="FootnoteReference"/>
          <w:rFonts w:ascii="Arial" w:hAnsi="Arial" w:cs="Arial"/>
        </w:rPr>
        <w:footnoteReference w:id="36"/>
      </w:r>
      <w:r w:rsidRPr="003B2A09">
        <w:rPr>
          <w:rFonts w:ascii="Arial" w:hAnsi="Arial" w:cs="Arial"/>
        </w:rPr>
        <w:t xml:space="preserve"> </w:t>
      </w:r>
      <w:r w:rsidR="00F64D6A" w:rsidRPr="00A47FA9">
        <w:rPr>
          <w:rFonts w:ascii="Arial" w:hAnsi="Arial" w:cs="Arial"/>
        </w:rPr>
        <w:t xml:space="preserve">All Australian Government are </w:t>
      </w:r>
      <w:r w:rsidR="00F64D6A">
        <w:rPr>
          <w:rFonts w:ascii="Arial" w:hAnsi="Arial" w:cs="Arial"/>
        </w:rPr>
        <w:t xml:space="preserve">also </w:t>
      </w:r>
      <w:r w:rsidR="00F64D6A" w:rsidRPr="00A47FA9">
        <w:rPr>
          <w:rFonts w:ascii="Arial" w:hAnsi="Arial" w:cs="Arial"/>
        </w:rPr>
        <w:t xml:space="preserve">signatories to the </w:t>
      </w:r>
      <w:r w:rsidR="00F64D6A" w:rsidRPr="00A47FA9">
        <w:rPr>
          <w:rFonts w:ascii="Arial" w:hAnsi="Arial" w:cs="Arial"/>
          <w:i/>
          <w:iCs/>
        </w:rPr>
        <w:t>National Strategy for Ecologically Sustainable Development</w:t>
      </w:r>
      <w:r w:rsidR="00F64D6A" w:rsidRPr="00A47FA9">
        <w:rPr>
          <w:rFonts w:ascii="Arial" w:hAnsi="Arial" w:cs="Arial"/>
          <w:iCs/>
        </w:rPr>
        <w:t>.</w:t>
      </w:r>
      <w:r w:rsidR="00F64D6A" w:rsidRPr="00A47FA9">
        <w:rPr>
          <w:rStyle w:val="FootnoteReference"/>
          <w:rFonts w:ascii="Arial" w:hAnsi="Arial" w:cs="Arial"/>
        </w:rPr>
        <w:footnoteReference w:id="37"/>
      </w:r>
      <w:r w:rsidR="00F64D6A">
        <w:rPr>
          <w:rFonts w:ascii="Arial" w:hAnsi="Arial" w:cs="Arial"/>
        </w:rPr>
        <w:t xml:space="preserve"> Th</w:t>
      </w:r>
      <w:r>
        <w:rPr>
          <w:rFonts w:ascii="Arial" w:hAnsi="Arial" w:cs="Arial"/>
        </w:rPr>
        <w:t>is </w:t>
      </w:r>
      <w:r w:rsidR="00F64D6A">
        <w:rPr>
          <w:rFonts w:ascii="Arial" w:hAnsi="Arial" w:cs="Arial"/>
        </w:rPr>
        <w:t xml:space="preserve">Strategy identifies a range of challenges and strategic approaches </w:t>
      </w:r>
      <w:r>
        <w:rPr>
          <w:rFonts w:ascii="Arial" w:hAnsi="Arial" w:cs="Arial"/>
        </w:rPr>
        <w:t>in</w:t>
      </w:r>
      <w:r w:rsidR="00F64D6A">
        <w:rPr>
          <w:rFonts w:ascii="Arial" w:hAnsi="Arial" w:cs="Arial"/>
        </w:rPr>
        <w:t xml:space="preserve"> areas such as environmental protection, land use planning, mining, environmental information </w:t>
      </w:r>
      <w:r w:rsidR="005154B1">
        <w:rPr>
          <w:rFonts w:ascii="Arial" w:hAnsi="Arial" w:cs="Arial"/>
        </w:rPr>
        <w:t xml:space="preserve">and </w:t>
      </w:r>
      <w:proofErr w:type="spellStart"/>
      <w:r w:rsidR="005154B1">
        <w:rPr>
          <w:rFonts w:ascii="Arial" w:hAnsi="Arial" w:cs="Arial"/>
        </w:rPr>
        <w:t>EIA</w:t>
      </w:r>
      <w:proofErr w:type="spellEnd"/>
      <w:r w:rsidR="005154B1">
        <w:rPr>
          <w:rFonts w:ascii="Arial" w:hAnsi="Arial" w:cs="Arial"/>
        </w:rPr>
        <w:t xml:space="preserve">. </w:t>
      </w:r>
      <w:r w:rsidR="003868A7" w:rsidRPr="003868A7">
        <w:rPr>
          <w:rFonts w:ascii="Arial" w:hAnsi="Arial" w:cs="Arial"/>
          <w:i/>
        </w:rPr>
        <w:t>‘Sustainability’</w:t>
      </w:r>
      <w:r w:rsidR="003868A7">
        <w:rPr>
          <w:rFonts w:ascii="Arial" w:hAnsi="Arial" w:cs="Arial"/>
        </w:rPr>
        <w:t xml:space="preserve"> is also one of four main goals of Australia’s National Urban Policy, alongside productivity, liveability and governance.</w:t>
      </w:r>
      <w:r w:rsidR="003868A7">
        <w:rPr>
          <w:rStyle w:val="FootnoteReference"/>
          <w:rFonts w:ascii="Arial" w:hAnsi="Arial" w:cs="Arial"/>
        </w:rPr>
        <w:footnoteReference w:id="38"/>
      </w:r>
      <w:r w:rsidR="003868A7">
        <w:rPr>
          <w:rFonts w:ascii="Arial" w:hAnsi="Arial" w:cs="Arial"/>
        </w:rPr>
        <w:t xml:space="preserve"> </w:t>
      </w:r>
    </w:p>
    <w:p w:rsidR="005154B1" w:rsidRDefault="005154B1" w:rsidP="005154B1">
      <w:pPr>
        <w:pStyle w:val="ListParagraph"/>
        <w:spacing w:after="0" w:line="240" w:lineRule="auto"/>
        <w:ind w:left="0"/>
        <w:contextualSpacing w:val="0"/>
        <w:rPr>
          <w:rFonts w:ascii="Arial" w:hAnsi="Arial" w:cs="Arial"/>
        </w:rPr>
      </w:pPr>
    </w:p>
    <w:p w:rsidR="00706802" w:rsidRPr="00706802" w:rsidRDefault="00F64D6A" w:rsidP="00706802">
      <w:pPr>
        <w:pStyle w:val="ListParagraph"/>
        <w:spacing w:after="0" w:line="240" w:lineRule="auto"/>
        <w:ind w:left="0"/>
        <w:contextualSpacing w:val="0"/>
        <w:rPr>
          <w:rFonts w:ascii="Arial" w:hAnsi="Arial" w:cs="Arial"/>
        </w:rPr>
      </w:pPr>
      <w:r w:rsidRPr="00CA7344">
        <w:rPr>
          <w:rFonts w:ascii="Arial" w:hAnsi="Arial" w:cs="Arial"/>
        </w:rPr>
        <w:t xml:space="preserve">Australian environmental policy experts have continued to recognise the </w:t>
      </w:r>
      <w:r w:rsidR="005154B1">
        <w:rPr>
          <w:rFonts w:ascii="Arial" w:hAnsi="Arial" w:cs="Arial"/>
        </w:rPr>
        <w:t xml:space="preserve">centrality </w:t>
      </w:r>
      <w:r w:rsidRPr="00CA7344">
        <w:rPr>
          <w:rFonts w:ascii="Arial" w:hAnsi="Arial" w:cs="Arial"/>
        </w:rPr>
        <w:t xml:space="preserve">of </w:t>
      </w:r>
      <w:proofErr w:type="spellStart"/>
      <w:r w:rsidRPr="00CA7344">
        <w:rPr>
          <w:rFonts w:ascii="Arial" w:hAnsi="Arial" w:cs="Arial"/>
        </w:rPr>
        <w:t>ESD</w:t>
      </w:r>
      <w:proofErr w:type="spellEnd"/>
      <w:r w:rsidRPr="00CA7344">
        <w:rPr>
          <w:rFonts w:ascii="Arial" w:hAnsi="Arial" w:cs="Arial"/>
        </w:rPr>
        <w:t>, noting that despite its challenges, ‘there is no other credible candidate for an integrative policy framework’.</w:t>
      </w:r>
      <w:r w:rsidRPr="00CA7344">
        <w:rPr>
          <w:rStyle w:val="FootnoteReference"/>
          <w:rFonts w:ascii="Arial" w:hAnsi="Arial" w:cs="Arial"/>
        </w:rPr>
        <w:footnoteReference w:id="39"/>
      </w:r>
      <w:r w:rsidRPr="00CA7344">
        <w:rPr>
          <w:rFonts w:ascii="Arial" w:hAnsi="Arial" w:cs="Arial"/>
        </w:rPr>
        <w:t xml:space="preserve"> </w:t>
      </w:r>
      <w:r w:rsidR="00706802" w:rsidRPr="00706802">
        <w:rPr>
          <w:rFonts w:ascii="Arial" w:hAnsi="Arial" w:cs="Arial"/>
        </w:rPr>
        <w:t xml:space="preserve">However, more than 20 years on from the </w:t>
      </w:r>
      <w:r w:rsidR="00706802" w:rsidRPr="00706802">
        <w:rPr>
          <w:rFonts w:ascii="Arial" w:hAnsi="Arial" w:cs="Arial"/>
          <w:i/>
        </w:rPr>
        <w:t xml:space="preserve">National Strategy for </w:t>
      </w:r>
      <w:proofErr w:type="spellStart"/>
      <w:r w:rsidR="00706802" w:rsidRPr="00706802">
        <w:rPr>
          <w:rFonts w:ascii="Arial" w:hAnsi="Arial" w:cs="Arial"/>
          <w:i/>
        </w:rPr>
        <w:t>ESD</w:t>
      </w:r>
      <w:proofErr w:type="spellEnd"/>
      <w:r w:rsidR="00706802" w:rsidRPr="00706802">
        <w:rPr>
          <w:rFonts w:ascii="Arial" w:hAnsi="Arial" w:cs="Arial"/>
        </w:rPr>
        <w:t xml:space="preserve">, far greater effort is needed to apply </w:t>
      </w:r>
      <w:proofErr w:type="spellStart"/>
      <w:r w:rsidR="00706802" w:rsidRPr="00706802">
        <w:rPr>
          <w:rFonts w:ascii="Arial" w:hAnsi="Arial" w:cs="Arial"/>
        </w:rPr>
        <w:t>ESD</w:t>
      </w:r>
      <w:proofErr w:type="spellEnd"/>
      <w:r w:rsidR="00706802" w:rsidRPr="00706802">
        <w:rPr>
          <w:rFonts w:ascii="Arial" w:hAnsi="Arial" w:cs="Arial"/>
        </w:rPr>
        <w:t xml:space="preserve"> in practice. </w:t>
      </w:r>
    </w:p>
    <w:p w:rsidR="00706802" w:rsidRPr="00706802" w:rsidRDefault="00706802" w:rsidP="00706802">
      <w:pPr>
        <w:pStyle w:val="ListParagraph"/>
        <w:spacing w:after="0" w:line="240" w:lineRule="auto"/>
        <w:ind w:left="0"/>
        <w:contextualSpacing w:val="0"/>
        <w:rPr>
          <w:rFonts w:ascii="Arial" w:hAnsi="Arial" w:cs="Arial"/>
        </w:rPr>
      </w:pPr>
    </w:p>
    <w:p w:rsidR="00F64D6A" w:rsidRPr="00706802" w:rsidRDefault="00F64D6A" w:rsidP="00706802">
      <w:pPr>
        <w:pStyle w:val="ListParagraph"/>
        <w:spacing w:after="120" w:line="240" w:lineRule="auto"/>
        <w:ind w:left="0"/>
        <w:contextualSpacing w:val="0"/>
        <w:rPr>
          <w:rFonts w:ascii="Arial" w:hAnsi="Arial" w:cs="Arial"/>
        </w:rPr>
      </w:pPr>
      <w:r w:rsidRPr="00706802">
        <w:rPr>
          <w:rFonts w:ascii="Arial" w:hAnsi="Arial" w:cs="Arial"/>
        </w:rPr>
        <w:t xml:space="preserve">There are at least three problems with current laws and decision-making frameworks in applying </w:t>
      </w:r>
      <w:proofErr w:type="spellStart"/>
      <w:r w:rsidRPr="00706802">
        <w:rPr>
          <w:rFonts w:ascii="Arial" w:hAnsi="Arial" w:cs="Arial"/>
        </w:rPr>
        <w:t>ESD</w:t>
      </w:r>
      <w:proofErr w:type="spellEnd"/>
      <w:r w:rsidRPr="00706802">
        <w:rPr>
          <w:rFonts w:ascii="Arial" w:hAnsi="Arial" w:cs="Arial"/>
        </w:rPr>
        <w:t xml:space="preserve">: </w:t>
      </w:r>
    </w:p>
    <w:p w:rsidR="00F64D6A" w:rsidRPr="00706802" w:rsidRDefault="00F64D6A" w:rsidP="006A0A1A">
      <w:pPr>
        <w:pStyle w:val="ListParagraph"/>
        <w:numPr>
          <w:ilvl w:val="0"/>
          <w:numId w:val="33"/>
        </w:numPr>
        <w:spacing w:after="0" w:line="240" w:lineRule="auto"/>
        <w:rPr>
          <w:rFonts w:ascii="Arial" w:hAnsi="Arial" w:cs="Arial"/>
        </w:rPr>
      </w:pPr>
      <w:r w:rsidRPr="00706802">
        <w:rPr>
          <w:rFonts w:ascii="Arial" w:hAnsi="Arial" w:cs="Arial"/>
          <w:i/>
        </w:rPr>
        <w:t>First,</w:t>
      </w:r>
      <w:r w:rsidRPr="00706802">
        <w:rPr>
          <w:rFonts w:ascii="Arial" w:hAnsi="Arial" w:cs="Arial"/>
        </w:rPr>
        <w:t xml:space="preserve"> the laws that regu</w:t>
      </w:r>
      <w:r w:rsidR="00706802">
        <w:rPr>
          <w:rFonts w:ascii="Arial" w:hAnsi="Arial" w:cs="Arial"/>
        </w:rPr>
        <w:t xml:space="preserve">late planning and major projects </w:t>
      </w:r>
      <w:r w:rsidRPr="00706802">
        <w:rPr>
          <w:rFonts w:ascii="Arial" w:hAnsi="Arial" w:cs="Arial"/>
        </w:rPr>
        <w:t xml:space="preserve">are inconsistent in their recognition of </w:t>
      </w:r>
      <w:proofErr w:type="spellStart"/>
      <w:r w:rsidRPr="00706802">
        <w:rPr>
          <w:rFonts w:ascii="Arial" w:hAnsi="Arial" w:cs="Arial"/>
        </w:rPr>
        <w:t>ESD</w:t>
      </w:r>
      <w:proofErr w:type="spellEnd"/>
      <w:r w:rsidR="001B247F" w:rsidRPr="00706802">
        <w:rPr>
          <w:rFonts w:ascii="Arial" w:hAnsi="Arial" w:cs="Arial"/>
        </w:rPr>
        <w:t>,</w:t>
      </w:r>
      <w:r w:rsidRPr="00706802">
        <w:rPr>
          <w:rFonts w:ascii="Arial" w:hAnsi="Arial" w:cs="Arial"/>
        </w:rPr>
        <w:t xml:space="preserve"> </w:t>
      </w:r>
      <w:r w:rsidR="001B247F" w:rsidRPr="00706802">
        <w:rPr>
          <w:rFonts w:ascii="Arial" w:hAnsi="Arial" w:cs="Arial"/>
        </w:rPr>
        <w:t xml:space="preserve">and </w:t>
      </w:r>
      <w:r w:rsidRPr="00706802">
        <w:rPr>
          <w:rFonts w:ascii="Arial" w:hAnsi="Arial" w:cs="Arial"/>
        </w:rPr>
        <w:t xml:space="preserve">sometimes it is not recognised at all. </w:t>
      </w:r>
    </w:p>
    <w:p w:rsidR="00F64D6A" w:rsidRPr="00706802" w:rsidRDefault="00F64D6A" w:rsidP="006A0A1A">
      <w:pPr>
        <w:pStyle w:val="ListParagraph"/>
        <w:numPr>
          <w:ilvl w:val="0"/>
          <w:numId w:val="32"/>
        </w:numPr>
        <w:spacing w:after="0" w:line="240" w:lineRule="auto"/>
        <w:rPr>
          <w:rFonts w:ascii="Arial" w:hAnsi="Arial" w:cs="Arial"/>
        </w:rPr>
      </w:pPr>
      <w:r w:rsidRPr="00706802">
        <w:rPr>
          <w:rFonts w:ascii="Arial" w:hAnsi="Arial" w:cs="Arial"/>
          <w:i/>
        </w:rPr>
        <w:t>Second,</w:t>
      </w:r>
      <w:r w:rsidRPr="00706802">
        <w:rPr>
          <w:rFonts w:ascii="Arial" w:hAnsi="Arial" w:cs="Arial"/>
        </w:rPr>
        <w:t xml:space="preserve"> even where </w:t>
      </w:r>
      <w:proofErr w:type="spellStart"/>
      <w:r w:rsidRPr="00706802">
        <w:rPr>
          <w:rFonts w:ascii="Arial" w:hAnsi="Arial" w:cs="Arial"/>
        </w:rPr>
        <w:t>ESD</w:t>
      </w:r>
      <w:proofErr w:type="spellEnd"/>
      <w:r w:rsidRPr="00706802">
        <w:rPr>
          <w:rFonts w:ascii="Arial" w:hAnsi="Arial" w:cs="Arial"/>
        </w:rPr>
        <w:t xml:space="preserve"> is acknowledged as an object, legal decision making and assessment processes do not require that </w:t>
      </w:r>
      <w:proofErr w:type="spellStart"/>
      <w:r w:rsidRPr="00706802">
        <w:rPr>
          <w:rFonts w:ascii="Arial" w:hAnsi="Arial" w:cs="Arial"/>
        </w:rPr>
        <w:t>ESD</w:t>
      </w:r>
      <w:proofErr w:type="spellEnd"/>
      <w:r w:rsidRPr="00706802">
        <w:rPr>
          <w:rFonts w:ascii="Arial" w:hAnsi="Arial" w:cs="Arial"/>
        </w:rPr>
        <w:t xml:space="preserve"> be achieved, or </w:t>
      </w:r>
      <w:r w:rsidR="005154B1" w:rsidRPr="00706802">
        <w:rPr>
          <w:rFonts w:ascii="Arial" w:hAnsi="Arial" w:cs="Arial"/>
        </w:rPr>
        <w:t>that</w:t>
      </w:r>
      <w:r w:rsidR="00706802">
        <w:rPr>
          <w:rFonts w:ascii="Arial" w:hAnsi="Arial" w:cs="Arial"/>
        </w:rPr>
        <w:t xml:space="preserve"> decision-makers act in accordance with </w:t>
      </w:r>
      <w:r w:rsidRPr="00706802">
        <w:rPr>
          <w:rFonts w:ascii="Arial" w:hAnsi="Arial" w:cs="Arial"/>
        </w:rPr>
        <w:t xml:space="preserve">its principles (with few exceptions). </w:t>
      </w:r>
    </w:p>
    <w:p w:rsidR="00F64D6A" w:rsidRPr="00706802" w:rsidRDefault="00F64D6A" w:rsidP="006A0A1A">
      <w:pPr>
        <w:pStyle w:val="ListParagraph"/>
        <w:numPr>
          <w:ilvl w:val="0"/>
          <w:numId w:val="32"/>
        </w:numPr>
        <w:spacing w:after="0" w:line="240" w:lineRule="auto"/>
        <w:contextualSpacing w:val="0"/>
        <w:rPr>
          <w:rFonts w:ascii="Arial" w:hAnsi="Arial" w:cs="Arial"/>
        </w:rPr>
      </w:pPr>
      <w:r w:rsidRPr="00706802">
        <w:rPr>
          <w:rFonts w:ascii="Arial" w:hAnsi="Arial" w:cs="Arial"/>
          <w:i/>
        </w:rPr>
        <w:t>Third</w:t>
      </w:r>
      <w:r w:rsidRPr="00706802">
        <w:rPr>
          <w:rFonts w:ascii="Arial" w:hAnsi="Arial" w:cs="Arial"/>
        </w:rPr>
        <w:t xml:space="preserve">, decision-making frameworks contain no </w:t>
      </w:r>
      <w:r w:rsidR="00706802">
        <w:rPr>
          <w:rFonts w:ascii="Arial" w:hAnsi="Arial" w:cs="Arial"/>
        </w:rPr>
        <w:t>definitive</w:t>
      </w:r>
      <w:r w:rsidRPr="00706802">
        <w:rPr>
          <w:rFonts w:ascii="Arial" w:hAnsi="Arial" w:cs="Arial"/>
        </w:rPr>
        <w:t xml:space="preserve"> duties to protect the environment,</w:t>
      </w:r>
      <w:r w:rsidRPr="00706802">
        <w:rPr>
          <w:rStyle w:val="FootnoteReference"/>
          <w:rFonts w:ascii="Arial" w:hAnsi="Arial" w:cs="Arial"/>
        </w:rPr>
        <w:footnoteReference w:id="40"/>
      </w:r>
      <w:r w:rsidRPr="00706802">
        <w:rPr>
          <w:rFonts w:ascii="Arial" w:hAnsi="Arial" w:cs="Arial"/>
        </w:rPr>
        <w:t xml:space="preserve"> or objective limits on its degradation.</w:t>
      </w:r>
      <w:r w:rsidRPr="00706802">
        <w:rPr>
          <w:rStyle w:val="FootnoteReference"/>
          <w:rFonts w:ascii="Arial" w:hAnsi="Arial" w:cs="Arial"/>
        </w:rPr>
        <w:footnoteReference w:id="41"/>
      </w:r>
      <w:r w:rsidRPr="00706802">
        <w:rPr>
          <w:rFonts w:ascii="Arial" w:hAnsi="Arial" w:cs="Arial"/>
        </w:rPr>
        <w:t xml:space="preserve"> As Tim Flannery has observed: ‘A federal policy of zero tolerance to species extinction would be a strong foundation upon which to build protective legislation.’</w:t>
      </w:r>
      <w:r w:rsidRPr="00706802">
        <w:rPr>
          <w:rStyle w:val="FootnoteReference"/>
          <w:rFonts w:ascii="Arial" w:hAnsi="Arial" w:cs="Arial"/>
        </w:rPr>
        <w:footnoteReference w:id="42"/>
      </w:r>
    </w:p>
    <w:p w:rsidR="00F64D6A" w:rsidRPr="00706802" w:rsidRDefault="00F64D6A" w:rsidP="00275A14">
      <w:pPr>
        <w:rPr>
          <w:rFonts w:cs="Arial"/>
          <w:szCs w:val="22"/>
        </w:rPr>
      </w:pPr>
    </w:p>
    <w:p w:rsidR="00F64D6A" w:rsidRDefault="00275A14" w:rsidP="00275A14">
      <w:pPr>
        <w:pStyle w:val="ListBullet"/>
        <w:numPr>
          <w:ilvl w:val="0"/>
          <w:numId w:val="0"/>
        </w:numPr>
        <w:spacing w:before="0" w:line="240" w:lineRule="auto"/>
        <w:jc w:val="left"/>
        <w:rPr>
          <w:rFonts w:ascii="Arial" w:hAnsi="Arial" w:cs="Arial"/>
          <w:sz w:val="22"/>
          <w:szCs w:val="22"/>
        </w:rPr>
      </w:pPr>
      <w:r w:rsidRPr="00706802">
        <w:rPr>
          <w:rFonts w:ascii="Arial" w:hAnsi="Arial" w:cs="Arial"/>
          <w:sz w:val="22"/>
          <w:szCs w:val="22"/>
        </w:rPr>
        <w:t>At mo</w:t>
      </w:r>
      <w:r w:rsidR="00D458DE" w:rsidRPr="00706802">
        <w:rPr>
          <w:rFonts w:ascii="Arial" w:hAnsi="Arial" w:cs="Arial"/>
          <w:sz w:val="22"/>
          <w:szCs w:val="22"/>
        </w:rPr>
        <w:t>st, s</w:t>
      </w:r>
      <w:r w:rsidRPr="00706802">
        <w:rPr>
          <w:rFonts w:ascii="Arial" w:hAnsi="Arial" w:cs="Arial"/>
          <w:sz w:val="22"/>
          <w:szCs w:val="22"/>
        </w:rPr>
        <w:t>tate</w:t>
      </w:r>
      <w:r w:rsidR="00D458DE" w:rsidRPr="00706802">
        <w:rPr>
          <w:rFonts w:ascii="Arial" w:hAnsi="Arial" w:cs="Arial"/>
          <w:sz w:val="22"/>
          <w:szCs w:val="22"/>
        </w:rPr>
        <w:t xml:space="preserve"> </w:t>
      </w:r>
      <w:r w:rsidRPr="00706802">
        <w:rPr>
          <w:rFonts w:ascii="Arial" w:hAnsi="Arial" w:cs="Arial"/>
          <w:sz w:val="22"/>
          <w:szCs w:val="22"/>
        </w:rPr>
        <w:t xml:space="preserve">and </w:t>
      </w:r>
      <w:r w:rsidR="00D458DE" w:rsidRPr="00706802">
        <w:rPr>
          <w:rFonts w:ascii="Arial" w:hAnsi="Arial" w:cs="Arial"/>
          <w:sz w:val="22"/>
          <w:szCs w:val="22"/>
        </w:rPr>
        <w:t>federal</w:t>
      </w:r>
      <w:r w:rsidRPr="00706802">
        <w:rPr>
          <w:rFonts w:ascii="Arial" w:hAnsi="Arial" w:cs="Arial"/>
          <w:sz w:val="22"/>
          <w:szCs w:val="22"/>
        </w:rPr>
        <w:t xml:space="preserve"> decision-making rules simply require ‘regard to’ or ‘consideration of’ the environment or </w:t>
      </w:r>
      <w:proofErr w:type="spellStart"/>
      <w:r w:rsidRPr="00706802">
        <w:rPr>
          <w:rFonts w:ascii="Arial" w:hAnsi="Arial" w:cs="Arial"/>
          <w:sz w:val="22"/>
          <w:szCs w:val="22"/>
        </w:rPr>
        <w:t>ESD</w:t>
      </w:r>
      <w:proofErr w:type="spellEnd"/>
      <w:r w:rsidRPr="00706802">
        <w:rPr>
          <w:rFonts w:ascii="Arial" w:hAnsi="Arial" w:cs="Arial"/>
          <w:sz w:val="22"/>
          <w:szCs w:val="22"/>
        </w:rPr>
        <w:t xml:space="preserve">. </w:t>
      </w:r>
      <w:r w:rsidR="003A6C4A" w:rsidRPr="00706802">
        <w:rPr>
          <w:rFonts w:ascii="Arial" w:hAnsi="Arial" w:cs="Arial"/>
          <w:sz w:val="22"/>
          <w:szCs w:val="22"/>
        </w:rPr>
        <w:t xml:space="preserve"> D</w:t>
      </w:r>
      <w:r w:rsidRPr="00706802">
        <w:rPr>
          <w:rFonts w:ascii="Arial" w:hAnsi="Arial" w:cs="Arial"/>
          <w:sz w:val="22"/>
          <w:szCs w:val="22"/>
        </w:rPr>
        <w:t>ecisions can be highly discretionary, and authorities may only</w:t>
      </w:r>
      <w:r w:rsidRPr="005971D3">
        <w:rPr>
          <w:rFonts w:ascii="Arial" w:hAnsi="Arial" w:cs="Arial"/>
          <w:sz w:val="22"/>
          <w:szCs w:val="22"/>
        </w:rPr>
        <w:t xml:space="preserve"> need to pay cursory attention to </w:t>
      </w:r>
      <w:proofErr w:type="spellStart"/>
      <w:r w:rsidRPr="005971D3">
        <w:rPr>
          <w:rFonts w:ascii="Arial" w:hAnsi="Arial" w:cs="Arial"/>
          <w:sz w:val="22"/>
          <w:szCs w:val="22"/>
        </w:rPr>
        <w:t>ESD</w:t>
      </w:r>
      <w:proofErr w:type="spellEnd"/>
      <w:r>
        <w:rPr>
          <w:rFonts w:ascii="Arial" w:hAnsi="Arial" w:cs="Arial"/>
          <w:sz w:val="22"/>
          <w:szCs w:val="22"/>
        </w:rPr>
        <w:t>, with associated risks of l</w:t>
      </w:r>
      <w:r w:rsidRPr="005971D3">
        <w:rPr>
          <w:rFonts w:ascii="Arial" w:hAnsi="Arial" w:cs="Arial"/>
          <w:sz w:val="22"/>
          <w:szCs w:val="22"/>
        </w:rPr>
        <w:t>on</w:t>
      </w:r>
      <w:r>
        <w:rPr>
          <w:rFonts w:ascii="Arial" w:hAnsi="Arial" w:cs="Arial"/>
          <w:sz w:val="22"/>
          <w:szCs w:val="22"/>
        </w:rPr>
        <w:t xml:space="preserve">g-term environmental degradation. </w:t>
      </w:r>
      <w:proofErr w:type="spellStart"/>
      <w:r w:rsidR="005154B1">
        <w:rPr>
          <w:rFonts w:ascii="Arial" w:hAnsi="Arial" w:cs="Arial"/>
          <w:sz w:val="22"/>
          <w:szCs w:val="22"/>
        </w:rPr>
        <w:t>ANEDO</w:t>
      </w:r>
      <w:proofErr w:type="spellEnd"/>
      <w:r w:rsidR="005154B1">
        <w:rPr>
          <w:rFonts w:ascii="Arial" w:hAnsi="Arial" w:cs="Arial"/>
          <w:sz w:val="22"/>
          <w:szCs w:val="22"/>
        </w:rPr>
        <w:t xml:space="preserve"> has illustrated </w:t>
      </w:r>
      <w:r w:rsidR="005154B1" w:rsidRPr="005154B1">
        <w:rPr>
          <w:rFonts w:ascii="Arial" w:hAnsi="Arial" w:cs="Arial"/>
          <w:sz w:val="22"/>
          <w:szCs w:val="22"/>
        </w:rPr>
        <w:t xml:space="preserve">this </w:t>
      </w:r>
      <w:r w:rsidR="005154B1">
        <w:rPr>
          <w:rFonts w:ascii="Arial" w:hAnsi="Arial" w:cs="Arial"/>
          <w:sz w:val="22"/>
          <w:szCs w:val="22"/>
        </w:rPr>
        <w:t xml:space="preserve">in more detail, </w:t>
      </w:r>
      <w:r w:rsidRPr="005154B1">
        <w:rPr>
          <w:rFonts w:ascii="Arial" w:hAnsi="Arial" w:cs="Arial"/>
          <w:sz w:val="22"/>
          <w:szCs w:val="22"/>
        </w:rPr>
        <w:t>with examples from three States and the Commonwealth</w:t>
      </w:r>
      <w:r>
        <w:rPr>
          <w:rFonts w:ascii="Arial" w:hAnsi="Arial" w:cs="Arial"/>
          <w:sz w:val="22"/>
          <w:szCs w:val="22"/>
        </w:rPr>
        <w:t xml:space="preserve">, </w:t>
      </w:r>
      <w:r w:rsidR="005154B1">
        <w:rPr>
          <w:rFonts w:ascii="Arial" w:hAnsi="Arial" w:cs="Arial"/>
          <w:sz w:val="22"/>
          <w:szCs w:val="22"/>
        </w:rPr>
        <w:t xml:space="preserve">in </w:t>
      </w:r>
      <w:r>
        <w:rPr>
          <w:rFonts w:ascii="Arial" w:hAnsi="Arial" w:cs="Arial"/>
          <w:sz w:val="22"/>
          <w:szCs w:val="22"/>
        </w:rPr>
        <w:t>a</w:t>
      </w:r>
      <w:r w:rsidR="005154B1">
        <w:rPr>
          <w:rFonts w:ascii="Arial" w:hAnsi="Arial" w:cs="Arial"/>
          <w:sz w:val="22"/>
          <w:szCs w:val="22"/>
        </w:rPr>
        <w:t xml:space="preserve"> recent submission on a proposed national framework for </w:t>
      </w:r>
      <w:proofErr w:type="spellStart"/>
      <w:r w:rsidR="005154B1">
        <w:rPr>
          <w:rFonts w:ascii="Arial" w:hAnsi="Arial" w:cs="Arial"/>
          <w:sz w:val="22"/>
          <w:szCs w:val="22"/>
        </w:rPr>
        <w:t>CSG</w:t>
      </w:r>
      <w:proofErr w:type="spellEnd"/>
      <w:r w:rsidR="005154B1">
        <w:rPr>
          <w:rFonts w:ascii="Arial" w:hAnsi="Arial" w:cs="Arial"/>
          <w:sz w:val="22"/>
          <w:szCs w:val="22"/>
        </w:rPr>
        <w:t xml:space="preserve"> regulation.</w:t>
      </w:r>
      <w:r w:rsidR="005154B1">
        <w:rPr>
          <w:rStyle w:val="FootnoteReference"/>
          <w:rFonts w:ascii="Arial" w:hAnsi="Arial" w:cs="Arial"/>
          <w:sz w:val="22"/>
          <w:szCs w:val="22"/>
        </w:rPr>
        <w:footnoteReference w:id="43"/>
      </w:r>
      <w:r w:rsidR="005154B1" w:rsidRPr="005154B1">
        <w:rPr>
          <w:rFonts w:ascii="Arial" w:hAnsi="Arial" w:cs="Arial"/>
          <w:sz w:val="22"/>
          <w:szCs w:val="22"/>
        </w:rPr>
        <w:t xml:space="preserve"> </w:t>
      </w:r>
      <w:r w:rsidR="00706802">
        <w:rPr>
          <w:rFonts w:ascii="Arial" w:hAnsi="Arial" w:cs="Arial"/>
          <w:sz w:val="22"/>
          <w:szCs w:val="22"/>
        </w:rPr>
        <w:t>We make several recommendations to address these problems.</w:t>
      </w:r>
    </w:p>
    <w:p w:rsidR="008B6620" w:rsidRDefault="008B6620" w:rsidP="008B6620">
      <w:pPr>
        <w:rPr>
          <w:rFonts w:cs="Arial"/>
          <w:szCs w:val="22"/>
        </w:rPr>
      </w:pPr>
    </w:p>
    <w:p w:rsidR="00706802" w:rsidRPr="00F019E5" w:rsidRDefault="00706802" w:rsidP="006A0A1A">
      <w:pPr>
        <w:pStyle w:val="ListParagraph"/>
        <w:spacing w:after="0" w:line="240" w:lineRule="auto"/>
        <w:ind w:left="0"/>
        <w:rPr>
          <w:rFonts w:ascii="Arial" w:hAnsi="Arial" w:cs="Arial"/>
          <w:b/>
          <w:color w:val="221E1F"/>
        </w:rPr>
      </w:pPr>
      <w:r w:rsidRPr="00706802">
        <w:rPr>
          <w:rFonts w:ascii="Arial" w:hAnsi="Arial" w:cs="Arial"/>
          <w:b/>
          <w:i/>
          <w:color w:val="221E1F"/>
        </w:rPr>
        <w:lastRenderedPageBreak/>
        <w:t>Recommendation:</w:t>
      </w:r>
      <w:r w:rsidRPr="00706802">
        <w:rPr>
          <w:rFonts w:ascii="Arial" w:hAnsi="Arial" w:cs="Arial"/>
          <w:b/>
          <w:color w:val="221E1F"/>
        </w:rPr>
        <w:t xml:space="preserve"> Planning and development decision-making at all levels (local, regional, State and national) must happen within the scope of a clear legal framework that aims to achieve ecologically sustainable development (</w:t>
      </w:r>
      <w:proofErr w:type="spellStart"/>
      <w:r w:rsidRPr="00706802">
        <w:rPr>
          <w:rFonts w:ascii="Arial" w:hAnsi="Arial" w:cs="Arial"/>
          <w:b/>
          <w:color w:val="221E1F"/>
        </w:rPr>
        <w:t>ESD</w:t>
      </w:r>
      <w:proofErr w:type="spellEnd"/>
      <w:r w:rsidRPr="00706802">
        <w:rPr>
          <w:rFonts w:ascii="Arial" w:hAnsi="Arial" w:cs="Arial"/>
          <w:b/>
          <w:color w:val="221E1F"/>
        </w:rPr>
        <w:t>).</w:t>
      </w:r>
      <w:r w:rsidRPr="00F019E5">
        <w:rPr>
          <w:rFonts w:ascii="Arial" w:hAnsi="Arial" w:cs="Arial"/>
          <w:b/>
          <w:color w:val="221E1F"/>
        </w:rPr>
        <w:t xml:space="preserve"> </w:t>
      </w:r>
    </w:p>
    <w:p w:rsidR="00706802" w:rsidRDefault="00706802" w:rsidP="006A0A1A">
      <w:pPr>
        <w:rPr>
          <w:rFonts w:cs="Arial"/>
          <w:b/>
          <w:szCs w:val="22"/>
        </w:rPr>
      </w:pPr>
    </w:p>
    <w:p w:rsidR="008B6620" w:rsidRPr="008B6620" w:rsidRDefault="00706802" w:rsidP="0040589A">
      <w:pPr>
        <w:spacing w:after="120"/>
        <w:rPr>
          <w:rFonts w:cs="Arial"/>
          <w:b/>
          <w:szCs w:val="22"/>
        </w:rPr>
      </w:pPr>
      <w:r w:rsidRPr="00706802">
        <w:rPr>
          <w:rFonts w:cs="Arial"/>
          <w:b/>
          <w:i/>
          <w:szCs w:val="22"/>
        </w:rPr>
        <w:t>Recommendation:</w:t>
      </w:r>
      <w:r w:rsidR="008B6620" w:rsidRPr="008B6620">
        <w:rPr>
          <w:rFonts w:cs="Arial"/>
          <w:b/>
          <w:szCs w:val="22"/>
        </w:rPr>
        <w:t xml:space="preserve"> </w:t>
      </w:r>
      <w:r>
        <w:rPr>
          <w:rFonts w:cs="Arial"/>
          <w:b/>
          <w:szCs w:val="22"/>
        </w:rPr>
        <w:t>In particular, f</w:t>
      </w:r>
      <w:r w:rsidR="008B6620" w:rsidRPr="008B6620">
        <w:rPr>
          <w:rFonts w:cs="Arial"/>
          <w:b/>
          <w:szCs w:val="22"/>
        </w:rPr>
        <w:t>ederal</w:t>
      </w:r>
      <w:r w:rsidR="008B6620">
        <w:rPr>
          <w:rFonts w:cs="Arial"/>
          <w:b/>
          <w:szCs w:val="22"/>
        </w:rPr>
        <w:t>,</w:t>
      </w:r>
      <w:r w:rsidR="008B6620" w:rsidRPr="008B6620">
        <w:rPr>
          <w:rFonts w:cs="Arial"/>
          <w:b/>
          <w:szCs w:val="22"/>
        </w:rPr>
        <w:t xml:space="preserve"> state and territory laws </w:t>
      </w:r>
      <w:r w:rsidR="00F019E5">
        <w:rPr>
          <w:rFonts w:cs="Arial"/>
          <w:b/>
          <w:szCs w:val="22"/>
        </w:rPr>
        <w:t>must</w:t>
      </w:r>
      <w:r w:rsidR="008B6620" w:rsidRPr="008B6620">
        <w:rPr>
          <w:rFonts w:cs="Arial"/>
          <w:b/>
          <w:szCs w:val="22"/>
        </w:rPr>
        <w:t>:</w:t>
      </w:r>
    </w:p>
    <w:p w:rsidR="008B6620" w:rsidRPr="008B6620" w:rsidRDefault="008B6620" w:rsidP="006A0A1A">
      <w:pPr>
        <w:numPr>
          <w:ilvl w:val="0"/>
          <w:numId w:val="36"/>
        </w:numPr>
        <w:rPr>
          <w:rFonts w:ascii="Times New Roman" w:hAnsi="Times New Roman"/>
          <w:b/>
          <w:lang w:eastAsia="en-AU"/>
        </w:rPr>
      </w:pPr>
      <w:r>
        <w:rPr>
          <w:rFonts w:cs="Arial"/>
          <w:b/>
          <w:szCs w:val="22"/>
        </w:rPr>
        <w:t xml:space="preserve">Adopt </w:t>
      </w:r>
      <w:proofErr w:type="spellStart"/>
      <w:r w:rsidRPr="008B6620">
        <w:rPr>
          <w:rFonts w:cs="Arial"/>
          <w:b/>
          <w:szCs w:val="22"/>
        </w:rPr>
        <w:t>ESD</w:t>
      </w:r>
      <w:proofErr w:type="spellEnd"/>
      <w:r w:rsidRPr="008B6620">
        <w:rPr>
          <w:rFonts w:cs="Arial"/>
          <w:b/>
          <w:szCs w:val="22"/>
        </w:rPr>
        <w:t xml:space="preserve"> </w:t>
      </w:r>
      <w:r>
        <w:rPr>
          <w:rFonts w:cs="Arial"/>
          <w:b/>
          <w:szCs w:val="22"/>
        </w:rPr>
        <w:t xml:space="preserve">as </w:t>
      </w:r>
      <w:r w:rsidRPr="008B6620">
        <w:rPr>
          <w:rFonts w:cs="Arial"/>
          <w:b/>
          <w:szCs w:val="22"/>
        </w:rPr>
        <w:t>the overarching aim of planning and major project</w:t>
      </w:r>
      <w:r>
        <w:rPr>
          <w:rFonts w:cs="Arial"/>
          <w:b/>
          <w:szCs w:val="22"/>
        </w:rPr>
        <w:t xml:space="preserve">  schemes</w:t>
      </w:r>
      <w:r w:rsidRPr="008B6620">
        <w:rPr>
          <w:rFonts w:cs="Arial"/>
          <w:b/>
          <w:szCs w:val="22"/>
        </w:rPr>
        <w:t>;</w:t>
      </w:r>
    </w:p>
    <w:p w:rsidR="008B6620" w:rsidRPr="008B6620" w:rsidRDefault="008B6620" w:rsidP="006A0A1A">
      <w:pPr>
        <w:numPr>
          <w:ilvl w:val="0"/>
          <w:numId w:val="36"/>
        </w:numPr>
        <w:rPr>
          <w:rFonts w:ascii="Times New Roman" w:hAnsi="Times New Roman"/>
          <w:b/>
          <w:lang w:eastAsia="en-AU"/>
        </w:rPr>
      </w:pPr>
      <w:r w:rsidRPr="008B6620">
        <w:rPr>
          <w:rFonts w:cs="Arial"/>
          <w:b/>
          <w:szCs w:val="22"/>
        </w:rPr>
        <w:t xml:space="preserve">Introduce legal requirements to exercise powers and functions (including </w:t>
      </w:r>
      <w:r>
        <w:rPr>
          <w:rFonts w:cs="Arial"/>
          <w:b/>
          <w:szCs w:val="22"/>
        </w:rPr>
        <w:t xml:space="preserve">major project </w:t>
      </w:r>
      <w:proofErr w:type="spellStart"/>
      <w:r w:rsidRPr="008B6620">
        <w:rPr>
          <w:rFonts w:cs="Arial"/>
          <w:b/>
          <w:szCs w:val="22"/>
        </w:rPr>
        <w:t>DAA</w:t>
      </w:r>
      <w:proofErr w:type="spellEnd"/>
      <w:r w:rsidRPr="008B6620">
        <w:rPr>
          <w:rFonts w:cs="Arial"/>
          <w:b/>
          <w:szCs w:val="22"/>
        </w:rPr>
        <w:t xml:space="preserve"> decision</w:t>
      </w:r>
      <w:r>
        <w:rPr>
          <w:rFonts w:cs="Arial"/>
          <w:b/>
          <w:szCs w:val="22"/>
        </w:rPr>
        <w:t>-making</w:t>
      </w:r>
      <w:r w:rsidRPr="008B6620">
        <w:rPr>
          <w:rFonts w:cs="Arial"/>
          <w:b/>
          <w:szCs w:val="22"/>
        </w:rPr>
        <w:t xml:space="preserve">) in accordance with </w:t>
      </w:r>
      <w:proofErr w:type="spellStart"/>
      <w:r w:rsidRPr="008B6620">
        <w:rPr>
          <w:rFonts w:cs="Arial"/>
          <w:b/>
          <w:szCs w:val="22"/>
        </w:rPr>
        <w:t>ESD</w:t>
      </w:r>
      <w:proofErr w:type="spellEnd"/>
      <w:r w:rsidRPr="008B6620">
        <w:rPr>
          <w:rFonts w:cs="Arial"/>
          <w:b/>
          <w:szCs w:val="22"/>
        </w:rPr>
        <w:t xml:space="preserve"> principles;</w:t>
      </w:r>
    </w:p>
    <w:p w:rsidR="008B6620" w:rsidRPr="008B6620" w:rsidRDefault="008B6620" w:rsidP="006A0A1A">
      <w:pPr>
        <w:numPr>
          <w:ilvl w:val="0"/>
          <w:numId w:val="36"/>
        </w:numPr>
        <w:rPr>
          <w:rFonts w:ascii="Times New Roman" w:hAnsi="Times New Roman"/>
          <w:b/>
          <w:lang w:eastAsia="en-AU"/>
        </w:rPr>
      </w:pPr>
      <w:r w:rsidRPr="008B6620">
        <w:rPr>
          <w:rFonts w:cs="Arial"/>
          <w:b/>
          <w:szCs w:val="22"/>
        </w:rPr>
        <w:t>Build</w:t>
      </w:r>
      <w:r w:rsidR="00D458DE">
        <w:rPr>
          <w:rFonts w:cs="Arial"/>
          <w:b/>
          <w:szCs w:val="22"/>
        </w:rPr>
        <w:t xml:space="preserve"> </w:t>
      </w:r>
      <w:r w:rsidRPr="008B6620">
        <w:rPr>
          <w:rFonts w:cs="Arial"/>
          <w:b/>
          <w:szCs w:val="22"/>
        </w:rPr>
        <w:t xml:space="preserve">in objective decision criteria and accountability mechanisms to protect environmental assets in accordance with </w:t>
      </w:r>
      <w:proofErr w:type="spellStart"/>
      <w:r w:rsidRPr="008B6620">
        <w:rPr>
          <w:rFonts w:cs="Arial"/>
          <w:b/>
          <w:szCs w:val="22"/>
        </w:rPr>
        <w:t>ESD</w:t>
      </w:r>
      <w:proofErr w:type="spellEnd"/>
      <w:r w:rsidRPr="008B6620">
        <w:rPr>
          <w:rFonts w:cs="Arial"/>
          <w:b/>
          <w:szCs w:val="22"/>
        </w:rPr>
        <w:t xml:space="preserve"> principles</w:t>
      </w:r>
      <w:r w:rsidR="00F019E5">
        <w:rPr>
          <w:rFonts w:cs="Arial"/>
          <w:b/>
          <w:szCs w:val="22"/>
        </w:rPr>
        <w:t>;</w:t>
      </w:r>
      <w:r w:rsidRPr="008B6620">
        <w:rPr>
          <w:rStyle w:val="FootnoteReference"/>
          <w:rFonts w:cs="Arial"/>
          <w:b/>
          <w:szCs w:val="22"/>
        </w:rPr>
        <w:footnoteReference w:id="44"/>
      </w:r>
    </w:p>
    <w:p w:rsidR="008B6620" w:rsidRPr="008B6620" w:rsidRDefault="00706802" w:rsidP="006A0A1A">
      <w:pPr>
        <w:numPr>
          <w:ilvl w:val="0"/>
          <w:numId w:val="36"/>
        </w:numPr>
        <w:rPr>
          <w:rFonts w:ascii="Times New Roman" w:hAnsi="Times New Roman"/>
          <w:b/>
          <w:lang w:eastAsia="en-AU"/>
        </w:rPr>
      </w:pPr>
      <w:r>
        <w:rPr>
          <w:rFonts w:cs="Arial"/>
          <w:b/>
          <w:szCs w:val="22"/>
        </w:rPr>
        <w:t>Approve m</w:t>
      </w:r>
      <w:r w:rsidR="008B6620" w:rsidRPr="008B6620">
        <w:rPr>
          <w:rFonts w:cs="Arial"/>
          <w:b/>
          <w:szCs w:val="22"/>
        </w:rPr>
        <w:t xml:space="preserve">ajor project activities only if their impacts </w:t>
      </w:r>
      <w:r>
        <w:rPr>
          <w:rFonts w:cs="Arial"/>
          <w:b/>
          <w:szCs w:val="22"/>
        </w:rPr>
        <w:t>remain</w:t>
      </w:r>
      <w:r w:rsidR="008B6620" w:rsidRPr="008B6620">
        <w:rPr>
          <w:rFonts w:cs="Arial"/>
          <w:b/>
          <w:szCs w:val="22"/>
        </w:rPr>
        <w:t xml:space="preserve"> within identified and acceptable environmental limits of the </w:t>
      </w:r>
      <w:r w:rsidR="008B6620" w:rsidRPr="002063CC">
        <w:rPr>
          <w:rFonts w:cs="Arial"/>
          <w:b/>
          <w:szCs w:val="22"/>
        </w:rPr>
        <w:t>catchment or region;</w:t>
      </w:r>
      <w:r w:rsidR="002063CC" w:rsidRPr="002063CC">
        <w:rPr>
          <w:rStyle w:val="FootnoteReference"/>
          <w:rFonts w:cs="Arial"/>
          <w:b/>
          <w:szCs w:val="22"/>
        </w:rPr>
        <w:footnoteReference w:id="45"/>
      </w:r>
    </w:p>
    <w:p w:rsidR="008B6620" w:rsidRPr="008B6620" w:rsidRDefault="00706802" w:rsidP="006A0A1A">
      <w:pPr>
        <w:numPr>
          <w:ilvl w:val="0"/>
          <w:numId w:val="36"/>
        </w:numPr>
        <w:rPr>
          <w:rFonts w:ascii="Times New Roman" w:hAnsi="Times New Roman"/>
          <w:b/>
          <w:lang w:eastAsia="en-AU"/>
        </w:rPr>
      </w:pPr>
      <w:r>
        <w:rPr>
          <w:rFonts w:cs="Arial"/>
          <w:b/>
          <w:szCs w:val="22"/>
        </w:rPr>
        <w:t>Include p</w:t>
      </w:r>
      <w:r w:rsidR="008B6620" w:rsidRPr="008B6620">
        <w:rPr>
          <w:rFonts w:cs="Arial"/>
          <w:b/>
          <w:szCs w:val="22"/>
        </w:rPr>
        <w:t xml:space="preserve">erformance criteria </w:t>
      </w:r>
      <w:r>
        <w:rPr>
          <w:rFonts w:cs="Arial"/>
          <w:b/>
          <w:szCs w:val="22"/>
        </w:rPr>
        <w:t>on</w:t>
      </w:r>
      <w:r w:rsidR="008B6620" w:rsidRPr="008B6620">
        <w:rPr>
          <w:rFonts w:cs="Arial"/>
          <w:b/>
          <w:szCs w:val="22"/>
        </w:rPr>
        <w:t xml:space="preserve"> whether </w:t>
      </w:r>
      <w:proofErr w:type="spellStart"/>
      <w:r w:rsidR="008B6620" w:rsidRPr="008B6620">
        <w:rPr>
          <w:rFonts w:cs="Arial"/>
          <w:b/>
          <w:szCs w:val="22"/>
        </w:rPr>
        <w:t>ESD</w:t>
      </w:r>
      <w:proofErr w:type="spellEnd"/>
      <w:r w:rsidR="008B6620" w:rsidRPr="008B6620">
        <w:rPr>
          <w:rFonts w:cs="Arial"/>
          <w:b/>
          <w:szCs w:val="22"/>
        </w:rPr>
        <w:t xml:space="preserve"> principles are being applied, and whether objective environmental outcomes are being achieved.</w:t>
      </w:r>
    </w:p>
    <w:p w:rsidR="00B67EBB" w:rsidRDefault="00B67EBB" w:rsidP="00B67EBB"/>
    <w:p w:rsidR="0035183C" w:rsidRDefault="0035183C" w:rsidP="0053192F">
      <w:pPr>
        <w:pStyle w:val="Heading3"/>
        <w:pBdr>
          <w:top w:val="single" w:sz="4" w:space="1" w:color="auto"/>
          <w:left w:val="single" w:sz="4" w:space="1" w:color="auto"/>
          <w:bottom w:val="single" w:sz="4" w:space="1" w:color="auto"/>
          <w:right w:val="single" w:sz="4" w:space="1" w:color="auto"/>
        </w:pBdr>
      </w:pPr>
      <w:r>
        <w:t>Case study – Warkworth mine extension</w:t>
      </w:r>
    </w:p>
    <w:p w:rsidR="0035183C" w:rsidRDefault="0035183C" w:rsidP="009D5DF3">
      <w:pPr>
        <w:pBdr>
          <w:top w:val="single" w:sz="4" w:space="1" w:color="auto"/>
          <w:left w:val="single" w:sz="4" w:space="1" w:color="auto"/>
          <w:bottom w:val="single" w:sz="4" w:space="1" w:color="auto"/>
          <w:right w:val="single" w:sz="4" w:space="1" w:color="auto"/>
        </w:pBdr>
        <w:spacing w:after="120"/>
        <w:rPr>
          <w:rFonts w:cs="Arial"/>
        </w:rPr>
      </w:pPr>
      <w:r>
        <w:rPr>
          <w:rFonts w:cs="Arial"/>
        </w:rPr>
        <w:t>This example</w:t>
      </w:r>
      <w:r w:rsidRPr="0035183C">
        <w:rPr>
          <w:rFonts w:cs="Arial"/>
        </w:rPr>
        <w:t xml:space="preserve"> reveals the often </w:t>
      </w:r>
      <w:r w:rsidRPr="0035183C">
        <w:rPr>
          <w:rFonts w:cs="Arial"/>
          <w:szCs w:val="22"/>
        </w:rPr>
        <w:t>limited influence of social and environmental factors where a major project is proposed.</w:t>
      </w:r>
      <w:r w:rsidRPr="0035183C">
        <w:rPr>
          <w:rFonts w:cs="Arial"/>
        </w:rPr>
        <w:t xml:space="preserve"> The 2012 approval of the Warkworth Mine Extension </w:t>
      </w:r>
      <w:r>
        <w:rPr>
          <w:rFonts w:cs="Arial"/>
        </w:rPr>
        <w:t>by the NSW Planning Assessment Commission (</w:t>
      </w:r>
      <w:r w:rsidRPr="0035183C">
        <w:rPr>
          <w:rFonts w:cs="Arial"/>
          <w:b/>
        </w:rPr>
        <w:t>PAC</w:t>
      </w:r>
      <w:r>
        <w:rPr>
          <w:rFonts w:cs="Arial"/>
        </w:rPr>
        <w:t>)</w:t>
      </w:r>
      <w:r w:rsidRPr="0035183C">
        <w:rPr>
          <w:rFonts w:cs="Arial"/>
        </w:rPr>
        <w:t xml:space="preserve"> </w:t>
      </w:r>
      <w:r>
        <w:rPr>
          <w:rFonts w:cs="Arial"/>
        </w:rPr>
        <w:t xml:space="preserve">will </w:t>
      </w:r>
      <w:r w:rsidRPr="0035183C">
        <w:rPr>
          <w:rFonts w:cs="Arial"/>
        </w:rPr>
        <w:t>allow the mining of a site set</w:t>
      </w:r>
      <w:r w:rsidR="00946D6B">
        <w:rPr>
          <w:rFonts w:cs="Arial"/>
        </w:rPr>
        <w:t> </w:t>
      </w:r>
      <w:r w:rsidRPr="0035183C">
        <w:rPr>
          <w:rFonts w:cs="Arial"/>
        </w:rPr>
        <w:t xml:space="preserve">aside as a </w:t>
      </w:r>
      <w:r>
        <w:rPr>
          <w:rFonts w:cs="Arial"/>
        </w:rPr>
        <w:t>‘</w:t>
      </w:r>
      <w:r w:rsidRPr="0035183C">
        <w:rPr>
          <w:rFonts w:cs="Arial"/>
        </w:rPr>
        <w:t>biodiversity offset</w:t>
      </w:r>
      <w:r>
        <w:rPr>
          <w:rFonts w:cs="Arial"/>
        </w:rPr>
        <w:t>’</w:t>
      </w:r>
      <w:r w:rsidRPr="0035183C">
        <w:rPr>
          <w:rFonts w:cs="Arial"/>
        </w:rPr>
        <w:t xml:space="preserve"> </w:t>
      </w:r>
      <w:r>
        <w:rPr>
          <w:rFonts w:cs="Arial"/>
        </w:rPr>
        <w:t xml:space="preserve">for threatened flora and fauna </w:t>
      </w:r>
      <w:r w:rsidRPr="0035183C">
        <w:rPr>
          <w:rFonts w:cs="Arial"/>
        </w:rPr>
        <w:t xml:space="preserve">(as a condition of a previous </w:t>
      </w:r>
      <w:r>
        <w:rPr>
          <w:rFonts w:cs="Arial"/>
        </w:rPr>
        <w:t xml:space="preserve">mining </w:t>
      </w:r>
      <w:r w:rsidRPr="0035183C">
        <w:rPr>
          <w:rFonts w:cs="Arial"/>
        </w:rPr>
        <w:t>approval</w:t>
      </w:r>
      <w:r>
        <w:rPr>
          <w:rFonts w:cs="Arial"/>
        </w:rPr>
        <w:t xml:space="preserve"> in 2003</w:t>
      </w:r>
      <w:r w:rsidRPr="0035183C">
        <w:rPr>
          <w:rFonts w:cs="Arial"/>
        </w:rPr>
        <w:t>)</w:t>
      </w:r>
      <w:r>
        <w:rPr>
          <w:rFonts w:cs="Arial"/>
        </w:rPr>
        <w:t xml:space="preserve">. </w:t>
      </w:r>
      <w:r w:rsidR="00C23F14">
        <w:rPr>
          <w:rFonts w:cs="Arial"/>
        </w:rPr>
        <w:t>Residents also claim t</w:t>
      </w:r>
      <w:r>
        <w:rPr>
          <w:rFonts w:cs="Arial"/>
        </w:rPr>
        <w:t xml:space="preserve">he extension would </w:t>
      </w:r>
      <w:r w:rsidRPr="0035183C">
        <w:rPr>
          <w:rFonts w:cs="Arial"/>
        </w:rPr>
        <w:t xml:space="preserve">severely impact on Bulga village, </w:t>
      </w:r>
      <w:r w:rsidR="00C23F14">
        <w:rPr>
          <w:rFonts w:cs="Arial"/>
        </w:rPr>
        <w:t>and</w:t>
      </w:r>
      <w:r w:rsidRPr="0035183C">
        <w:rPr>
          <w:rFonts w:cs="Arial"/>
        </w:rPr>
        <w:t xml:space="preserve"> have relied on the offset site as a buffer from the mine.</w:t>
      </w:r>
      <w:r w:rsidRPr="0035183C">
        <w:rPr>
          <w:rStyle w:val="FootnoteReference"/>
          <w:rFonts w:cs="Arial"/>
        </w:rPr>
        <w:footnoteReference w:id="46"/>
      </w:r>
      <w:r w:rsidRPr="0035183C">
        <w:rPr>
          <w:rFonts w:cs="Arial"/>
        </w:rPr>
        <w:t xml:space="preserve"> </w:t>
      </w:r>
    </w:p>
    <w:p w:rsidR="0035183C" w:rsidRPr="0035183C" w:rsidRDefault="0035183C" w:rsidP="009D5DF3">
      <w:pPr>
        <w:pBdr>
          <w:top w:val="single" w:sz="4" w:space="1" w:color="auto"/>
          <w:left w:val="single" w:sz="4" w:space="1" w:color="auto"/>
          <w:bottom w:val="single" w:sz="4" w:space="1" w:color="auto"/>
          <w:right w:val="single" w:sz="4" w:space="1" w:color="auto"/>
        </w:pBdr>
        <w:spacing w:after="120"/>
        <w:rPr>
          <w:rFonts w:cs="Arial"/>
        </w:rPr>
      </w:pPr>
      <w:r>
        <w:t xml:space="preserve">The Bulga </w:t>
      </w:r>
      <w:proofErr w:type="spellStart"/>
      <w:r>
        <w:t>Milbrodale</w:t>
      </w:r>
      <w:proofErr w:type="spellEnd"/>
      <w:r>
        <w:t xml:space="preserve"> Progress Association is currently challenging the mine extension on the basis that mining the offset is contrary to the public interest and ecologically sustainable development (</w:t>
      </w:r>
      <w:proofErr w:type="spellStart"/>
      <w:r w:rsidRPr="0035183C">
        <w:rPr>
          <w:b/>
        </w:rPr>
        <w:t>ESD</w:t>
      </w:r>
      <w:proofErr w:type="spellEnd"/>
      <w:r>
        <w:t xml:space="preserve">), and that the expansion will result in detrimental economic and social impacts on the Bulga community that are contrary to </w:t>
      </w:r>
      <w:proofErr w:type="spellStart"/>
      <w:r>
        <w:t>ESD</w:t>
      </w:r>
      <w:proofErr w:type="spellEnd"/>
      <w:r>
        <w:t xml:space="preserve"> principles.</w:t>
      </w:r>
      <w:r>
        <w:rPr>
          <w:rFonts w:cs="Arial"/>
        </w:rPr>
        <w:t xml:space="preserve"> </w:t>
      </w:r>
      <w:r w:rsidR="00946D6B">
        <w:rPr>
          <w:rFonts w:cs="Arial"/>
        </w:rPr>
        <w:t>Significantly, i</w:t>
      </w:r>
      <w:r w:rsidRPr="0035183C">
        <w:rPr>
          <w:rFonts w:cs="Arial"/>
        </w:rPr>
        <w:t>n approving the expansion, the PAC observed:</w:t>
      </w:r>
    </w:p>
    <w:p w:rsidR="0035183C" w:rsidRDefault="0035183C" w:rsidP="0035183C">
      <w:pPr>
        <w:pBdr>
          <w:top w:val="single" w:sz="4" w:space="1" w:color="auto"/>
          <w:left w:val="single" w:sz="4" w:space="1" w:color="auto"/>
          <w:bottom w:val="single" w:sz="4" w:space="1" w:color="auto"/>
          <w:right w:val="single" w:sz="4" w:space="1" w:color="auto"/>
        </w:pBdr>
        <w:spacing w:after="120"/>
        <w:ind w:left="284" w:hanging="284"/>
        <w:rPr>
          <w:rFonts w:ascii="Times New Roman" w:hAnsi="Times New Roman"/>
          <w:sz w:val="24"/>
          <w:lang w:eastAsia="en-AU"/>
        </w:rPr>
      </w:pPr>
      <w:r w:rsidRPr="0035183C">
        <w:rPr>
          <w:rFonts w:cs="Arial"/>
          <w:i/>
          <w:sz w:val="20"/>
          <w:szCs w:val="20"/>
        </w:rPr>
        <w:t>… A number of rural communities have been faced with this situation in the past. In almost all cases the mines have been approved and the communities have either been radically altered in character or become non-viable. With the current price of coal this outcome is almost inevitable when the overall economic benefits of the mines are balanced against local community impacts. It appears that it is only if there are wider negative implications from the mining proposal that refusal becomes a possibility. If this is to change the NSW will need to develop a clear policy position that provides further guidance to decision-makers as to how social impacts on rural villages are to be balanced in the approval process for coal mines.</w:t>
      </w:r>
      <w:r w:rsidRPr="0035183C">
        <w:rPr>
          <w:rStyle w:val="FootnoteReference"/>
          <w:rFonts w:cs="Arial"/>
          <w:i/>
          <w:sz w:val="20"/>
          <w:szCs w:val="20"/>
        </w:rPr>
        <w:footnoteReference w:id="47"/>
      </w:r>
      <w:r>
        <w:rPr>
          <w:rFonts w:ascii="Times New Roman" w:hAnsi="Times New Roman"/>
          <w:sz w:val="24"/>
          <w:lang w:eastAsia="en-AU"/>
        </w:rPr>
        <w:t xml:space="preserve"> </w:t>
      </w:r>
    </w:p>
    <w:p w:rsidR="0035183C" w:rsidRPr="00452A25" w:rsidRDefault="0035183C" w:rsidP="0035183C">
      <w:pPr>
        <w:pBdr>
          <w:top w:val="single" w:sz="4" w:space="1" w:color="auto"/>
          <w:left w:val="single" w:sz="4" w:space="1" w:color="auto"/>
          <w:bottom w:val="single" w:sz="4" w:space="1" w:color="auto"/>
          <w:right w:val="single" w:sz="4" w:space="1" w:color="auto"/>
        </w:pBdr>
        <w:rPr>
          <w:rFonts w:cs="Arial"/>
        </w:rPr>
      </w:pPr>
      <w:r>
        <w:rPr>
          <w:rFonts w:cs="Arial"/>
        </w:rPr>
        <w:t xml:space="preserve">These comments underline the importance of more robust and balanced environmental, social and economic criteria in development decision-making processes; and </w:t>
      </w:r>
      <w:r w:rsidRPr="00452A25">
        <w:t xml:space="preserve">the need to ensure </w:t>
      </w:r>
      <w:r>
        <w:t>that development assessment and approval</w:t>
      </w:r>
      <w:r w:rsidRPr="00452A25">
        <w:t xml:space="preserve"> </w:t>
      </w:r>
      <w:r>
        <w:t>ultimately aims to</w:t>
      </w:r>
      <w:r w:rsidRPr="00452A25">
        <w:t xml:space="preserve"> </w:t>
      </w:r>
      <w:r w:rsidR="00C23F14">
        <w:t>achieve</w:t>
      </w:r>
      <w:r w:rsidRPr="00452A25">
        <w:t xml:space="preserve"> </w:t>
      </w:r>
      <w:proofErr w:type="spellStart"/>
      <w:r>
        <w:t>ESD</w:t>
      </w:r>
      <w:proofErr w:type="spellEnd"/>
      <w:r>
        <w:t>.</w:t>
      </w:r>
      <w:r w:rsidRPr="00452A25">
        <w:t xml:space="preserve"> </w:t>
      </w:r>
    </w:p>
    <w:p w:rsidR="00452A25" w:rsidRDefault="00452A25" w:rsidP="00B67EBB"/>
    <w:p w:rsidR="00706802" w:rsidRDefault="00706802" w:rsidP="009C52E3">
      <w:pPr>
        <w:pStyle w:val="Heading2"/>
        <w:numPr>
          <w:ilvl w:val="0"/>
          <w:numId w:val="42"/>
        </w:numPr>
      </w:pPr>
      <w:bookmarkStart w:id="24" w:name="_Toc351985903"/>
      <w:r>
        <w:lastRenderedPageBreak/>
        <w:t>Equitable rights for public participation</w:t>
      </w:r>
      <w:r w:rsidR="00731FFA">
        <w:t xml:space="preserve"> and engagement</w:t>
      </w:r>
      <w:bookmarkEnd w:id="24"/>
    </w:p>
    <w:p w:rsidR="00A03F0A" w:rsidRDefault="00604F3E" w:rsidP="004F66DB">
      <w:pPr>
        <w:pStyle w:val="ListParagraph"/>
        <w:spacing w:after="0" w:line="240" w:lineRule="auto"/>
        <w:ind w:left="0"/>
        <w:rPr>
          <w:rFonts w:ascii="Arial" w:hAnsi="Arial" w:cs="Arial"/>
          <w:lang w:val="en"/>
        </w:rPr>
      </w:pPr>
      <w:r w:rsidRPr="006A0A1A">
        <w:rPr>
          <w:rFonts w:ascii="Arial" w:hAnsi="Arial" w:cs="Arial"/>
          <w:lang w:val="en"/>
        </w:rPr>
        <w:t>The Rio Declaration</w:t>
      </w:r>
      <w:r w:rsidR="00731FFA" w:rsidRPr="006A0A1A">
        <w:rPr>
          <w:rFonts w:ascii="Arial" w:hAnsi="Arial" w:cs="Arial"/>
          <w:lang w:val="en"/>
        </w:rPr>
        <w:t xml:space="preserve">, to which Australia is a signatory, asserts that access to information, public participation and access to justice are critical to achieving </w:t>
      </w:r>
      <w:proofErr w:type="spellStart"/>
      <w:r w:rsidR="00731FFA" w:rsidRPr="006A0A1A">
        <w:rPr>
          <w:rFonts w:ascii="Arial" w:hAnsi="Arial" w:cs="Arial"/>
          <w:lang w:val="en"/>
        </w:rPr>
        <w:t>ESD</w:t>
      </w:r>
      <w:proofErr w:type="spellEnd"/>
      <w:r w:rsidR="00731FFA" w:rsidRPr="006A0A1A">
        <w:rPr>
          <w:rFonts w:ascii="Arial" w:hAnsi="Arial" w:cs="Arial"/>
          <w:lang w:val="en"/>
        </w:rPr>
        <w:t>.</w:t>
      </w:r>
      <w:r w:rsidR="00731FFA" w:rsidRPr="006A0A1A">
        <w:rPr>
          <w:rStyle w:val="FootnoteReference"/>
          <w:rFonts w:ascii="Arial" w:hAnsi="Arial" w:cs="Arial"/>
          <w:lang w:val="en"/>
        </w:rPr>
        <w:footnoteReference w:id="48"/>
      </w:r>
      <w:r w:rsidR="00731FFA" w:rsidRPr="006A0A1A">
        <w:rPr>
          <w:rFonts w:ascii="Arial" w:hAnsi="Arial" w:cs="Arial"/>
          <w:lang w:val="en"/>
        </w:rPr>
        <w:t xml:space="preserve"> Community engagement is also a significant contributor to public confidence in planning systems. However, existing major project provisions, coupled with </w:t>
      </w:r>
      <w:r w:rsidR="00731FFA" w:rsidRPr="00745A1B">
        <w:rPr>
          <w:rFonts w:ascii="Arial" w:hAnsi="Arial" w:cs="Arial"/>
          <w:lang w:val="en"/>
        </w:rPr>
        <w:t>the complexity and scale of these projects, often limit community input. This is particularly the case for post-approval appeal rights and enforcement</w:t>
      </w:r>
      <w:r w:rsidR="004F66DB" w:rsidRPr="00745A1B">
        <w:rPr>
          <w:rFonts w:ascii="Arial" w:hAnsi="Arial" w:cs="Arial"/>
          <w:lang w:val="en"/>
        </w:rPr>
        <w:t xml:space="preserve"> in most Australian States and Territories. </w:t>
      </w:r>
    </w:p>
    <w:p w:rsidR="00A03F0A" w:rsidRDefault="00A03F0A" w:rsidP="004F66DB">
      <w:pPr>
        <w:pStyle w:val="ListParagraph"/>
        <w:spacing w:after="0" w:line="240" w:lineRule="auto"/>
        <w:ind w:left="0"/>
        <w:rPr>
          <w:rFonts w:ascii="Arial" w:hAnsi="Arial" w:cs="Arial"/>
          <w:lang w:val="en"/>
        </w:rPr>
      </w:pPr>
    </w:p>
    <w:p w:rsidR="004F66DB" w:rsidRPr="00745A1B" w:rsidRDefault="00604F3E" w:rsidP="004F66DB">
      <w:pPr>
        <w:pStyle w:val="ListParagraph"/>
        <w:spacing w:after="0" w:line="240" w:lineRule="auto"/>
        <w:ind w:left="0"/>
        <w:rPr>
          <w:rFonts w:ascii="Arial" w:hAnsi="Arial" w:cs="Arial"/>
          <w:lang w:val="en"/>
        </w:rPr>
      </w:pPr>
      <w:r>
        <w:rPr>
          <w:rFonts w:ascii="Arial" w:hAnsi="Arial" w:cs="Arial"/>
          <w:lang w:val="en"/>
        </w:rPr>
        <w:t xml:space="preserve">The vast majority of </w:t>
      </w:r>
      <w:r w:rsidR="00A03F0A">
        <w:rPr>
          <w:rFonts w:ascii="Arial" w:hAnsi="Arial" w:cs="Arial"/>
          <w:lang w:val="en"/>
        </w:rPr>
        <w:t xml:space="preserve">merit </w:t>
      </w:r>
      <w:r>
        <w:rPr>
          <w:rFonts w:ascii="Arial" w:hAnsi="Arial" w:cs="Arial"/>
          <w:lang w:val="en"/>
        </w:rPr>
        <w:t>appeals are lodged by development proponents rather than third party objectors</w:t>
      </w:r>
      <w:r w:rsidR="00A03F0A">
        <w:rPr>
          <w:rFonts w:ascii="Arial" w:hAnsi="Arial" w:cs="Arial"/>
          <w:lang w:val="en"/>
        </w:rPr>
        <w:t xml:space="preserve"> (97-99% in NSW in recent years). </w:t>
      </w:r>
      <w:r w:rsidR="004F66DB" w:rsidRPr="00745A1B">
        <w:rPr>
          <w:rFonts w:ascii="Arial" w:hAnsi="Arial" w:cs="Arial"/>
          <w:lang w:val="en"/>
        </w:rPr>
        <w:t xml:space="preserve">Where </w:t>
      </w:r>
      <w:r>
        <w:rPr>
          <w:rFonts w:ascii="Arial" w:hAnsi="Arial" w:cs="Arial"/>
          <w:lang w:val="en"/>
        </w:rPr>
        <w:t>third party</w:t>
      </w:r>
      <w:r w:rsidR="004F66DB" w:rsidRPr="00745A1B">
        <w:rPr>
          <w:rFonts w:ascii="Arial" w:hAnsi="Arial" w:cs="Arial"/>
          <w:lang w:val="en"/>
        </w:rPr>
        <w:t xml:space="preserve"> rights do exist, they are very rarely exercised, but the additional scrutiny promotes better decision making and accountability.</w:t>
      </w:r>
      <w:r w:rsidR="004F66DB" w:rsidRPr="00745A1B">
        <w:rPr>
          <w:rStyle w:val="FootnoteReference"/>
          <w:rFonts w:ascii="Arial" w:hAnsi="Arial" w:cs="Arial"/>
          <w:lang w:val="en"/>
        </w:rPr>
        <w:footnoteReference w:id="49"/>
      </w:r>
      <w:r w:rsidR="004F66DB" w:rsidRPr="00745A1B">
        <w:rPr>
          <w:rFonts w:ascii="Arial" w:hAnsi="Arial" w:cs="Arial"/>
          <w:lang w:val="en"/>
        </w:rPr>
        <w:t xml:space="preserve"> </w:t>
      </w:r>
      <w:r w:rsidR="00A03F0A">
        <w:rPr>
          <w:rFonts w:ascii="Arial" w:hAnsi="Arial" w:cs="Arial"/>
          <w:lang w:val="en"/>
        </w:rPr>
        <w:t>Indeed</w:t>
      </w:r>
      <w:r w:rsidR="004F66DB" w:rsidRPr="00745A1B">
        <w:rPr>
          <w:rFonts w:ascii="Arial" w:hAnsi="Arial" w:cs="Arial"/>
          <w:lang w:val="en"/>
        </w:rPr>
        <w:t>,</w:t>
      </w:r>
      <w:r w:rsidR="00A03F0A">
        <w:rPr>
          <w:rFonts w:ascii="Arial" w:hAnsi="Arial" w:cs="Arial"/>
          <w:lang w:val="en"/>
        </w:rPr>
        <w:t xml:space="preserve"> </w:t>
      </w:r>
      <w:r w:rsidR="00A03F0A" w:rsidRPr="00A03F0A">
        <w:rPr>
          <w:rFonts w:ascii="Arial" w:hAnsi="Arial" w:cs="Arial"/>
          <w:i/>
          <w:lang w:val="en"/>
        </w:rPr>
        <w:t>‘</w:t>
      </w:r>
      <w:r w:rsidR="004F66DB" w:rsidRPr="00A03F0A">
        <w:rPr>
          <w:rFonts w:ascii="Arial" w:hAnsi="Arial" w:cs="Arial"/>
          <w:i/>
          <w:lang w:val="en"/>
        </w:rPr>
        <w:t>Expanding the scope of third party merit appeals</w:t>
      </w:r>
      <w:r w:rsidR="00A03F0A" w:rsidRPr="00A03F0A">
        <w:rPr>
          <w:rFonts w:ascii="Arial" w:hAnsi="Arial" w:cs="Arial"/>
          <w:i/>
          <w:lang w:val="en"/>
        </w:rPr>
        <w:t>’</w:t>
      </w:r>
      <w:r w:rsidR="004F66DB" w:rsidRPr="00745A1B">
        <w:rPr>
          <w:rFonts w:ascii="Arial" w:hAnsi="Arial" w:cs="Arial"/>
          <w:lang w:val="en"/>
        </w:rPr>
        <w:t xml:space="preserve"> </w:t>
      </w:r>
      <w:r w:rsidR="00A03F0A">
        <w:rPr>
          <w:rFonts w:ascii="Arial" w:hAnsi="Arial" w:cs="Arial"/>
          <w:lang w:val="en"/>
        </w:rPr>
        <w:t>is</w:t>
      </w:r>
      <w:r w:rsidR="004F66DB" w:rsidRPr="00745A1B">
        <w:rPr>
          <w:rFonts w:ascii="Arial" w:hAnsi="Arial" w:cs="Arial"/>
          <w:lang w:val="en"/>
        </w:rPr>
        <w:t xml:space="preserve"> one of </w:t>
      </w:r>
      <w:proofErr w:type="spellStart"/>
      <w:r w:rsidR="004F66DB" w:rsidRPr="00745A1B">
        <w:rPr>
          <w:rFonts w:ascii="Arial" w:hAnsi="Arial" w:cs="Arial"/>
          <w:lang w:val="en"/>
        </w:rPr>
        <w:t>ICAC’s</w:t>
      </w:r>
      <w:proofErr w:type="spellEnd"/>
      <w:r w:rsidR="004F66DB" w:rsidRPr="00745A1B">
        <w:rPr>
          <w:rFonts w:ascii="Arial" w:hAnsi="Arial" w:cs="Arial"/>
          <w:lang w:val="en"/>
        </w:rPr>
        <w:t xml:space="preserve"> six</w:t>
      </w:r>
      <w:r w:rsidR="00A03F0A">
        <w:rPr>
          <w:rFonts w:ascii="Arial" w:hAnsi="Arial" w:cs="Arial"/>
          <w:lang w:val="en"/>
        </w:rPr>
        <w:t xml:space="preserve"> key </w:t>
      </w:r>
      <w:r w:rsidR="004F66DB" w:rsidRPr="00745A1B">
        <w:rPr>
          <w:rFonts w:ascii="Arial" w:hAnsi="Arial" w:cs="Arial"/>
          <w:lang w:val="en"/>
        </w:rPr>
        <w:t>anti-corruption safeguar</w:t>
      </w:r>
      <w:r w:rsidR="00A03F0A">
        <w:rPr>
          <w:rFonts w:ascii="Arial" w:hAnsi="Arial" w:cs="Arial"/>
          <w:lang w:val="en"/>
        </w:rPr>
        <w:t>ds for the NSW planning system (2012)</w:t>
      </w:r>
      <w:r w:rsidR="004F66DB" w:rsidRPr="00745A1B">
        <w:rPr>
          <w:rFonts w:ascii="Arial" w:hAnsi="Arial" w:cs="Arial"/>
          <w:lang w:val="en"/>
        </w:rPr>
        <w:t>.</w:t>
      </w:r>
      <w:r w:rsidR="004F66DB" w:rsidRPr="00745A1B">
        <w:rPr>
          <w:rStyle w:val="FootnoteReference"/>
          <w:rFonts w:ascii="Arial" w:hAnsi="Arial" w:cs="Arial"/>
          <w:lang w:val="en"/>
        </w:rPr>
        <w:footnoteReference w:id="50"/>
      </w:r>
    </w:p>
    <w:p w:rsidR="004F66DB" w:rsidRPr="00745A1B" w:rsidRDefault="004F66DB" w:rsidP="004F66DB">
      <w:pPr>
        <w:pStyle w:val="ListParagraph"/>
        <w:spacing w:after="0" w:line="240" w:lineRule="auto"/>
        <w:ind w:left="0"/>
        <w:rPr>
          <w:rFonts w:ascii="Arial" w:hAnsi="Arial" w:cs="Arial"/>
          <w:lang w:val="en"/>
        </w:rPr>
      </w:pPr>
    </w:p>
    <w:p w:rsidR="004F66DB" w:rsidRPr="00745A1B" w:rsidRDefault="004F66DB" w:rsidP="004F66DB">
      <w:pPr>
        <w:pStyle w:val="ListParagraph"/>
        <w:spacing w:after="0" w:line="240" w:lineRule="auto"/>
        <w:ind w:left="0"/>
        <w:rPr>
          <w:rFonts w:ascii="Arial" w:hAnsi="Arial" w:cs="Arial"/>
        </w:rPr>
      </w:pPr>
      <w:r w:rsidRPr="00745A1B">
        <w:rPr>
          <w:rFonts w:ascii="Arial" w:hAnsi="Arial" w:cs="Arial"/>
          <w:b/>
          <w:lang w:val="en-US"/>
        </w:rPr>
        <w:t xml:space="preserve">Attachment </w:t>
      </w:r>
      <w:r w:rsidR="00674F30">
        <w:rPr>
          <w:rFonts w:ascii="Arial" w:hAnsi="Arial" w:cs="Arial"/>
          <w:b/>
          <w:lang w:val="en-US"/>
        </w:rPr>
        <w:t>B</w:t>
      </w:r>
      <w:r w:rsidRPr="00745A1B">
        <w:rPr>
          <w:rFonts w:ascii="Arial" w:hAnsi="Arial" w:cs="Arial"/>
          <w:lang w:val="en-US"/>
        </w:rPr>
        <w:t xml:space="preserve"> </w:t>
      </w:r>
      <w:r w:rsidRPr="00745A1B">
        <w:rPr>
          <w:rFonts w:ascii="Arial" w:hAnsi="Arial" w:cs="Arial"/>
        </w:rPr>
        <w:t xml:space="preserve">includes excerpts relevant to major projects from the EDO NSW submission on the NSW Government’s Planning </w:t>
      </w:r>
      <w:r w:rsidRPr="00745A1B">
        <w:rPr>
          <w:rFonts w:ascii="Arial" w:hAnsi="Arial" w:cs="Arial"/>
          <w:i/>
        </w:rPr>
        <w:t>Green Paper</w:t>
      </w:r>
      <w:r w:rsidRPr="00745A1B">
        <w:rPr>
          <w:rFonts w:ascii="Arial" w:hAnsi="Arial" w:cs="Arial"/>
        </w:rPr>
        <w:t xml:space="preserve">. This includes a section on the need for, and benefits of, equitable merit appeal and judicial review rights. </w:t>
      </w:r>
    </w:p>
    <w:p w:rsidR="004F66DB" w:rsidRPr="00745A1B" w:rsidRDefault="004F66DB" w:rsidP="00F019E5">
      <w:pPr>
        <w:pStyle w:val="ListParagraph"/>
        <w:spacing w:after="0" w:line="240" w:lineRule="auto"/>
        <w:ind w:left="0"/>
        <w:rPr>
          <w:rFonts w:ascii="Arial" w:hAnsi="Arial" w:cs="Arial"/>
          <w:color w:val="333333"/>
          <w:lang w:val="en"/>
        </w:rPr>
      </w:pPr>
    </w:p>
    <w:p w:rsidR="00F019E5" w:rsidRPr="00745A1B" w:rsidRDefault="00731FFA" w:rsidP="0040589A">
      <w:pPr>
        <w:pStyle w:val="ListParagraph"/>
        <w:spacing w:after="120" w:line="240" w:lineRule="auto"/>
        <w:ind w:left="0"/>
        <w:contextualSpacing w:val="0"/>
        <w:rPr>
          <w:rFonts w:ascii="Arial" w:hAnsi="Arial" w:cs="Arial"/>
          <w:b/>
        </w:rPr>
      </w:pPr>
      <w:r w:rsidRPr="00745A1B">
        <w:rPr>
          <w:rFonts w:ascii="Arial" w:hAnsi="Arial" w:cs="Arial"/>
          <w:b/>
          <w:i/>
          <w:lang w:val="en"/>
        </w:rPr>
        <w:t>Recommendation:</w:t>
      </w:r>
      <w:r w:rsidRPr="00745A1B">
        <w:rPr>
          <w:rFonts w:ascii="Arial" w:hAnsi="Arial" w:cs="Arial"/>
          <w:b/>
          <w:lang w:val="en"/>
        </w:rPr>
        <w:t xml:space="preserve"> </w:t>
      </w:r>
      <w:r w:rsidR="004F66DB" w:rsidRPr="00745A1B">
        <w:rPr>
          <w:rFonts w:ascii="Arial" w:hAnsi="Arial" w:cs="Arial"/>
          <w:b/>
          <w:lang w:val="en"/>
        </w:rPr>
        <w:t>M</w:t>
      </w:r>
      <w:r w:rsidRPr="00745A1B">
        <w:rPr>
          <w:rFonts w:ascii="Arial" w:hAnsi="Arial" w:cs="Arial"/>
          <w:b/>
          <w:lang w:val="en"/>
        </w:rPr>
        <w:t xml:space="preserve">ajor project </w:t>
      </w:r>
      <w:proofErr w:type="spellStart"/>
      <w:r w:rsidRPr="00745A1B">
        <w:rPr>
          <w:rFonts w:ascii="Arial" w:hAnsi="Arial" w:cs="Arial"/>
          <w:b/>
          <w:lang w:val="en"/>
        </w:rPr>
        <w:t>DAA</w:t>
      </w:r>
      <w:proofErr w:type="spellEnd"/>
      <w:r w:rsidRPr="00745A1B">
        <w:rPr>
          <w:rFonts w:ascii="Arial" w:hAnsi="Arial" w:cs="Arial"/>
          <w:b/>
          <w:lang w:val="en"/>
        </w:rPr>
        <w:t xml:space="preserve"> processes must</w:t>
      </w:r>
      <w:r w:rsidR="004F66DB" w:rsidRPr="00745A1B">
        <w:rPr>
          <w:rFonts w:ascii="Arial" w:hAnsi="Arial" w:cs="Arial"/>
          <w:b/>
          <w:lang w:val="en"/>
        </w:rPr>
        <w:t xml:space="preserve"> ensure equitable public participation and engagement rights</w:t>
      </w:r>
      <w:r w:rsidR="00745A1B" w:rsidRPr="00745A1B">
        <w:rPr>
          <w:rFonts w:ascii="Arial" w:hAnsi="Arial" w:cs="Arial"/>
          <w:b/>
          <w:lang w:val="en"/>
        </w:rPr>
        <w:t>, including</w:t>
      </w:r>
      <w:r w:rsidR="00F019E5" w:rsidRPr="00745A1B">
        <w:rPr>
          <w:rFonts w:ascii="Arial" w:hAnsi="Arial" w:cs="Arial"/>
          <w:b/>
        </w:rPr>
        <w:t>:</w:t>
      </w:r>
    </w:p>
    <w:p w:rsidR="00F019E5" w:rsidRPr="00745A1B" w:rsidRDefault="00F019E5" w:rsidP="006A0A1A">
      <w:pPr>
        <w:numPr>
          <w:ilvl w:val="0"/>
          <w:numId w:val="47"/>
        </w:numPr>
        <w:tabs>
          <w:tab w:val="num" w:pos="1080"/>
        </w:tabs>
        <w:rPr>
          <w:rFonts w:cs="Arial"/>
          <w:b/>
          <w:szCs w:val="22"/>
        </w:rPr>
      </w:pPr>
      <w:r w:rsidRPr="00745A1B">
        <w:rPr>
          <w:rFonts w:cs="Arial"/>
          <w:b/>
          <w:szCs w:val="22"/>
        </w:rPr>
        <w:t>place clear limits on discretionary decision making;</w:t>
      </w:r>
    </w:p>
    <w:p w:rsidR="00F019E5" w:rsidRPr="00745A1B" w:rsidRDefault="00F019E5" w:rsidP="006A0A1A">
      <w:pPr>
        <w:numPr>
          <w:ilvl w:val="0"/>
          <w:numId w:val="47"/>
        </w:numPr>
        <w:tabs>
          <w:tab w:val="num" w:pos="1080"/>
        </w:tabs>
        <w:rPr>
          <w:rFonts w:cs="Arial"/>
          <w:b/>
          <w:szCs w:val="22"/>
        </w:rPr>
      </w:pPr>
      <w:r w:rsidRPr="00745A1B">
        <w:rPr>
          <w:rFonts w:cs="Arial"/>
          <w:b/>
          <w:szCs w:val="22"/>
        </w:rPr>
        <w:t>require information to be made publicly available prior to decision-making;</w:t>
      </w:r>
    </w:p>
    <w:p w:rsidR="00F019E5" w:rsidRPr="00745A1B" w:rsidRDefault="00F019E5" w:rsidP="006A0A1A">
      <w:pPr>
        <w:numPr>
          <w:ilvl w:val="0"/>
          <w:numId w:val="47"/>
        </w:numPr>
        <w:tabs>
          <w:tab w:val="num" w:pos="1080"/>
        </w:tabs>
        <w:rPr>
          <w:rFonts w:cs="Arial"/>
          <w:b/>
          <w:szCs w:val="22"/>
        </w:rPr>
      </w:pPr>
      <w:r w:rsidRPr="00745A1B">
        <w:rPr>
          <w:rFonts w:cs="Arial"/>
          <w:b/>
          <w:szCs w:val="22"/>
        </w:rPr>
        <w:t>mandate genuine public participation</w:t>
      </w:r>
      <w:r w:rsidR="00745A1B" w:rsidRPr="00745A1B">
        <w:rPr>
          <w:rFonts w:cs="Arial"/>
          <w:b/>
          <w:szCs w:val="22"/>
        </w:rPr>
        <w:t xml:space="preserve"> at all stages of planning and </w:t>
      </w:r>
      <w:proofErr w:type="spellStart"/>
      <w:r w:rsidR="00745A1B" w:rsidRPr="00745A1B">
        <w:rPr>
          <w:rFonts w:cs="Arial"/>
          <w:b/>
          <w:szCs w:val="22"/>
        </w:rPr>
        <w:t>DAA</w:t>
      </w:r>
      <w:proofErr w:type="spellEnd"/>
      <w:r w:rsidRPr="00745A1B">
        <w:rPr>
          <w:rFonts w:cs="Arial"/>
          <w:b/>
          <w:szCs w:val="22"/>
        </w:rPr>
        <w:t>;</w:t>
      </w:r>
    </w:p>
    <w:p w:rsidR="00F019E5" w:rsidRPr="00745A1B" w:rsidRDefault="00F019E5" w:rsidP="006A0A1A">
      <w:pPr>
        <w:numPr>
          <w:ilvl w:val="0"/>
          <w:numId w:val="47"/>
        </w:numPr>
        <w:tabs>
          <w:tab w:val="num" w:pos="1080"/>
        </w:tabs>
        <w:rPr>
          <w:rFonts w:cs="Arial"/>
          <w:b/>
          <w:szCs w:val="22"/>
        </w:rPr>
      </w:pPr>
      <w:r w:rsidRPr="00745A1B">
        <w:rPr>
          <w:rFonts w:cs="Arial"/>
          <w:b/>
          <w:szCs w:val="22"/>
        </w:rPr>
        <w:t>require decision makers to provide reasons for decisions</w:t>
      </w:r>
      <w:r w:rsidR="00745A1B" w:rsidRPr="00745A1B">
        <w:rPr>
          <w:rFonts w:cs="Arial"/>
          <w:b/>
          <w:szCs w:val="22"/>
        </w:rPr>
        <w:t>;</w:t>
      </w:r>
      <w:r w:rsidRPr="00745A1B">
        <w:rPr>
          <w:rFonts w:cs="Arial"/>
          <w:b/>
          <w:szCs w:val="22"/>
        </w:rPr>
        <w:t xml:space="preserve"> </w:t>
      </w:r>
    </w:p>
    <w:p w:rsidR="00F019E5" w:rsidRDefault="00731FFA" w:rsidP="006A0A1A">
      <w:pPr>
        <w:numPr>
          <w:ilvl w:val="0"/>
          <w:numId w:val="47"/>
        </w:numPr>
        <w:tabs>
          <w:tab w:val="num" w:pos="1080"/>
        </w:tabs>
        <w:rPr>
          <w:rFonts w:cs="Arial"/>
          <w:b/>
          <w:szCs w:val="22"/>
        </w:rPr>
      </w:pPr>
      <w:r w:rsidRPr="00745A1B">
        <w:rPr>
          <w:rFonts w:cs="Arial"/>
          <w:b/>
          <w:szCs w:val="22"/>
        </w:rPr>
        <w:t>include</w:t>
      </w:r>
      <w:r w:rsidR="00F019E5" w:rsidRPr="00745A1B">
        <w:rPr>
          <w:rFonts w:cs="Arial"/>
          <w:b/>
          <w:szCs w:val="22"/>
        </w:rPr>
        <w:t xml:space="preserve"> equitable merit appeal rights </w:t>
      </w:r>
      <w:r w:rsidR="00F019E5" w:rsidRPr="004F66DB">
        <w:rPr>
          <w:rFonts w:cs="Arial"/>
          <w:b/>
          <w:szCs w:val="22"/>
        </w:rPr>
        <w:t>for decisions</w:t>
      </w:r>
      <w:r w:rsidRPr="004F66DB">
        <w:rPr>
          <w:rFonts w:cs="Arial"/>
          <w:b/>
          <w:szCs w:val="22"/>
        </w:rPr>
        <w:t>, and open standing to enforce breaches</w:t>
      </w:r>
      <w:r w:rsidR="00745A1B">
        <w:rPr>
          <w:rFonts w:cs="Arial"/>
          <w:b/>
          <w:szCs w:val="22"/>
        </w:rPr>
        <w:t>; and</w:t>
      </w:r>
    </w:p>
    <w:p w:rsidR="00745A1B" w:rsidRPr="004F66DB" w:rsidRDefault="00745A1B" w:rsidP="006A0A1A">
      <w:pPr>
        <w:numPr>
          <w:ilvl w:val="0"/>
          <w:numId w:val="47"/>
        </w:numPr>
        <w:tabs>
          <w:tab w:val="num" w:pos="1080"/>
        </w:tabs>
        <w:rPr>
          <w:rFonts w:cs="Arial"/>
          <w:b/>
          <w:szCs w:val="22"/>
        </w:rPr>
      </w:pPr>
      <w:r>
        <w:rPr>
          <w:rFonts w:cs="Arial"/>
          <w:b/>
          <w:szCs w:val="22"/>
        </w:rPr>
        <w:t>consistent reporting on public participation methods, statistics and</w:t>
      </w:r>
      <w:r w:rsidRPr="00745A1B">
        <w:rPr>
          <w:rFonts w:cs="Arial"/>
          <w:b/>
          <w:szCs w:val="22"/>
        </w:rPr>
        <w:t xml:space="preserve"> </w:t>
      </w:r>
      <w:r>
        <w:rPr>
          <w:rFonts w:cs="Arial"/>
          <w:b/>
          <w:szCs w:val="22"/>
        </w:rPr>
        <w:t>outcomes.</w:t>
      </w:r>
    </w:p>
    <w:p w:rsidR="00F019E5" w:rsidRDefault="00F019E5" w:rsidP="00F019E5">
      <w:pPr>
        <w:pStyle w:val="ListParagraph"/>
        <w:spacing w:after="0" w:line="240" w:lineRule="auto"/>
        <w:ind w:left="0"/>
        <w:rPr>
          <w:rFonts w:ascii="Arial" w:hAnsi="Arial" w:cs="Arial"/>
          <w:b/>
          <w:highlight w:val="yellow"/>
          <w:lang w:val="en-US"/>
        </w:rPr>
      </w:pPr>
    </w:p>
    <w:p w:rsidR="00234736" w:rsidRPr="002063CC" w:rsidRDefault="00234736" w:rsidP="009C52E3">
      <w:pPr>
        <w:pStyle w:val="Heading2"/>
        <w:numPr>
          <w:ilvl w:val="0"/>
          <w:numId w:val="42"/>
        </w:numPr>
      </w:pPr>
      <w:bookmarkStart w:id="25" w:name="_Toc351985904"/>
      <w:r w:rsidRPr="002063CC">
        <w:t>Robust</w:t>
      </w:r>
      <w:r w:rsidR="00611947" w:rsidRPr="002063CC">
        <w:t>,</w:t>
      </w:r>
      <w:r w:rsidRPr="002063CC">
        <w:t xml:space="preserve"> independent assessment of all environmental impacts</w:t>
      </w:r>
      <w:bookmarkEnd w:id="25"/>
      <w:r w:rsidRPr="002063CC">
        <w:t xml:space="preserve"> </w:t>
      </w:r>
    </w:p>
    <w:p w:rsidR="00234736" w:rsidRPr="00811174" w:rsidRDefault="002063CC" w:rsidP="006A0A1A">
      <w:pPr>
        <w:pStyle w:val="ListParagraph"/>
        <w:spacing w:after="0" w:line="240" w:lineRule="auto"/>
        <w:ind w:left="0"/>
        <w:contextualSpacing w:val="0"/>
        <w:rPr>
          <w:rFonts w:ascii="Arial" w:hAnsi="Arial" w:cs="Arial"/>
        </w:rPr>
      </w:pPr>
      <w:r>
        <w:rPr>
          <w:rFonts w:ascii="Arial" w:hAnsi="Arial" w:cs="Arial"/>
        </w:rPr>
        <w:t>There are</w:t>
      </w:r>
      <w:r w:rsidR="00234736" w:rsidRPr="0021605E">
        <w:rPr>
          <w:rFonts w:ascii="Arial" w:hAnsi="Arial" w:cs="Arial"/>
        </w:rPr>
        <w:t xml:space="preserve"> five broad problems with environmental impact </w:t>
      </w:r>
      <w:r w:rsidR="00234736" w:rsidRPr="00811174">
        <w:rPr>
          <w:rFonts w:ascii="Arial" w:hAnsi="Arial" w:cs="Arial"/>
        </w:rPr>
        <w:t>assessment (</w:t>
      </w:r>
      <w:proofErr w:type="spellStart"/>
      <w:r w:rsidR="00234736" w:rsidRPr="00811174">
        <w:rPr>
          <w:rFonts w:ascii="Arial" w:hAnsi="Arial" w:cs="Arial"/>
          <w:b/>
        </w:rPr>
        <w:t>EIA</w:t>
      </w:r>
      <w:proofErr w:type="spellEnd"/>
      <w:r w:rsidR="00234736" w:rsidRPr="00811174">
        <w:rPr>
          <w:rFonts w:ascii="Arial" w:hAnsi="Arial" w:cs="Arial"/>
        </w:rPr>
        <w:t>) for major projects in Australia:</w:t>
      </w:r>
    </w:p>
    <w:p w:rsidR="00234736" w:rsidRPr="00D03CC6" w:rsidRDefault="00234736" w:rsidP="006A0A1A">
      <w:pPr>
        <w:pStyle w:val="ListParagraph"/>
        <w:numPr>
          <w:ilvl w:val="0"/>
          <w:numId w:val="43"/>
        </w:numPr>
        <w:spacing w:after="0" w:line="240" w:lineRule="auto"/>
        <w:contextualSpacing w:val="0"/>
        <w:rPr>
          <w:rFonts w:ascii="Arial" w:hAnsi="Arial" w:cs="Arial"/>
        </w:rPr>
      </w:pPr>
      <w:r w:rsidRPr="00D03CC6">
        <w:rPr>
          <w:rFonts w:ascii="Arial" w:hAnsi="Arial" w:cs="Arial"/>
        </w:rPr>
        <w:t>Lack of independent assessment approaches,</w:t>
      </w:r>
      <w:r w:rsidR="00811174" w:rsidRPr="00D03CC6">
        <w:rPr>
          <w:rStyle w:val="FootnoteReference"/>
          <w:rFonts w:ascii="Arial" w:hAnsi="Arial" w:cs="Arial"/>
        </w:rPr>
        <w:footnoteReference w:id="51"/>
      </w:r>
      <w:r w:rsidR="00611947" w:rsidRPr="00D03CC6">
        <w:rPr>
          <w:rFonts w:ascii="Arial" w:hAnsi="Arial" w:cs="Arial"/>
        </w:rPr>
        <w:t xml:space="preserve"> or comprehensive baseline data;</w:t>
      </w:r>
    </w:p>
    <w:p w:rsidR="00234736" w:rsidRPr="00D03CC6" w:rsidRDefault="00234736" w:rsidP="006A0A1A">
      <w:pPr>
        <w:pStyle w:val="ListParagraph"/>
        <w:numPr>
          <w:ilvl w:val="0"/>
          <w:numId w:val="43"/>
        </w:numPr>
        <w:spacing w:after="0" w:line="240" w:lineRule="auto"/>
        <w:contextualSpacing w:val="0"/>
        <w:rPr>
          <w:rFonts w:ascii="Arial" w:hAnsi="Arial" w:cs="Arial"/>
        </w:rPr>
      </w:pPr>
      <w:r w:rsidRPr="00D03CC6">
        <w:rPr>
          <w:rFonts w:ascii="Arial" w:hAnsi="Arial" w:cs="Arial"/>
        </w:rPr>
        <w:t>Poor cumulative impact assessment</w:t>
      </w:r>
      <w:r w:rsidR="00811174" w:rsidRPr="00D03CC6">
        <w:rPr>
          <w:rFonts w:ascii="Arial" w:hAnsi="Arial" w:cs="Arial"/>
        </w:rPr>
        <w:t xml:space="preserve"> (</w:t>
      </w:r>
      <w:r w:rsidR="002063CC">
        <w:rPr>
          <w:rFonts w:ascii="Arial" w:hAnsi="Arial" w:cs="Arial"/>
        </w:rPr>
        <w:t xml:space="preserve">addressed under </w:t>
      </w:r>
      <w:r w:rsidR="002063CC" w:rsidRPr="002063CC">
        <w:rPr>
          <w:rFonts w:ascii="Arial" w:hAnsi="Arial" w:cs="Arial"/>
          <w:i/>
        </w:rPr>
        <w:t>S</w:t>
      </w:r>
      <w:r w:rsidR="00811174" w:rsidRPr="002063CC">
        <w:rPr>
          <w:rFonts w:ascii="Arial" w:hAnsi="Arial" w:cs="Arial"/>
          <w:i/>
        </w:rPr>
        <w:t>trategic planning</w:t>
      </w:r>
      <w:r w:rsidR="00811174" w:rsidRPr="00D03CC6">
        <w:rPr>
          <w:rFonts w:ascii="Arial" w:hAnsi="Arial" w:cs="Arial"/>
        </w:rPr>
        <w:t xml:space="preserve"> </w:t>
      </w:r>
      <w:r w:rsidR="00811174" w:rsidRPr="002063CC">
        <w:rPr>
          <w:rFonts w:ascii="Arial" w:hAnsi="Arial" w:cs="Arial"/>
        </w:rPr>
        <w:t>below</w:t>
      </w:r>
      <w:r w:rsidR="00811174" w:rsidRPr="00D03CC6">
        <w:rPr>
          <w:rFonts w:ascii="Arial" w:hAnsi="Arial" w:cs="Arial"/>
        </w:rPr>
        <w:t>)</w:t>
      </w:r>
      <w:r w:rsidRPr="00D03CC6">
        <w:rPr>
          <w:rFonts w:ascii="Arial" w:hAnsi="Arial" w:cs="Arial"/>
        </w:rPr>
        <w:t>;</w:t>
      </w:r>
    </w:p>
    <w:p w:rsidR="00234736" w:rsidRPr="00D03CC6" w:rsidRDefault="00234736" w:rsidP="006A0A1A">
      <w:pPr>
        <w:pStyle w:val="ListParagraph"/>
        <w:numPr>
          <w:ilvl w:val="0"/>
          <w:numId w:val="43"/>
        </w:numPr>
        <w:spacing w:after="0" w:line="240" w:lineRule="auto"/>
        <w:contextualSpacing w:val="0"/>
        <w:rPr>
          <w:rFonts w:ascii="Arial" w:hAnsi="Arial" w:cs="Arial"/>
        </w:rPr>
      </w:pPr>
      <w:proofErr w:type="spellStart"/>
      <w:r w:rsidRPr="00D03CC6">
        <w:rPr>
          <w:rFonts w:ascii="Arial" w:hAnsi="Arial" w:cs="Arial"/>
        </w:rPr>
        <w:t>EIA</w:t>
      </w:r>
      <w:proofErr w:type="spellEnd"/>
      <w:r w:rsidRPr="00D03CC6">
        <w:rPr>
          <w:rFonts w:ascii="Arial" w:hAnsi="Arial" w:cs="Arial"/>
        </w:rPr>
        <w:t xml:space="preserve"> is not linked to state-wide/catchment </w:t>
      </w:r>
      <w:proofErr w:type="spellStart"/>
      <w:r w:rsidRPr="00D03CC6">
        <w:rPr>
          <w:rFonts w:ascii="Arial" w:hAnsi="Arial" w:cs="Arial"/>
        </w:rPr>
        <w:t>NRM</w:t>
      </w:r>
      <w:proofErr w:type="spellEnd"/>
      <w:r w:rsidRPr="00D03CC6">
        <w:rPr>
          <w:rFonts w:ascii="Arial" w:hAnsi="Arial" w:cs="Arial"/>
        </w:rPr>
        <w:t xml:space="preserve"> targets, limits and requirements;</w:t>
      </w:r>
    </w:p>
    <w:p w:rsidR="00234736" w:rsidRPr="00D03CC6" w:rsidRDefault="00234736" w:rsidP="006A0A1A">
      <w:pPr>
        <w:pStyle w:val="ListParagraph"/>
        <w:numPr>
          <w:ilvl w:val="0"/>
          <w:numId w:val="43"/>
        </w:numPr>
        <w:spacing w:after="0" w:line="240" w:lineRule="auto"/>
        <w:contextualSpacing w:val="0"/>
        <w:rPr>
          <w:rFonts w:ascii="Arial" w:hAnsi="Arial" w:cs="Arial"/>
        </w:rPr>
      </w:pPr>
      <w:r w:rsidRPr="00D03CC6">
        <w:rPr>
          <w:rFonts w:ascii="Arial" w:hAnsi="Arial" w:cs="Arial"/>
        </w:rPr>
        <w:t xml:space="preserve">Inadequate consideration of greenhouse </w:t>
      </w:r>
      <w:r w:rsidR="00040456" w:rsidRPr="00D03CC6">
        <w:rPr>
          <w:rFonts w:ascii="Arial" w:hAnsi="Arial" w:cs="Arial"/>
        </w:rPr>
        <w:t>emissions</w:t>
      </w:r>
      <w:r w:rsidRPr="00D03CC6">
        <w:rPr>
          <w:rFonts w:ascii="Arial" w:hAnsi="Arial" w:cs="Arial"/>
        </w:rPr>
        <w:t xml:space="preserve"> and climate change impacts;</w:t>
      </w:r>
    </w:p>
    <w:p w:rsidR="00234736" w:rsidRPr="00811174" w:rsidRDefault="00234736" w:rsidP="006A0A1A">
      <w:pPr>
        <w:pStyle w:val="ListParagraph"/>
        <w:numPr>
          <w:ilvl w:val="0"/>
          <w:numId w:val="43"/>
        </w:numPr>
        <w:spacing w:after="0" w:line="240" w:lineRule="auto"/>
        <w:rPr>
          <w:rFonts w:ascii="Arial" w:hAnsi="Arial" w:cs="Arial"/>
        </w:rPr>
      </w:pPr>
      <w:r w:rsidRPr="00D03CC6">
        <w:rPr>
          <w:rFonts w:ascii="Arial" w:hAnsi="Arial" w:cs="Arial"/>
        </w:rPr>
        <w:t xml:space="preserve">Limited government oversight and quality assurance of </w:t>
      </w:r>
      <w:proofErr w:type="spellStart"/>
      <w:r w:rsidRPr="00D03CC6">
        <w:rPr>
          <w:rFonts w:ascii="Arial" w:hAnsi="Arial" w:cs="Arial"/>
        </w:rPr>
        <w:t>EIA</w:t>
      </w:r>
      <w:proofErr w:type="spellEnd"/>
      <w:r w:rsidRPr="00811174">
        <w:rPr>
          <w:rFonts w:ascii="Arial" w:hAnsi="Arial" w:cs="Arial"/>
        </w:rPr>
        <w:t>.</w:t>
      </w:r>
    </w:p>
    <w:p w:rsidR="00234736" w:rsidRPr="0021605E" w:rsidRDefault="00234736" w:rsidP="006A0A1A">
      <w:pPr>
        <w:pStyle w:val="ListParagraph"/>
        <w:spacing w:after="0" w:line="240" w:lineRule="auto"/>
        <w:ind w:left="0"/>
        <w:rPr>
          <w:rFonts w:ascii="Arial" w:hAnsi="Arial" w:cs="Arial"/>
        </w:rPr>
      </w:pPr>
    </w:p>
    <w:p w:rsidR="00234736" w:rsidRDefault="00BD2680" w:rsidP="00234736">
      <w:pPr>
        <w:rPr>
          <w:rFonts w:cs="Arial"/>
          <w:szCs w:val="22"/>
        </w:rPr>
      </w:pPr>
      <w:proofErr w:type="spellStart"/>
      <w:r>
        <w:rPr>
          <w:rFonts w:cs="Arial"/>
        </w:rPr>
        <w:t>ANEDO</w:t>
      </w:r>
      <w:proofErr w:type="spellEnd"/>
      <w:r>
        <w:rPr>
          <w:rFonts w:cs="Arial"/>
        </w:rPr>
        <w:t xml:space="preserve"> submits that a comprehensive analysis of major project development assessment and approval (</w:t>
      </w:r>
      <w:proofErr w:type="spellStart"/>
      <w:r w:rsidRPr="00BD2680">
        <w:rPr>
          <w:rFonts w:cs="Arial"/>
          <w:b/>
        </w:rPr>
        <w:t>DAA</w:t>
      </w:r>
      <w:proofErr w:type="spellEnd"/>
      <w:r>
        <w:rPr>
          <w:rFonts w:cs="Arial"/>
        </w:rPr>
        <w:t>) processes</w:t>
      </w:r>
      <w:r w:rsidR="00234736" w:rsidRPr="0021605E">
        <w:rPr>
          <w:rFonts w:cs="Arial"/>
        </w:rPr>
        <w:t xml:space="preserve"> </w:t>
      </w:r>
      <w:r>
        <w:rPr>
          <w:rFonts w:cs="Arial"/>
        </w:rPr>
        <w:t xml:space="preserve">would be incomplete if it did not </w:t>
      </w:r>
      <w:r w:rsidR="00234736" w:rsidRPr="0021605E">
        <w:rPr>
          <w:rFonts w:cs="Arial"/>
        </w:rPr>
        <w:t>address each of these risks</w:t>
      </w:r>
      <w:r w:rsidR="00646255">
        <w:rPr>
          <w:rFonts w:cs="Arial"/>
        </w:rPr>
        <w:t xml:space="preserve"> and inadequacies</w:t>
      </w:r>
      <w:r w:rsidR="00234736" w:rsidRPr="0021605E">
        <w:rPr>
          <w:rFonts w:cs="Arial"/>
        </w:rPr>
        <w:t>, and identify leading practices to resolve them</w:t>
      </w:r>
      <w:r>
        <w:rPr>
          <w:rFonts w:cs="Arial"/>
        </w:rPr>
        <w:t>.</w:t>
      </w:r>
    </w:p>
    <w:p w:rsidR="00234736" w:rsidRPr="00234736" w:rsidRDefault="00234736" w:rsidP="00BD2680">
      <w:pPr>
        <w:rPr>
          <w:rFonts w:cs="Arial"/>
          <w:szCs w:val="22"/>
        </w:rPr>
      </w:pPr>
    </w:p>
    <w:p w:rsidR="00234736" w:rsidRPr="006A0A1A" w:rsidRDefault="00BD2680" w:rsidP="00497CD2">
      <w:pPr>
        <w:pStyle w:val="Header"/>
        <w:keepNext/>
        <w:spacing w:after="120"/>
        <w:rPr>
          <w:rFonts w:cs="Arial"/>
          <w:b/>
          <w:szCs w:val="22"/>
        </w:rPr>
      </w:pPr>
      <w:r w:rsidRPr="006A0A1A">
        <w:rPr>
          <w:rFonts w:cs="Arial"/>
          <w:b/>
          <w:szCs w:val="22"/>
        </w:rPr>
        <w:lastRenderedPageBreak/>
        <w:t>The Productivity Commission</w:t>
      </w:r>
      <w:r w:rsidR="00234736" w:rsidRPr="006A0A1A">
        <w:rPr>
          <w:rFonts w:cs="Arial"/>
          <w:b/>
          <w:szCs w:val="22"/>
        </w:rPr>
        <w:t xml:space="preserve"> should identify leading practices for </w:t>
      </w:r>
      <w:r w:rsidRPr="006A0A1A">
        <w:rPr>
          <w:rFonts w:cs="Arial"/>
          <w:b/>
          <w:szCs w:val="22"/>
        </w:rPr>
        <w:t xml:space="preserve">robust </w:t>
      </w:r>
      <w:proofErr w:type="spellStart"/>
      <w:r w:rsidRPr="006A0A1A">
        <w:rPr>
          <w:rFonts w:cs="Arial"/>
          <w:b/>
          <w:szCs w:val="22"/>
        </w:rPr>
        <w:t>EIA</w:t>
      </w:r>
      <w:proofErr w:type="spellEnd"/>
      <w:r w:rsidRPr="006A0A1A">
        <w:rPr>
          <w:rFonts w:cs="Arial"/>
          <w:b/>
          <w:szCs w:val="22"/>
        </w:rPr>
        <w:t xml:space="preserve"> for major projects. </w:t>
      </w:r>
      <w:r w:rsidR="002063CC" w:rsidRPr="006A0A1A">
        <w:rPr>
          <w:rFonts w:cs="Arial"/>
          <w:b/>
          <w:szCs w:val="22"/>
        </w:rPr>
        <w:t>Broadly</w:t>
      </w:r>
      <w:r w:rsidRPr="006A0A1A">
        <w:rPr>
          <w:rFonts w:cs="Arial"/>
          <w:b/>
          <w:szCs w:val="22"/>
        </w:rPr>
        <w:t xml:space="preserve">, </w:t>
      </w:r>
      <w:r w:rsidR="00040456" w:rsidRPr="006A0A1A">
        <w:rPr>
          <w:rFonts w:cs="Arial"/>
          <w:b/>
          <w:szCs w:val="22"/>
        </w:rPr>
        <w:t>we</w:t>
      </w:r>
      <w:r w:rsidRPr="006A0A1A">
        <w:rPr>
          <w:rFonts w:cs="Arial"/>
          <w:b/>
          <w:szCs w:val="22"/>
        </w:rPr>
        <w:t xml:space="preserve"> </w:t>
      </w:r>
      <w:r w:rsidR="00646255" w:rsidRPr="006A0A1A">
        <w:rPr>
          <w:rFonts w:cs="Arial"/>
          <w:b/>
          <w:szCs w:val="22"/>
        </w:rPr>
        <w:t>recommend that Australian jurisdictions</w:t>
      </w:r>
      <w:r w:rsidR="00040456" w:rsidRPr="006A0A1A">
        <w:rPr>
          <w:rFonts w:cs="Arial"/>
          <w:b/>
          <w:szCs w:val="22"/>
        </w:rPr>
        <w:t xml:space="preserve"> must</w:t>
      </w:r>
      <w:r w:rsidR="00234736" w:rsidRPr="006A0A1A">
        <w:rPr>
          <w:rFonts w:cs="Arial"/>
          <w:b/>
          <w:szCs w:val="22"/>
        </w:rPr>
        <w:t>:</w:t>
      </w:r>
    </w:p>
    <w:p w:rsidR="00234736" w:rsidRPr="006A0A1A" w:rsidRDefault="00BD2680" w:rsidP="006A0A1A">
      <w:pPr>
        <w:pStyle w:val="ListParagraph"/>
        <w:keepNext/>
        <w:numPr>
          <w:ilvl w:val="0"/>
          <w:numId w:val="39"/>
        </w:numPr>
        <w:spacing w:after="0" w:line="240" w:lineRule="auto"/>
        <w:ind w:left="357" w:hanging="357"/>
        <w:contextualSpacing w:val="0"/>
        <w:rPr>
          <w:rFonts w:ascii="Arial" w:hAnsi="Arial" w:cs="Arial"/>
          <w:b/>
        </w:rPr>
      </w:pPr>
      <w:r w:rsidRPr="006A0A1A">
        <w:rPr>
          <w:rFonts w:ascii="Arial" w:hAnsi="Arial" w:cs="Arial"/>
          <w:b/>
        </w:rPr>
        <w:t>improve</w:t>
      </w:r>
      <w:r w:rsidR="00234736" w:rsidRPr="006A0A1A">
        <w:rPr>
          <w:rFonts w:ascii="Arial" w:hAnsi="Arial" w:cs="Arial"/>
          <w:b/>
        </w:rPr>
        <w:t xml:space="preserve"> the independence and rigour of project assessment and approval</w:t>
      </w:r>
      <w:r w:rsidR="002063CC" w:rsidRPr="006A0A1A">
        <w:rPr>
          <w:rFonts w:ascii="Arial" w:hAnsi="Arial" w:cs="Arial"/>
          <w:b/>
        </w:rPr>
        <w:t xml:space="preserve"> (including where a state government or authority is a proponent/beneficiary)</w:t>
      </w:r>
      <w:r w:rsidR="00234736" w:rsidRPr="006A0A1A">
        <w:rPr>
          <w:rFonts w:ascii="Arial" w:hAnsi="Arial" w:cs="Arial"/>
          <w:b/>
        </w:rPr>
        <w:t>;</w:t>
      </w:r>
    </w:p>
    <w:p w:rsidR="00646255" w:rsidRPr="006A0A1A" w:rsidRDefault="00646255" w:rsidP="006A0A1A">
      <w:pPr>
        <w:pStyle w:val="ListParagraph"/>
        <w:keepNext/>
        <w:numPr>
          <w:ilvl w:val="0"/>
          <w:numId w:val="39"/>
        </w:numPr>
        <w:spacing w:after="0" w:line="240" w:lineRule="auto"/>
        <w:ind w:left="357" w:hanging="357"/>
        <w:contextualSpacing w:val="0"/>
        <w:rPr>
          <w:rFonts w:ascii="Arial" w:hAnsi="Arial" w:cs="Arial"/>
          <w:b/>
        </w:rPr>
      </w:pPr>
      <w:r w:rsidRPr="006A0A1A">
        <w:rPr>
          <w:rFonts w:ascii="Arial" w:hAnsi="Arial" w:cs="Arial"/>
          <w:b/>
        </w:rPr>
        <w:t>identify and adhere to targets and limits across environmental indicators</w:t>
      </w:r>
      <w:r w:rsidR="002063CC" w:rsidRPr="006A0A1A">
        <w:rPr>
          <w:rFonts w:ascii="Arial" w:hAnsi="Arial" w:cs="Arial"/>
          <w:b/>
        </w:rPr>
        <w:t xml:space="preserve"> such </w:t>
      </w:r>
      <w:r w:rsidRPr="006A0A1A">
        <w:rPr>
          <w:rFonts w:ascii="Arial" w:hAnsi="Arial" w:cs="Arial"/>
          <w:b/>
        </w:rPr>
        <w:t xml:space="preserve">as biodiversity, native vegetation, </w:t>
      </w:r>
      <w:r w:rsidR="002063CC" w:rsidRPr="006A0A1A">
        <w:rPr>
          <w:rFonts w:ascii="Arial" w:hAnsi="Arial" w:cs="Arial"/>
          <w:b/>
        </w:rPr>
        <w:t xml:space="preserve">water, </w:t>
      </w:r>
      <w:r w:rsidRPr="006A0A1A">
        <w:rPr>
          <w:rFonts w:ascii="Arial" w:hAnsi="Arial" w:cs="Arial"/>
          <w:b/>
        </w:rPr>
        <w:t>soil and air quality (including public health considerations), and greenhouse gas emissions;</w:t>
      </w:r>
    </w:p>
    <w:p w:rsidR="00646255" w:rsidRPr="006A0A1A" w:rsidRDefault="00646255" w:rsidP="006A0A1A">
      <w:pPr>
        <w:pStyle w:val="Header"/>
        <w:numPr>
          <w:ilvl w:val="0"/>
          <w:numId w:val="39"/>
        </w:numPr>
        <w:tabs>
          <w:tab w:val="clear" w:pos="4153"/>
          <w:tab w:val="clear" w:pos="8306"/>
        </w:tabs>
        <w:ind w:left="357" w:hanging="357"/>
        <w:rPr>
          <w:rFonts w:cs="Arial"/>
          <w:b/>
          <w:szCs w:val="22"/>
        </w:rPr>
      </w:pPr>
      <w:r w:rsidRPr="006A0A1A">
        <w:rPr>
          <w:rFonts w:cs="Arial"/>
          <w:b/>
          <w:szCs w:val="22"/>
        </w:rPr>
        <w:t xml:space="preserve">approve major projects only if their impacts remain within the identified and acceptable environmental limits of the catchment or region; </w:t>
      </w:r>
    </w:p>
    <w:p w:rsidR="00234736" w:rsidRDefault="00BD2680" w:rsidP="006A0A1A">
      <w:pPr>
        <w:pStyle w:val="Header"/>
        <w:numPr>
          <w:ilvl w:val="0"/>
          <w:numId w:val="39"/>
        </w:numPr>
        <w:tabs>
          <w:tab w:val="clear" w:pos="4153"/>
          <w:tab w:val="clear" w:pos="8306"/>
        </w:tabs>
        <w:ind w:left="357" w:hanging="357"/>
        <w:rPr>
          <w:rFonts w:cs="Arial"/>
          <w:b/>
          <w:szCs w:val="22"/>
        </w:rPr>
      </w:pPr>
      <w:r w:rsidRPr="006A0A1A">
        <w:rPr>
          <w:rFonts w:cs="Arial"/>
          <w:b/>
          <w:szCs w:val="22"/>
        </w:rPr>
        <w:t xml:space="preserve">require </w:t>
      </w:r>
      <w:r w:rsidR="00234736" w:rsidRPr="006A0A1A">
        <w:rPr>
          <w:rFonts w:cs="Arial"/>
          <w:b/>
          <w:i/>
          <w:szCs w:val="22"/>
        </w:rPr>
        <w:t>assess</w:t>
      </w:r>
      <w:r w:rsidRPr="006A0A1A">
        <w:rPr>
          <w:rFonts w:cs="Arial"/>
          <w:b/>
          <w:i/>
          <w:szCs w:val="22"/>
        </w:rPr>
        <w:t>ment</w:t>
      </w:r>
      <w:r w:rsidR="00234736" w:rsidRPr="006A0A1A">
        <w:rPr>
          <w:rFonts w:cs="Arial"/>
          <w:b/>
          <w:szCs w:val="22"/>
        </w:rPr>
        <w:t xml:space="preserve"> of the climate change impacts of </w:t>
      </w:r>
      <w:r w:rsidR="00646255" w:rsidRPr="006A0A1A">
        <w:rPr>
          <w:rFonts w:cs="Arial"/>
          <w:b/>
          <w:szCs w:val="22"/>
        </w:rPr>
        <w:t>individual</w:t>
      </w:r>
      <w:r w:rsidR="00234736" w:rsidRPr="006A0A1A">
        <w:rPr>
          <w:rFonts w:cs="Arial"/>
          <w:b/>
          <w:szCs w:val="22"/>
        </w:rPr>
        <w:t xml:space="preserve"> projects, </w:t>
      </w:r>
      <w:r w:rsidR="00646255" w:rsidRPr="006A0A1A">
        <w:rPr>
          <w:rFonts w:cs="Arial"/>
          <w:b/>
          <w:szCs w:val="22"/>
        </w:rPr>
        <w:t>and</w:t>
      </w:r>
      <w:r w:rsidR="00234736" w:rsidRPr="006A0A1A">
        <w:rPr>
          <w:rFonts w:cs="Arial"/>
          <w:b/>
          <w:szCs w:val="22"/>
        </w:rPr>
        <w:t xml:space="preserve"> specific </w:t>
      </w:r>
      <w:r w:rsidR="00234736" w:rsidRPr="006A0A1A">
        <w:rPr>
          <w:rFonts w:cs="Arial"/>
          <w:b/>
          <w:i/>
          <w:szCs w:val="22"/>
        </w:rPr>
        <w:t>conditions</w:t>
      </w:r>
      <w:r w:rsidR="00234736" w:rsidRPr="006A0A1A">
        <w:rPr>
          <w:rFonts w:cs="Arial"/>
          <w:b/>
          <w:szCs w:val="22"/>
        </w:rPr>
        <w:t xml:space="preserve"> to address </w:t>
      </w:r>
      <w:r w:rsidR="00646255" w:rsidRPr="006A0A1A">
        <w:rPr>
          <w:rFonts w:cs="Arial"/>
          <w:b/>
          <w:szCs w:val="22"/>
        </w:rPr>
        <w:t>these impacts (for mitigation and adaptation)</w:t>
      </w:r>
      <w:r w:rsidR="00234736" w:rsidRPr="006A0A1A">
        <w:rPr>
          <w:rFonts w:cs="Arial"/>
          <w:b/>
          <w:szCs w:val="22"/>
        </w:rPr>
        <w:t>;</w:t>
      </w:r>
    </w:p>
    <w:p w:rsidR="00234736" w:rsidRPr="006A0A1A" w:rsidRDefault="00234736" w:rsidP="006A0A1A">
      <w:pPr>
        <w:pStyle w:val="Header"/>
        <w:numPr>
          <w:ilvl w:val="0"/>
          <w:numId w:val="39"/>
        </w:numPr>
        <w:tabs>
          <w:tab w:val="clear" w:pos="4153"/>
          <w:tab w:val="clear" w:pos="8306"/>
        </w:tabs>
        <w:ind w:left="357" w:hanging="357"/>
        <w:rPr>
          <w:rFonts w:cs="Arial"/>
          <w:b/>
          <w:szCs w:val="22"/>
        </w:rPr>
      </w:pPr>
      <w:r w:rsidRPr="006A0A1A">
        <w:rPr>
          <w:rFonts w:cs="Arial"/>
          <w:b/>
        </w:rPr>
        <w:t>effective oversight and quality assurance – including better offences and penalties for inaccurate or incomplete information; audits and enforcement; and clear regulatory responsibilities.</w:t>
      </w:r>
    </w:p>
    <w:p w:rsidR="00234736" w:rsidRDefault="00234736" w:rsidP="00BD2680">
      <w:pPr>
        <w:pStyle w:val="ListParagraph"/>
        <w:spacing w:after="0" w:line="240" w:lineRule="auto"/>
        <w:ind w:left="0"/>
        <w:rPr>
          <w:rFonts w:ascii="Arial" w:hAnsi="Arial" w:cs="Arial"/>
          <w:b/>
        </w:rPr>
      </w:pPr>
    </w:p>
    <w:p w:rsidR="00646255" w:rsidRPr="0040589A" w:rsidRDefault="00646255" w:rsidP="004D6F76">
      <w:pPr>
        <w:pStyle w:val="ListParagraph"/>
        <w:spacing w:after="0" w:line="240" w:lineRule="auto"/>
        <w:ind w:left="0"/>
        <w:rPr>
          <w:rFonts w:ascii="Arial" w:hAnsi="Arial"/>
        </w:rPr>
      </w:pPr>
      <w:proofErr w:type="spellStart"/>
      <w:r>
        <w:rPr>
          <w:rFonts w:ascii="Arial" w:hAnsi="Arial" w:cs="Arial"/>
        </w:rPr>
        <w:t>ANEDO</w:t>
      </w:r>
      <w:proofErr w:type="spellEnd"/>
      <w:r>
        <w:rPr>
          <w:rFonts w:ascii="Arial" w:hAnsi="Arial" w:cs="Arial"/>
        </w:rPr>
        <w:t xml:space="preserve"> offices have made a number of recent submissions addressing these and other issues with </w:t>
      </w:r>
      <w:proofErr w:type="spellStart"/>
      <w:r>
        <w:rPr>
          <w:rFonts w:ascii="Arial" w:hAnsi="Arial" w:cs="Arial"/>
        </w:rPr>
        <w:t>EIA</w:t>
      </w:r>
      <w:proofErr w:type="spellEnd"/>
      <w:r>
        <w:rPr>
          <w:rFonts w:ascii="Arial" w:hAnsi="Arial" w:cs="Arial"/>
        </w:rPr>
        <w:t xml:space="preserve"> process</w:t>
      </w:r>
      <w:r w:rsidR="00811174">
        <w:rPr>
          <w:rFonts w:ascii="Arial" w:hAnsi="Arial" w:cs="Arial"/>
        </w:rPr>
        <w:t xml:space="preserve">es in detail, and </w:t>
      </w:r>
      <w:r>
        <w:rPr>
          <w:rFonts w:ascii="Arial" w:hAnsi="Arial" w:cs="Arial"/>
        </w:rPr>
        <w:t>would be happy to provide further information</w:t>
      </w:r>
      <w:r w:rsidR="00811174">
        <w:rPr>
          <w:rFonts w:ascii="Arial" w:hAnsi="Arial" w:cs="Arial"/>
        </w:rPr>
        <w:t>. I</w:t>
      </w:r>
      <w:r w:rsidR="00040456">
        <w:rPr>
          <w:rFonts w:ascii="Arial" w:hAnsi="Arial" w:cs="Arial"/>
        </w:rPr>
        <w:t>n </w:t>
      </w:r>
      <w:r>
        <w:rPr>
          <w:rFonts w:ascii="Arial" w:hAnsi="Arial" w:cs="Arial"/>
        </w:rPr>
        <w:t>the meantime</w:t>
      </w:r>
      <w:r w:rsidR="00811174">
        <w:rPr>
          <w:rFonts w:ascii="Arial" w:hAnsi="Arial" w:cs="Arial"/>
        </w:rPr>
        <w:t>,</w:t>
      </w:r>
      <w:r>
        <w:rPr>
          <w:rFonts w:ascii="Arial" w:hAnsi="Arial" w:cs="Arial"/>
        </w:rPr>
        <w:t xml:space="preserve"> </w:t>
      </w:r>
      <w:r w:rsidR="002063CC">
        <w:rPr>
          <w:rFonts w:ascii="Arial" w:hAnsi="Arial" w:cs="Arial"/>
        </w:rPr>
        <w:t>please</w:t>
      </w:r>
      <w:r>
        <w:rPr>
          <w:rFonts w:ascii="Arial" w:hAnsi="Arial" w:cs="Arial"/>
        </w:rPr>
        <w:t xml:space="preserve"> refer to</w:t>
      </w:r>
      <w:r w:rsidR="0040589A">
        <w:rPr>
          <w:rFonts w:ascii="Arial" w:hAnsi="Arial" w:cs="Arial"/>
        </w:rPr>
        <w:t xml:space="preserve"> </w:t>
      </w:r>
      <w:proofErr w:type="spellStart"/>
      <w:r w:rsidRPr="0040589A">
        <w:rPr>
          <w:rFonts w:ascii="Arial" w:hAnsi="Arial"/>
        </w:rPr>
        <w:t>ANEDO</w:t>
      </w:r>
      <w:r w:rsidR="00040456" w:rsidRPr="0040589A">
        <w:rPr>
          <w:rFonts w:ascii="Arial" w:hAnsi="Arial"/>
        </w:rPr>
        <w:t>’s</w:t>
      </w:r>
      <w:proofErr w:type="spellEnd"/>
      <w:r w:rsidRPr="0040589A">
        <w:rPr>
          <w:rFonts w:ascii="Arial" w:hAnsi="Arial"/>
        </w:rPr>
        <w:t xml:space="preserve"> submission on a </w:t>
      </w:r>
      <w:r w:rsidRPr="0040589A">
        <w:rPr>
          <w:rFonts w:ascii="Arial" w:hAnsi="Arial"/>
          <w:i/>
        </w:rPr>
        <w:t xml:space="preserve">Draft National </w:t>
      </w:r>
      <w:proofErr w:type="spellStart"/>
      <w:r w:rsidRPr="0040589A">
        <w:rPr>
          <w:rFonts w:ascii="Arial" w:hAnsi="Arial"/>
          <w:i/>
        </w:rPr>
        <w:t>CSG</w:t>
      </w:r>
      <w:proofErr w:type="spellEnd"/>
      <w:r w:rsidRPr="0040589A">
        <w:rPr>
          <w:rFonts w:ascii="Arial" w:hAnsi="Arial"/>
          <w:i/>
        </w:rPr>
        <w:t xml:space="preserve"> Framework</w:t>
      </w:r>
      <w:r w:rsidR="0040589A">
        <w:rPr>
          <w:rFonts w:ascii="Arial" w:hAnsi="Arial"/>
        </w:rPr>
        <w:t xml:space="preserve">, the </w:t>
      </w:r>
      <w:r w:rsidRPr="0040589A">
        <w:rPr>
          <w:rFonts w:ascii="Arial" w:hAnsi="Arial"/>
        </w:rPr>
        <w:t xml:space="preserve">EDO NSW submission on the </w:t>
      </w:r>
      <w:r w:rsidRPr="0040589A">
        <w:rPr>
          <w:rFonts w:ascii="Arial" w:hAnsi="Arial"/>
          <w:i/>
        </w:rPr>
        <w:t>NSW Planning Green Paper</w:t>
      </w:r>
      <w:r w:rsidR="0040589A" w:rsidRPr="0040589A">
        <w:rPr>
          <w:rFonts w:ascii="Arial" w:hAnsi="Arial"/>
        </w:rPr>
        <w:t>, and</w:t>
      </w:r>
      <w:r w:rsidR="0040589A">
        <w:rPr>
          <w:rFonts w:ascii="Arial" w:hAnsi="Arial"/>
        </w:rPr>
        <w:t xml:space="preserve"> the</w:t>
      </w:r>
      <w:r w:rsidR="00BC77DC" w:rsidRPr="0040589A">
        <w:rPr>
          <w:rFonts w:ascii="Arial" w:hAnsi="Arial"/>
          <w:i/>
        </w:rPr>
        <w:t xml:space="preserve"> </w:t>
      </w:r>
      <w:r w:rsidR="00BC77DC" w:rsidRPr="0040589A">
        <w:rPr>
          <w:rFonts w:ascii="Arial" w:hAnsi="Arial"/>
        </w:rPr>
        <w:t xml:space="preserve">EDO Victoria </w:t>
      </w:r>
      <w:r w:rsidR="00A123FB" w:rsidRPr="0040589A">
        <w:rPr>
          <w:rFonts w:ascii="Arial" w:hAnsi="Arial"/>
        </w:rPr>
        <w:t xml:space="preserve">submission on the </w:t>
      </w:r>
      <w:proofErr w:type="spellStart"/>
      <w:r w:rsidR="00A123FB" w:rsidRPr="0040589A">
        <w:rPr>
          <w:rFonts w:ascii="Arial" w:hAnsi="Arial"/>
          <w:i/>
        </w:rPr>
        <w:t>ENRC</w:t>
      </w:r>
      <w:proofErr w:type="spellEnd"/>
      <w:r w:rsidR="00A123FB" w:rsidRPr="0040589A">
        <w:rPr>
          <w:rFonts w:ascii="Arial" w:hAnsi="Arial"/>
          <w:i/>
        </w:rPr>
        <w:t xml:space="preserve"> Inquiry into the Environment Effects Statement process in Victoria</w:t>
      </w:r>
      <w:r w:rsidRPr="0040589A">
        <w:rPr>
          <w:rFonts w:ascii="Arial" w:hAnsi="Arial"/>
        </w:rPr>
        <w:t>.</w:t>
      </w:r>
      <w:r w:rsidR="00811174">
        <w:rPr>
          <w:rStyle w:val="FootnoteReference"/>
          <w:rFonts w:ascii="Arial" w:hAnsi="Arial" w:cs="Arial"/>
        </w:rPr>
        <w:footnoteReference w:id="52"/>
      </w:r>
    </w:p>
    <w:p w:rsidR="0037449A" w:rsidRDefault="0037449A" w:rsidP="00BD2680">
      <w:pPr>
        <w:pStyle w:val="ListParagraph"/>
        <w:spacing w:after="0" w:line="240" w:lineRule="auto"/>
        <w:ind w:left="0"/>
        <w:rPr>
          <w:rFonts w:ascii="Arial" w:hAnsi="Arial" w:cs="Arial"/>
        </w:rPr>
      </w:pPr>
    </w:p>
    <w:p w:rsidR="00A1550A" w:rsidRDefault="00A1550A" w:rsidP="009C52E3">
      <w:pPr>
        <w:pStyle w:val="Heading2"/>
        <w:numPr>
          <w:ilvl w:val="0"/>
          <w:numId w:val="42"/>
        </w:numPr>
      </w:pPr>
      <w:bookmarkStart w:id="26" w:name="_Toc351985905"/>
      <w:r w:rsidRPr="000A4913">
        <w:t xml:space="preserve">Fast-tracking major projects </w:t>
      </w:r>
      <w:r w:rsidR="002063CC">
        <w:t xml:space="preserve">and overriding concurrences </w:t>
      </w:r>
      <w:r w:rsidRPr="000A4913">
        <w:t>contradicts a</w:t>
      </w:r>
      <w:r w:rsidR="008A32B9">
        <w:t xml:space="preserve"> ‘risk based</w:t>
      </w:r>
      <w:r w:rsidR="00611947">
        <w:t xml:space="preserve">’ </w:t>
      </w:r>
      <w:proofErr w:type="spellStart"/>
      <w:r w:rsidR="00611947">
        <w:t>DAA</w:t>
      </w:r>
      <w:proofErr w:type="spellEnd"/>
      <w:r w:rsidR="00611947">
        <w:t xml:space="preserve"> approach</w:t>
      </w:r>
      <w:bookmarkEnd w:id="26"/>
      <w:r w:rsidR="008A32B9">
        <w:t xml:space="preserve"> </w:t>
      </w:r>
    </w:p>
    <w:p w:rsidR="008B6620" w:rsidRDefault="008A32B9" w:rsidP="00094F8B">
      <w:pPr>
        <w:rPr>
          <w:rFonts w:cs="Arial"/>
        </w:rPr>
      </w:pPr>
      <w:r>
        <w:rPr>
          <w:rFonts w:cs="Arial"/>
        </w:rPr>
        <w:t>Australian</w:t>
      </w:r>
      <w:r w:rsidR="008B6620">
        <w:rPr>
          <w:rFonts w:cs="Arial"/>
        </w:rPr>
        <w:t xml:space="preserve"> planning systems </w:t>
      </w:r>
      <w:r>
        <w:rPr>
          <w:rFonts w:cs="Arial"/>
        </w:rPr>
        <w:t xml:space="preserve">already classify or ‘stream’ </w:t>
      </w:r>
      <w:r w:rsidR="008B6620">
        <w:rPr>
          <w:rFonts w:cs="Arial"/>
        </w:rPr>
        <w:t>development into different tracks</w:t>
      </w:r>
      <w:r>
        <w:rPr>
          <w:rFonts w:cs="Arial"/>
        </w:rPr>
        <w:t xml:space="preserve"> based</w:t>
      </w:r>
      <w:r w:rsidR="008B6620">
        <w:rPr>
          <w:rFonts w:cs="Arial"/>
        </w:rPr>
        <w:t xml:space="preserve"> on the size and nature of the development</w:t>
      </w:r>
      <w:r w:rsidR="00206A19">
        <w:rPr>
          <w:rFonts w:cs="Arial"/>
        </w:rPr>
        <w:t>. According to the Productivity Commission (2011), t</w:t>
      </w:r>
      <w:r w:rsidR="008B6620">
        <w:rPr>
          <w:rFonts w:cs="Arial"/>
        </w:rPr>
        <w:t>his</w:t>
      </w:r>
      <w:r w:rsidR="00206A19">
        <w:rPr>
          <w:rFonts w:cs="Arial"/>
        </w:rPr>
        <w:t xml:space="preserve"> </w:t>
      </w:r>
      <w:r w:rsidR="00206A19" w:rsidRPr="00206A19">
        <w:rPr>
          <w:rFonts w:cs="Arial"/>
          <w:i/>
        </w:rPr>
        <w:t>risk-based approach</w:t>
      </w:r>
      <w:r w:rsidR="008B6620">
        <w:rPr>
          <w:rFonts w:cs="Arial"/>
        </w:rPr>
        <w:t xml:space="preserve"> ‘speeds up most development assessments’</w:t>
      </w:r>
      <w:r>
        <w:rPr>
          <w:rFonts w:cs="Arial"/>
        </w:rPr>
        <w:t>,</w:t>
      </w:r>
      <w:r w:rsidR="008B6620">
        <w:rPr>
          <w:rFonts w:cs="Arial"/>
        </w:rPr>
        <w:t xml:space="preserve"> </w:t>
      </w:r>
      <w:r>
        <w:rPr>
          <w:rFonts w:cs="Arial"/>
        </w:rPr>
        <w:t xml:space="preserve">freeing up </w:t>
      </w:r>
      <w:r w:rsidR="008B6620">
        <w:rPr>
          <w:rFonts w:cs="Arial"/>
        </w:rPr>
        <w:t xml:space="preserve">resources </w:t>
      </w:r>
      <w:r>
        <w:rPr>
          <w:rFonts w:cs="Arial"/>
        </w:rPr>
        <w:t>to ‘focus on proposals that are particularly technically complex or have a significant impacts on others’.</w:t>
      </w:r>
      <w:r>
        <w:rPr>
          <w:rStyle w:val="FootnoteReference"/>
          <w:rFonts w:cs="Arial"/>
        </w:rPr>
        <w:footnoteReference w:id="53"/>
      </w:r>
    </w:p>
    <w:p w:rsidR="008A32B9" w:rsidRDefault="008A32B9" w:rsidP="00094F8B">
      <w:pPr>
        <w:rPr>
          <w:rFonts w:cs="Arial"/>
        </w:rPr>
      </w:pPr>
    </w:p>
    <w:p w:rsidR="003A6C4A" w:rsidRDefault="00D458DE" w:rsidP="008A32B9">
      <w:pPr>
        <w:rPr>
          <w:rFonts w:cs="Arial"/>
        </w:rPr>
      </w:pPr>
      <w:r>
        <w:rPr>
          <w:rFonts w:cs="Arial"/>
        </w:rPr>
        <w:t>Notwithstanding this ‘streaming’ approach, t</w:t>
      </w:r>
      <w:r w:rsidR="008A32B9">
        <w:rPr>
          <w:rFonts w:cs="Arial"/>
        </w:rPr>
        <w:t xml:space="preserve">he desire to </w:t>
      </w:r>
      <w:r w:rsidR="001B10E7">
        <w:rPr>
          <w:rFonts w:cs="Arial"/>
        </w:rPr>
        <w:t>stream</w:t>
      </w:r>
      <w:r w:rsidR="001B10E7" w:rsidRPr="00D458DE">
        <w:rPr>
          <w:rFonts w:cs="Arial"/>
          <w:i/>
        </w:rPr>
        <w:t>line</w:t>
      </w:r>
      <w:r w:rsidR="008A32B9">
        <w:rPr>
          <w:rFonts w:cs="Arial"/>
        </w:rPr>
        <w:t xml:space="preserve"> </w:t>
      </w:r>
      <w:r w:rsidR="001B10E7">
        <w:rPr>
          <w:rFonts w:cs="Arial"/>
        </w:rPr>
        <w:t xml:space="preserve">major project </w:t>
      </w:r>
      <w:r w:rsidR="008A32B9">
        <w:rPr>
          <w:rFonts w:cs="Arial"/>
        </w:rPr>
        <w:t xml:space="preserve">assessments and approvals is a common thread across </w:t>
      </w:r>
      <w:r w:rsidR="001B10E7">
        <w:rPr>
          <w:rFonts w:cs="Arial"/>
        </w:rPr>
        <w:t xml:space="preserve">state planning systems, </w:t>
      </w:r>
      <w:r w:rsidR="00206A19">
        <w:rPr>
          <w:rFonts w:cs="Arial"/>
        </w:rPr>
        <w:t>as</w:t>
      </w:r>
      <w:r w:rsidR="001B10E7">
        <w:rPr>
          <w:rFonts w:cs="Arial"/>
        </w:rPr>
        <w:t xml:space="preserve"> those projects are significant </w:t>
      </w:r>
      <w:r w:rsidR="001B10E7" w:rsidRPr="00D0695C">
        <w:rPr>
          <w:rFonts w:cs="Arial"/>
        </w:rPr>
        <w:t>economic drivers</w:t>
      </w:r>
      <w:r w:rsidR="001B10E7">
        <w:rPr>
          <w:rFonts w:cs="Arial"/>
        </w:rPr>
        <w:t>.</w:t>
      </w:r>
      <w:r w:rsidR="004B7B24">
        <w:rPr>
          <w:rStyle w:val="FootnoteReference"/>
          <w:rFonts w:cs="Arial"/>
        </w:rPr>
        <w:footnoteReference w:id="54"/>
      </w:r>
      <w:r w:rsidR="001B10E7">
        <w:rPr>
          <w:rFonts w:cs="Arial"/>
        </w:rPr>
        <w:t xml:space="preserve"> </w:t>
      </w:r>
      <w:r w:rsidR="003A6C4A">
        <w:rPr>
          <w:rFonts w:cs="Arial"/>
        </w:rPr>
        <w:t xml:space="preserve">Existing </w:t>
      </w:r>
      <w:r w:rsidR="00206A19" w:rsidRPr="00D0695C">
        <w:rPr>
          <w:rFonts w:cs="Arial"/>
        </w:rPr>
        <w:t>major project</w:t>
      </w:r>
      <w:r w:rsidR="00206A19">
        <w:rPr>
          <w:rFonts w:cs="Arial"/>
        </w:rPr>
        <w:t xml:space="preserve"> </w:t>
      </w:r>
      <w:r w:rsidR="00206A19" w:rsidRPr="00D0695C">
        <w:rPr>
          <w:rFonts w:cs="Arial"/>
        </w:rPr>
        <w:t>s</w:t>
      </w:r>
      <w:r w:rsidR="00206A19">
        <w:rPr>
          <w:rFonts w:cs="Arial"/>
        </w:rPr>
        <w:t xml:space="preserve">treamlining </w:t>
      </w:r>
      <w:r w:rsidR="003A6C4A">
        <w:rPr>
          <w:rFonts w:cs="Arial"/>
        </w:rPr>
        <w:t>m</w:t>
      </w:r>
      <w:r w:rsidR="001B10E7">
        <w:rPr>
          <w:rFonts w:cs="Arial"/>
        </w:rPr>
        <w:t>echanisms</w:t>
      </w:r>
      <w:r w:rsidR="001B10E7" w:rsidRPr="00D0695C">
        <w:rPr>
          <w:rFonts w:cs="Arial"/>
        </w:rPr>
        <w:t xml:space="preserve"> </w:t>
      </w:r>
      <w:r w:rsidR="008A32B9" w:rsidRPr="00D0695C">
        <w:rPr>
          <w:rFonts w:cs="Arial"/>
        </w:rPr>
        <w:t xml:space="preserve">often override </w:t>
      </w:r>
      <w:r w:rsidR="008A32B9">
        <w:rPr>
          <w:rFonts w:cs="Arial"/>
        </w:rPr>
        <w:t>normal</w:t>
      </w:r>
      <w:r w:rsidR="008A32B9" w:rsidRPr="00D0695C">
        <w:rPr>
          <w:rFonts w:cs="Arial"/>
        </w:rPr>
        <w:t xml:space="preserve"> environmental law and licensing requirements</w:t>
      </w:r>
      <w:r w:rsidR="003A6C4A">
        <w:rPr>
          <w:rFonts w:cs="Arial"/>
        </w:rPr>
        <w:t xml:space="preserve"> (also known as </w:t>
      </w:r>
      <w:r w:rsidR="003A6C4A" w:rsidRPr="00D458DE">
        <w:rPr>
          <w:rFonts w:cs="Arial"/>
          <w:b/>
        </w:rPr>
        <w:t>‘concurrences’</w:t>
      </w:r>
      <w:r w:rsidR="003A6C4A">
        <w:rPr>
          <w:rFonts w:cs="Arial"/>
        </w:rPr>
        <w:t>)</w:t>
      </w:r>
      <w:r>
        <w:rPr>
          <w:rFonts w:cs="Arial"/>
        </w:rPr>
        <w:t>.</w:t>
      </w:r>
      <w:r w:rsidR="008A32B9" w:rsidRPr="00D0695C">
        <w:rPr>
          <w:rFonts w:cs="Arial"/>
          <w:vertAlign w:val="superscript"/>
        </w:rPr>
        <w:footnoteReference w:id="55"/>
      </w:r>
      <w:r w:rsidR="008A32B9" w:rsidRPr="008A32B9">
        <w:rPr>
          <w:rFonts w:cs="Arial"/>
        </w:rPr>
        <w:t xml:space="preserve"> </w:t>
      </w:r>
      <w:r w:rsidR="004B7B24">
        <w:rPr>
          <w:rFonts w:cs="Arial"/>
        </w:rPr>
        <w:t>These</w:t>
      </w:r>
      <w:r w:rsidR="001B10E7">
        <w:rPr>
          <w:rFonts w:cs="Arial"/>
        </w:rPr>
        <w:t xml:space="preserve"> </w:t>
      </w:r>
      <w:r w:rsidR="004B7B24">
        <w:rPr>
          <w:rFonts w:cs="Arial"/>
        </w:rPr>
        <w:t>mechanisms</w:t>
      </w:r>
      <w:r w:rsidR="004B7B24" w:rsidRPr="00D0695C">
        <w:rPr>
          <w:rFonts w:cs="Arial"/>
        </w:rPr>
        <w:t xml:space="preserve"> </w:t>
      </w:r>
      <w:r w:rsidR="004B7B24">
        <w:rPr>
          <w:rFonts w:cs="Arial"/>
        </w:rPr>
        <w:t xml:space="preserve">may also concentrate control in a central agency or decision-maker; and </w:t>
      </w:r>
      <w:r w:rsidR="004B7B24" w:rsidRPr="00D0695C">
        <w:rPr>
          <w:rFonts w:cs="Arial"/>
        </w:rPr>
        <w:t>limit public participation</w:t>
      </w:r>
      <w:r w:rsidR="00206A19">
        <w:rPr>
          <w:rFonts w:cs="Arial"/>
        </w:rPr>
        <w:t>,</w:t>
      </w:r>
      <w:r w:rsidR="004B7B24" w:rsidRPr="00D458DE">
        <w:rPr>
          <w:rFonts w:cs="Arial"/>
        </w:rPr>
        <w:t xml:space="preserve"> </w:t>
      </w:r>
      <w:r w:rsidR="004B7B24">
        <w:rPr>
          <w:rFonts w:cs="Arial"/>
        </w:rPr>
        <w:t>transparency</w:t>
      </w:r>
      <w:r w:rsidR="004B7B24" w:rsidRPr="00D0695C">
        <w:rPr>
          <w:rFonts w:cs="Arial"/>
        </w:rPr>
        <w:t xml:space="preserve"> and judicial </w:t>
      </w:r>
      <w:r w:rsidR="004B7B24" w:rsidRPr="00D0695C">
        <w:rPr>
          <w:rFonts w:cs="Arial"/>
        </w:rPr>
        <w:lastRenderedPageBreak/>
        <w:t>scrutiny of decisions.</w:t>
      </w:r>
      <w:r w:rsidR="004B7B24">
        <w:rPr>
          <w:rFonts w:cs="Arial"/>
        </w:rPr>
        <w:t xml:space="preserve"> </w:t>
      </w:r>
      <w:r w:rsidR="00206A19">
        <w:rPr>
          <w:rFonts w:cs="Arial"/>
        </w:rPr>
        <w:t>In this way</w:t>
      </w:r>
      <w:r w:rsidR="001B10E7">
        <w:rPr>
          <w:rFonts w:cs="Arial"/>
        </w:rPr>
        <w:t>, states may compete with one other to ‘cut red tape’ and attract investment –</w:t>
      </w:r>
      <w:r w:rsidR="00206A19">
        <w:rPr>
          <w:rFonts w:cs="Arial"/>
        </w:rPr>
        <w:t xml:space="preserve"> </w:t>
      </w:r>
      <w:r w:rsidR="001B10E7">
        <w:rPr>
          <w:rFonts w:cs="Arial"/>
        </w:rPr>
        <w:t xml:space="preserve">which risks a ‘race to the bottom’ for environmental standards.  </w:t>
      </w:r>
    </w:p>
    <w:p w:rsidR="004B7B24" w:rsidRDefault="004B7B24" w:rsidP="004B7B24">
      <w:pPr>
        <w:rPr>
          <w:rFonts w:cs="Arial"/>
        </w:rPr>
      </w:pPr>
    </w:p>
    <w:p w:rsidR="004B7B24" w:rsidRPr="006A0A1A" w:rsidRDefault="00811174" w:rsidP="004B7B24">
      <w:pPr>
        <w:spacing w:after="120"/>
        <w:rPr>
          <w:rFonts w:cs="Arial"/>
        </w:rPr>
      </w:pPr>
      <w:proofErr w:type="spellStart"/>
      <w:r w:rsidRPr="006A0A1A">
        <w:rPr>
          <w:rFonts w:cs="Arial"/>
        </w:rPr>
        <w:t>ANEDO</w:t>
      </w:r>
      <w:proofErr w:type="spellEnd"/>
      <w:r w:rsidRPr="006A0A1A">
        <w:rPr>
          <w:rFonts w:cs="Arial"/>
        </w:rPr>
        <w:t xml:space="preserve"> submits that a</w:t>
      </w:r>
      <w:r w:rsidR="004B7B24" w:rsidRPr="006A0A1A">
        <w:rPr>
          <w:rFonts w:cs="Arial"/>
        </w:rPr>
        <w:t xml:space="preserve"> truly risk-based approach to </w:t>
      </w:r>
      <w:proofErr w:type="spellStart"/>
      <w:r w:rsidR="004B7B24" w:rsidRPr="006A0A1A">
        <w:rPr>
          <w:rFonts w:cs="Arial"/>
        </w:rPr>
        <w:t>EIA</w:t>
      </w:r>
      <w:proofErr w:type="spellEnd"/>
      <w:r w:rsidR="004B7B24" w:rsidRPr="006A0A1A">
        <w:rPr>
          <w:rFonts w:cs="Arial"/>
        </w:rPr>
        <w:t xml:space="preserve"> would </w:t>
      </w:r>
      <w:r w:rsidR="004B7B24" w:rsidRPr="006A0A1A">
        <w:rPr>
          <w:rFonts w:cs="Arial"/>
          <w:i/>
        </w:rPr>
        <w:t>focus</w:t>
      </w:r>
      <w:r w:rsidR="004B7B24" w:rsidRPr="006A0A1A">
        <w:rPr>
          <w:rFonts w:cs="Arial"/>
        </w:rPr>
        <w:t xml:space="preserve"> assessment effort on major projects, not override </w:t>
      </w:r>
      <w:r w:rsidR="00206A19" w:rsidRPr="006A0A1A">
        <w:rPr>
          <w:rFonts w:cs="Arial"/>
        </w:rPr>
        <w:t xml:space="preserve">or reduce </w:t>
      </w:r>
      <w:r w:rsidR="004B7B24" w:rsidRPr="006A0A1A">
        <w:rPr>
          <w:rFonts w:cs="Arial"/>
        </w:rPr>
        <w:t>scrutiny. This is because:</w:t>
      </w:r>
    </w:p>
    <w:p w:rsidR="004B7B24" w:rsidRPr="006A0A1A" w:rsidRDefault="004B7B24" w:rsidP="009C52E3">
      <w:pPr>
        <w:numPr>
          <w:ilvl w:val="0"/>
          <w:numId w:val="22"/>
        </w:numPr>
        <w:rPr>
          <w:rFonts w:cs="Arial"/>
        </w:rPr>
      </w:pPr>
      <w:r w:rsidRPr="006A0A1A">
        <w:rPr>
          <w:rFonts w:cs="Arial"/>
        </w:rPr>
        <w:t>projects with the greatest impacts deserve the greatest scrutiny and safeguards</w:t>
      </w:r>
      <w:r w:rsidR="00206A19" w:rsidRPr="006A0A1A">
        <w:rPr>
          <w:rFonts w:cs="Arial"/>
        </w:rPr>
        <w:t>, consistent with the Productivity Commission’s ‘risk-based’ description</w:t>
      </w:r>
      <w:r w:rsidRPr="006A0A1A">
        <w:rPr>
          <w:rFonts w:cs="Arial"/>
        </w:rPr>
        <w:t>; and</w:t>
      </w:r>
    </w:p>
    <w:p w:rsidR="004B7B24" w:rsidRPr="006A0A1A" w:rsidRDefault="004B7B24" w:rsidP="009C52E3">
      <w:pPr>
        <w:numPr>
          <w:ilvl w:val="0"/>
          <w:numId w:val="22"/>
        </w:numPr>
        <w:ind w:left="714" w:hanging="357"/>
        <w:rPr>
          <w:rFonts w:cs="Arial"/>
        </w:rPr>
      </w:pPr>
      <w:r w:rsidRPr="006A0A1A">
        <w:rPr>
          <w:rFonts w:cs="Arial"/>
        </w:rPr>
        <w:t xml:space="preserve">major projects tend to be the most significant in </w:t>
      </w:r>
      <w:r w:rsidR="00206A19" w:rsidRPr="006A0A1A">
        <w:rPr>
          <w:rFonts w:cs="Arial"/>
        </w:rPr>
        <w:t>terms of</w:t>
      </w:r>
      <w:r w:rsidRPr="006A0A1A">
        <w:rPr>
          <w:rFonts w:cs="Arial"/>
        </w:rPr>
        <w:t xml:space="preserve"> scale, nature, complexity, breadth and duration of impacts, and level of public concern.</w:t>
      </w:r>
      <w:r w:rsidRPr="006A0A1A">
        <w:rPr>
          <w:rFonts w:cs="Arial"/>
          <w:vertAlign w:val="superscript"/>
        </w:rPr>
        <w:footnoteReference w:id="56"/>
      </w:r>
      <w:r w:rsidRPr="006A0A1A">
        <w:rPr>
          <w:rFonts w:cs="Arial"/>
        </w:rPr>
        <w:t xml:space="preserve"> </w:t>
      </w:r>
    </w:p>
    <w:p w:rsidR="004B7B24" w:rsidRDefault="004B7B24" w:rsidP="008A32B9">
      <w:pPr>
        <w:rPr>
          <w:rFonts w:cs="Arial"/>
        </w:rPr>
      </w:pPr>
    </w:p>
    <w:p w:rsidR="00206A19" w:rsidRDefault="001B10E7" w:rsidP="008A32B9">
      <w:pPr>
        <w:rPr>
          <w:rFonts w:cs="Arial"/>
        </w:rPr>
      </w:pPr>
      <w:proofErr w:type="spellStart"/>
      <w:r>
        <w:rPr>
          <w:rFonts w:cs="Arial"/>
        </w:rPr>
        <w:t>ANEDO</w:t>
      </w:r>
      <w:proofErr w:type="spellEnd"/>
      <w:r>
        <w:rPr>
          <w:rFonts w:cs="Arial"/>
        </w:rPr>
        <w:t xml:space="preserve"> is </w:t>
      </w:r>
      <w:r w:rsidR="004B7B24">
        <w:rPr>
          <w:rFonts w:cs="Arial"/>
        </w:rPr>
        <w:t xml:space="preserve">therefore </w:t>
      </w:r>
      <w:r>
        <w:rPr>
          <w:rFonts w:cs="Arial"/>
        </w:rPr>
        <w:t xml:space="preserve">perplexed that proposals to streamline major project </w:t>
      </w:r>
      <w:proofErr w:type="spellStart"/>
      <w:r>
        <w:rPr>
          <w:rFonts w:cs="Arial"/>
        </w:rPr>
        <w:t>DAA</w:t>
      </w:r>
      <w:proofErr w:type="spellEnd"/>
      <w:r>
        <w:rPr>
          <w:rFonts w:cs="Arial"/>
        </w:rPr>
        <w:t xml:space="preserve"> are found</w:t>
      </w:r>
      <w:r w:rsidRPr="001B10E7">
        <w:rPr>
          <w:rFonts w:cs="Arial"/>
        </w:rPr>
        <w:t xml:space="preserve"> </w:t>
      </w:r>
      <w:r>
        <w:rPr>
          <w:rFonts w:cs="Arial"/>
        </w:rPr>
        <w:t>alongside references to ‘risk-based’ approaches, and assurances that fast-tracking will not</w:t>
      </w:r>
      <w:r w:rsidR="00206A19">
        <w:rPr>
          <w:rFonts w:cs="Arial"/>
        </w:rPr>
        <w:t xml:space="preserve"> lower environmental standards</w:t>
      </w:r>
      <w:r>
        <w:rPr>
          <w:rFonts w:cs="Arial"/>
        </w:rPr>
        <w:t>.</w:t>
      </w:r>
      <w:r w:rsidR="003A6C4A" w:rsidRPr="003A6C4A">
        <w:rPr>
          <w:rFonts w:cs="Arial"/>
        </w:rPr>
        <w:t xml:space="preserve"> </w:t>
      </w:r>
      <w:r w:rsidR="00206A19">
        <w:rPr>
          <w:rFonts w:cs="Arial"/>
        </w:rPr>
        <w:t xml:space="preserve">It </w:t>
      </w:r>
      <w:r w:rsidR="00206A19" w:rsidRPr="00D0695C">
        <w:rPr>
          <w:rFonts w:cs="Arial"/>
        </w:rPr>
        <w:t xml:space="preserve">is doubly concerning when fast-tracking major project assessment is coupled with </w:t>
      </w:r>
      <w:r w:rsidR="00206A19">
        <w:rPr>
          <w:rFonts w:cs="Arial"/>
        </w:rPr>
        <w:t>proposals to remove</w:t>
      </w:r>
      <w:r w:rsidR="00206A19" w:rsidRPr="00D0695C">
        <w:rPr>
          <w:rFonts w:cs="Arial"/>
        </w:rPr>
        <w:t xml:space="preserve"> </w:t>
      </w:r>
      <w:r w:rsidR="00206A19">
        <w:rPr>
          <w:rFonts w:cs="Arial"/>
        </w:rPr>
        <w:t>federal</w:t>
      </w:r>
      <w:r w:rsidR="00206A19" w:rsidRPr="00D0695C">
        <w:rPr>
          <w:rFonts w:cs="Arial"/>
        </w:rPr>
        <w:t xml:space="preserve"> oversight and approval. </w:t>
      </w:r>
    </w:p>
    <w:p w:rsidR="00206A19" w:rsidRDefault="00206A19" w:rsidP="008A32B9">
      <w:pPr>
        <w:rPr>
          <w:rFonts w:cs="Arial"/>
        </w:rPr>
      </w:pPr>
    </w:p>
    <w:p w:rsidR="00150637" w:rsidRDefault="003A6C4A" w:rsidP="000A4913">
      <w:pPr>
        <w:rPr>
          <w:rFonts w:cs="Arial"/>
        </w:rPr>
      </w:pPr>
      <w:r w:rsidRPr="00D0695C">
        <w:rPr>
          <w:rFonts w:cs="Arial"/>
        </w:rPr>
        <w:t xml:space="preserve">In </w:t>
      </w:r>
      <w:proofErr w:type="spellStart"/>
      <w:r w:rsidR="00206A19">
        <w:rPr>
          <w:rFonts w:cs="Arial"/>
        </w:rPr>
        <w:t>ANEDO’s</w:t>
      </w:r>
      <w:proofErr w:type="spellEnd"/>
      <w:r>
        <w:rPr>
          <w:rFonts w:cs="Arial"/>
        </w:rPr>
        <w:t xml:space="preserve"> view</w:t>
      </w:r>
      <w:r w:rsidRPr="00D0695C">
        <w:rPr>
          <w:rFonts w:cs="Arial"/>
        </w:rPr>
        <w:t>, two pillars of the</w:t>
      </w:r>
      <w:r w:rsidR="00CB2981">
        <w:rPr>
          <w:rFonts w:cs="Arial"/>
        </w:rPr>
        <w:t xml:space="preserve"> proposed</w:t>
      </w:r>
      <w:r w:rsidRPr="00D0695C">
        <w:rPr>
          <w:rFonts w:cs="Arial"/>
        </w:rPr>
        <w:t xml:space="preserve"> COAG reforms – ‘lifting up’ </w:t>
      </w:r>
      <w:r w:rsidR="00CB2981">
        <w:rPr>
          <w:rFonts w:cs="Arial"/>
        </w:rPr>
        <w:t>s</w:t>
      </w:r>
      <w:r w:rsidRPr="00D0695C">
        <w:rPr>
          <w:rFonts w:cs="Arial"/>
        </w:rPr>
        <w:t xml:space="preserve">tate assessment and approval processes for accreditation, and ‘streamlining’ </w:t>
      </w:r>
      <w:r w:rsidR="00CB2981">
        <w:rPr>
          <w:rFonts w:cs="Arial"/>
        </w:rPr>
        <w:t>s</w:t>
      </w:r>
      <w:r w:rsidRPr="00D0695C">
        <w:rPr>
          <w:rFonts w:cs="Arial"/>
        </w:rPr>
        <w:t>tate/</w:t>
      </w:r>
      <w:r w:rsidR="00CB2981">
        <w:rPr>
          <w:rFonts w:cs="Arial"/>
        </w:rPr>
        <w:t>t</w:t>
      </w:r>
      <w:r w:rsidRPr="00D0695C">
        <w:rPr>
          <w:rFonts w:cs="Arial"/>
        </w:rPr>
        <w:t xml:space="preserve">erritory major project assessment and approvals – are </w:t>
      </w:r>
      <w:r>
        <w:rPr>
          <w:rFonts w:cs="Arial"/>
        </w:rPr>
        <w:t>internally</w:t>
      </w:r>
      <w:r w:rsidRPr="00D0695C">
        <w:rPr>
          <w:rFonts w:cs="Arial"/>
        </w:rPr>
        <w:t xml:space="preserve"> contradictory.</w:t>
      </w:r>
      <w:r>
        <w:rPr>
          <w:rStyle w:val="FootnoteReference"/>
          <w:rFonts w:cs="Arial"/>
        </w:rPr>
        <w:footnoteReference w:id="57"/>
      </w:r>
      <w:r w:rsidR="00206A19">
        <w:rPr>
          <w:rFonts w:cs="Arial"/>
        </w:rPr>
        <w:t xml:space="preserve">  </w:t>
      </w:r>
      <w:r w:rsidR="004B7B24" w:rsidRPr="00D0695C">
        <w:rPr>
          <w:rFonts w:cs="Arial"/>
        </w:rPr>
        <w:t xml:space="preserve">If </w:t>
      </w:r>
      <w:r w:rsidR="00CB2981">
        <w:rPr>
          <w:rFonts w:cs="Arial"/>
        </w:rPr>
        <w:t>s</w:t>
      </w:r>
      <w:r w:rsidR="004B7B24" w:rsidRPr="00D0695C">
        <w:rPr>
          <w:rFonts w:cs="Arial"/>
        </w:rPr>
        <w:t>tate</w:t>
      </w:r>
      <w:r w:rsidR="004B7B24">
        <w:rPr>
          <w:rFonts w:cs="Arial"/>
        </w:rPr>
        <w:t xml:space="preserve"> </w:t>
      </w:r>
      <w:proofErr w:type="spellStart"/>
      <w:r w:rsidR="004B7B24">
        <w:rPr>
          <w:rFonts w:cs="Arial"/>
        </w:rPr>
        <w:t>DAA</w:t>
      </w:r>
      <w:proofErr w:type="spellEnd"/>
      <w:r w:rsidR="004B7B24" w:rsidRPr="00D0695C">
        <w:rPr>
          <w:rFonts w:cs="Arial"/>
        </w:rPr>
        <w:t xml:space="preserve"> processes seek to </w:t>
      </w:r>
      <w:r w:rsidR="004B7B24">
        <w:rPr>
          <w:rFonts w:cs="Arial"/>
        </w:rPr>
        <w:t>meet</w:t>
      </w:r>
      <w:r w:rsidR="004B7B24" w:rsidRPr="00D0695C">
        <w:rPr>
          <w:rFonts w:cs="Arial"/>
        </w:rPr>
        <w:t xml:space="preserve"> federal </w:t>
      </w:r>
      <w:proofErr w:type="spellStart"/>
      <w:r w:rsidR="004B7B24" w:rsidRPr="00D0695C">
        <w:rPr>
          <w:rFonts w:cs="Arial"/>
        </w:rPr>
        <w:t>EPBC</w:t>
      </w:r>
      <w:proofErr w:type="spellEnd"/>
      <w:r w:rsidR="004B7B24" w:rsidRPr="00D0695C">
        <w:rPr>
          <w:rFonts w:cs="Arial"/>
        </w:rPr>
        <w:t xml:space="preserve"> Act requirements, they </w:t>
      </w:r>
      <w:r w:rsidR="004B7B24">
        <w:rPr>
          <w:rFonts w:cs="Arial"/>
        </w:rPr>
        <w:t>would</w:t>
      </w:r>
      <w:r w:rsidR="004B7B24" w:rsidRPr="00D0695C">
        <w:rPr>
          <w:rFonts w:cs="Arial"/>
        </w:rPr>
        <w:t xml:space="preserve"> need to </w:t>
      </w:r>
      <w:r w:rsidR="004B7B24" w:rsidRPr="00094F8B">
        <w:rPr>
          <w:rFonts w:cs="Arial"/>
          <w:i/>
        </w:rPr>
        <w:t>increase</w:t>
      </w:r>
      <w:r w:rsidR="004B7B24" w:rsidRPr="00D0695C">
        <w:rPr>
          <w:rFonts w:cs="Arial"/>
        </w:rPr>
        <w:t xml:space="preserve"> environmental and assurance standards. If States seek to </w:t>
      </w:r>
      <w:r w:rsidR="004B7B24">
        <w:rPr>
          <w:rFonts w:cs="Arial"/>
        </w:rPr>
        <w:t>‘</w:t>
      </w:r>
      <w:r w:rsidR="004B7B24" w:rsidRPr="00D0695C">
        <w:rPr>
          <w:rFonts w:cs="Arial"/>
        </w:rPr>
        <w:t>fast-track</w:t>
      </w:r>
      <w:r w:rsidR="004B7B24">
        <w:rPr>
          <w:rFonts w:cs="Arial"/>
        </w:rPr>
        <w:t>’</w:t>
      </w:r>
      <w:r w:rsidR="004B7B24" w:rsidRPr="00D0695C">
        <w:rPr>
          <w:rFonts w:cs="Arial"/>
        </w:rPr>
        <w:t xml:space="preserve"> major projects (by</w:t>
      </w:r>
      <w:r w:rsidR="00D312CD">
        <w:rPr>
          <w:rFonts w:cs="Arial"/>
        </w:rPr>
        <w:t> </w:t>
      </w:r>
      <w:r w:rsidR="004B7B24" w:rsidRPr="00D0695C">
        <w:rPr>
          <w:rFonts w:cs="Arial"/>
        </w:rPr>
        <w:t xml:space="preserve">reducing scrutiny or public participation), they will need to </w:t>
      </w:r>
      <w:r w:rsidR="004B7B24" w:rsidRPr="00D0695C">
        <w:rPr>
          <w:rFonts w:cs="Arial"/>
          <w:i/>
        </w:rPr>
        <w:t>lower</w:t>
      </w:r>
      <w:r w:rsidR="004B7B24" w:rsidRPr="00D0695C">
        <w:rPr>
          <w:rFonts w:cs="Arial"/>
        </w:rPr>
        <w:t xml:space="preserve"> those standard</w:t>
      </w:r>
      <w:r w:rsidR="004B7B24">
        <w:rPr>
          <w:rFonts w:cs="Arial"/>
        </w:rPr>
        <w:t>s</w:t>
      </w:r>
      <w:r w:rsidR="00206A19">
        <w:rPr>
          <w:rFonts w:cs="Arial"/>
        </w:rPr>
        <w:t>. This</w:t>
      </w:r>
      <w:r w:rsidR="00CB2981">
        <w:rPr>
          <w:rFonts w:cs="Arial"/>
        </w:rPr>
        <w:t> </w:t>
      </w:r>
      <w:r w:rsidR="00206A19">
        <w:rPr>
          <w:rFonts w:cs="Arial"/>
        </w:rPr>
        <w:t>has been the case</w:t>
      </w:r>
      <w:r w:rsidR="004B7B24" w:rsidRPr="00D0695C">
        <w:rPr>
          <w:rFonts w:cs="Arial"/>
        </w:rPr>
        <w:t xml:space="preserve"> with former Part </w:t>
      </w:r>
      <w:proofErr w:type="spellStart"/>
      <w:r w:rsidR="004B7B24" w:rsidRPr="00D0695C">
        <w:rPr>
          <w:rFonts w:cs="Arial"/>
        </w:rPr>
        <w:t>3A</w:t>
      </w:r>
      <w:proofErr w:type="spellEnd"/>
      <w:r w:rsidR="004B7B24" w:rsidRPr="00D0695C">
        <w:rPr>
          <w:rFonts w:cs="Arial"/>
        </w:rPr>
        <w:t xml:space="preserve"> in </w:t>
      </w:r>
      <w:r w:rsidR="004B7B24" w:rsidRPr="00094F8B">
        <w:rPr>
          <w:rFonts w:cs="Arial"/>
        </w:rPr>
        <w:t xml:space="preserve">NSW, </w:t>
      </w:r>
      <w:r w:rsidR="004B7B24" w:rsidRPr="00094F8B">
        <w:rPr>
          <w:rFonts w:cs="Arial"/>
          <w:lang w:val="en-US"/>
        </w:rPr>
        <w:t xml:space="preserve">the Victorian </w:t>
      </w:r>
      <w:r w:rsidR="004B7B24" w:rsidRPr="00094F8B">
        <w:rPr>
          <w:rFonts w:cs="Arial"/>
          <w:i/>
          <w:lang w:val="en-US"/>
        </w:rPr>
        <w:t xml:space="preserve">Major Transport Projects Facilitation Act 2009, </w:t>
      </w:r>
      <w:r w:rsidR="004B7B24" w:rsidRPr="00094F8B">
        <w:rPr>
          <w:rFonts w:cs="Arial"/>
        </w:rPr>
        <w:t xml:space="preserve">and other fast-tracking legislation across Australia. </w:t>
      </w:r>
    </w:p>
    <w:p w:rsidR="00150637" w:rsidRDefault="00150637" w:rsidP="000A4913">
      <w:pPr>
        <w:rPr>
          <w:rFonts w:cs="Arial"/>
        </w:rPr>
      </w:pPr>
    </w:p>
    <w:p w:rsidR="008742EF" w:rsidRDefault="00150637" w:rsidP="000A4913">
      <w:pPr>
        <w:rPr>
          <w:rFonts w:cs="Arial"/>
          <w:szCs w:val="22"/>
        </w:rPr>
      </w:pPr>
      <w:r w:rsidRPr="008D7334">
        <w:rPr>
          <w:rFonts w:cs="Arial"/>
          <w:szCs w:val="22"/>
        </w:rPr>
        <w:t xml:space="preserve">There is certainly evidence that current environmental assessment and </w:t>
      </w:r>
      <w:r w:rsidR="005B6AF3">
        <w:rPr>
          <w:rFonts w:cs="Arial"/>
          <w:szCs w:val="22"/>
        </w:rPr>
        <w:t xml:space="preserve">approval </w:t>
      </w:r>
      <w:r w:rsidRPr="008D7334">
        <w:rPr>
          <w:rFonts w:cs="Arial"/>
          <w:szCs w:val="22"/>
        </w:rPr>
        <w:t>conditions for major project</w:t>
      </w:r>
      <w:r w:rsidR="00C83AAE" w:rsidRPr="00D312CD">
        <w:rPr>
          <w:rFonts w:cs="Arial"/>
          <w:szCs w:val="22"/>
        </w:rPr>
        <w:t>s do not necessarily represent leading practice</w:t>
      </w:r>
      <w:r w:rsidRPr="00452A25">
        <w:rPr>
          <w:rFonts w:cs="Arial"/>
          <w:szCs w:val="22"/>
        </w:rPr>
        <w:t xml:space="preserve">. </w:t>
      </w:r>
      <w:r w:rsidR="005B6AF3" w:rsidRPr="0035183C">
        <w:rPr>
          <w:rFonts w:cs="Arial"/>
          <w:szCs w:val="22"/>
        </w:rPr>
        <w:t>For example</w:t>
      </w:r>
      <w:r w:rsidR="005B6AF3" w:rsidRPr="0053192F">
        <w:rPr>
          <w:rFonts w:cs="Arial"/>
          <w:szCs w:val="22"/>
        </w:rPr>
        <w:t xml:space="preserve">, </w:t>
      </w:r>
      <w:r w:rsidR="005B6AF3" w:rsidRPr="009D5DF3">
        <w:rPr>
          <w:rFonts w:cs="Arial"/>
          <w:szCs w:val="22"/>
        </w:rPr>
        <w:t>i</w:t>
      </w:r>
      <w:r w:rsidR="005B6AF3" w:rsidRPr="004D6F76">
        <w:rPr>
          <w:rFonts w:cs="Arial"/>
          <w:szCs w:val="22"/>
        </w:rPr>
        <w:t>n NSW, recent involv</w:t>
      </w:r>
      <w:r w:rsidR="00D312CD">
        <w:rPr>
          <w:rFonts w:cs="Arial"/>
          <w:szCs w:val="22"/>
        </w:rPr>
        <w:t xml:space="preserve">ement of </w:t>
      </w:r>
      <w:r w:rsidR="005B6AF3" w:rsidRPr="004D6F76">
        <w:rPr>
          <w:rFonts w:cs="Arial"/>
          <w:szCs w:val="22"/>
        </w:rPr>
        <w:t>the Planning Assessment Commission (</w:t>
      </w:r>
      <w:r w:rsidR="005B6AF3" w:rsidRPr="004D6F76">
        <w:rPr>
          <w:rFonts w:cs="Arial"/>
          <w:b/>
          <w:szCs w:val="22"/>
        </w:rPr>
        <w:t>PAC</w:t>
      </w:r>
      <w:r w:rsidR="005B6AF3" w:rsidRPr="004D6F76">
        <w:rPr>
          <w:rFonts w:cs="Arial"/>
          <w:szCs w:val="22"/>
        </w:rPr>
        <w:t>) suggest</w:t>
      </w:r>
      <w:r w:rsidR="00D312CD">
        <w:rPr>
          <w:rFonts w:cs="Arial"/>
          <w:szCs w:val="22"/>
        </w:rPr>
        <w:t>s</w:t>
      </w:r>
      <w:r w:rsidR="005B6AF3" w:rsidRPr="004D6F76">
        <w:rPr>
          <w:rFonts w:cs="Arial"/>
          <w:szCs w:val="22"/>
        </w:rPr>
        <w:t xml:space="preserve"> that assessment reviews by expert panels (in this case the PAC itself) can </w:t>
      </w:r>
      <w:r w:rsidR="00D312CD">
        <w:rPr>
          <w:rFonts w:cs="Arial"/>
          <w:szCs w:val="22"/>
        </w:rPr>
        <w:t>propose</w:t>
      </w:r>
      <w:r w:rsidR="005B6AF3" w:rsidRPr="004D6F76">
        <w:rPr>
          <w:rFonts w:cs="Arial"/>
          <w:szCs w:val="22"/>
        </w:rPr>
        <w:t xml:space="preserve"> leading practice conditions on major projects. However, final </w:t>
      </w:r>
      <w:r w:rsidR="005B6AF3" w:rsidRPr="004D6F76">
        <w:rPr>
          <w:rFonts w:cs="Arial"/>
          <w:i/>
          <w:szCs w:val="22"/>
        </w:rPr>
        <w:t>approval</w:t>
      </w:r>
      <w:r w:rsidR="005B6AF3" w:rsidRPr="004D6F76">
        <w:rPr>
          <w:rFonts w:cs="Arial"/>
          <w:szCs w:val="22"/>
        </w:rPr>
        <w:t xml:space="preserve"> may involve a compromise </w:t>
      </w:r>
      <w:r w:rsidR="008742EF" w:rsidRPr="00B04370">
        <w:rPr>
          <w:rFonts w:cs="Arial"/>
          <w:szCs w:val="22"/>
        </w:rPr>
        <w:t>(</w:t>
      </w:r>
      <w:r w:rsidR="00D312CD">
        <w:rPr>
          <w:rFonts w:cs="Arial"/>
          <w:szCs w:val="22"/>
        </w:rPr>
        <w:t xml:space="preserve">via </w:t>
      </w:r>
      <w:r w:rsidR="008742EF" w:rsidRPr="00B04370">
        <w:rPr>
          <w:rFonts w:cs="Arial"/>
          <w:szCs w:val="22"/>
        </w:rPr>
        <w:t xml:space="preserve">proponent negotiations, planning department recommendations, and separate PAC deliberation and decision making) </w:t>
      </w:r>
      <w:r w:rsidR="005B6AF3" w:rsidRPr="004D6F76">
        <w:rPr>
          <w:rFonts w:cs="Arial"/>
          <w:szCs w:val="22"/>
        </w:rPr>
        <w:t xml:space="preserve">resulting in </w:t>
      </w:r>
      <w:r w:rsidR="00D312CD">
        <w:rPr>
          <w:rFonts w:cs="Arial"/>
          <w:szCs w:val="22"/>
        </w:rPr>
        <w:t xml:space="preserve">final </w:t>
      </w:r>
      <w:r w:rsidR="005B6AF3" w:rsidRPr="004D6F76">
        <w:rPr>
          <w:rFonts w:cs="Arial"/>
          <w:szCs w:val="22"/>
        </w:rPr>
        <w:t>conditions that are less environmentally stringent, but more acceptable to the proponent.</w:t>
      </w:r>
      <w:r w:rsidR="005B6AF3" w:rsidRPr="004D6F76">
        <w:rPr>
          <w:rStyle w:val="FootnoteReference"/>
          <w:rFonts w:cs="Arial"/>
          <w:szCs w:val="22"/>
        </w:rPr>
        <w:footnoteReference w:id="58"/>
      </w:r>
      <w:r w:rsidR="005B6AF3">
        <w:rPr>
          <w:rFonts w:cs="Arial"/>
          <w:szCs w:val="22"/>
        </w:rPr>
        <w:t xml:space="preserve">  </w:t>
      </w:r>
    </w:p>
    <w:p w:rsidR="008742EF" w:rsidRDefault="008742EF" w:rsidP="000A4913">
      <w:pPr>
        <w:rPr>
          <w:rFonts w:cs="Arial"/>
          <w:szCs w:val="22"/>
        </w:rPr>
      </w:pPr>
    </w:p>
    <w:p w:rsidR="00150637" w:rsidRDefault="005B6AF3" w:rsidP="000A4913">
      <w:pPr>
        <w:rPr>
          <w:rFonts w:cs="Arial"/>
          <w:szCs w:val="22"/>
        </w:rPr>
      </w:pPr>
      <w:r>
        <w:rPr>
          <w:rFonts w:cs="Arial"/>
          <w:szCs w:val="22"/>
        </w:rPr>
        <w:t xml:space="preserve">In </w:t>
      </w:r>
      <w:r w:rsidR="00150637" w:rsidRPr="001C0605">
        <w:rPr>
          <w:rFonts w:cs="Arial"/>
          <w:szCs w:val="22"/>
        </w:rPr>
        <w:t>Queensland</w:t>
      </w:r>
      <w:r>
        <w:rPr>
          <w:rFonts w:cs="Arial"/>
          <w:szCs w:val="22"/>
        </w:rPr>
        <w:t xml:space="preserve">, the major </w:t>
      </w:r>
      <w:r w:rsidR="00150637" w:rsidRPr="001C0605">
        <w:rPr>
          <w:rFonts w:cs="Arial"/>
          <w:szCs w:val="22"/>
        </w:rPr>
        <w:t xml:space="preserve">Alpha coal mine has been the subject of Commonwealth-State disputes over </w:t>
      </w:r>
      <w:proofErr w:type="spellStart"/>
      <w:r w:rsidR="00150637" w:rsidRPr="001C0605">
        <w:rPr>
          <w:rFonts w:cs="Arial"/>
          <w:szCs w:val="22"/>
        </w:rPr>
        <w:t>EIA</w:t>
      </w:r>
      <w:proofErr w:type="spellEnd"/>
      <w:r w:rsidR="00150637" w:rsidRPr="001C0605">
        <w:rPr>
          <w:rFonts w:cs="Arial"/>
          <w:szCs w:val="22"/>
        </w:rPr>
        <w:t xml:space="preserve"> requirements and conditions.</w:t>
      </w:r>
      <w:r w:rsidR="00150637" w:rsidRPr="001C0605">
        <w:rPr>
          <w:rStyle w:val="FootnoteReference"/>
          <w:rFonts w:cs="Arial"/>
          <w:szCs w:val="22"/>
        </w:rPr>
        <w:footnoteReference w:id="59"/>
      </w:r>
      <w:r w:rsidR="00150637" w:rsidRPr="001C0605">
        <w:rPr>
          <w:rFonts w:cs="Arial"/>
          <w:szCs w:val="22"/>
        </w:rPr>
        <w:t xml:space="preserve"> There have also been recent reports that project assessment staff in Queensland were pressured to approve major </w:t>
      </w:r>
      <w:proofErr w:type="spellStart"/>
      <w:r w:rsidR="00150637" w:rsidRPr="001C0605">
        <w:rPr>
          <w:rFonts w:cs="Arial"/>
          <w:szCs w:val="22"/>
        </w:rPr>
        <w:t>CSG</w:t>
      </w:r>
      <w:proofErr w:type="spellEnd"/>
      <w:r w:rsidR="00150637" w:rsidRPr="001C0605">
        <w:rPr>
          <w:rFonts w:cs="Arial"/>
          <w:szCs w:val="22"/>
        </w:rPr>
        <w:t xml:space="preserve"> projects without sufficient detail of plans and impacts</w:t>
      </w:r>
      <w:r w:rsidR="00150637">
        <w:rPr>
          <w:rFonts w:cs="Arial"/>
          <w:szCs w:val="22"/>
        </w:rPr>
        <w:t xml:space="preserve"> – </w:t>
      </w:r>
      <w:r w:rsidR="00150637" w:rsidRPr="001C0605">
        <w:rPr>
          <w:rFonts w:cs="Arial"/>
          <w:szCs w:val="22"/>
        </w:rPr>
        <w:t xml:space="preserve">allegations </w:t>
      </w:r>
      <w:r w:rsidR="00150637">
        <w:rPr>
          <w:rFonts w:cs="Arial"/>
          <w:szCs w:val="22"/>
        </w:rPr>
        <w:t>that had</w:t>
      </w:r>
      <w:r w:rsidR="00150637" w:rsidRPr="001C0605">
        <w:rPr>
          <w:rFonts w:cs="Arial"/>
          <w:szCs w:val="22"/>
        </w:rPr>
        <w:t xml:space="preserve"> been referred to the Queensland Crime and Misconduct </w:t>
      </w:r>
      <w:r w:rsidR="00150637">
        <w:rPr>
          <w:rFonts w:cs="Arial"/>
          <w:szCs w:val="22"/>
        </w:rPr>
        <w:t>as at February 2013</w:t>
      </w:r>
      <w:r w:rsidR="00150637" w:rsidRPr="001C0605">
        <w:rPr>
          <w:rFonts w:cs="Arial"/>
          <w:szCs w:val="22"/>
        </w:rPr>
        <w:t>.</w:t>
      </w:r>
      <w:r w:rsidR="00150637" w:rsidRPr="001C0605">
        <w:rPr>
          <w:rStyle w:val="FootnoteReference"/>
          <w:rFonts w:cs="Arial"/>
          <w:szCs w:val="22"/>
        </w:rPr>
        <w:footnoteReference w:id="60"/>
      </w:r>
    </w:p>
    <w:p w:rsidR="008C49A5" w:rsidRDefault="008C49A5" w:rsidP="000A4913">
      <w:pPr>
        <w:rPr>
          <w:rFonts w:cs="Arial"/>
          <w:szCs w:val="22"/>
        </w:rPr>
      </w:pPr>
    </w:p>
    <w:p w:rsidR="00A1550A" w:rsidRDefault="00206A19" w:rsidP="000A4913">
      <w:pPr>
        <w:rPr>
          <w:rFonts w:cs="Arial"/>
        </w:rPr>
      </w:pPr>
      <w:r>
        <w:rPr>
          <w:rFonts w:cs="Arial"/>
        </w:rPr>
        <w:t xml:space="preserve">Overall, excessive </w:t>
      </w:r>
      <w:r w:rsidR="000A4913" w:rsidRPr="00D0695C">
        <w:rPr>
          <w:rFonts w:cs="Arial"/>
        </w:rPr>
        <w:t>streamlin</w:t>
      </w:r>
      <w:r w:rsidR="000A4913">
        <w:rPr>
          <w:rFonts w:cs="Arial"/>
        </w:rPr>
        <w:t>ing</w:t>
      </w:r>
      <w:r w:rsidR="00A1550A" w:rsidRPr="00D0695C">
        <w:rPr>
          <w:rFonts w:cs="Arial"/>
        </w:rPr>
        <w:t xml:space="preserve"> </w:t>
      </w:r>
      <w:r>
        <w:rPr>
          <w:rFonts w:cs="Arial"/>
        </w:rPr>
        <w:t xml:space="preserve">of major project </w:t>
      </w:r>
      <w:proofErr w:type="spellStart"/>
      <w:r>
        <w:rPr>
          <w:rFonts w:cs="Arial"/>
        </w:rPr>
        <w:t>DAA</w:t>
      </w:r>
      <w:proofErr w:type="spellEnd"/>
      <w:r>
        <w:rPr>
          <w:rFonts w:cs="Arial"/>
        </w:rPr>
        <w:t xml:space="preserve"> </w:t>
      </w:r>
      <w:r w:rsidR="00A1550A" w:rsidRPr="00D0695C">
        <w:rPr>
          <w:rFonts w:cs="Arial"/>
        </w:rPr>
        <w:t>e</w:t>
      </w:r>
      <w:r>
        <w:rPr>
          <w:rFonts w:cs="Arial"/>
        </w:rPr>
        <w:t>rodes</w:t>
      </w:r>
      <w:r w:rsidR="00A1550A" w:rsidRPr="00D0695C">
        <w:rPr>
          <w:rFonts w:cs="Arial"/>
        </w:rPr>
        <w:t xml:space="preserve"> community trust</w:t>
      </w:r>
      <w:r w:rsidR="003A6C4A">
        <w:rPr>
          <w:rFonts w:cs="Arial"/>
        </w:rPr>
        <w:t>;</w:t>
      </w:r>
      <w:r w:rsidR="00A1550A" w:rsidRPr="00D0695C">
        <w:rPr>
          <w:rFonts w:cs="Arial"/>
        </w:rPr>
        <w:t xml:space="preserve"> </w:t>
      </w:r>
      <w:r>
        <w:rPr>
          <w:rFonts w:cs="Arial"/>
        </w:rPr>
        <w:t xml:space="preserve">increases </w:t>
      </w:r>
      <w:r w:rsidR="00A1550A" w:rsidRPr="00D0695C">
        <w:rPr>
          <w:rFonts w:cs="Arial"/>
        </w:rPr>
        <w:t>the risk</w:t>
      </w:r>
      <w:r>
        <w:rPr>
          <w:rFonts w:cs="Arial"/>
        </w:rPr>
        <w:t>s</w:t>
      </w:r>
      <w:r w:rsidR="00A1550A" w:rsidRPr="00D0695C">
        <w:rPr>
          <w:rFonts w:cs="Arial"/>
        </w:rPr>
        <w:t xml:space="preserve"> </w:t>
      </w:r>
      <w:r>
        <w:rPr>
          <w:rFonts w:cs="Arial"/>
        </w:rPr>
        <w:t>and</w:t>
      </w:r>
      <w:r w:rsidR="00A1550A" w:rsidRPr="00D0695C">
        <w:rPr>
          <w:rFonts w:cs="Arial"/>
        </w:rPr>
        <w:t xml:space="preserve"> perception</w:t>
      </w:r>
      <w:r w:rsidR="003A6C4A">
        <w:rPr>
          <w:rFonts w:cs="Arial"/>
        </w:rPr>
        <w:t>s of corruption;</w:t>
      </w:r>
      <w:r w:rsidRPr="00D0695C">
        <w:rPr>
          <w:rFonts w:cs="Arial"/>
          <w:vertAlign w:val="superscript"/>
        </w:rPr>
        <w:footnoteReference w:id="61"/>
      </w:r>
      <w:r w:rsidR="004B7B24">
        <w:rPr>
          <w:rFonts w:cs="Arial"/>
        </w:rPr>
        <w:t xml:space="preserve"> and the </w:t>
      </w:r>
      <w:r>
        <w:rPr>
          <w:rFonts w:cs="Arial"/>
        </w:rPr>
        <w:t>risk</w:t>
      </w:r>
      <w:r w:rsidR="004B7B24">
        <w:rPr>
          <w:rFonts w:cs="Arial"/>
        </w:rPr>
        <w:t xml:space="preserve"> of im</w:t>
      </w:r>
      <w:r w:rsidR="00A1550A" w:rsidRPr="00D0695C">
        <w:rPr>
          <w:rFonts w:cs="Arial"/>
        </w:rPr>
        <w:t xml:space="preserve">balanced, unsustainable development. </w:t>
      </w:r>
      <w:r w:rsidR="000A4913">
        <w:rPr>
          <w:rFonts w:cs="Arial"/>
        </w:rPr>
        <w:t xml:space="preserve"> </w:t>
      </w:r>
    </w:p>
    <w:p w:rsidR="00A1550A" w:rsidRDefault="00A1550A" w:rsidP="00A1550A">
      <w:pPr>
        <w:rPr>
          <w:rFonts w:cs="Arial"/>
        </w:rPr>
      </w:pPr>
    </w:p>
    <w:p w:rsidR="00A03F0A" w:rsidRDefault="00A03F0A" w:rsidP="00646255">
      <w:pPr>
        <w:rPr>
          <w:rFonts w:cs="Arial"/>
        </w:rPr>
      </w:pPr>
      <w:r w:rsidRPr="00A03F0A">
        <w:rPr>
          <w:rFonts w:cs="Arial"/>
          <w:b/>
          <w:i/>
        </w:rPr>
        <w:lastRenderedPageBreak/>
        <w:t xml:space="preserve">Recommendation: </w:t>
      </w:r>
      <w:r w:rsidR="00811174" w:rsidRPr="00D03CC6">
        <w:rPr>
          <w:rFonts w:cs="Arial"/>
          <w:b/>
        </w:rPr>
        <w:t xml:space="preserve">Instead of fast-tracking projects with the greatest environmental and social impacts, </w:t>
      </w:r>
      <w:proofErr w:type="spellStart"/>
      <w:r w:rsidR="00811174" w:rsidRPr="00811174">
        <w:rPr>
          <w:rFonts w:cs="Arial"/>
          <w:b/>
        </w:rPr>
        <w:t>ANEDO</w:t>
      </w:r>
      <w:proofErr w:type="spellEnd"/>
      <w:r w:rsidR="00811174" w:rsidRPr="00811174">
        <w:rPr>
          <w:rFonts w:cs="Arial"/>
          <w:b/>
        </w:rPr>
        <w:t xml:space="preserve"> submits that Australian planning systems should </w:t>
      </w:r>
      <w:r w:rsidR="00206A19">
        <w:rPr>
          <w:rFonts w:cs="Arial"/>
          <w:b/>
        </w:rPr>
        <w:t>provide</w:t>
      </w:r>
      <w:r w:rsidR="00811174" w:rsidRPr="00811174">
        <w:rPr>
          <w:rFonts w:cs="Arial"/>
          <w:b/>
        </w:rPr>
        <w:t xml:space="preserve"> incentives that reward leading practice ecological sustainability, social inclusion, envir</w:t>
      </w:r>
      <w:r w:rsidR="00811174">
        <w:rPr>
          <w:rFonts w:cs="Arial"/>
          <w:b/>
        </w:rPr>
        <w:t>o</w:t>
      </w:r>
      <w:r w:rsidR="00811174" w:rsidRPr="00811174">
        <w:rPr>
          <w:rFonts w:cs="Arial"/>
          <w:b/>
        </w:rPr>
        <w:t>nmental innovation and low-impact design.</w:t>
      </w:r>
      <w:r w:rsidR="00811174">
        <w:rPr>
          <w:rStyle w:val="FootnoteReference"/>
          <w:rFonts w:cs="Arial"/>
          <w:b/>
        </w:rPr>
        <w:footnoteReference w:id="62"/>
      </w:r>
      <w:r w:rsidR="00646255" w:rsidRPr="00F3241E">
        <w:rPr>
          <w:rFonts w:cs="Arial"/>
        </w:rPr>
        <w:t xml:space="preserve"> </w:t>
      </w:r>
    </w:p>
    <w:p w:rsidR="00A03F0A" w:rsidRDefault="00A03F0A" w:rsidP="00646255">
      <w:pPr>
        <w:rPr>
          <w:rFonts w:cs="Arial"/>
        </w:rPr>
      </w:pPr>
    </w:p>
    <w:p w:rsidR="00646255" w:rsidRDefault="00811174" w:rsidP="00646255">
      <w:pPr>
        <w:rPr>
          <w:rFonts w:cs="Arial"/>
        </w:rPr>
      </w:pPr>
      <w:r>
        <w:rPr>
          <w:rFonts w:cs="Arial"/>
        </w:rPr>
        <w:t xml:space="preserve">See further </w:t>
      </w:r>
      <w:r w:rsidRPr="00811174">
        <w:rPr>
          <w:rFonts w:cs="Arial"/>
          <w:b/>
        </w:rPr>
        <w:t xml:space="preserve">Attachment </w:t>
      </w:r>
      <w:r w:rsidR="00674F30">
        <w:rPr>
          <w:rFonts w:cs="Arial"/>
          <w:b/>
        </w:rPr>
        <w:t>B</w:t>
      </w:r>
      <w:r>
        <w:rPr>
          <w:rFonts w:cs="Arial"/>
        </w:rPr>
        <w:t>, under ‘</w:t>
      </w:r>
      <w:r>
        <w:t>Fast</w:t>
      </w:r>
      <w:r>
        <w:noBreakHyphen/>
      </w:r>
      <w:r w:rsidRPr="007B4AD8">
        <w:t>tra</w:t>
      </w:r>
      <w:r w:rsidR="00A03F0A">
        <w:t>cking “environmentally friendly”</w:t>
      </w:r>
      <w:r w:rsidRPr="007B4AD8">
        <w:t xml:space="preserve"> development for the mainstream</w:t>
      </w:r>
      <w:r>
        <w:rPr>
          <w:rFonts w:cs="Arial"/>
        </w:rPr>
        <w:t>’.</w:t>
      </w:r>
    </w:p>
    <w:p w:rsidR="004C3884" w:rsidRPr="004C3884" w:rsidRDefault="004C3884" w:rsidP="004C3884">
      <w:pPr>
        <w:rPr>
          <w:rFonts w:cs="Arial"/>
        </w:rPr>
      </w:pPr>
    </w:p>
    <w:p w:rsidR="004C3884" w:rsidRPr="004C3884" w:rsidRDefault="004C3884" w:rsidP="004D6F76">
      <w:pPr>
        <w:pStyle w:val="Heading3"/>
        <w:pBdr>
          <w:top w:val="single" w:sz="4" w:space="1" w:color="auto"/>
          <w:left w:val="single" w:sz="4" w:space="1" w:color="auto"/>
          <w:bottom w:val="single" w:sz="4" w:space="1" w:color="auto"/>
          <w:right w:val="single" w:sz="4" w:space="1" w:color="auto"/>
        </w:pBdr>
      </w:pPr>
      <w:r w:rsidRPr="004C3884">
        <w:t xml:space="preserve">Case Study </w:t>
      </w:r>
      <w:r w:rsidR="00F83F9B">
        <w:t>–</w:t>
      </w:r>
      <w:r w:rsidRPr="004C3884">
        <w:t xml:space="preserve"> The Victorian Desalination Plant Project and the problems with giving special treatment to major projects </w:t>
      </w:r>
    </w:p>
    <w:p w:rsidR="004C3884" w:rsidRPr="004C3884" w:rsidRDefault="004C3884" w:rsidP="00F83F9B">
      <w:pPr>
        <w:pBdr>
          <w:top w:val="single" w:sz="4" w:space="1" w:color="auto"/>
          <w:left w:val="single" w:sz="4" w:space="1" w:color="auto"/>
          <w:bottom w:val="single" w:sz="4" w:space="1" w:color="auto"/>
          <w:right w:val="single" w:sz="4" w:space="1" w:color="auto"/>
        </w:pBdr>
        <w:rPr>
          <w:rFonts w:cs="Arial"/>
        </w:rPr>
      </w:pPr>
      <w:r w:rsidRPr="004C3884">
        <w:rPr>
          <w:rFonts w:cs="Arial"/>
        </w:rPr>
        <w:t>The environment assessment processes for the Victorian Desalination Plant Project demonstrates the substantial weaknesses in the Victorian environmental effects statement (</w:t>
      </w:r>
      <w:proofErr w:type="spellStart"/>
      <w:r w:rsidRPr="004C3884">
        <w:rPr>
          <w:rFonts w:cs="Arial"/>
        </w:rPr>
        <w:t>EES</w:t>
      </w:r>
      <w:proofErr w:type="spellEnd"/>
      <w:r w:rsidRPr="004C3884">
        <w:rPr>
          <w:rFonts w:cs="Arial"/>
        </w:rPr>
        <w:t xml:space="preserve">) process under the </w:t>
      </w:r>
      <w:r w:rsidRPr="00DB79F9">
        <w:rPr>
          <w:rFonts w:cs="Arial"/>
          <w:i/>
        </w:rPr>
        <w:t>Environment Effects Act 1978</w:t>
      </w:r>
      <w:r w:rsidRPr="004C3884">
        <w:rPr>
          <w:rFonts w:cs="Arial"/>
        </w:rPr>
        <w:t xml:space="preserve"> (EE Act), and the urgent need to reform this process to increase certainty and reduce regulatory burden on parties (and thus negating the need for dedicated major project legislation).</w:t>
      </w:r>
      <w:r w:rsidRPr="004C3884">
        <w:rPr>
          <w:rFonts w:cs="Arial"/>
        </w:rPr>
        <w:br/>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 xml:space="preserve">It also demonstrates the highly problematic nature of ‘fast-tracked’ major projects. </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The Desalination Plan project was a Victorian government-backed project (and ultimate</w:t>
      </w:r>
      <w:r w:rsidR="0071178B">
        <w:rPr>
          <w:rFonts w:cs="Arial"/>
        </w:rPr>
        <w:t>ly</w:t>
      </w:r>
      <w:r w:rsidRPr="004C3884">
        <w:rPr>
          <w:rFonts w:cs="Arial"/>
        </w:rPr>
        <w:t xml:space="preserve"> a public-private partnership), for which the Victorian Government initially did not intend to conduct an </w:t>
      </w:r>
      <w:proofErr w:type="spellStart"/>
      <w:r w:rsidRPr="004C3884">
        <w:rPr>
          <w:rFonts w:cs="Arial"/>
        </w:rPr>
        <w:t>EES</w:t>
      </w:r>
      <w:proofErr w:type="spellEnd"/>
      <w:r w:rsidRPr="004C3884">
        <w:rPr>
          <w:rFonts w:cs="Arial"/>
        </w:rPr>
        <w:t xml:space="preserve">. This was despite the project being (at the time) the largest proposed desalination plant in the Southern hemisphere and very likely to have significant impacts on the environment. It was only after the Commonwealth Government determined that an assessment would be required under the </w:t>
      </w:r>
      <w:proofErr w:type="spellStart"/>
      <w:r w:rsidRPr="004C3884">
        <w:rPr>
          <w:rFonts w:cs="Arial"/>
        </w:rPr>
        <w:t>EPBC</w:t>
      </w:r>
      <w:proofErr w:type="spellEnd"/>
      <w:r w:rsidRPr="004C3884">
        <w:rPr>
          <w:rFonts w:cs="Arial"/>
        </w:rPr>
        <w:t xml:space="preserve"> Act (thus triggering the bilateral agreement), that the Victorian Government conceded to conduct an </w:t>
      </w:r>
      <w:proofErr w:type="spellStart"/>
      <w:r w:rsidRPr="004C3884">
        <w:rPr>
          <w:rFonts w:cs="Arial"/>
        </w:rPr>
        <w:t>EES</w:t>
      </w:r>
      <w:proofErr w:type="spellEnd"/>
      <w:r w:rsidRPr="004C3884">
        <w:rPr>
          <w:rFonts w:cs="Arial"/>
        </w:rPr>
        <w:t xml:space="preserve"> for the project. However, the Victorian government then drastically undermined the </w:t>
      </w:r>
      <w:proofErr w:type="spellStart"/>
      <w:r w:rsidRPr="004C3884">
        <w:rPr>
          <w:rFonts w:cs="Arial"/>
        </w:rPr>
        <w:t>EES</w:t>
      </w:r>
      <w:proofErr w:type="spellEnd"/>
      <w:r w:rsidRPr="004C3884">
        <w:rPr>
          <w:rFonts w:cs="Arial"/>
        </w:rPr>
        <w:t xml:space="preserve"> process due to its haste to approve and build the plant, in effect ‘fast-tracking’ the project. </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 xml:space="preserve">The following elements of the Desalination Plant </w:t>
      </w:r>
      <w:proofErr w:type="spellStart"/>
      <w:r w:rsidRPr="004C3884">
        <w:rPr>
          <w:rFonts w:cs="Arial"/>
        </w:rPr>
        <w:t>EES</w:t>
      </w:r>
      <w:proofErr w:type="spellEnd"/>
      <w:r w:rsidRPr="004C3884">
        <w:rPr>
          <w:rFonts w:cs="Arial"/>
        </w:rPr>
        <w:t xml:space="preserve"> Process were problematic:</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 xml:space="preserve">1. Inadequate timeframes limited constructive public participation in the assessment process and compromised the rigour of the assessment. The </w:t>
      </w:r>
      <w:proofErr w:type="spellStart"/>
      <w:r w:rsidRPr="004C3884">
        <w:rPr>
          <w:rFonts w:cs="Arial"/>
        </w:rPr>
        <w:t>EES</w:t>
      </w:r>
      <w:proofErr w:type="spellEnd"/>
      <w:r w:rsidRPr="004C3884">
        <w:rPr>
          <w:rFonts w:cs="Arial"/>
        </w:rPr>
        <w:t xml:space="preserve"> documentation for the Desalination Plant (over 1800 pages of highly complex, technical material plus works approvals of about 430 pages and 84 appendices which averaged approximately 90-100 pages each) was exhibited on 20 August 2008, with public submissions due on 30 September, 2008.  The </w:t>
      </w:r>
      <w:proofErr w:type="spellStart"/>
      <w:r w:rsidRPr="004C3884">
        <w:rPr>
          <w:rFonts w:cs="Arial"/>
        </w:rPr>
        <w:t>EES</w:t>
      </w:r>
      <w:proofErr w:type="spellEnd"/>
      <w:r w:rsidRPr="004C3884">
        <w:rPr>
          <w:rFonts w:cs="Arial"/>
        </w:rPr>
        <w:t xml:space="preserve"> Inquiry Panel hearing was held just two weeks after this, on 14 October, 2008.  The timing available to the community to review and digest material of such length and complexity, and to engage experts to prepare reports and give evidence at the hearing was unreasonable and inadequate. The consultation did not provide a real opportunity to the community to engage with the </w:t>
      </w:r>
      <w:proofErr w:type="spellStart"/>
      <w:r w:rsidRPr="004C3884">
        <w:rPr>
          <w:rFonts w:cs="Arial"/>
        </w:rPr>
        <w:t>EES</w:t>
      </w:r>
      <w:proofErr w:type="spellEnd"/>
      <w:r w:rsidRPr="004C3884">
        <w:rPr>
          <w:rFonts w:cs="Arial"/>
        </w:rPr>
        <w:t>, digest its contents, and formulate a considered response.</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2. Furthermore, the Inquiry Panel hearing itself was also rushed, with the Minister limiting the Inquiry Panel hearing to just under 3 weeks (14 October 2008 to 7 November 2008) and assigning a strict date for completion of their report.  The Panel itself was critical of the limited timeframes, openly citing this as the reason for limiting the number and extent of oral presentations before the Panel.  This had severe consequences for community participation and the rigour of the Inquiry Panel’s recommendations. It also did not elicit serious consideration or meaningful changes from the project proponent.</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 xml:space="preserve">3. The scoping documents for the project were drawn too narrowly. The Terms of Reference for the Inquiry Panel assessment ended up excluding consideration of the climate change impacts of the desalination plant, despite it being predicted to generate </w:t>
      </w:r>
      <w:r w:rsidRPr="004C3884">
        <w:rPr>
          <w:rFonts w:cs="Arial"/>
        </w:rPr>
        <w:lastRenderedPageBreak/>
        <w:t>one million tonnes of CO</w:t>
      </w:r>
      <w:r w:rsidRPr="004D6F76">
        <w:rPr>
          <w:rFonts w:cs="Arial"/>
          <w:vertAlign w:val="subscript"/>
        </w:rPr>
        <w:t>2</w:t>
      </w:r>
      <w:r w:rsidR="0071178B" w:rsidRPr="0071178B">
        <w:rPr>
          <w:rFonts w:cs="Arial"/>
        </w:rPr>
        <w:t>-</w:t>
      </w:r>
      <w:r w:rsidRPr="004C3884">
        <w:rPr>
          <w:rFonts w:cs="Arial"/>
        </w:rPr>
        <w:t>e from electricity use.</w:t>
      </w:r>
      <w:r w:rsidRPr="002C0F41">
        <w:rPr>
          <w:rStyle w:val="FootnoteReference"/>
          <w:rFonts w:ascii="Verdana" w:eastAsiaTheme="majorEastAsia" w:hAnsi="Verdana" w:cs="Verdana"/>
          <w:sz w:val="18"/>
          <w:szCs w:val="18"/>
        </w:rPr>
        <w:footnoteReference w:id="63"/>
      </w:r>
      <w:r w:rsidRPr="002C0F41">
        <w:rPr>
          <w:rFonts w:ascii="Verdana" w:hAnsi="Verdana"/>
          <w:sz w:val="18"/>
          <w:szCs w:val="18"/>
        </w:rPr>
        <w:t xml:space="preserve"> </w:t>
      </w:r>
      <w:r w:rsidRPr="004C3884">
        <w:rPr>
          <w:rFonts w:cs="Arial"/>
        </w:rPr>
        <w:t xml:space="preserve">  These Terms of Reference also excluded consideration of alternatives to a desalination plant to solve Melbourne’s water problems. Submitters to the </w:t>
      </w:r>
      <w:proofErr w:type="spellStart"/>
      <w:r w:rsidRPr="004C3884">
        <w:rPr>
          <w:rFonts w:cs="Arial"/>
        </w:rPr>
        <w:t>EES</w:t>
      </w:r>
      <w:proofErr w:type="spellEnd"/>
      <w:r w:rsidRPr="004C3884">
        <w:rPr>
          <w:rFonts w:cs="Arial"/>
        </w:rPr>
        <w:t xml:space="preserve"> process were expressly prohibited from raising these issues in the </w:t>
      </w:r>
      <w:proofErr w:type="spellStart"/>
      <w:r w:rsidRPr="004C3884">
        <w:rPr>
          <w:rFonts w:cs="Arial"/>
        </w:rPr>
        <w:t>EES</w:t>
      </w:r>
      <w:proofErr w:type="spellEnd"/>
      <w:r w:rsidRPr="004C3884">
        <w:rPr>
          <w:rFonts w:cs="Arial"/>
        </w:rPr>
        <w:t xml:space="preserve"> hearing due to the narrow scoping set by the Minister. This also undermined the rigour of the assessment process and the independent role of the inquiry panel, and caused a great deal of frustration and distress to community members who were trying in good faith to participate in the inquiry process. </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4.  As mentioned</w:t>
      </w:r>
      <w:r w:rsidR="0071178B">
        <w:rPr>
          <w:rFonts w:cs="Arial"/>
        </w:rPr>
        <w:t>,</w:t>
      </w:r>
      <w:r w:rsidRPr="004C3884">
        <w:rPr>
          <w:rFonts w:cs="Arial"/>
        </w:rPr>
        <w:t xml:space="preserve"> the project was strongly backed by the Victorian Government, and was structured as a public-private partnership. However, at the time if the </w:t>
      </w:r>
      <w:proofErr w:type="spellStart"/>
      <w:r w:rsidRPr="004C3884">
        <w:rPr>
          <w:rFonts w:cs="Arial"/>
        </w:rPr>
        <w:t>EES</w:t>
      </w:r>
      <w:proofErr w:type="spellEnd"/>
      <w:r w:rsidRPr="004C3884">
        <w:rPr>
          <w:rFonts w:cs="Arial"/>
        </w:rPr>
        <w:t xml:space="preserve">, the project’s private partner had not yet been chosen by the Victorian Government. Therefore, for the purposes of the </w:t>
      </w:r>
      <w:proofErr w:type="spellStart"/>
      <w:r w:rsidRPr="004C3884">
        <w:rPr>
          <w:rFonts w:cs="Arial"/>
        </w:rPr>
        <w:t>EES</w:t>
      </w:r>
      <w:proofErr w:type="spellEnd"/>
      <w:r w:rsidRPr="004C3884">
        <w:rPr>
          <w:rFonts w:cs="Arial"/>
        </w:rPr>
        <w:t>, the Victorian Government Department of Environment and Sustainability (</w:t>
      </w:r>
      <w:proofErr w:type="spellStart"/>
      <w:r w:rsidRPr="004C3884">
        <w:rPr>
          <w:rFonts w:cs="Arial"/>
        </w:rPr>
        <w:t>DSE</w:t>
      </w:r>
      <w:proofErr w:type="spellEnd"/>
      <w:r w:rsidRPr="004C3884">
        <w:rPr>
          <w:rFonts w:cs="Arial"/>
        </w:rPr>
        <w:t xml:space="preserve">) acted in the role of proponent of the project. This was hugely problematic, as it meant that the Government (through Planning Panels Victoria) was essentially assessing and approving its own major infrastructure project. This seriously compromised the independence of the assessment and approval process and community confidence in its outcomes. </w:t>
      </w:r>
      <w:r w:rsidRPr="004C3884">
        <w:rPr>
          <w:rFonts w:cs="Arial"/>
        </w:rPr>
        <w:br/>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r w:rsidRPr="004C3884">
        <w:rPr>
          <w:rFonts w:cs="Arial"/>
        </w:rPr>
        <w:t>The experience with the Victorian desalination plant exemplifies the typical ‘characteristics’ of fast-tracked major projects and the resulting detriment to the consultation process and environmental outcomes. The result was a</w:t>
      </w:r>
      <w:r w:rsidR="0071178B">
        <w:rPr>
          <w:rFonts w:cs="Arial"/>
        </w:rPr>
        <w:t>n</w:t>
      </w:r>
      <w:r w:rsidRPr="004C3884">
        <w:rPr>
          <w:rFonts w:cs="Arial"/>
        </w:rPr>
        <w:t xml:space="preserve"> extremely disenfranchised community and the project not enjoying wide public support across Victoria. This was evidenced by the sustained community protest and obstruction of the site throughout the construction of the project throughout 2010 and 2011.  </w:t>
      </w:r>
    </w:p>
    <w:p w:rsidR="004C3884" w:rsidRPr="004C3884" w:rsidRDefault="004C3884" w:rsidP="004C3884">
      <w:pPr>
        <w:pBdr>
          <w:top w:val="single" w:sz="4" w:space="1" w:color="auto"/>
          <w:left w:val="single" w:sz="4" w:space="1" w:color="auto"/>
          <w:bottom w:val="single" w:sz="4" w:space="1" w:color="auto"/>
          <w:right w:val="single" w:sz="4" w:space="1" w:color="auto"/>
        </w:pBdr>
        <w:rPr>
          <w:rFonts w:cs="Arial"/>
        </w:rPr>
      </w:pPr>
    </w:p>
    <w:p w:rsidR="00497CD2" w:rsidRDefault="00497CD2" w:rsidP="00497CD2">
      <w:pPr>
        <w:rPr>
          <w:rFonts w:cs="Arial"/>
          <w:b/>
          <w:szCs w:val="22"/>
        </w:rPr>
      </w:pPr>
    </w:p>
    <w:p w:rsidR="00CB7E46" w:rsidRPr="00556ACD" w:rsidRDefault="008453A2" w:rsidP="00CB7E46">
      <w:pPr>
        <w:pStyle w:val="Heading2"/>
        <w:numPr>
          <w:ilvl w:val="0"/>
          <w:numId w:val="42"/>
        </w:numPr>
      </w:pPr>
      <w:bookmarkStart w:id="27" w:name="_Toc351985906"/>
      <w:r w:rsidRPr="00556ACD">
        <w:t>Canadian r</w:t>
      </w:r>
      <w:r w:rsidR="00CB7E46" w:rsidRPr="00556ACD">
        <w:t>eforms</w:t>
      </w:r>
      <w:r w:rsidRPr="00556ACD">
        <w:t xml:space="preserve"> – a </w:t>
      </w:r>
      <w:r w:rsidR="00DB79F9">
        <w:t xml:space="preserve">diminished </w:t>
      </w:r>
      <w:r w:rsidR="00CB7E46" w:rsidRPr="00556ACD">
        <w:t>Environmental Assessment Act</w:t>
      </w:r>
      <w:bookmarkEnd w:id="27"/>
    </w:p>
    <w:p w:rsidR="00BA71D0" w:rsidRPr="008C481E" w:rsidRDefault="00CB7E46" w:rsidP="00BA71D0">
      <w:pPr>
        <w:rPr>
          <w:rFonts w:cs="Arial"/>
        </w:rPr>
      </w:pPr>
      <w:r>
        <w:t>The Productivity Commission Issues Paper</w:t>
      </w:r>
      <w:r w:rsidR="00C01CEF">
        <w:t xml:space="preserve"> identifies Canada as both a comparable international jurisdiction to Australia, and as an alternative investment destination</w:t>
      </w:r>
      <w:r w:rsidR="00556ACD">
        <w:t>. The Commission also</w:t>
      </w:r>
      <w:r w:rsidR="00FB66E6">
        <w:t xml:space="preserve"> not</w:t>
      </w:r>
      <w:r w:rsidR="00556ACD">
        <w:t>es</w:t>
      </w:r>
      <w:r w:rsidR="00FB66E6">
        <w:t xml:space="preserve"> </w:t>
      </w:r>
      <w:r w:rsidR="0078014B">
        <w:t xml:space="preserve">Canada’s </w:t>
      </w:r>
      <w:r w:rsidR="00556ACD">
        <w:t>2012</w:t>
      </w:r>
      <w:r w:rsidR="00FB66E6">
        <w:t xml:space="preserve"> major project </w:t>
      </w:r>
      <w:proofErr w:type="spellStart"/>
      <w:r w:rsidR="00FB66E6">
        <w:t>DAA</w:t>
      </w:r>
      <w:proofErr w:type="spellEnd"/>
      <w:r w:rsidR="00FB66E6">
        <w:t xml:space="preserve"> reforms.</w:t>
      </w:r>
      <w:r w:rsidR="00FB66E6">
        <w:rPr>
          <w:rStyle w:val="FootnoteReference"/>
        </w:rPr>
        <w:footnoteReference w:id="64"/>
      </w:r>
      <w:r w:rsidR="00C01CEF">
        <w:t xml:space="preserve"> </w:t>
      </w:r>
      <w:r w:rsidR="00556ACD">
        <w:t>However, b</w:t>
      </w:r>
      <w:r w:rsidR="00BA71D0">
        <w:t xml:space="preserve">ased on our understanding of Canada’s reforms, </w:t>
      </w:r>
      <w:proofErr w:type="spellStart"/>
      <w:r w:rsidR="00BA71D0" w:rsidRPr="00BA71D0">
        <w:rPr>
          <w:b/>
        </w:rPr>
        <w:t>ANEDO</w:t>
      </w:r>
      <w:proofErr w:type="spellEnd"/>
      <w:r w:rsidR="00BA71D0" w:rsidRPr="00BA71D0">
        <w:rPr>
          <w:b/>
        </w:rPr>
        <w:t xml:space="preserve"> submits that the Canadian model </w:t>
      </w:r>
      <w:r w:rsidR="00A2721F">
        <w:rPr>
          <w:b/>
        </w:rPr>
        <w:t xml:space="preserve">for </w:t>
      </w:r>
      <w:r w:rsidR="00E570CD">
        <w:rPr>
          <w:b/>
        </w:rPr>
        <w:t>‘</w:t>
      </w:r>
      <w:r w:rsidR="00A2721F">
        <w:rPr>
          <w:b/>
        </w:rPr>
        <w:t>streamlined</w:t>
      </w:r>
      <w:r w:rsidR="00E570CD">
        <w:rPr>
          <w:b/>
        </w:rPr>
        <w:t>’</w:t>
      </w:r>
      <w:r w:rsidR="00A2721F">
        <w:rPr>
          <w:b/>
        </w:rPr>
        <w:t xml:space="preserve"> major project assessment </w:t>
      </w:r>
      <w:r w:rsidR="00BA71D0" w:rsidRPr="00BA71D0">
        <w:rPr>
          <w:b/>
        </w:rPr>
        <w:t xml:space="preserve">is not one that Australian governments can follow if they are genuinely committed to maintaining or strengthening Australia’s environmental </w:t>
      </w:r>
      <w:r w:rsidR="00BA71D0" w:rsidRPr="00BA71D0">
        <w:rPr>
          <w:rFonts w:cs="Arial"/>
          <w:b/>
        </w:rPr>
        <w:t>assessment and development approval standards.</w:t>
      </w:r>
      <w:r w:rsidR="00556ACD">
        <w:rPr>
          <w:rFonts w:cs="Arial"/>
          <w:b/>
        </w:rPr>
        <w:t xml:space="preserve"> </w:t>
      </w:r>
    </w:p>
    <w:p w:rsidR="00BA71D0" w:rsidRDefault="00BA71D0" w:rsidP="00CB7E46"/>
    <w:p w:rsidR="00BA71D0" w:rsidRDefault="00AD501F" w:rsidP="00BA71D0">
      <w:pPr>
        <w:spacing w:after="120"/>
        <w:rPr>
          <w:rFonts w:cs="Arial"/>
        </w:rPr>
      </w:pPr>
      <w:r>
        <w:t xml:space="preserve">In June 2012, Canada repealed the former </w:t>
      </w:r>
      <w:r w:rsidRPr="00AD501F">
        <w:rPr>
          <w:i/>
        </w:rPr>
        <w:t>Canadian Environmental Assessment Act</w:t>
      </w:r>
      <w:r w:rsidR="00556ACD">
        <w:rPr>
          <w:i/>
        </w:rPr>
        <w:t xml:space="preserve"> 1992</w:t>
      </w:r>
      <w:r>
        <w:t xml:space="preserve"> and replaced it with the </w:t>
      </w:r>
      <w:r w:rsidRPr="00AD501F">
        <w:rPr>
          <w:i/>
        </w:rPr>
        <w:t>Canadian Environmental Assessmen</w:t>
      </w:r>
      <w:r>
        <w:rPr>
          <w:i/>
        </w:rPr>
        <w:t>t Ac</w:t>
      </w:r>
      <w:r w:rsidRPr="00AD501F">
        <w:rPr>
          <w:i/>
        </w:rPr>
        <w:t>t 2012</w:t>
      </w:r>
      <w:r>
        <w:t xml:space="preserve"> (</w:t>
      </w:r>
      <w:proofErr w:type="spellStart"/>
      <w:r w:rsidR="00556ACD">
        <w:rPr>
          <w:b/>
        </w:rPr>
        <w:t>CEAA</w:t>
      </w:r>
      <w:proofErr w:type="spellEnd"/>
      <w:r w:rsidR="00556ACD">
        <w:rPr>
          <w:b/>
        </w:rPr>
        <w:t> </w:t>
      </w:r>
      <w:r w:rsidRPr="008453A2">
        <w:rPr>
          <w:b/>
        </w:rPr>
        <w:t>2012</w:t>
      </w:r>
      <w:r>
        <w:t>). Further amendments were made in December 2012.</w:t>
      </w:r>
      <w:r w:rsidR="00BA71D0" w:rsidRPr="00BA71D0">
        <w:rPr>
          <w:rFonts w:cs="Arial"/>
        </w:rPr>
        <w:t xml:space="preserve"> </w:t>
      </w:r>
      <w:r w:rsidR="00BA71D0">
        <w:rPr>
          <w:rFonts w:cs="Arial"/>
        </w:rPr>
        <w:t>A</w:t>
      </w:r>
      <w:r w:rsidR="00BA71D0" w:rsidRPr="008C481E">
        <w:rPr>
          <w:rFonts w:cs="Arial"/>
        </w:rPr>
        <w:t xml:space="preserve">n analysis from </w:t>
      </w:r>
      <w:r w:rsidR="00BA71D0">
        <w:rPr>
          <w:rFonts w:cs="Arial"/>
        </w:rPr>
        <w:t xml:space="preserve">Canadian </w:t>
      </w:r>
      <w:r w:rsidR="00BA71D0" w:rsidRPr="008C481E">
        <w:rPr>
          <w:rFonts w:cs="Arial"/>
        </w:rPr>
        <w:t>Professor</w:t>
      </w:r>
      <w:r w:rsidR="00BA71D0">
        <w:rPr>
          <w:rFonts w:cs="Arial"/>
        </w:rPr>
        <w:t xml:space="preserve"> of Law,</w:t>
      </w:r>
      <w:r w:rsidR="00BA71D0" w:rsidRPr="008C481E">
        <w:rPr>
          <w:rFonts w:cs="Arial"/>
        </w:rPr>
        <w:t xml:space="preserve"> </w:t>
      </w:r>
      <w:proofErr w:type="spellStart"/>
      <w:r w:rsidR="00BA71D0" w:rsidRPr="008C481E">
        <w:rPr>
          <w:rFonts w:cs="Arial"/>
        </w:rPr>
        <w:t>Meinhard</w:t>
      </w:r>
      <w:proofErr w:type="spellEnd"/>
      <w:r w:rsidR="00BA71D0" w:rsidRPr="008C481E">
        <w:rPr>
          <w:rFonts w:cs="Arial"/>
        </w:rPr>
        <w:t xml:space="preserve"> </w:t>
      </w:r>
      <w:proofErr w:type="spellStart"/>
      <w:r w:rsidR="00BA71D0" w:rsidRPr="008C481E">
        <w:rPr>
          <w:rFonts w:cs="Arial"/>
        </w:rPr>
        <w:t>Doelle</w:t>
      </w:r>
      <w:proofErr w:type="spellEnd"/>
      <w:r w:rsidR="00BA71D0">
        <w:rPr>
          <w:rFonts w:cs="Arial"/>
        </w:rPr>
        <w:t>,</w:t>
      </w:r>
      <w:r w:rsidR="00BA71D0" w:rsidRPr="008C481E">
        <w:rPr>
          <w:rFonts w:cs="Arial"/>
        </w:rPr>
        <w:t xml:space="preserve"> concludes that</w:t>
      </w:r>
      <w:r w:rsidR="00BA71D0">
        <w:rPr>
          <w:rFonts w:cs="Arial"/>
        </w:rPr>
        <w:t>:</w:t>
      </w:r>
      <w:r w:rsidR="00BA71D0" w:rsidRPr="008C481E">
        <w:rPr>
          <w:rFonts w:cs="Arial"/>
        </w:rPr>
        <w:t xml:space="preserve"> </w:t>
      </w:r>
    </w:p>
    <w:p w:rsidR="008453A2" w:rsidRPr="00BA71D0" w:rsidRDefault="00BA71D0" w:rsidP="0021135D">
      <w:pPr>
        <w:spacing w:after="120"/>
        <w:ind w:left="720"/>
        <w:rPr>
          <w:i/>
          <w:sz w:val="20"/>
          <w:szCs w:val="20"/>
        </w:rPr>
      </w:pPr>
      <w:r w:rsidRPr="00BA71D0">
        <w:rPr>
          <w:rFonts w:cs="Arial"/>
          <w:i/>
          <w:sz w:val="20"/>
          <w:szCs w:val="20"/>
        </w:rPr>
        <w:t xml:space="preserve">the key changes in </w:t>
      </w:r>
      <w:proofErr w:type="spellStart"/>
      <w:r w:rsidRPr="00BA71D0">
        <w:rPr>
          <w:rFonts w:cs="Arial"/>
          <w:i/>
          <w:sz w:val="20"/>
          <w:szCs w:val="20"/>
        </w:rPr>
        <w:t>CEAA</w:t>
      </w:r>
      <w:proofErr w:type="spellEnd"/>
      <w:r w:rsidRPr="00BA71D0">
        <w:rPr>
          <w:i/>
          <w:sz w:val="20"/>
          <w:szCs w:val="20"/>
        </w:rPr>
        <w:t xml:space="preserve"> 2012, including the shift in responsibility for the </w:t>
      </w:r>
      <w:proofErr w:type="spellStart"/>
      <w:r w:rsidRPr="00BA71D0">
        <w:rPr>
          <w:i/>
          <w:sz w:val="20"/>
          <w:szCs w:val="20"/>
        </w:rPr>
        <w:t>EA</w:t>
      </w:r>
      <w:proofErr w:type="spellEnd"/>
      <w:r w:rsidRPr="00BA71D0">
        <w:rPr>
          <w:i/>
          <w:sz w:val="20"/>
          <w:szCs w:val="20"/>
        </w:rPr>
        <w:t xml:space="preserve"> [environmental assessment] process, the discretionary triggering process, the changes to the process, the narrow scope, new powers of delegation, substitution and equivalency, the more restricted role of the public, all go counter to the improvements to </w:t>
      </w:r>
      <w:proofErr w:type="spellStart"/>
      <w:r w:rsidRPr="00BA71D0">
        <w:rPr>
          <w:i/>
          <w:sz w:val="20"/>
          <w:szCs w:val="20"/>
        </w:rPr>
        <w:t>CEAA</w:t>
      </w:r>
      <w:proofErr w:type="spellEnd"/>
      <w:r w:rsidRPr="00BA71D0">
        <w:rPr>
          <w:i/>
          <w:sz w:val="20"/>
          <w:szCs w:val="20"/>
        </w:rPr>
        <w:t xml:space="preserve"> 1995 suggested in the academic literature.’</w:t>
      </w:r>
      <w:r w:rsidRPr="00BA71D0">
        <w:rPr>
          <w:rStyle w:val="FootnoteReference"/>
          <w:i/>
          <w:sz w:val="20"/>
          <w:szCs w:val="20"/>
        </w:rPr>
        <w:footnoteReference w:id="65"/>
      </w:r>
    </w:p>
    <w:p w:rsidR="00E149A3" w:rsidRPr="0021135D" w:rsidRDefault="00BA71D0" w:rsidP="00556ACD">
      <w:pPr>
        <w:spacing w:after="120"/>
      </w:pPr>
      <w:r>
        <w:t>Similarly, t</w:t>
      </w:r>
      <w:r w:rsidR="008453A2">
        <w:t xml:space="preserve">he Canadian environmental law centre, </w:t>
      </w:r>
      <w:proofErr w:type="spellStart"/>
      <w:r w:rsidR="008453A2">
        <w:t>Eco</w:t>
      </w:r>
      <w:r w:rsidR="00E570CD">
        <w:t>j</w:t>
      </w:r>
      <w:r w:rsidR="008453A2">
        <w:t>ustice</w:t>
      </w:r>
      <w:proofErr w:type="spellEnd"/>
      <w:r>
        <w:t>,</w:t>
      </w:r>
      <w:r w:rsidR="008453A2">
        <w:t xml:space="preserve"> </w:t>
      </w:r>
      <w:r>
        <w:t xml:space="preserve">has analysed the </w:t>
      </w:r>
      <w:proofErr w:type="spellStart"/>
      <w:r w:rsidRPr="00AD501F">
        <w:t>CEAA</w:t>
      </w:r>
      <w:proofErr w:type="spellEnd"/>
      <w:r w:rsidRPr="00AD501F">
        <w:t xml:space="preserve"> 2012</w:t>
      </w:r>
      <w:r>
        <w:t xml:space="preserve"> from the perspective of federal environmental protection and public participation</w:t>
      </w:r>
      <w:r w:rsidR="0021135D">
        <w:t xml:space="preserve">. </w:t>
      </w:r>
      <w:r w:rsidR="000813BD">
        <w:t xml:space="preserve">The analysis focused on substantive assessment rather than institutional structures. </w:t>
      </w:r>
      <w:r w:rsidR="0021135D">
        <w:lastRenderedPageBreak/>
        <w:t>It</w:t>
      </w:r>
      <w:r w:rsidR="0021135D">
        <w:rPr>
          <w:rFonts w:cs="Arial"/>
        </w:rPr>
        <w:t> </w:t>
      </w:r>
      <w:r w:rsidR="0021135D">
        <w:t xml:space="preserve">concludes that the 2012 Act is ‘significantly weaker than its predecessor.’ </w:t>
      </w:r>
      <w:proofErr w:type="spellStart"/>
      <w:r w:rsidR="0021135D">
        <w:t>Eco</w:t>
      </w:r>
      <w:r w:rsidR="00E570CD">
        <w:t>j</w:t>
      </w:r>
      <w:r w:rsidR="0021135D">
        <w:t>ustice</w:t>
      </w:r>
      <w:proofErr w:type="spellEnd"/>
      <w:r w:rsidR="0021135D">
        <w:rPr>
          <w:rFonts w:cs="Arial"/>
        </w:rPr>
        <w:t xml:space="preserve"> notes </w:t>
      </w:r>
      <w:r w:rsidR="0021135D" w:rsidRPr="008C481E">
        <w:rPr>
          <w:rFonts w:cs="Arial"/>
        </w:rPr>
        <w:t xml:space="preserve">five key changes under </w:t>
      </w:r>
      <w:r w:rsidR="0021135D">
        <w:rPr>
          <w:rFonts w:cs="Arial"/>
        </w:rPr>
        <w:t>the</w:t>
      </w:r>
      <w:r w:rsidR="0021135D" w:rsidRPr="008C481E">
        <w:rPr>
          <w:rFonts w:cs="Arial"/>
        </w:rPr>
        <w:t xml:space="preserve"> </w:t>
      </w:r>
      <w:proofErr w:type="spellStart"/>
      <w:r w:rsidR="0021135D" w:rsidRPr="008C481E">
        <w:rPr>
          <w:rFonts w:cs="Arial"/>
        </w:rPr>
        <w:t>CEAA</w:t>
      </w:r>
      <w:proofErr w:type="spellEnd"/>
      <w:r w:rsidR="0021135D" w:rsidRPr="008C481E">
        <w:rPr>
          <w:rFonts w:cs="Arial"/>
        </w:rPr>
        <w:t xml:space="preserve"> 2012</w:t>
      </w:r>
      <w:r w:rsidR="00556ACD">
        <w:rPr>
          <w:rFonts w:cs="Arial"/>
        </w:rPr>
        <w:t xml:space="preserve">, four of which </w:t>
      </w:r>
      <w:r w:rsidR="002B3C55">
        <w:rPr>
          <w:rFonts w:cs="Arial"/>
        </w:rPr>
        <w:t>reflect</w:t>
      </w:r>
      <w:r w:rsidR="0034033E">
        <w:rPr>
          <w:rFonts w:cs="Arial"/>
        </w:rPr>
        <w:t xml:space="preserve"> </w:t>
      </w:r>
      <w:r w:rsidR="00556ACD">
        <w:rPr>
          <w:rFonts w:cs="Arial"/>
        </w:rPr>
        <w:t>this conclusion</w:t>
      </w:r>
      <w:r w:rsidR="0021135D" w:rsidRPr="008C481E">
        <w:rPr>
          <w:rFonts w:cs="Arial"/>
        </w:rPr>
        <w:t>:</w:t>
      </w:r>
      <w:r>
        <w:rPr>
          <w:rStyle w:val="FootnoteReference"/>
        </w:rPr>
        <w:footnoteReference w:id="66"/>
      </w:r>
      <w:r>
        <w:t xml:space="preserve"> </w:t>
      </w:r>
    </w:p>
    <w:p w:rsidR="008C481E" w:rsidRDefault="00C173A0" w:rsidP="00BA71D0">
      <w:pPr>
        <w:pStyle w:val="ListParagraph"/>
        <w:numPr>
          <w:ilvl w:val="0"/>
          <w:numId w:val="78"/>
        </w:numPr>
        <w:spacing w:after="120" w:line="240" w:lineRule="auto"/>
        <w:ind w:left="714" w:hanging="357"/>
        <w:contextualSpacing w:val="0"/>
        <w:rPr>
          <w:rFonts w:ascii="Arial" w:hAnsi="Arial" w:cs="Arial"/>
        </w:rPr>
      </w:pPr>
      <w:r>
        <w:rPr>
          <w:rFonts w:ascii="Arial" w:hAnsi="Arial" w:cs="Arial"/>
          <w:b/>
        </w:rPr>
        <w:t>T</w:t>
      </w:r>
      <w:r w:rsidR="00BA71D0" w:rsidRPr="00BA71D0">
        <w:rPr>
          <w:rFonts w:ascii="Arial" w:hAnsi="Arial" w:cs="Arial"/>
          <w:b/>
        </w:rPr>
        <w:t xml:space="preserve">he </w:t>
      </w:r>
      <w:r w:rsidR="008C481E" w:rsidRPr="00BA71D0">
        <w:rPr>
          <w:rFonts w:ascii="Arial" w:hAnsi="Arial" w:cs="Arial"/>
          <w:b/>
        </w:rPr>
        <w:t xml:space="preserve">number of projects that require environmental assessment is drastically </w:t>
      </w:r>
      <w:r w:rsidR="008C481E" w:rsidRPr="00BB0F17">
        <w:rPr>
          <w:rFonts w:ascii="Arial" w:hAnsi="Arial" w:cs="Arial"/>
          <w:b/>
        </w:rPr>
        <w:t>reduced</w:t>
      </w:r>
      <w:r w:rsidRPr="004D6F76">
        <w:rPr>
          <w:rFonts w:ascii="Arial" w:hAnsi="Arial" w:cs="Arial"/>
          <w:b/>
        </w:rPr>
        <w:t>, and discretion is increased.</w:t>
      </w:r>
      <w:r>
        <w:rPr>
          <w:rFonts w:ascii="Arial" w:hAnsi="Arial" w:cs="Arial"/>
        </w:rPr>
        <w:t xml:space="preserve"> T</w:t>
      </w:r>
      <w:r w:rsidR="0021135D">
        <w:rPr>
          <w:rFonts w:ascii="Arial" w:hAnsi="Arial" w:cs="Arial"/>
        </w:rPr>
        <w:t xml:space="preserve">he new Act </w:t>
      </w:r>
      <w:r w:rsidR="008C481E">
        <w:rPr>
          <w:rFonts w:ascii="Arial" w:hAnsi="Arial" w:cs="Arial"/>
        </w:rPr>
        <w:t>shift</w:t>
      </w:r>
      <w:r w:rsidR="0021135D">
        <w:rPr>
          <w:rFonts w:ascii="Arial" w:hAnsi="Arial" w:cs="Arial"/>
        </w:rPr>
        <w:t>s</w:t>
      </w:r>
      <w:r w:rsidR="008C481E">
        <w:rPr>
          <w:rFonts w:ascii="Arial" w:hAnsi="Arial" w:cs="Arial"/>
        </w:rPr>
        <w:t xml:space="preserve"> from an ‘</w:t>
      </w:r>
      <w:r w:rsidR="0021135D">
        <w:rPr>
          <w:rFonts w:ascii="Arial" w:hAnsi="Arial" w:cs="Arial"/>
        </w:rPr>
        <w:t xml:space="preserve">automatic </w:t>
      </w:r>
      <w:r w:rsidR="008C481E">
        <w:rPr>
          <w:rFonts w:ascii="Arial" w:hAnsi="Arial" w:cs="Arial"/>
        </w:rPr>
        <w:t>trigger’ approach to a ‘listed projects’ approach</w:t>
      </w:r>
      <w:r>
        <w:rPr>
          <w:rFonts w:ascii="Arial" w:hAnsi="Arial" w:cs="Arial"/>
        </w:rPr>
        <w:t>,</w:t>
      </w:r>
      <w:r w:rsidR="0021135D">
        <w:rPr>
          <w:rFonts w:ascii="Arial" w:hAnsi="Arial" w:cs="Arial"/>
        </w:rPr>
        <w:t xml:space="preserve"> whereby project types are listed in</w:t>
      </w:r>
      <w:r w:rsidR="0021135D" w:rsidRPr="008C481E">
        <w:rPr>
          <w:rFonts w:ascii="Arial" w:hAnsi="Arial" w:cs="Arial"/>
        </w:rPr>
        <w:t xml:space="preserve"> </w:t>
      </w:r>
      <w:r w:rsidR="0021135D">
        <w:rPr>
          <w:rFonts w:ascii="Arial" w:hAnsi="Arial" w:cs="Arial"/>
        </w:rPr>
        <w:t>regulations at the Minister/Cabinet’s discretion</w:t>
      </w:r>
      <w:r>
        <w:rPr>
          <w:rFonts w:ascii="Arial" w:hAnsi="Arial" w:cs="Arial"/>
        </w:rPr>
        <w:t>. In most cases, listed projects are then</w:t>
      </w:r>
      <w:r w:rsidR="0021135D">
        <w:rPr>
          <w:rFonts w:ascii="Arial" w:hAnsi="Arial" w:cs="Arial"/>
        </w:rPr>
        <w:t xml:space="preserve"> ‘screened’ by the Canadian Environmental Assessment Agency to determine if full assessment is necessary</w:t>
      </w:r>
      <w:r>
        <w:rPr>
          <w:rFonts w:ascii="Arial" w:hAnsi="Arial" w:cs="Arial"/>
        </w:rPr>
        <w:t xml:space="preserve">. This high level of discretion has led </w:t>
      </w:r>
      <w:proofErr w:type="spellStart"/>
      <w:r>
        <w:rPr>
          <w:rFonts w:ascii="Arial" w:hAnsi="Arial" w:cs="Arial"/>
        </w:rPr>
        <w:t>Eco</w:t>
      </w:r>
      <w:r w:rsidR="00DB79F9">
        <w:rPr>
          <w:rFonts w:ascii="Arial" w:hAnsi="Arial" w:cs="Arial"/>
        </w:rPr>
        <w:t>j</w:t>
      </w:r>
      <w:r>
        <w:rPr>
          <w:rFonts w:ascii="Arial" w:hAnsi="Arial" w:cs="Arial"/>
        </w:rPr>
        <w:t>ustice</w:t>
      </w:r>
      <w:proofErr w:type="spellEnd"/>
      <w:r>
        <w:rPr>
          <w:rFonts w:ascii="Arial" w:hAnsi="Arial" w:cs="Arial"/>
        </w:rPr>
        <w:t xml:space="preserve"> to predict that the federal Minister will require very few environmental assessments in practice.</w:t>
      </w:r>
      <w:r w:rsidR="008C481E" w:rsidRPr="008C481E">
        <w:rPr>
          <w:rFonts w:ascii="Arial" w:hAnsi="Arial" w:cs="Arial"/>
        </w:rPr>
        <w:t xml:space="preserve"> </w:t>
      </w:r>
    </w:p>
    <w:p w:rsidR="008C481E" w:rsidRDefault="00C173A0" w:rsidP="00BA71D0">
      <w:pPr>
        <w:pStyle w:val="ListParagraph"/>
        <w:numPr>
          <w:ilvl w:val="0"/>
          <w:numId w:val="78"/>
        </w:numPr>
        <w:spacing w:after="120" w:line="240" w:lineRule="auto"/>
        <w:ind w:left="714" w:hanging="357"/>
        <w:contextualSpacing w:val="0"/>
        <w:rPr>
          <w:rFonts w:ascii="Arial" w:hAnsi="Arial" w:cs="Arial"/>
        </w:rPr>
      </w:pPr>
      <w:r>
        <w:rPr>
          <w:rFonts w:ascii="Arial" w:hAnsi="Arial" w:cs="Arial"/>
          <w:b/>
        </w:rPr>
        <w:t>F</w:t>
      </w:r>
      <w:r w:rsidR="008C481E" w:rsidRPr="00BA71D0">
        <w:rPr>
          <w:rFonts w:ascii="Arial" w:hAnsi="Arial" w:cs="Arial"/>
          <w:b/>
        </w:rPr>
        <w:t xml:space="preserve">ewer factors </w:t>
      </w:r>
      <w:r w:rsidR="0034033E">
        <w:rPr>
          <w:rFonts w:ascii="Arial" w:hAnsi="Arial" w:cs="Arial"/>
          <w:b/>
        </w:rPr>
        <w:t xml:space="preserve">and less information </w:t>
      </w:r>
      <w:r w:rsidR="008C481E" w:rsidRPr="00BA71D0">
        <w:rPr>
          <w:rFonts w:ascii="Arial" w:hAnsi="Arial" w:cs="Arial"/>
          <w:b/>
        </w:rPr>
        <w:t>considered in environmental assessment</w:t>
      </w:r>
      <w:r w:rsidR="008C481E" w:rsidRPr="00C173A0">
        <w:rPr>
          <w:rFonts w:ascii="Arial" w:hAnsi="Arial" w:cs="Arial"/>
          <w:b/>
        </w:rPr>
        <w:t>s</w:t>
      </w:r>
      <w:r w:rsidRPr="00C173A0">
        <w:rPr>
          <w:rFonts w:ascii="Arial" w:hAnsi="Arial" w:cs="Arial"/>
          <w:b/>
        </w:rPr>
        <w:t>.</w:t>
      </w:r>
      <w:r>
        <w:rPr>
          <w:rFonts w:ascii="Arial" w:hAnsi="Arial" w:cs="Arial"/>
        </w:rPr>
        <w:t xml:space="preserve"> F</w:t>
      </w:r>
      <w:r w:rsidR="0021135D">
        <w:rPr>
          <w:rFonts w:ascii="Arial" w:hAnsi="Arial" w:cs="Arial"/>
        </w:rPr>
        <w:t>or </w:t>
      </w:r>
      <w:r w:rsidR="008C481E">
        <w:rPr>
          <w:rFonts w:ascii="Arial" w:hAnsi="Arial" w:cs="Arial"/>
        </w:rPr>
        <w:t xml:space="preserve">example, </w:t>
      </w:r>
      <w:proofErr w:type="spellStart"/>
      <w:r w:rsidR="00D44E3A">
        <w:rPr>
          <w:rFonts w:ascii="Arial" w:hAnsi="Arial" w:cs="Arial"/>
        </w:rPr>
        <w:t>ANEDO</w:t>
      </w:r>
      <w:proofErr w:type="spellEnd"/>
      <w:r w:rsidR="00D44E3A">
        <w:rPr>
          <w:rFonts w:ascii="Arial" w:hAnsi="Arial" w:cs="Arial"/>
        </w:rPr>
        <w:t xml:space="preserve"> understands it is no longer necessary to </w:t>
      </w:r>
      <w:r w:rsidR="00E570CD">
        <w:rPr>
          <w:rFonts w:ascii="Arial" w:hAnsi="Arial" w:cs="Arial"/>
        </w:rPr>
        <w:t xml:space="preserve">assess </w:t>
      </w:r>
      <w:r w:rsidR="00AD501F">
        <w:rPr>
          <w:rFonts w:ascii="Arial" w:hAnsi="Arial" w:cs="Arial"/>
        </w:rPr>
        <w:t xml:space="preserve">a project’s </w:t>
      </w:r>
      <w:r w:rsidR="008C481E">
        <w:rPr>
          <w:rFonts w:ascii="Arial" w:hAnsi="Arial" w:cs="Arial"/>
        </w:rPr>
        <w:t xml:space="preserve">impact on </w:t>
      </w:r>
      <w:r w:rsidR="00E570CD">
        <w:rPr>
          <w:rFonts w:ascii="Arial" w:hAnsi="Arial" w:cs="Arial"/>
        </w:rPr>
        <w:t xml:space="preserve">renewable </w:t>
      </w:r>
      <w:r w:rsidR="008C481E">
        <w:rPr>
          <w:rFonts w:ascii="Arial" w:hAnsi="Arial" w:cs="Arial"/>
        </w:rPr>
        <w:t xml:space="preserve">resources </w:t>
      </w:r>
      <w:r w:rsidR="00AD501F">
        <w:rPr>
          <w:rFonts w:ascii="Arial" w:hAnsi="Arial" w:cs="Arial"/>
        </w:rPr>
        <w:t xml:space="preserve">for future </w:t>
      </w:r>
      <w:r w:rsidR="00E570CD">
        <w:rPr>
          <w:rFonts w:ascii="Arial" w:hAnsi="Arial" w:cs="Arial"/>
        </w:rPr>
        <w:t>needs</w:t>
      </w:r>
      <w:r w:rsidR="00D44E3A">
        <w:rPr>
          <w:rFonts w:ascii="Arial" w:hAnsi="Arial" w:cs="Arial"/>
        </w:rPr>
        <w:t>;</w:t>
      </w:r>
      <w:r w:rsidR="00FF3684">
        <w:rPr>
          <w:rFonts w:ascii="Arial" w:hAnsi="Arial" w:cs="Arial"/>
        </w:rPr>
        <w:t xml:space="preserve"> and the assessment may only consider environmental effects that relate to the federal government’s jurisdiction. (The latter appears similar to existing limits in Australia’s</w:t>
      </w:r>
      <w:r w:rsidR="00FF3684" w:rsidRPr="00FF3684">
        <w:rPr>
          <w:rFonts w:ascii="Arial" w:hAnsi="Arial" w:cs="Arial"/>
        </w:rPr>
        <w:t xml:space="preserve"> </w:t>
      </w:r>
      <w:proofErr w:type="spellStart"/>
      <w:r w:rsidR="00FF3684">
        <w:rPr>
          <w:rFonts w:ascii="Arial" w:hAnsi="Arial" w:cs="Arial"/>
        </w:rPr>
        <w:t>EPBC</w:t>
      </w:r>
      <w:proofErr w:type="spellEnd"/>
      <w:r w:rsidR="00FF3684">
        <w:rPr>
          <w:rFonts w:ascii="Arial" w:hAnsi="Arial" w:cs="Arial"/>
        </w:rPr>
        <w:t xml:space="preserve"> Act.) In </w:t>
      </w:r>
      <w:r w:rsidRPr="00FF3684">
        <w:rPr>
          <w:rFonts w:ascii="Arial" w:hAnsi="Arial" w:cs="Arial"/>
        </w:rPr>
        <w:t xml:space="preserve">addition, </w:t>
      </w:r>
      <w:r w:rsidR="00D44E3A">
        <w:rPr>
          <w:rFonts w:ascii="Arial" w:hAnsi="Arial" w:cs="Arial"/>
        </w:rPr>
        <w:t xml:space="preserve">far </w:t>
      </w:r>
      <w:r w:rsidR="00AD501F" w:rsidRPr="00FF3684">
        <w:rPr>
          <w:rFonts w:ascii="Arial" w:hAnsi="Arial" w:cs="Arial"/>
        </w:rPr>
        <w:t>less information is needed from project proponents</w:t>
      </w:r>
      <w:r w:rsidR="0034033E">
        <w:rPr>
          <w:rFonts w:ascii="Arial" w:hAnsi="Arial" w:cs="Arial"/>
        </w:rPr>
        <w:t xml:space="preserve"> under new</w:t>
      </w:r>
      <w:r w:rsidRPr="00FF3684">
        <w:rPr>
          <w:rFonts w:ascii="Arial" w:hAnsi="Arial" w:cs="Arial"/>
        </w:rPr>
        <w:t xml:space="preserve"> </w:t>
      </w:r>
      <w:r w:rsidR="00AD501F">
        <w:rPr>
          <w:rFonts w:ascii="Arial" w:hAnsi="Arial" w:cs="Arial"/>
        </w:rPr>
        <w:t>‘prescribed information regulations’</w:t>
      </w:r>
      <w:r w:rsidR="0034033E">
        <w:rPr>
          <w:rFonts w:ascii="Arial" w:hAnsi="Arial" w:cs="Arial"/>
        </w:rPr>
        <w:t>. It is understood that</w:t>
      </w:r>
      <w:r w:rsidR="00B8554B">
        <w:rPr>
          <w:rFonts w:ascii="Arial" w:hAnsi="Arial" w:cs="Arial"/>
        </w:rPr>
        <w:t xml:space="preserve"> initial </w:t>
      </w:r>
      <w:r w:rsidR="0034033E">
        <w:rPr>
          <w:rFonts w:ascii="Arial" w:hAnsi="Arial" w:cs="Arial"/>
        </w:rPr>
        <w:t xml:space="preserve">information requirements are </w:t>
      </w:r>
      <w:r w:rsidR="00210573" w:rsidRPr="004D6F76">
        <w:rPr>
          <w:rFonts w:ascii="Arial" w:hAnsi="Arial" w:cs="Arial"/>
          <w:i/>
        </w:rPr>
        <w:t>reduced</w:t>
      </w:r>
      <w:r w:rsidR="00210573">
        <w:rPr>
          <w:rFonts w:ascii="Arial" w:hAnsi="Arial" w:cs="Arial"/>
        </w:rPr>
        <w:t xml:space="preserve"> – or </w:t>
      </w:r>
      <w:r w:rsidR="00210573" w:rsidRPr="004D6F76">
        <w:rPr>
          <w:rFonts w:ascii="Arial" w:hAnsi="Arial" w:cs="Arial"/>
          <w:i/>
        </w:rPr>
        <w:t>removed</w:t>
      </w:r>
      <w:r w:rsidR="00210573">
        <w:rPr>
          <w:rFonts w:ascii="Arial" w:hAnsi="Arial" w:cs="Arial"/>
        </w:rPr>
        <w:t xml:space="preserve"> – </w:t>
      </w:r>
      <w:r w:rsidR="0034033E">
        <w:rPr>
          <w:rFonts w:ascii="Arial" w:hAnsi="Arial" w:cs="Arial"/>
        </w:rPr>
        <w:t>on</w:t>
      </w:r>
      <w:r w:rsidR="00AD501F">
        <w:rPr>
          <w:rFonts w:ascii="Arial" w:hAnsi="Arial" w:cs="Arial"/>
        </w:rPr>
        <w:t xml:space="preserve"> </w:t>
      </w:r>
      <w:r w:rsidR="0021135D">
        <w:rPr>
          <w:rFonts w:ascii="Arial" w:hAnsi="Arial" w:cs="Arial"/>
        </w:rPr>
        <w:t xml:space="preserve">the range of </w:t>
      </w:r>
      <w:r w:rsidR="00AD501F">
        <w:rPr>
          <w:rFonts w:ascii="Arial" w:hAnsi="Arial" w:cs="Arial"/>
        </w:rPr>
        <w:t>species affected</w:t>
      </w:r>
      <w:r>
        <w:rPr>
          <w:rFonts w:ascii="Arial" w:hAnsi="Arial" w:cs="Arial"/>
        </w:rPr>
        <w:t xml:space="preserve"> (i.e. federally protected matters only)</w:t>
      </w:r>
      <w:r w:rsidR="00210573">
        <w:rPr>
          <w:rFonts w:ascii="Arial" w:hAnsi="Arial" w:cs="Arial"/>
        </w:rPr>
        <w:t xml:space="preserve">, impacts on critical habitat, </w:t>
      </w:r>
      <w:r w:rsidR="00AD501F">
        <w:rPr>
          <w:rFonts w:ascii="Arial" w:hAnsi="Arial" w:cs="Arial"/>
        </w:rPr>
        <w:t>consultation conducted, project</w:t>
      </w:r>
      <w:r>
        <w:rPr>
          <w:rFonts w:ascii="Arial" w:hAnsi="Arial" w:cs="Arial"/>
        </w:rPr>
        <w:t>’s</w:t>
      </w:r>
      <w:r w:rsidR="00AD501F">
        <w:rPr>
          <w:rFonts w:ascii="Arial" w:hAnsi="Arial" w:cs="Arial"/>
        </w:rPr>
        <w:t xml:space="preserve"> purpose, proximity to other projects</w:t>
      </w:r>
      <w:r w:rsidR="00D44E3A">
        <w:rPr>
          <w:rFonts w:ascii="Arial" w:hAnsi="Arial" w:cs="Arial"/>
        </w:rPr>
        <w:t xml:space="preserve"> (important to establishing cumulative impacts)</w:t>
      </w:r>
      <w:r w:rsidR="00AD501F">
        <w:rPr>
          <w:rFonts w:ascii="Arial" w:hAnsi="Arial" w:cs="Arial"/>
        </w:rPr>
        <w:t xml:space="preserve">, summary of potential environmental effects, and the </w:t>
      </w:r>
      <w:r w:rsidR="0021135D">
        <w:rPr>
          <w:rFonts w:ascii="Arial" w:hAnsi="Arial" w:cs="Arial"/>
        </w:rPr>
        <w:t>nature</w:t>
      </w:r>
      <w:r>
        <w:rPr>
          <w:rFonts w:ascii="Arial" w:hAnsi="Arial" w:cs="Arial"/>
        </w:rPr>
        <w:t xml:space="preserve"> and </w:t>
      </w:r>
      <w:r w:rsidR="00AD501F">
        <w:rPr>
          <w:rFonts w:ascii="Arial" w:hAnsi="Arial" w:cs="Arial"/>
        </w:rPr>
        <w:t>extent of impacts</w:t>
      </w:r>
      <w:r w:rsidR="0021135D" w:rsidRPr="0021135D">
        <w:rPr>
          <w:rFonts w:ascii="Arial" w:hAnsi="Arial" w:cs="Arial"/>
        </w:rPr>
        <w:t xml:space="preserve"> </w:t>
      </w:r>
      <w:r w:rsidR="0021135D">
        <w:rPr>
          <w:rFonts w:ascii="Arial" w:hAnsi="Arial" w:cs="Arial"/>
        </w:rPr>
        <w:t>on waterways</w:t>
      </w:r>
      <w:r>
        <w:rPr>
          <w:rFonts w:ascii="Arial" w:hAnsi="Arial" w:cs="Arial"/>
        </w:rPr>
        <w:t>.</w:t>
      </w:r>
      <w:r w:rsidR="00AD501F">
        <w:rPr>
          <w:rStyle w:val="FootnoteReference"/>
          <w:rFonts w:ascii="Arial" w:hAnsi="Arial" w:cs="Arial"/>
        </w:rPr>
        <w:footnoteReference w:id="67"/>
      </w:r>
    </w:p>
    <w:p w:rsidR="008C481E" w:rsidRDefault="00C173A0" w:rsidP="00BA71D0">
      <w:pPr>
        <w:pStyle w:val="ListParagraph"/>
        <w:numPr>
          <w:ilvl w:val="0"/>
          <w:numId w:val="78"/>
        </w:numPr>
        <w:spacing w:after="120" w:line="240" w:lineRule="auto"/>
        <w:ind w:left="714" w:hanging="357"/>
        <w:contextualSpacing w:val="0"/>
        <w:rPr>
          <w:rFonts w:ascii="Arial" w:hAnsi="Arial" w:cs="Arial"/>
        </w:rPr>
      </w:pPr>
      <w:r>
        <w:rPr>
          <w:rFonts w:ascii="Arial" w:hAnsi="Arial" w:cs="Arial"/>
          <w:b/>
        </w:rPr>
        <w:t>S</w:t>
      </w:r>
      <w:r w:rsidR="00BA71D0" w:rsidRPr="0021135D">
        <w:rPr>
          <w:rFonts w:ascii="Arial" w:hAnsi="Arial" w:cs="Arial"/>
          <w:b/>
        </w:rPr>
        <w:t>hort time limits are imposed on environmental assessments</w:t>
      </w:r>
      <w:r>
        <w:rPr>
          <w:rFonts w:ascii="Arial" w:hAnsi="Arial" w:cs="Arial"/>
          <w:b/>
        </w:rPr>
        <w:t>.</w:t>
      </w:r>
      <w:r w:rsidR="00BA71D0">
        <w:rPr>
          <w:rFonts w:ascii="Arial" w:hAnsi="Arial" w:cs="Arial"/>
        </w:rPr>
        <w:t xml:space="preserve"> </w:t>
      </w:r>
      <w:r>
        <w:rPr>
          <w:rFonts w:ascii="Arial" w:hAnsi="Arial" w:cs="Arial"/>
        </w:rPr>
        <w:t>W</w:t>
      </w:r>
      <w:r w:rsidR="00BA71D0">
        <w:rPr>
          <w:rFonts w:ascii="Arial" w:hAnsi="Arial" w:cs="Arial"/>
        </w:rPr>
        <w:t>hile the</w:t>
      </w:r>
      <w:r>
        <w:rPr>
          <w:rFonts w:ascii="Arial" w:hAnsi="Arial" w:cs="Arial"/>
        </w:rPr>
        <w:t xml:space="preserve"> Minister and Cabinet have </w:t>
      </w:r>
      <w:r w:rsidR="00BA71D0">
        <w:rPr>
          <w:rFonts w:ascii="Arial" w:hAnsi="Arial" w:cs="Arial"/>
        </w:rPr>
        <w:t xml:space="preserve">discretion to extend </w:t>
      </w:r>
      <w:r>
        <w:rPr>
          <w:rFonts w:ascii="Arial" w:hAnsi="Arial" w:cs="Arial"/>
        </w:rPr>
        <w:t xml:space="preserve">assessment </w:t>
      </w:r>
      <w:r w:rsidR="00BA71D0">
        <w:rPr>
          <w:rFonts w:ascii="Arial" w:hAnsi="Arial" w:cs="Arial"/>
        </w:rPr>
        <w:t xml:space="preserve">time limits, </w:t>
      </w:r>
      <w:r>
        <w:rPr>
          <w:rFonts w:ascii="Arial" w:hAnsi="Arial" w:cs="Arial"/>
        </w:rPr>
        <w:t xml:space="preserve">default limits (which range between one and two years depending on size) </w:t>
      </w:r>
      <w:r w:rsidR="00BA71D0">
        <w:rPr>
          <w:rFonts w:ascii="Arial" w:hAnsi="Arial" w:cs="Arial"/>
        </w:rPr>
        <w:t>may be insufficient for the assessing agency to gather information about environmental effects, scientific baseline data, expert input or consultation</w:t>
      </w:r>
      <w:r w:rsidR="00BA71D0" w:rsidRPr="00BA71D0">
        <w:rPr>
          <w:rFonts w:ascii="Arial" w:hAnsi="Arial" w:cs="Arial"/>
        </w:rPr>
        <w:t xml:space="preserve"> </w:t>
      </w:r>
      <w:r w:rsidR="00BA71D0">
        <w:rPr>
          <w:rFonts w:ascii="Arial" w:hAnsi="Arial" w:cs="Arial"/>
        </w:rPr>
        <w:t>with affected groups</w:t>
      </w:r>
      <w:r w:rsidR="00556ACD">
        <w:rPr>
          <w:rFonts w:ascii="Arial" w:hAnsi="Arial" w:cs="Arial"/>
        </w:rPr>
        <w:t>.</w:t>
      </w:r>
    </w:p>
    <w:p w:rsidR="00BA71D0" w:rsidRDefault="00556ACD" w:rsidP="0021135D">
      <w:pPr>
        <w:pStyle w:val="ListParagraph"/>
        <w:numPr>
          <w:ilvl w:val="0"/>
          <w:numId w:val="78"/>
        </w:numPr>
        <w:spacing w:after="120" w:line="240" w:lineRule="auto"/>
        <w:ind w:left="714" w:hanging="357"/>
        <w:contextualSpacing w:val="0"/>
        <w:rPr>
          <w:rFonts w:ascii="Arial" w:hAnsi="Arial" w:cs="Arial"/>
        </w:rPr>
      </w:pPr>
      <w:r>
        <w:rPr>
          <w:rFonts w:ascii="Arial" w:hAnsi="Arial" w:cs="Arial"/>
          <w:b/>
        </w:rPr>
        <w:t>O</w:t>
      </w:r>
      <w:r w:rsidR="00BA71D0" w:rsidRPr="0021135D">
        <w:rPr>
          <w:rFonts w:ascii="Arial" w:hAnsi="Arial" w:cs="Arial"/>
          <w:b/>
        </w:rPr>
        <w:t>pportunities for public participation in environmental assessments are reduced</w:t>
      </w:r>
      <w:r>
        <w:rPr>
          <w:rFonts w:ascii="Arial" w:hAnsi="Arial" w:cs="Arial"/>
          <w:b/>
        </w:rPr>
        <w:t>.</w:t>
      </w:r>
      <w:r w:rsidR="0021135D">
        <w:rPr>
          <w:rFonts w:ascii="Arial" w:hAnsi="Arial" w:cs="Arial"/>
        </w:rPr>
        <w:t xml:space="preserve"> </w:t>
      </w:r>
      <w:r>
        <w:rPr>
          <w:rFonts w:ascii="Arial" w:hAnsi="Arial" w:cs="Arial"/>
        </w:rPr>
        <w:t>T</w:t>
      </w:r>
      <w:r w:rsidR="0021135D">
        <w:rPr>
          <w:rFonts w:ascii="Arial" w:hAnsi="Arial" w:cs="Arial"/>
        </w:rPr>
        <w:t>he previous Act had an ‘open standing’ approach to participation in expert review panel hearings for the most significant projects</w:t>
      </w:r>
      <w:r w:rsidR="00C173A0">
        <w:rPr>
          <w:rFonts w:ascii="Arial" w:hAnsi="Arial" w:cs="Arial"/>
        </w:rPr>
        <w:t xml:space="preserve"> –</w:t>
      </w:r>
      <w:r w:rsidR="0021135D">
        <w:rPr>
          <w:rFonts w:ascii="Arial" w:hAnsi="Arial" w:cs="Arial"/>
        </w:rPr>
        <w:t xml:space="preserve"> but this has been restricted </w:t>
      </w:r>
      <w:r w:rsidR="00C173A0">
        <w:rPr>
          <w:rFonts w:ascii="Arial" w:hAnsi="Arial" w:cs="Arial"/>
        </w:rPr>
        <w:t>to ‘interested parties’ who are directly affected by the project</w:t>
      </w:r>
      <w:r>
        <w:rPr>
          <w:rFonts w:ascii="Arial" w:hAnsi="Arial" w:cs="Arial"/>
        </w:rPr>
        <w:t>. R</w:t>
      </w:r>
      <w:r w:rsidR="00C173A0">
        <w:rPr>
          <w:rFonts w:ascii="Arial" w:hAnsi="Arial" w:cs="Arial"/>
        </w:rPr>
        <w:t xml:space="preserve">esults </w:t>
      </w:r>
      <w:r>
        <w:rPr>
          <w:rFonts w:ascii="Arial" w:hAnsi="Arial" w:cs="Arial"/>
        </w:rPr>
        <w:t xml:space="preserve">to date </w:t>
      </w:r>
      <w:r w:rsidR="00C173A0">
        <w:rPr>
          <w:rFonts w:ascii="Arial" w:hAnsi="Arial" w:cs="Arial"/>
        </w:rPr>
        <w:t xml:space="preserve">have varied, with </w:t>
      </w:r>
      <w:proofErr w:type="spellStart"/>
      <w:r w:rsidR="00C173A0">
        <w:rPr>
          <w:rFonts w:ascii="Arial" w:hAnsi="Arial" w:cs="Arial"/>
        </w:rPr>
        <w:t>Eco</w:t>
      </w:r>
      <w:r w:rsidR="00DB79F9">
        <w:rPr>
          <w:rFonts w:ascii="Arial" w:hAnsi="Arial" w:cs="Arial"/>
        </w:rPr>
        <w:t>j</w:t>
      </w:r>
      <w:r w:rsidR="00C173A0">
        <w:rPr>
          <w:rFonts w:ascii="Arial" w:hAnsi="Arial" w:cs="Arial"/>
        </w:rPr>
        <w:t>ustice</w:t>
      </w:r>
      <w:proofErr w:type="spellEnd"/>
      <w:r w:rsidR="00C173A0">
        <w:rPr>
          <w:rFonts w:ascii="Arial" w:hAnsi="Arial" w:cs="Arial"/>
        </w:rPr>
        <w:t xml:space="preserve"> noting at least one example where people seeking to participate were prevented from doing so for</w:t>
      </w:r>
      <w:r>
        <w:rPr>
          <w:rFonts w:ascii="Arial" w:hAnsi="Arial" w:cs="Arial"/>
        </w:rPr>
        <w:t xml:space="preserve"> various</w:t>
      </w:r>
      <w:r w:rsidR="00C173A0">
        <w:rPr>
          <w:rFonts w:ascii="Arial" w:hAnsi="Arial" w:cs="Arial"/>
        </w:rPr>
        <w:t xml:space="preserve"> technical reasons</w:t>
      </w:r>
      <w:r>
        <w:rPr>
          <w:rFonts w:ascii="Arial" w:hAnsi="Arial" w:cs="Arial"/>
        </w:rPr>
        <w:t>. The changes mean that the public has fewer opportunities to provide input on decisions that affect the environment and health of Canadians at large.</w:t>
      </w:r>
    </w:p>
    <w:p w:rsidR="0021135D" w:rsidRPr="00556ACD" w:rsidRDefault="00556ACD" w:rsidP="00556ACD">
      <w:pPr>
        <w:pStyle w:val="ListParagraph"/>
        <w:numPr>
          <w:ilvl w:val="0"/>
          <w:numId w:val="78"/>
        </w:numPr>
        <w:spacing w:after="0" w:line="240" w:lineRule="auto"/>
        <w:contextualSpacing w:val="0"/>
        <w:rPr>
          <w:rFonts w:ascii="Arial" w:hAnsi="Arial" w:cs="Arial"/>
        </w:rPr>
      </w:pPr>
      <w:r>
        <w:rPr>
          <w:rFonts w:ascii="Arial" w:hAnsi="Arial" w:cs="Arial"/>
          <w:b/>
        </w:rPr>
        <w:t>C</w:t>
      </w:r>
      <w:r w:rsidR="0021135D">
        <w:rPr>
          <w:rFonts w:ascii="Arial" w:hAnsi="Arial" w:cs="Arial"/>
          <w:b/>
        </w:rPr>
        <w:t>ompliance enforcement capacity is increased</w:t>
      </w:r>
      <w:r>
        <w:rPr>
          <w:rFonts w:ascii="Arial" w:hAnsi="Arial" w:cs="Arial"/>
          <w:b/>
        </w:rPr>
        <w:t xml:space="preserve">. </w:t>
      </w:r>
      <w:r>
        <w:rPr>
          <w:rFonts w:ascii="Arial" w:hAnsi="Arial" w:cs="Arial"/>
        </w:rPr>
        <w:t>This is</w:t>
      </w:r>
      <w:r w:rsidRPr="00556ACD">
        <w:rPr>
          <w:rFonts w:ascii="Arial" w:hAnsi="Arial" w:cs="Arial"/>
        </w:rPr>
        <w:t xml:space="preserve"> perhaps the only environmenta</w:t>
      </w:r>
      <w:r>
        <w:rPr>
          <w:rFonts w:ascii="Arial" w:hAnsi="Arial" w:cs="Arial"/>
        </w:rPr>
        <w:t>l</w:t>
      </w:r>
      <w:r w:rsidRPr="00556ACD">
        <w:rPr>
          <w:rFonts w:ascii="Arial" w:hAnsi="Arial" w:cs="Arial"/>
        </w:rPr>
        <w:t>l</w:t>
      </w:r>
      <w:r>
        <w:rPr>
          <w:rFonts w:ascii="Arial" w:hAnsi="Arial" w:cs="Arial"/>
        </w:rPr>
        <w:t>y</w:t>
      </w:r>
      <w:r w:rsidRPr="00556ACD">
        <w:rPr>
          <w:rFonts w:ascii="Arial" w:hAnsi="Arial" w:cs="Arial"/>
        </w:rPr>
        <w:t xml:space="preserve"> positive </w:t>
      </w:r>
      <w:r>
        <w:rPr>
          <w:rFonts w:ascii="Arial" w:hAnsi="Arial" w:cs="Arial"/>
        </w:rPr>
        <w:t xml:space="preserve">outcome </w:t>
      </w:r>
      <w:r w:rsidRPr="00556ACD">
        <w:rPr>
          <w:rFonts w:ascii="Arial" w:hAnsi="Arial" w:cs="Arial"/>
        </w:rPr>
        <w:t xml:space="preserve">from the </w:t>
      </w:r>
      <w:proofErr w:type="spellStart"/>
      <w:r w:rsidRPr="00556ACD">
        <w:rPr>
          <w:rFonts w:ascii="Arial" w:hAnsi="Arial" w:cs="Arial"/>
        </w:rPr>
        <w:t>CEAA</w:t>
      </w:r>
      <w:proofErr w:type="spellEnd"/>
      <w:r w:rsidRPr="00556ACD">
        <w:rPr>
          <w:rFonts w:ascii="Arial" w:hAnsi="Arial" w:cs="Arial"/>
        </w:rPr>
        <w:t xml:space="preserve"> 2012 streamlining package</w:t>
      </w:r>
      <w:r>
        <w:rPr>
          <w:rFonts w:ascii="Arial" w:hAnsi="Arial" w:cs="Arial"/>
        </w:rPr>
        <w:t>, depending on how the powers are exercised. T</w:t>
      </w:r>
      <w:r w:rsidRPr="00556ACD">
        <w:rPr>
          <w:rFonts w:ascii="Arial" w:hAnsi="Arial" w:cs="Arial"/>
        </w:rPr>
        <w:t xml:space="preserve">he </w:t>
      </w:r>
      <w:r>
        <w:rPr>
          <w:rFonts w:ascii="Arial" w:hAnsi="Arial" w:cs="Arial"/>
        </w:rPr>
        <w:t xml:space="preserve">new </w:t>
      </w:r>
      <w:r w:rsidRPr="00556ACD">
        <w:rPr>
          <w:rFonts w:ascii="Arial" w:hAnsi="Arial" w:cs="Arial"/>
        </w:rPr>
        <w:t>Act prohibits proponents and government agencies from taking actions on designated projects until an environmental assessment or screening</w:t>
      </w:r>
      <w:r>
        <w:rPr>
          <w:rFonts w:ascii="Arial" w:hAnsi="Arial" w:cs="Arial"/>
        </w:rPr>
        <w:t xml:space="preserve"> is complete; and requires proponents to comply with conditions in a formal decision statement. The Act also creates inspection and enforcement powers to ensure compliance with these aspects.</w:t>
      </w:r>
    </w:p>
    <w:p w:rsidR="00E149A3" w:rsidRDefault="00E149A3" w:rsidP="00556ACD"/>
    <w:p w:rsidR="00FF3684" w:rsidRDefault="00556ACD" w:rsidP="00FF3684">
      <w:pPr>
        <w:rPr>
          <w:rFonts w:cs="Arial"/>
          <w:szCs w:val="22"/>
        </w:rPr>
      </w:pPr>
      <w:r>
        <w:t>Overall, t</w:t>
      </w:r>
      <w:r w:rsidR="0021135D">
        <w:t>he r</w:t>
      </w:r>
      <w:r w:rsidR="00F90686">
        <w:t xml:space="preserve">ecent major project reforms in Canada, New Zealand’s proposals to amend its </w:t>
      </w:r>
      <w:r w:rsidR="00F90686" w:rsidRPr="00F90686">
        <w:rPr>
          <w:i/>
        </w:rPr>
        <w:t>Resource Management Act 1991</w:t>
      </w:r>
      <w:r w:rsidR="00F90686">
        <w:t xml:space="preserve"> </w:t>
      </w:r>
      <w:r w:rsidR="00FF3684">
        <w:t>to ‘</w:t>
      </w:r>
      <w:r w:rsidR="00FF3684">
        <w:rPr>
          <w:lang w:val="en"/>
        </w:rPr>
        <w:t>increase the influence of economic concerns’</w:t>
      </w:r>
      <w:r w:rsidR="00E149A3">
        <w:t>,</w:t>
      </w:r>
      <w:r w:rsidR="00FF3684">
        <w:rPr>
          <w:rStyle w:val="FootnoteReference"/>
        </w:rPr>
        <w:footnoteReference w:id="68"/>
      </w:r>
      <w:r w:rsidR="00E149A3">
        <w:t xml:space="preserve"> and the </w:t>
      </w:r>
      <w:r w:rsidR="00BB0F17">
        <w:t xml:space="preserve">proposed </w:t>
      </w:r>
      <w:r w:rsidR="00E149A3">
        <w:t xml:space="preserve">COAG </w:t>
      </w:r>
      <w:r w:rsidR="00BB0F17">
        <w:t>reforms</w:t>
      </w:r>
      <w:r w:rsidR="00E149A3">
        <w:t xml:space="preserve"> in Australia all </w:t>
      </w:r>
      <w:r w:rsidR="00F90686">
        <w:t xml:space="preserve">reflect a concerning shift in emphasis </w:t>
      </w:r>
      <w:r w:rsidR="00F90686">
        <w:lastRenderedPageBreak/>
        <w:t>towards streamlining environmental regulation. This is a counterintuitive reaction given the significant environmental, economic and demographic challenges for developed nations in the 21</w:t>
      </w:r>
      <w:r w:rsidR="00F90686" w:rsidRPr="00F90686">
        <w:rPr>
          <w:vertAlign w:val="superscript"/>
        </w:rPr>
        <w:t>st</w:t>
      </w:r>
      <w:r w:rsidR="00F90686">
        <w:t xml:space="preserve"> century</w:t>
      </w:r>
      <w:r w:rsidR="002B3C55">
        <w:t>;</w:t>
      </w:r>
      <w:r w:rsidR="00F90686">
        <w:t xml:space="preserve"> </w:t>
      </w:r>
      <w:r w:rsidR="00FF3684">
        <w:t xml:space="preserve">and </w:t>
      </w:r>
      <w:r w:rsidR="00E149A3">
        <w:t xml:space="preserve">recent OECD </w:t>
      </w:r>
      <w:r w:rsidR="002B3C55">
        <w:t xml:space="preserve">and international </w:t>
      </w:r>
      <w:r w:rsidR="00E149A3">
        <w:t>proposals emphasising ‘green growth’ and valuing ‘natural capital’</w:t>
      </w:r>
      <w:r w:rsidR="00FF3684">
        <w:t>.</w:t>
      </w:r>
      <w:r w:rsidR="00E149A3">
        <w:rPr>
          <w:rStyle w:val="FootnoteReference"/>
        </w:rPr>
        <w:footnoteReference w:id="69"/>
      </w:r>
      <w:r w:rsidR="008453A2">
        <w:t xml:space="preserve"> </w:t>
      </w:r>
    </w:p>
    <w:p w:rsidR="00F90686" w:rsidRDefault="00F90686" w:rsidP="00CB7E46"/>
    <w:p w:rsidR="00B41F60" w:rsidRDefault="00FF3684" w:rsidP="00CB7E46">
      <w:r>
        <w:t>In Australia, t</w:t>
      </w:r>
      <w:r w:rsidR="00B41F60">
        <w:t xml:space="preserve">he Senate Environment Committee has </w:t>
      </w:r>
      <w:r w:rsidR="00F90686">
        <w:t xml:space="preserve">recently </w:t>
      </w:r>
      <w:r w:rsidR="0078014B">
        <w:t xml:space="preserve">warned </w:t>
      </w:r>
      <w:r w:rsidR="00F90686">
        <w:t xml:space="preserve">that </w:t>
      </w:r>
      <w:r>
        <w:t>state</w:t>
      </w:r>
      <w:r w:rsidR="0078014B">
        <w:t xml:space="preserve"> attempt</w:t>
      </w:r>
      <w:r w:rsidR="00F90686">
        <w:t>s</w:t>
      </w:r>
      <w:r w:rsidR="0078014B">
        <w:t xml:space="preserve"> to streamline environmental laws </w:t>
      </w:r>
      <w:r w:rsidR="00F90686">
        <w:t>under the guise of ‘competitive federalism’ risks a ‘</w:t>
      </w:r>
      <w:r>
        <w:t>race </w:t>
      </w:r>
      <w:r w:rsidR="00F90686">
        <w:t>to the bottom’ for environmental protection standards in Australia</w:t>
      </w:r>
      <w:r w:rsidR="0078014B">
        <w:t>.</w:t>
      </w:r>
      <w:r>
        <w:rPr>
          <w:rStyle w:val="FootnoteReference"/>
        </w:rPr>
        <w:footnoteReference w:id="70"/>
      </w:r>
      <w:r w:rsidR="00B41F60">
        <w:t xml:space="preserve"> </w:t>
      </w:r>
      <w:r w:rsidR="00F90686">
        <w:t xml:space="preserve"> In </w:t>
      </w:r>
      <w:proofErr w:type="spellStart"/>
      <w:r w:rsidR="00F90686">
        <w:t>ANEDO’s</w:t>
      </w:r>
      <w:proofErr w:type="spellEnd"/>
      <w:r w:rsidR="00F90686">
        <w:t xml:space="preserve"> view, similar negative outcomes are possible for environmental standards across international jurisdictions, unless benchmarking of international competitiveness takes account of triple bottom line outcomes</w:t>
      </w:r>
      <w:r w:rsidR="00602E92">
        <w:t>,</w:t>
      </w:r>
      <w:r w:rsidR="00F90686">
        <w:t xml:space="preserve"> and prioritises the need for ecologically sustainable development.</w:t>
      </w:r>
    </w:p>
    <w:p w:rsidR="00497CD2" w:rsidRDefault="00497CD2" w:rsidP="00497CD2">
      <w:pPr>
        <w:rPr>
          <w:rFonts w:cs="Arial"/>
          <w:b/>
          <w:szCs w:val="22"/>
        </w:rPr>
      </w:pPr>
    </w:p>
    <w:p w:rsidR="00DB79F9" w:rsidRPr="003868A7" w:rsidRDefault="00DB79F9" w:rsidP="00DB79F9">
      <w:pPr>
        <w:pStyle w:val="Heading2"/>
        <w:numPr>
          <w:ilvl w:val="0"/>
          <w:numId w:val="42"/>
        </w:numPr>
      </w:pPr>
      <w:bookmarkStart w:id="28" w:name="_Toc351985907"/>
      <w:r w:rsidRPr="003868A7">
        <w:t>Post-approval monitoring, enforcement</w:t>
      </w:r>
      <w:r>
        <w:t xml:space="preserve"> and</w:t>
      </w:r>
      <w:r w:rsidRPr="003868A7">
        <w:t xml:space="preserve"> resourcing</w:t>
      </w:r>
      <w:bookmarkEnd w:id="28"/>
      <w:r w:rsidRPr="003868A7">
        <w:t xml:space="preserve"> </w:t>
      </w:r>
    </w:p>
    <w:p w:rsidR="00DB79F9" w:rsidRDefault="00DB79F9" w:rsidP="00DB79F9">
      <w:pPr>
        <w:spacing w:after="120"/>
        <w:rPr>
          <w:rFonts w:cs="Arial"/>
          <w:szCs w:val="22"/>
        </w:rPr>
      </w:pPr>
      <w:r>
        <w:rPr>
          <w:rFonts w:cs="Arial"/>
          <w:szCs w:val="22"/>
        </w:rPr>
        <w:t xml:space="preserve">Environmental and planning laws need strong </w:t>
      </w:r>
      <w:r w:rsidR="00946D6B">
        <w:rPr>
          <w:rFonts w:cs="Arial"/>
          <w:szCs w:val="22"/>
        </w:rPr>
        <w:t xml:space="preserve">powers, </w:t>
      </w:r>
      <w:r>
        <w:rPr>
          <w:rFonts w:cs="Arial"/>
          <w:szCs w:val="22"/>
        </w:rPr>
        <w:t xml:space="preserve">commitments </w:t>
      </w:r>
      <w:r w:rsidR="00946D6B">
        <w:rPr>
          <w:rFonts w:cs="Arial"/>
          <w:szCs w:val="22"/>
        </w:rPr>
        <w:t>and resources</w:t>
      </w:r>
      <w:r>
        <w:rPr>
          <w:rFonts w:cs="Arial"/>
          <w:szCs w:val="22"/>
        </w:rPr>
        <w:t xml:space="preserve"> to monitor compliance and enforce breaches. Otherwise, these laws cannot be efficient or effective </w:t>
      </w:r>
      <w:r w:rsidR="00D12780">
        <w:rPr>
          <w:rFonts w:cs="Arial"/>
          <w:szCs w:val="22"/>
        </w:rPr>
        <w:t xml:space="preserve">systems </w:t>
      </w:r>
      <w:r w:rsidR="00FF0FD0">
        <w:rPr>
          <w:rFonts w:cs="Arial"/>
          <w:szCs w:val="22"/>
        </w:rPr>
        <w:t>that</w:t>
      </w:r>
      <w:r>
        <w:rPr>
          <w:rFonts w:cs="Arial"/>
          <w:szCs w:val="22"/>
        </w:rPr>
        <w:t xml:space="preserve"> </w:t>
      </w:r>
      <w:r w:rsidR="00B30260">
        <w:rPr>
          <w:rFonts w:cs="Arial"/>
          <w:szCs w:val="22"/>
        </w:rPr>
        <w:t xml:space="preserve">promote and </w:t>
      </w:r>
      <w:r w:rsidR="00D12780">
        <w:rPr>
          <w:rFonts w:cs="Arial"/>
          <w:szCs w:val="22"/>
        </w:rPr>
        <w:t xml:space="preserve">ensure </w:t>
      </w:r>
      <w:r>
        <w:rPr>
          <w:rFonts w:cs="Arial"/>
          <w:szCs w:val="22"/>
        </w:rPr>
        <w:t>major project compl</w:t>
      </w:r>
      <w:r w:rsidR="00B30260">
        <w:rPr>
          <w:rFonts w:cs="Arial"/>
          <w:szCs w:val="22"/>
        </w:rPr>
        <w:t>iance</w:t>
      </w:r>
      <w:r>
        <w:rPr>
          <w:rFonts w:cs="Arial"/>
          <w:szCs w:val="22"/>
        </w:rPr>
        <w:t>. A</w:t>
      </w:r>
      <w:r w:rsidR="00FF0FD0">
        <w:rPr>
          <w:rFonts w:cs="Arial"/>
          <w:szCs w:val="22"/>
        </w:rPr>
        <w:t> </w:t>
      </w:r>
      <w:r>
        <w:rPr>
          <w:rFonts w:cs="Arial"/>
          <w:szCs w:val="22"/>
        </w:rPr>
        <w:t>combination of factors is needed for effective compliance and enforcement, including:</w:t>
      </w:r>
    </w:p>
    <w:p w:rsidR="00DB79F9" w:rsidRDefault="00DB79F9" w:rsidP="00DB79F9">
      <w:pPr>
        <w:numPr>
          <w:ilvl w:val="0"/>
          <w:numId w:val="55"/>
        </w:numPr>
        <w:rPr>
          <w:rFonts w:cs="Arial"/>
          <w:szCs w:val="22"/>
        </w:rPr>
      </w:pPr>
      <w:r>
        <w:rPr>
          <w:rFonts w:cs="Arial"/>
          <w:szCs w:val="22"/>
        </w:rPr>
        <w:t xml:space="preserve">independent and comprehensive </w:t>
      </w:r>
      <w:proofErr w:type="spellStart"/>
      <w:r>
        <w:rPr>
          <w:rFonts w:cs="Arial"/>
          <w:szCs w:val="22"/>
        </w:rPr>
        <w:t>EIA</w:t>
      </w:r>
      <w:proofErr w:type="spellEnd"/>
      <w:r>
        <w:rPr>
          <w:rFonts w:cs="Arial"/>
          <w:szCs w:val="22"/>
        </w:rPr>
        <w:t xml:space="preserve">, drawing on baseline environmental data; </w:t>
      </w:r>
    </w:p>
    <w:p w:rsidR="00DB79F9" w:rsidRDefault="00DB79F9" w:rsidP="00DB79F9">
      <w:pPr>
        <w:numPr>
          <w:ilvl w:val="0"/>
          <w:numId w:val="55"/>
        </w:numPr>
        <w:rPr>
          <w:rFonts w:cs="Arial"/>
          <w:szCs w:val="22"/>
        </w:rPr>
      </w:pPr>
      <w:r>
        <w:rPr>
          <w:rFonts w:cs="Arial"/>
          <w:szCs w:val="22"/>
        </w:rPr>
        <w:t xml:space="preserve">robust and enforceable conditions on licences and development consents; </w:t>
      </w:r>
    </w:p>
    <w:p w:rsidR="00DB79F9" w:rsidRDefault="00DB79F9" w:rsidP="00DB79F9">
      <w:pPr>
        <w:numPr>
          <w:ilvl w:val="0"/>
          <w:numId w:val="55"/>
        </w:numPr>
        <w:rPr>
          <w:rFonts w:cs="Arial"/>
          <w:szCs w:val="22"/>
        </w:rPr>
      </w:pPr>
      <w:r>
        <w:rPr>
          <w:rFonts w:cs="Arial"/>
          <w:szCs w:val="22"/>
        </w:rPr>
        <w:t xml:space="preserve">ongoing monitoring and oversight of project operations after approval; </w:t>
      </w:r>
    </w:p>
    <w:p w:rsidR="00DB79F9" w:rsidRDefault="00DB79F9" w:rsidP="00DB79F9">
      <w:pPr>
        <w:numPr>
          <w:ilvl w:val="0"/>
          <w:numId w:val="55"/>
        </w:numPr>
        <w:rPr>
          <w:rFonts w:cs="Arial"/>
          <w:szCs w:val="22"/>
        </w:rPr>
      </w:pPr>
      <w:r>
        <w:rPr>
          <w:rFonts w:cs="Arial"/>
          <w:szCs w:val="22"/>
        </w:rPr>
        <w:t xml:space="preserve">independent regulators with the powers, skills and resources to act on breaches; </w:t>
      </w:r>
    </w:p>
    <w:p w:rsidR="00DB79F9" w:rsidRPr="0037449A" w:rsidRDefault="00DB79F9" w:rsidP="00DB79F9">
      <w:pPr>
        <w:numPr>
          <w:ilvl w:val="0"/>
          <w:numId w:val="55"/>
        </w:numPr>
        <w:rPr>
          <w:rFonts w:cs="Arial"/>
          <w:szCs w:val="22"/>
        </w:rPr>
      </w:pPr>
      <w:r w:rsidRPr="0037449A">
        <w:rPr>
          <w:rFonts w:cs="Arial"/>
          <w:szCs w:val="22"/>
        </w:rPr>
        <w:t>open and accessible court processes for communities to take enforcement action.</w:t>
      </w:r>
    </w:p>
    <w:p w:rsidR="00DB79F9" w:rsidRDefault="00DB79F9" w:rsidP="00DB79F9">
      <w:pPr>
        <w:rPr>
          <w:rFonts w:cs="Arial"/>
          <w:szCs w:val="22"/>
        </w:rPr>
      </w:pPr>
    </w:p>
    <w:p w:rsidR="00DB79F9" w:rsidRDefault="00B30260" w:rsidP="00DB79F9">
      <w:pPr>
        <w:rPr>
          <w:rFonts w:cs="Arial"/>
          <w:szCs w:val="22"/>
        </w:rPr>
      </w:pPr>
      <w:r>
        <w:rPr>
          <w:rFonts w:cs="Arial"/>
          <w:szCs w:val="22"/>
        </w:rPr>
        <w:t>R</w:t>
      </w:r>
      <w:r w:rsidR="00DB79F9" w:rsidRPr="009D3BBF">
        <w:rPr>
          <w:rFonts w:cs="Arial"/>
          <w:szCs w:val="22"/>
        </w:rPr>
        <w:t>egulatory resources</w:t>
      </w:r>
      <w:r w:rsidR="00DB79F9">
        <w:rPr>
          <w:rFonts w:cs="Arial"/>
          <w:szCs w:val="22"/>
        </w:rPr>
        <w:t xml:space="preserve"> must keep pace with industry expansion to avoid increased risks to communities and the environment. In 2009, a Senate committee called for urgent review of under-resourcing of federal environmental regulation.</w:t>
      </w:r>
      <w:r w:rsidR="00DB79F9">
        <w:rPr>
          <w:rFonts w:cs="Arial"/>
          <w:szCs w:val="22"/>
          <w:vertAlign w:val="superscript"/>
        </w:rPr>
        <w:footnoteReference w:id="71"/>
      </w:r>
      <w:r w:rsidR="00DB79F9">
        <w:rPr>
          <w:rFonts w:cs="Arial"/>
          <w:szCs w:val="22"/>
        </w:rPr>
        <w:t xml:space="preserve"> </w:t>
      </w:r>
      <w:r w:rsidR="00D12780">
        <w:rPr>
          <w:rFonts w:cs="Arial"/>
          <w:szCs w:val="22"/>
        </w:rPr>
        <w:t xml:space="preserve"> A headline finding of the 2011 </w:t>
      </w:r>
      <w:r w:rsidR="00D12780" w:rsidRPr="004D6F76">
        <w:rPr>
          <w:rFonts w:cs="Arial"/>
          <w:i/>
          <w:szCs w:val="22"/>
        </w:rPr>
        <w:t>State of the Environment Report</w:t>
      </w:r>
      <w:r w:rsidR="00D12780">
        <w:rPr>
          <w:rFonts w:cs="Arial"/>
          <w:szCs w:val="22"/>
        </w:rPr>
        <w:t xml:space="preserve"> concluded that ‘Our extraordinary and diverse natural and cultural heritage is currently in good condition, but is threatened by natural and human processes, and a lack of public sector resourcing.’  </w:t>
      </w:r>
      <w:r w:rsidR="00DB79F9">
        <w:rPr>
          <w:rFonts w:cs="Arial"/>
          <w:szCs w:val="22"/>
        </w:rPr>
        <w:t xml:space="preserve">Evidence and submissions to the NSW </w:t>
      </w:r>
      <w:proofErr w:type="spellStart"/>
      <w:r w:rsidR="00DB79F9">
        <w:rPr>
          <w:rFonts w:cs="Arial"/>
          <w:szCs w:val="22"/>
        </w:rPr>
        <w:t>CSG</w:t>
      </w:r>
      <w:proofErr w:type="spellEnd"/>
      <w:r w:rsidR="00DB79F9">
        <w:rPr>
          <w:rFonts w:cs="Arial"/>
          <w:szCs w:val="22"/>
        </w:rPr>
        <w:t xml:space="preserve"> Inquiry also noted the limited resources available to monitor activities and enforce regulatory compliance.</w:t>
      </w:r>
      <w:r w:rsidR="00DB79F9">
        <w:rPr>
          <w:rFonts w:cs="Arial"/>
          <w:szCs w:val="22"/>
          <w:vertAlign w:val="superscript"/>
        </w:rPr>
        <w:footnoteReference w:id="72"/>
      </w:r>
      <w:r w:rsidR="00DB79F9">
        <w:rPr>
          <w:rFonts w:cs="Arial"/>
          <w:szCs w:val="22"/>
        </w:rPr>
        <w:t xml:space="preserve"> Questions of regulatory independence and ‘conflicts of duties’ have also been raised, particularly where agencies are responsible for ‘promoting and facilitating’ an industry, as well as licensing and enforcement action.</w:t>
      </w:r>
      <w:r w:rsidR="00DB79F9">
        <w:rPr>
          <w:rStyle w:val="FootnoteReference"/>
          <w:rFonts w:cs="Arial"/>
          <w:szCs w:val="22"/>
        </w:rPr>
        <w:footnoteReference w:id="73"/>
      </w:r>
    </w:p>
    <w:p w:rsidR="00DB79F9" w:rsidRDefault="00DB79F9" w:rsidP="00DB79F9">
      <w:pPr>
        <w:rPr>
          <w:rFonts w:cs="Arial"/>
          <w:szCs w:val="22"/>
        </w:rPr>
      </w:pPr>
    </w:p>
    <w:p w:rsidR="00DB79F9" w:rsidRPr="009D3BBF" w:rsidRDefault="00DB79F9" w:rsidP="00DB79F9">
      <w:pPr>
        <w:rPr>
          <w:rFonts w:cs="Arial"/>
          <w:szCs w:val="22"/>
        </w:rPr>
      </w:pPr>
      <w:r>
        <w:rPr>
          <w:rFonts w:cs="Arial"/>
          <w:szCs w:val="22"/>
        </w:rPr>
        <w:t>The above factors may in part explain why s</w:t>
      </w:r>
      <w:r w:rsidRPr="00AA35AE">
        <w:rPr>
          <w:rFonts w:cs="Arial"/>
          <w:szCs w:val="22"/>
        </w:rPr>
        <w:t xml:space="preserve">tate and territory </w:t>
      </w:r>
      <w:r>
        <w:rPr>
          <w:rFonts w:cs="Arial"/>
          <w:szCs w:val="22"/>
        </w:rPr>
        <w:t>g</w:t>
      </w:r>
      <w:r w:rsidRPr="00AA35AE">
        <w:rPr>
          <w:rFonts w:cs="Arial"/>
          <w:szCs w:val="22"/>
        </w:rPr>
        <w:t xml:space="preserve">overnments </w:t>
      </w:r>
      <w:r>
        <w:rPr>
          <w:rFonts w:cs="Arial"/>
          <w:szCs w:val="22"/>
        </w:rPr>
        <w:t xml:space="preserve">generally </w:t>
      </w:r>
      <w:r w:rsidRPr="00AA35AE">
        <w:rPr>
          <w:rFonts w:cs="Arial"/>
          <w:szCs w:val="22"/>
        </w:rPr>
        <w:t>have a poor track record of enforcing</w:t>
      </w:r>
      <w:r>
        <w:rPr>
          <w:rFonts w:cs="Arial"/>
          <w:szCs w:val="22"/>
        </w:rPr>
        <w:t xml:space="preserve"> compliance with</w:t>
      </w:r>
      <w:r w:rsidRPr="00AA35AE">
        <w:rPr>
          <w:rFonts w:cs="Arial"/>
          <w:szCs w:val="22"/>
        </w:rPr>
        <w:t xml:space="preserve"> their own environment and </w:t>
      </w:r>
      <w:r w:rsidRPr="00AA35AE">
        <w:rPr>
          <w:rFonts w:cs="Arial"/>
          <w:szCs w:val="22"/>
        </w:rPr>
        <w:lastRenderedPageBreak/>
        <w:t>planning laws.</w:t>
      </w:r>
      <w:r w:rsidRPr="00AA35AE">
        <w:rPr>
          <w:rFonts w:cs="Arial"/>
          <w:szCs w:val="22"/>
          <w:vertAlign w:val="superscript"/>
        </w:rPr>
        <w:footnoteReference w:id="74"/>
      </w:r>
      <w:r>
        <w:rPr>
          <w:rFonts w:cs="Arial"/>
          <w:szCs w:val="22"/>
        </w:rPr>
        <w:t xml:space="preserve"> </w:t>
      </w:r>
      <w:r w:rsidRPr="00E95327">
        <w:rPr>
          <w:rFonts w:cs="Arial"/>
          <w:szCs w:val="22"/>
        </w:rPr>
        <w:t>Without a diverse range of compliance and enforcement options, backed by clear government commitments to audit compliance, investigate breaches and enforce the law, there will be little incentive on major project proponents to comply with the law.</w:t>
      </w:r>
      <w:r w:rsidRPr="00E95327">
        <w:rPr>
          <w:rStyle w:val="FootnoteReference"/>
          <w:rFonts w:cs="Arial"/>
          <w:szCs w:val="22"/>
        </w:rPr>
        <w:footnoteReference w:id="75"/>
      </w:r>
      <w:r w:rsidRPr="009D3BBF">
        <w:rPr>
          <w:rFonts w:cs="Arial"/>
          <w:szCs w:val="22"/>
        </w:rPr>
        <w:t xml:space="preserve"> </w:t>
      </w:r>
      <w:r>
        <w:rPr>
          <w:rFonts w:cs="Arial"/>
          <w:szCs w:val="22"/>
        </w:rPr>
        <w:t xml:space="preserve"> Some fast-tracking regimes further limit third party standing for enforcement action where major projects breach conditions.</w:t>
      </w:r>
      <w:r>
        <w:rPr>
          <w:rStyle w:val="FootnoteReference"/>
          <w:rFonts w:cs="Arial"/>
          <w:szCs w:val="22"/>
        </w:rPr>
        <w:footnoteReference w:id="76"/>
      </w:r>
    </w:p>
    <w:p w:rsidR="00DB79F9" w:rsidRDefault="00DB79F9" w:rsidP="00DB79F9">
      <w:pPr>
        <w:rPr>
          <w:rFonts w:cs="Arial"/>
          <w:szCs w:val="22"/>
        </w:rPr>
      </w:pPr>
    </w:p>
    <w:p w:rsidR="00DB79F9" w:rsidRDefault="00DB79F9" w:rsidP="00DB79F9">
      <w:pPr>
        <w:rPr>
          <w:rFonts w:cs="Arial"/>
          <w:szCs w:val="22"/>
        </w:rPr>
      </w:pPr>
      <w:r>
        <w:rPr>
          <w:rFonts w:cs="Arial"/>
          <w:szCs w:val="22"/>
        </w:rPr>
        <w:t xml:space="preserve">Enforcement issues have been a further source of </w:t>
      </w:r>
      <w:proofErr w:type="spellStart"/>
      <w:r>
        <w:rPr>
          <w:rFonts w:cs="Arial"/>
          <w:szCs w:val="22"/>
        </w:rPr>
        <w:t>ANEDO’s</w:t>
      </w:r>
      <w:proofErr w:type="spellEnd"/>
      <w:r>
        <w:rPr>
          <w:rFonts w:cs="Arial"/>
          <w:szCs w:val="22"/>
        </w:rPr>
        <w:t xml:space="preserve"> concern about proposals to accredit state </w:t>
      </w:r>
      <w:proofErr w:type="spellStart"/>
      <w:r>
        <w:rPr>
          <w:rFonts w:cs="Arial"/>
          <w:szCs w:val="22"/>
        </w:rPr>
        <w:t>DAA</w:t>
      </w:r>
      <w:proofErr w:type="spellEnd"/>
      <w:r>
        <w:rPr>
          <w:rFonts w:cs="Arial"/>
          <w:szCs w:val="22"/>
        </w:rPr>
        <w:t xml:space="preserve"> processes. If the Commonwealth’s enforcement of the </w:t>
      </w:r>
      <w:proofErr w:type="spellStart"/>
      <w:r>
        <w:rPr>
          <w:rFonts w:cs="Arial"/>
          <w:szCs w:val="22"/>
        </w:rPr>
        <w:t>EPBC</w:t>
      </w:r>
      <w:proofErr w:type="spellEnd"/>
      <w:r>
        <w:rPr>
          <w:rFonts w:cs="Arial"/>
          <w:szCs w:val="22"/>
        </w:rPr>
        <w:t xml:space="preserve"> Act were ‘switched off’ for state-approved projects, the community would have no guarantee that States/Territories would </w:t>
      </w:r>
      <w:r w:rsidRPr="00EB1B43">
        <w:rPr>
          <w:rFonts w:cs="Arial"/>
          <w:szCs w:val="22"/>
        </w:rPr>
        <w:t xml:space="preserve">fill the </w:t>
      </w:r>
      <w:r>
        <w:rPr>
          <w:rFonts w:cs="Arial"/>
          <w:szCs w:val="22"/>
        </w:rPr>
        <w:t>gap.</w:t>
      </w:r>
      <w:r>
        <w:rPr>
          <w:rStyle w:val="FootnoteReference"/>
          <w:rFonts w:cs="Arial"/>
          <w:szCs w:val="22"/>
        </w:rPr>
        <w:footnoteReference w:id="77"/>
      </w:r>
      <w:r w:rsidRPr="00493157">
        <w:rPr>
          <w:rFonts w:cs="Arial"/>
          <w:szCs w:val="22"/>
        </w:rPr>
        <w:t xml:space="preserve"> </w:t>
      </w:r>
      <w:r>
        <w:rPr>
          <w:rFonts w:cs="Arial"/>
          <w:szCs w:val="22"/>
        </w:rPr>
        <w:t xml:space="preserve">For example, in the last three years the federal Environment Department investigated 980 incidents under the </w:t>
      </w:r>
      <w:proofErr w:type="spellStart"/>
      <w:r>
        <w:rPr>
          <w:rFonts w:cs="Arial"/>
          <w:szCs w:val="22"/>
        </w:rPr>
        <w:t>EPBC</w:t>
      </w:r>
      <w:proofErr w:type="spellEnd"/>
      <w:r>
        <w:rPr>
          <w:rFonts w:cs="Arial"/>
          <w:szCs w:val="22"/>
        </w:rPr>
        <w:t xml:space="preserve"> Act. The Department </w:t>
      </w:r>
      <w:r w:rsidRPr="00AB6664">
        <w:rPr>
          <w:rFonts w:cs="Arial"/>
          <w:szCs w:val="22"/>
        </w:rPr>
        <w:t>also undertook over 40 court actions</w:t>
      </w:r>
      <w:r>
        <w:rPr>
          <w:rFonts w:cs="Arial"/>
          <w:szCs w:val="22"/>
        </w:rPr>
        <w:t xml:space="preserve"> resulting </w:t>
      </w:r>
      <w:r w:rsidRPr="00022BB4">
        <w:rPr>
          <w:rFonts w:cs="Arial"/>
          <w:szCs w:val="22"/>
        </w:rPr>
        <w:t>in fines and enforceable undertakings totalling almost $4 million.</w:t>
      </w:r>
      <w:r w:rsidRPr="00022BB4">
        <w:rPr>
          <w:rStyle w:val="FootnoteReference"/>
          <w:rFonts w:cs="Arial"/>
          <w:szCs w:val="22"/>
        </w:rPr>
        <w:footnoteReference w:id="78"/>
      </w:r>
      <w:r>
        <w:rPr>
          <w:rFonts w:cs="Arial"/>
          <w:szCs w:val="22"/>
        </w:rPr>
        <w:t xml:space="preserve">  </w:t>
      </w:r>
    </w:p>
    <w:p w:rsidR="00DB79F9" w:rsidRDefault="00DB79F9" w:rsidP="00DB79F9">
      <w:pPr>
        <w:rPr>
          <w:rFonts w:cs="Arial"/>
          <w:szCs w:val="22"/>
        </w:rPr>
      </w:pPr>
    </w:p>
    <w:p w:rsidR="00DB79F9" w:rsidRPr="009B00E5" w:rsidRDefault="00DB79F9" w:rsidP="004D6F76">
      <w:pPr>
        <w:spacing w:after="120"/>
        <w:rPr>
          <w:rFonts w:cs="Arial"/>
          <w:b/>
          <w:szCs w:val="22"/>
        </w:rPr>
      </w:pPr>
      <w:r w:rsidRPr="00E95327">
        <w:rPr>
          <w:rFonts w:cs="Arial"/>
          <w:b/>
          <w:i/>
          <w:szCs w:val="22"/>
          <w:lang w:val="en-US"/>
        </w:rPr>
        <w:t xml:space="preserve">Recommendation: </w:t>
      </w:r>
      <w:r w:rsidRPr="00882BBE">
        <w:rPr>
          <w:rFonts w:cs="Arial"/>
          <w:b/>
          <w:szCs w:val="22"/>
          <w:lang w:val="en-US"/>
        </w:rPr>
        <w:t xml:space="preserve">The Productivity Commission should identify compliance monitoring, </w:t>
      </w:r>
      <w:r w:rsidRPr="009B00E5">
        <w:rPr>
          <w:rFonts w:cs="Arial"/>
          <w:b/>
          <w:szCs w:val="22"/>
          <w:lang w:val="en-US"/>
        </w:rPr>
        <w:t>enforcement and reporting as an essential area for</w:t>
      </w:r>
      <w:r>
        <w:rPr>
          <w:rFonts w:cs="Arial"/>
          <w:b/>
          <w:szCs w:val="22"/>
          <w:lang w:val="en-US"/>
        </w:rPr>
        <w:t xml:space="preserve"> improving</w:t>
      </w:r>
      <w:r w:rsidRPr="009B00E5">
        <w:rPr>
          <w:rFonts w:cs="Arial"/>
          <w:b/>
          <w:szCs w:val="22"/>
          <w:lang w:val="en-US"/>
        </w:rPr>
        <w:t xml:space="preserve"> major project regulation. </w:t>
      </w:r>
      <w:r w:rsidRPr="009B00E5">
        <w:rPr>
          <w:rFonts w:cs="Arial"/>
          <w:b/>
          <w:szCs w:val="22"/>
        </w:rPr>
        <w:t>Leading practices should include:</w:t>
      </w:r>
    </w:p>
    <w:p w:rsidR="00DB79F9" w:rsidRPr="009B00E5" w:rsidRDefault="00DB79F9" w:rsidP="00DB79F9">
      <w:pPr>
        <w:numPr>
          <w:ilvl w:val="0"/>
          <w:numId w:val="54"/>
        </w:numPr>
        <w:rPr>
          <w:rFonts w:cs="Arial"/>
          <w:b/>
          <w:szCs w:val="22"/>
        </w:rPr>
      </w:pPr>
      <w:r w:rsidRPr="009B00E5">
        <w:rPr>
          <w:rFonts w:cs="Arial"/>
          <w:b/>
          <w:szCs w:val="22"/>
        </w:rPr>
        <w:t>independent audits of project compliance with licensing and consent conditions</w:t>
      </w:r>
      <w:r>
        <w:rPr>
          <w:rFonts w:cs="Arial"/>
          <w:b/>
          <w:szCs w:val="22"/>
        </w:rPr>
        <w:t xml:space="preserve">, as well as </w:t>
      </w:r>
      <w:r w:rsidRPr="009B00E5">
        <w:rPr>
          <w:rFonts w:cs="Arial"/>
          <w:b/>
          <w:szCs w:val="22"/>
        </w:rPr>
        <w:t xml:space="preserve">the accuracy of </w:t>
      </w:r>
      <w:proofErr w:type="spellStart"/>
      <w:r w:rsidRPr="009B00E5">
        <w:rPr>
          <w:rFonts w:cs="Arial"/>
          <w:b/>
          <w:szCs w:val="22"/>
        </w:rPr>
        <w:t>EIA</w:t>
      </w:r>
      <w:proofErr w:type="spellEnd"/>
      <w:r w:rsidRPr="009B00E5">
        <w:rPr>
          <w:rFonts w:cs="Arial"/>
          <w:b/>
          <w:szCs w:val="22"/>
        </w:rPr>
        <w:t xml:space="preserve"> predictions;</w:t>
      </w:r>
    </w:p>
    <w:p w:rsidR="00DB79F9" w:rsidRDefault="00DB79F9" w:rsidP="00DB79F9">
      <w:pPr>
        <w:numPr>
          <w:ilvl w:val="0"/>
          <w:numId w:val="54"/>
        </w:numPr>
        <w:rPr>
          <w:rFonts w:cs="Arial"/>
          <w:b/>
          <w:szCs w:val="22"/>
        </w:rPr>
      </w:pPr>
      <w:r w:rsidRPr="009B00E5">
        <w:rPr>
          <w:rFonts w:cs="Arial"/>
          <w:b/>
          <w:szCs w:val="22"/>
        </w:rPr>
        <w:t>accurate, transparent and accessible information, pre- and post-approval;</w:t>
      </w:r>
    </w:p>
    <w:p w:rsidR="00DB79F9" w:rsidRPr="006A0A1A" w:rsidRDefault="00DB79F9" w:rsidP="00DB79F9">
      <w:pPr>
        <w:numPr>
          <w:ilvl w:val="0"/>
          <w:numId w:val="54"/>
        </w:numPr>
        <w:rPr>
          <w:rFonts w:cs="Arial"/>
          <w:b/>
          <w:szCs w:val="22"/>
        </w:rPr>
      </w:pPr>
      <w:r w:rsidRPr="006A0A1A">
        <w:rPr>
          <w:rFonts w:cs="Arial"/>
          <w:b/>
          <w:szCs w:val="22"/>
        </w:rPr>
        <w:t>clear lines of enforcement responsibility, and accountability for performance;</w:t>
      </w:r>
    </w:p>
    <w:p w:rsidR="00DB79F9" w:rsidRPr="009B00E5" w:rsidRDefault="00DB79F9" w:rsidP="00DB79F9">
      <w:pPr>
        <w:numPr>
          <w:ilvl w:val="0"/>
          <w:numId w:val="54"/>
        </w:numPr>
        <w:rPr>
          <w:rFonts w:cs="Arial"/>
          <w:b/>
          <w:szCs w:val="22"/>
        </w:rPr>
      </w:pPr>
      <w:r w:rsidRPr="009B00E5">
        <w:rPr>
          <w:rFonts w:cs="Arial"/>
          <w:b/>
          <w:szCs w:val="22"/>
        </w:rPr>
        <w:t>ongoing monitoring and responsiveness to community reporting</w:t>
      </w:r>
      <w:r>
        <w:rPr>
          <w:rFonts w:cs="Arial"/>
          <w:b/>
          <w:szCs w:val="22"/>
        </w:rPr>
        <w:t xml:space="preserve"> of</w:t>
      </w:r>
      <w:r w:rsidRPr="009B00E5">
        <w:rPr>
          <w:rFonts w:cs="Arial"/>
          <w:b/>
          <w:szCs w:val="22"/>
        </w:rPr>
        <w:t xml:space="preserve"> breaches;</w:t>
      </w:r>
    </w:p>
    <w:p w:rsidR="00DB79F9" w:rsidRDefault="00DB79F9" w:rsidP="00DB79F9">
      <w:pPr>
        <w:numPr>
          <w:ilvl w:val="0"/>
          <w:numId w:val="54"/>
        </w:numPr>
        <w:rPr>
          <w:rFonts w:cs="Arial"/>
          <w:b/>
          <w:szCs w:val="22"/>
        </w:rPr>
      </w:pPr>
      <w:r w:rsidRPr="009B00E5">
        <w:rPr>
          <w:rFonts w:cs="Arial"/>
          <w:b/>
          <w:szCs w:val="22"/>
        </w:rPr>
        <w:t>enduring proponent responsibilities for future impacts and rehabilitation goals;</w:t>
      </w:r>
    </w:p>
    <w:p w:rsidR="00DB79F9" w:rsidRPr="006A0A1A" w:rsidRDefault="00DB79F9" w:rsidP="00DB79F9">
      <w:pPr>
        <w:numPr>
          <w:ilvl w:val="0"/>
          <w:numId w:val="54"/>
        </w:numPr>
        <w:rPr>
          <w:rFonts w:cs="Arial"/>
          <w:b/>
          <w:szCs w:val="22"/>
        </w:rPr>
      </w:pPr>
      <w:r w:rsidRPr="006A0A1A">
        <w:rPr>
          <w:rFonts w:cs="Arial"/>
          <w:b/>
          <w:szCs w:val="22"/>
        </w:rPr>
        <w:t>a tiered enforcement framework – to deter misconduct and ensure breaches result in proportionate punishment;</w:t>
      </w:r>
      <w:r>
        <w:rPr>
          <w:rStyle w:val="FootnoteReference"/>
          <w:rFonts w:cs="Arial"/>
          <w:b/>
          <w:szCs w:val="22"/>
        </w:rPr>
        <w:footnoteReference w:id="79"/>
      </w:r>
      <w:r w:rsidRPr="006A0A1A">
        <w:rPr>
          <w:rFonts w:cs="Arial"/>
          <w:b/>
          <w:szCs w:val="22"/>
        </w:rPr>
        <w:t xml:space="preserve"> </w:t>
      </w:r>
    </w:p>
    <w:p w:rsidR="00DB79F9" w:rsidRDefault="00DB79F9" w:rsidP="00DB79F9">
      <w:pPr>
        <w:numPr>
          <w:ilvl w:val="0"/>
          <w:numId w:val="54"/>
        </w:numPr>
        <w:jc w:val="both"/>
        <w:rPr>
          <w:rFonts w:cs="Arial"/>
          <w:b/>
          <w:szCs w:val="22"/>
        </w:rPr>
      </w:pPr>
      <w:r w:rsidRPr="009B00E5">
        <w:rPr>
          <w:rFonts w:cs="Arial"/>
          <w:b/>
          <w:szCs w:val="22"/>
        </w:rPr>
        <w:t>a wider range of innovative enforcement tools for regulators, community and the courts, as found in some other environment and pollution laws;</w:t>
      </w:r>
      <w:r>
        <w:rPr>
          <w:rStyle w:val="FootnoteReference"/>
          <w:rFonts w:cs="Arial"/>
          <w:b/>
          <w:szCs w:val="22"/>
        </w:rPr>
        <w:footnoteReference w:id="80"/>
      </w:r>
    </w:p>
    <w:p w:rsidR="00DB79F9" w:rsidRPr="006A0A1A" w:rsidRDefault="00DB79F9" w:rsidP="00DB79F9">
      <w:pPr>
        <w:numPr>
          <w:ilvl w:val="0"/>
          <w:numId w:val="54"/>
        </w:numPr>
        <w:jc w:val="both"/>
        <w:rPr>
          <w:rFonts w:cs="Arial"/>
          <w:b/>
          <w:szCs w:val="22"/>
        </w:rPr>
      </w:pPr>
      <w:r w:rsidRPr="006A0A1A">
        <w:rPr>
          <w:rFonts w:cs="Arial"/>
          <w:b/>
          <w:szCs w:val="22"/>
        </w:rPr>
        <w:t>a shared commitment from industry and governments to fund improved monitoring and enforcement – in order to do business safely and responsibly;</w:t>
      </w:r>
    </w:p>
    <w:p w:rsidR="00DB79F9" w:rsidRDefault="00DB79F9" w:rsidP="00DB79F9">
      <w:pPr>
        <w:numPr>
          <w:ilvl w:val="0"/>
          <w:numId w:val="54"/>
        </w:numPr>
        <w:rPr>
          <w:rFonts w:cs="Arial"/>
          <w:b/>
          <w:szCs w:val="22"/>
        </w:rPr>
      </w:pPr>
      <w:r w:rsidRPr="009B00E5">
        <w:rPr>
          <w:rFonts w:cs="Arial"/>
          <w:b/>
          <w:szCs w:val="22"/>
        </w:rPr>
        <w:t>options for additional funding of research, monitoring and enforcement activities, such as from royalties, licence fees or industry levies</w:t>
      </w:r>
      <w:r>
        <w:rPr>
          <w:rFonts w:cs="Arial"/>
          <w:b/>
          <w:szCs w:val="22"/>
        </w:rPr>
        <w:t>.</w:t>
      </w:r>
      <w:r w:rsidRPr="009B00E5">
        <w:rPr>
          <w:rFonts w:cs="Arial"/>
          <w:b/>
          <w:szCs w:val="22"/>
          <w:vertAlign w:val="superscript"/>
        </w:rPr>
        <w:footnoteReference w:id="81"/>
      </w:r>
    </w:p>
    <w:p w:rsidR="00DB79F9" w:rsidRDefault="00DB79F9" w:rsidP="00497CD2">
      <w:pPr>
        <w:rPr>
          <w:rFonts w:cs="Arial"/>
          <w:b/>
          <w:szCs w:val="22"/>
        </w:rPr>
      </w:pPr>
    </w:p>
    <w:p w:rsidR="00DB79F9" w:rsidRPr="006A0A1A" w:rsidRDefault="00DB79F9" w:rsidP="00497CD2">
      <w:pPr>
        <w:rPr>
          <w:rFonts w:cs="Arial"/>
          <w:b/>
          <w:szCs w:val="22"/>
        </w:rPr>
      </w:pPr>
    </w:p>
    <w:p w:rsidR="00D0695C" w:rsidRDefault="00D0695C" w:rsidP="009F1D13">
      <w:pPr>
        <w:pStyle w:val="Heading1"/>
        <w:keepNext/>
      </w:pPr>
      <w:bookmarkStart w:id="29" w:name="_Toc351985908"/>
      <w:r>
        <w:t xml:space="preserve">The </w:t>
      </w:r>
      <w:r w:rsidRPr="002260F9">
        <w:t>strategic planning context</w:t>
      </w:r>
      <w:r>
        <w:t xml:space="preserve"> for major projects in Australia</w:t>
      </w:r>
      <w:bookmarkEnd w:id="29"/>
      <w:r>
        <w:t xml:space="preserve"> </w:t>
      </w:r>
    </w:p>
    <w:p w:rsidR="002260F9" w:rsidRDefault="002260F9" w:rsidP="009F1D13">
      <w:pPr>
        <w:keepNext/>
        <w:rPr>
          <w:highlight w:val="green"/>
        </w:rPr>
      </w:pPr>
    </w:p>
    <w:p w:rsidR="002260F9" w:rsidRPr="000407C6" w:rsidRDefault="002260F9" w:rsidP="000407C6">
      <w:pPr>
        <w:spacing w:after="120"/>
      </w:pPr>
      <w:r w:rsidRPr="000407C6">
        <w:t>This part of the submission considers the following aspects related to strategic planning:</w:t>
      </w:r>
    </w:p>
    <w:p w:rsidR="000407C6" w:rsidRPr="004D6F76" w:rsidRDefault="000407C6" w:rsidP="009C52E3">
      <w:pPr>
        <w:numPr>
          <w:ilvl w:val="0"/>
          <w:numId w:val="44"/>
        </w:numPr>
        <w:rPr>
          <w:i/>
        </w:rPr>
      </w:pPr>
      <w:r w:rsidRPr="004D6F76">
        <w:rPr>
          <w:i/>
        </w:rPr>
        <w:t>Leading p</w:t>
      </w:r>
      <w:r w:rsidR="00C935F2" w:rsidRPr="004D6F76">
        <w:rPr>
          <w:i/>
        </w:rPr>
        <w:t>ractices for strategic planning</w:t>
      </w:r>
    </w:p>
    <w:p w:rsidR="000407C6" w:rsidRPr="004D6F76" w:rsidRDefault="000407C6" w:rsidP="009C52E3">
      <w:pPr>
        <w:numPr>
          <w:ilvl w:val="0"/>
          <w:numId w:val="44"/>
        </w:numPr>
        <w:rPr>
          <w:i/>
        </w:rPr>
      </w:pPr>
      <w:r w:rsidRPr="004D6F76">
        <w:rPr>
          <w:i/>
        </w:rPr>
        <w:t xml:space="preserve">Major project </w:t>
      </w:r>
      <w:proofErr w:type="spellStart"/>
      <w:r w:rsidRPr="004D6F76">
        <w:rPr>
          <w:i/>
        </w:rPr>
        <w:t>DAA</w:t>
      </w:r>
      <w:proofErr w:type="spellEnd"/>
      <w:r w:rsidRPr="004D6F76">
        <w:rPr>
          <w:i/>
        </w:rPr>
        <w:t xml:space="preserve"> must </w:t>
      </w:r>
      <w:r w:rsidR="00C935F2" w:rsidRPr="004D6F76">
        <w:rPr>
          <w:i/>
        </w:rPr>
        <w:t>account for</w:t>
      </w:r>
      <w:r w:rsidRPr="004D6F76">
        <w:rPr>
          <w:i/>
        </w:rPr>
        <w:t xml:space="preserve"> cumulative impacts </w:t>
      </w:r>
    </w:p>
    <w:p w:rsidR="009F1D13" w:rsidRPr="004D6F76" w:rsidRDefault="000407C6" w:rsidP="009C52E3">
      <w:pPr>
        <w:numPr>
          <w:ilvl w:val="0"/>
          <w:numId w:val="44"/>
        </w:numPr>
        <w:rPr>
          <w:i/>
        </w:rPr>
      </w:pPr>
      <w:r w:rsidRPr="004D6F76">
        <w:rPr>
          <w:i/>
        </w:rPr>
        <w:t>Strategic environmental assessments need robust safeguards</w:t>
      </w:r>
    </w:p>
    <w:p w:rsidR="009F1D13" w:rsidRPr="004D6F76" w:rsidRDefault="000407C6" w:rsidP="009C52E3">
      <w:pPr>
        <w:numPr>
          <w:ilvl w:val="0"/>
          <w:numId w:val="44"/>
        </w:numPr>
        <w:rPr>
          <w:i/>
        </w:rPr>
      </w:pPr>
      <w:r w:rsidRPr="004D6F76">
        <w:rPr>
          <w:i/>
        </w:rPr>
        <w:t xml:space="preserve">Improving climate change-readiness in major project </w:t>
      </w:r>
      <w:proofErr w:type="spellStart"/>
      <w:r w:rsidRPr="004D6F76">
        <w:rPr>
          <w:i/>
        </w:rPr>
        <w:t>DAA</w:t>
      </w:r>
      <w:proofErr w:type="spellEnd"/>
      <w:r w:rsidRPr="004D6F76">
        <w:rPr>
          <w:i/>
        </w:rPr>
        <w:t xml:space="preserve"> processes</w:t>
      </w:r>
    </w:p>
    <w:p w:rsidR="000407C6" w:rsidRPr="00D12780" w:rsidRDefault="000407C6" w:rsidP="004D6F76">
      <w:pPr>
        <w:numPr>
          <w:ilvl w:val="0"/>
          <w:numId w:val="44"/>
        </w:numPr>
      </w:pPr>
      <w:r w:rsidRPr="004D6F76">
        <w:rPr>
          <w:i/>
        </w:rPr>
        <w:t>I</w:t>
      </w:r>
      <w:r w:rsidR="008A1A26" w:rsidRPr="004D6F76">
        <w:rPr>
          <w:i/>
        </w:rPr>
        <w:t>mproved integration of</w:t>
      </w:r>
      <w:r w:rsidRPr="004D6F76">
        <w:rPr>
          <w:i/>
        </w:rPr>
        <w:t xml:space="preserve"> </w:t>
      </w:r>
      <w:proofErr w:type="spellStart"/>
      <w:r w:rsidRPr="004D6F76">
        <w:rPr>
          <w:i/>
        </w:rPr>
        <w:t>NRM</w:t>
      </w:r>
      <w:proofErr w:type="spellEnd"/>
      <w:r w:rsidRPr="004D6F76">
        <w:rPr>
          <w:i/>
        </w:rPr>
        <w:t xml:space="preserve"> data</w:t>
      </w:r>
      <w:r w:rsidR="008A1A26" w:rsidRPr="004D6F76">
        <w:rPr>
          <w:i/>
        </w:rPr>
        <w:t xml:space="preserve"> </w:t>
      </w:r>
      <w:r w:rsidRPr="004D6F76">
        <w:rPr>
          <w:i/>
        </w:rPr>
        <w:t xml:space="preserve">and </w:t>
      </w:r>
      <w:r w:rsidR="008A1A26" w:rsidRPr="004D6F76">
        <w:rPr>
          <w:i/>
        </w:rPr>
        <w:t>valuation of</w:t>
      </w:r>
      <w:r w:rsidRPr="004D6F76">
        <w:rPr>
          <w:i/>
        </w:rPr>
        <w:t xml:space="preserve"> environmental assets. </w:t>
      </w:r>
    </w:p>
    <w:p w:rsidR="00D0695C" w:rsidRPr="009A2125" w:rsidRDefault="000A4913" w:rsidP="009C52E3">
      <w:pPr>
        <w:pStyle w:val="Heading2"/>
        <w:numPr>
          <w:ilvl w:val="0"/>
          <w:numId w:val="45"/>
        </w:numPr>
      </w:pPr>
      <w:bookmarkStart w:id="30" w:name="_Toc351985909"/>
      <w:r w:rsidRPr="00D12780">
        <w:t>Leading</w:t>
      </w:r>
      <w:r w:rsidRPr="009A2125">
        <w:t xml:space="preserve"> practices for strategic planning</w:t>
      </w:r>
      <w:bookmarkEnd w:id="30"/>
      <w:r w:rsidRPr="009A2125">
        <w:t xml:space="preserve"> </w:t>
      </w:r>
    </w:p>
    <w:p w:rsidR="004D2307" w:rsidRDefault="00825E2F" w:rsidP="004D2307">
      <w:pPr>
        <w:rPr>
          <w:szCs w:val="22"/>
          <w:lang w:eastAsia="en-AU"/>
        </w:rPr>
      </w:pPr>
      <w:r w:rsidRPr="004D5F37">
        <w:rPr>
          <w:szCs w:val="22"/>
        </w:rPr>
        <w:t>T</w:t>
      </w:r>
      <w:r w:rsidR="00AD4F8B" w:rsidRPr="004D5F37">
        <w:rPr>
          <w:szCs w:val="22"/>
        </w:rPr>
        <w:t xml:space="preserve">he </w:t>
      </w:r>
      <w:r w:rsidR="008629D3">
        <w:rPr>
          <w:szCs w:val="22"/>
        </w:rPr>
        <w:t>adequacy</w:t>
      </w:r>
      <w:r w:rsidR="00AD4F8B" w:rsidRPr="004D5F37">
        <w:rPr>
          <w:szCs w:val="22"/>
        </w:rPr>
        <w:t xml:space="preserve"> of Australia’s strategic planning </w:t>
      </w:r>
      <w:r w:rsidR="006A0A1A">
        <w:rPr>
          <w:szCs w:val="22"/>
        </w:rPr>
        <w:t>mechanism</w:t>
      </w:r>
      <w:r w:rsidR="00AD4F8B" w:rsidRPr="004D5F37">
        <w:rPr>
          <w:szCs w:val="22"/>
        </w:rPr>
        <w:t xml:space="preserve">s </w:t>
      </w:r>
      <w:r w:rsidRPr="004D5F37">
        <w:rPr>
          <w:szCs w:val="22"/>
        </w:rPr>
        <w:t>varies across jurisdictions. However,</w:t>
      </w:r>
      <w:r w:rsidR="00AD4F8B" w:rsidRPr="004D5F37">
        <w:rPr>
          <w:szCs w:val="22"/>
        </w:rPr>
        <w:t xml:space="preserve"> many States and Territories lack the necessary tools and legislative requirements for comprehensive, engaging and coherent strategic planning</w:t>
      </w:r>
      <w:r w:rsidRPr="004D5F37">
        <w:rPr>
          <w:szCs w:val="22"/>
        </w:rPr>
        <w:t xml:space="preserve"> to meet </w:t>
      </w:r>
      <w:r w:rsidR="008629D3">
        <w:rPr>
          <w:szCs w:val="22"/>
        </w:rPr>
        <w:t>Australia’s</w:t>
      </w:r>
      <w:r w:rsidRPr="004D5F37">
        <w:rPr>
          <w:szCs w:val="22"/>
        </w:rPr>
        <w:t xml:space="preserve"> </w:t>
      </w:r>
      <w:r w:rsidR="009A2125" w:rsidRPr="004D5F37">
        <w:rPr>
          <w:szCs w:val="22"/>
        </w:rPr>
        <w:t xml:space="preserve">growing </w:t>
      </w:r>
      <w:r w:rsidRPr="004D5F37">
        <w:rPr>
          <w:szCs w:val="22"/>
        </w:rPr>
        <w:t>sustainability challenges</w:t>
      </w:r>
      <w:r w:rsidR="00AD4F8B" w:rsidRPr="004D5F37">
        <w:rPr>
          <w:szCs w:val="22"/>
        </w:rPr>
        <w:t xml:space="preserve">. </w:t>
      </w:r>
      <w:r w:rsidRPr="004D5F37">
        <w:rPr>
          <w:szCs w:val="22"/>
          <w:lang w:eastAsia="en-AU"/>
        </w:rPr>
        <w:t>In 2011, the COAG Reform Council found that</w:t>
      </w:r>
      <w:r w:rsidRPr="004D5F37">
        <w:rPr>
          <w:b/>
          <w:bCs/>
          <w:szCs w:val="22"/>
          <w:lang w:eastAsia="en-AU"/>
        </w:rPr>
        <w:t xml:space="preserve"> </w:t>
      </w:r>
      <w:r w:rsidRPr="004D5F37">
        <w:rPr>
          <w:szCs w:val="22"/>
          <w:lang w:eastAsia="en-AU"/>
        </w:rPr>
        <w:t>no</w:t>
      </w:r>
      <w:r w:rsidR="004D2307">
        <w:rPr>
          <w:szCs w:val="22"/>
          <w:lang w:eastAsia="en-AU"/>
        </w:rPr>
        <w:t xml:space="preserve"> </w:t>
      </w:r>
      <w:r w:rsidRPr="004D5F37">
        <w:rPr>
          <w:szCs w:val="22"/>
          <w:lang w:eastAsia="en-AU"/>
        </w:rPr>
        <w:t>capital city strategic planning system</w:t>
      </w:r>
      <w:r w:rsidR="004D2307">
        <w:rPr>
          <w:szCs w:val="22"/>
          <w:lang w:eastAsia="en-AU"/>
        </w:rPr>
        <w:t xml:space="preserve"> was</w:t>
      </w:r>
      <w:r w:rsidRPr="004D5F37">
        <w:rPr>
          <w:szCs w:val="22"/>
          <w:lang w:eastAsia="en-AU"/>
        </w:rPr>
        <w:t xml:space="preserve"> consistent with COAG’s </w:t>
      </w:r>
      <w:r w:rsidR="009A2125" w:rsidRPr="004D5F37">
        <w:rPr>
          <w:szCs w:val="22"/>
          <w:lang w:eastAsia="en-AU"/>
        </w:rPr>
        <w:t xml:space="preserve">nine </w:t>
      </w:r>
      <w:r w:rsidRPr="004D5F37">
        <w:rPr>
          <w:szCs w:val="22"/>
          <w:lang w:eastAsia="en-AU"/>
        </w:rPr>
        <w:t xml:space="preserve">agreed criteria, and made a range of recommendations to improve </w:t>
      </w:r>
      <w:r w:rsidR="004D5F37" w:rsidRPr="004D5F37">
        <w:rPr>
          <w:szCs w:val="22"/>
          <w:lang w:eastAsia="en-AU"/>
        </w:rPr>
        <w:t>strategic planning</w:t>
      </w:r>
      <w:r w:rsidRPr="004D5F37">
        <w:rPr>
          <w:szCs w:val="22"/>
          <w:lang w:eastAsia="en-AU"/>
        </w:rPr>
        <w:t xml:space="preserve">. </w:t>
      </w:r>
    </w:p>
    <w:p w:rsidR="004D2307" w:rsidRDefault="004D2307" w:rsidP="004D2307">
      <w:pPr>
        <w:rPr>
          <w:szCs w:val="22"/>
          <w:lang w:eastAsia="en-AU"/>
        </w:rPr>
      </w:pPr>
    </w:p>
    <w:p w:rsidR="004D2307" w:rsidRPr="00B63943" w:rsidRDefault="004D2307" w:rsidP="004D2307">
      <w:pPr>
        <w:rPr>
          <w:rFonts w:cs="Arial"/>
          <w:b/>
          <w:i/>
          <w:sz w:val="20"/>
          <w:szCs w:val="20"/>
        </w:rPr>
      </w:pPr>
      <w:proofErr w:type="spellStart"/>
      <w:r w:rsidRPr="00825E2F">
        <w:t>ANEDO</w:t>
      </w:r>
      <w:proofErr w:type="spellEnd"/>
      <w:r w:rsidRPr="00825E2F">
        <w:t xml:space="preserve"> has recently considered strategic planning </w:t>
      </w:r>
      <w:r>
        <w:t xml:space="preserve">and </w:t>
      </w:r>
      <w:r w:rsidRPr="00825E2F">
        <w:t>major mining projects</w:t>
      </w:r>
      <w:r>
        <w:t xml:space="preserve">, and made recommendations to identify leading practices and integrate </w:t>
      </w:r>
      <w:proofErr w:type="spellStart"/>
      <w:r>
        <w:t>ESD</w:t>
      </w:r>
      <w:proofErr w:type="spellEnd"/>
      <w:r w:rsidRPr="00B63943">
        <w:t xml:space="preserve"> </w:t>
      </w:r>
      <w:r>
        <w:t>in that</w:t>
      </w:r>
      <w:r w:rsidRPr="00825E2F">
        <w:t xml:space="preserve"> context</w:t>
      </w:r>
      <w:r>
        <w:t>.</w:t>
      </w:r>
      <w:r>
        <w:rPr>
          <w:rStyle w:val="FootnoteReference"/>
        </w:rPr>
        <w:footnoteReference w:id="82"/>
      </w:r>
      <w:r>
        <w:t xml:space="preserve"> That submission, on the draft COAG/</w:t>
      </w:r>
      <w:proofErr w:type="spellStart"/>
      <w:r>
        <w:t>SCER</w:t>
      </w:r>
      <w:proofErr w:type="spellEnd"/>
      <w:r>
        <w:t xml:space="preserve"> guideline for harmonised </w:t>
      </w:r>
      <w:proofErr w:type="spellStart"/>
      <w:r>
        <w:t>CSG</w:t>
      </w:r>
      <w:proofErr w:type="spellEnd"/>
      <w:r>
        <w:t xml:space="preserve"> regulation, also analysed </w:t>
      </w:r>
      <w:r w:rsidRPr="00825E2F">
        <w:t>current initiatives to resolve competing land uses</w:t>
      </w:r>
      <w:r>
        <w:t>. This includes Queensland’s Strategic Cropping Land Policy, the NSW Strategic Regional Land Use Policy, and a Draft ‘Multiple Land Use Framework’ produced for energy ministers.</w:t>
      </w:r>
      <w:r w:rsidRPr="00825E2F">
        <w:rPr>
          <w:rStyle w:val="FootnoteReference"/>
        </w:rPr>
        <w:footnoteReference w:id="83"/>
      </w:r>
      <w:r w:rsidRPr="00825E2F">
        <w:t xml:space="preserve"> </w:t>
      </w:r>
      <w:r>
        <w:t>In general, these policies focus on agricultural values, and give insufficient weight and protection to other ecological values, resources and land uses. Current policies also rely excessively on ‘coexistence’ where mining may be genuinely incompatible with existing land uses, environmental assets and landscape limits. This reflects the lack of ‘environmental weight’ in strategic planning and major project decision making.</w:t>
      </w:r>
    </w:p>
    <w:p w:rsidR="004D5F37" w:rsidRPr="004D5F37" w:rsidRDefault="004D5F37" w:rsidP="004D5F37">
      <w:pPr>
        <w:pStyle w:val="Default"/>
        <w:rPr>
          <w:sz w:val="22"/>
          <w:szCs w:val="22"/>
        </w:rPr>
      </w:pPr>
    </w:p>
    <w:p w:rsidR="00825E2F" w:rsidRPr="00AD4F8B" w:rsidRDefault="00825E2F" w:rsidP="00556ACD">
      <w:pPr>
        <w:keepNext/>
        <w:spacing w:after="120"/>
        <w:rPr>
          <w:b/>
        </w:rPr>
      </w:pPr>
      <w:r w:rsidRPr="00AD4F8B">
        <w:rPr>
          <w:b/>
          <w:i/>
        </w:rPr>
        <w:t>Recommendation:</w:t>
      </w:r>
      <w:r w:rsidRPr="00AD4F8B">
        <w:rPr>
          <w:b/>
        </w:rPr>
        <w:t xml:space="preserve"> </w:t>
      </w:r>
      <w:proofErr w:type="spellStart"/>
      <w:r w:rsidRPr="00AD4F8B">
        <w:rPr>
          <w:b/>
        </w:rPr>
        <w:t>ANEDO</w:t>
      </w:r>
      <w:proofErr w:type="spellEnd"/>
      <w:r w:rsidRPr="00AD4F8B">
        <w:rPr>
          <w:b/>
        </w:rPr>
        <w:t xml:space="preserve"> submits that leading practice </w:t>
      </w:r>
      <w:r w:rsidRPr="00AD4F8B">
        <w:rPr>
          <w:rFonts w:cs="Arial"/>
          <w:b/>
        </w:rPr>
        <w:t>strategic planning must:</w:t>
      </w:r>
    </w:p>
    <w:p w:rsidR="00825E2F" w:rsidRPr="00AD4F8B" w:rsidRDefault="00825E2F" w:rsidP="006A0A1A">
      <w:pPr>
        <w:numPr>
          <w:ilvl w:val="0"/>
          <w:numId w:val="37"/>
        </w:numPr>
        <w:tabs>
          <w:tab w:val="num" w:pos="720"/>
        </w:tabs>
        <w:autoSpaceDE w:val="0"/>
        <w:autoSpaceDN w:val="0"/>
        <w:adjustRightInd w:val="0"/>
        <w:ind w:left="714" w:hanging="357"/>
        <w:rPr>
          <w:rFonts w:cs="Arial"/>
          <w:b/>
        </w:rPr>
      </w:pPr>
      <w:r w:rsidRPr="00AD4F8B">
        <w:rPr>
          <w:rFonts w:cs="Arial"/>
          <w:b/>
        </w:rPr>
        <w:t xml:space="preserve">describe how the goal of </w:t>
      </w:r>
      <w:r w:rsidRPr="00AD4F8B">
        <w:rPr>
          <w:rFonts w:cs="Arial"/>
          <w:b/>
          <w:bCs/>
        </w:rPr>
        <w:t>ecologically sustainable development (</w:t>
      </w:r>
      <w:proofErr w:type="spellStart"/>
      <w:r w:rsidRPr="00AD4F8B">
        <w:rPr>
          <w:rFonts w:cs="Arial"/>
          <w:b/>
          <w:bCs/>
        </w:rPr>
        <w:t>ESD</w:t>
      </w:r>
      <w:proofErr w:type="spellEnd"/>
      <w:r w:rsidRPr="00AD4F8B">
        <w:rPr>
          <w:rFonts w:cs="Arial"/>
          <w:b/>
          <w:bCs/>
        </w:rPr>
        <w:t xml:space="preserve">) </w:t>
      </w:r>
      <w:r w:rsidRPr="00AD4F8B">
        <w:rPr>
          <w:rFonts w:cs="Arial"/>
          <w:b/>
        </w:rPr>
        <w:t xml:space="preserve">will be </w:t>
      </w:r>
      <w:r>
        <w:rPr>
          <w:rFonts w:cs="Arial"/>
          <w:b/>
        </w:rPr>
        <w:t xml:space="preserve">achieved via </w:t>
      </w:r>
      <w:r w:rsidRPr="00AD4F8B">
        <w:rPr>
          <w:rFonts w:cs="Arial"/>
          <w:b/>
        </w:rPr>
        <w:t>state, regional and local policies and planning decisions;</w:t>
      </w:r>
    </w:p>
    <w:p w:rsidR="00825E2F" w:rsidRPr="00AD4F8B" w:rsidRDefault="00825E2F" w:rsidP="006A0A1A">
      <w:pPr>
        <w:numPr>
          <w:ilvl w:val="0"/>
          <w:numId w:val="37"/>
        </w:numPr>
        <w:tabs>
          <w:tab w:val="num" w:pos="720"/>
        </w:tabs>
        <w:autoSpaceDE w:val="0"/>
        <w:autoSpaceDN w:val="0"/>
        <w:adjustRightInd w:val="0"/>
        <w:ind w:left="714" w:hanging="357"/>
        <w:rPr>
          <w:rFonts w:cs="Arial"/>
          <w:b/>
          <w:color w:val="000000"/>
          <w:lang w:val="en-US"/>
        </w:rPr>
      </w:pPr>
      <w:r w:rsidRPr="00AD4F8B">
        <w:rPr>
          <w:rFonts w:cs="Arial"/>
          <w:b/>
          <w:color w:val="000000"/>
        </w:rPr>
        <w:t xml:space="preserve">undertake independent </w:t>
      </w:r>
      <w:r w:rsidRPr="00AD4F8B">
        <w:rPr>
          <w:rFonts w:cs="Arial"/>
          <w:b/>
          <w:bCs/>
          <w:color w:val="000000"/>
        </w:rPr>
        <w:t xml:space="preserve">baseline studies </w:t>
      </w:r>
      <w:r w:rsidRPr="00AD4F8B">
        <w:rPr>
          <w:rFonts w:cs="Arial"/>
          <w:b/>
          <w:color w:val="000000"/>
        </w:rPr>
        <w:t>of catchments’</w:t>
      </w:r>
      <w:r w:rsidRPr="00AD4F8B">
        <w:rPr>
          <w:rFonts w:eastAsia="MS Mincho" w:cs="Arial"/>
          <w:b/>
          <w:color w:val="000000"/>
        </w:rPr>
        <w:t xml:space="preserve"> </w:t>
      </w:r>
      <w:r w:rsidRPr="00AD4F8B">
        <w:rPr>
          <w:rFonts w:cs="Arial"/>
          <w:b/>
          <w:color w:val="000000"/>
        </w:rPr>
        <w:t>environmental qualities, such as water, soil, vegetation, biodiversity, minerals</w:t>
      </w:r>
      <w:r>
        <w:rPr>
          <w:rFonts w:cs="Arial"/>
          <w:b/>
          <w:color w:val="000000"/>
        </w:rPr>
        <w:t>,</w:t>
      </w:r>
      <w:r w:rsidRPr="00AD4F8B">
        <w:rPr>
          <w:rFonts w:cs="Arial"/>
          <w:b/>
          <w:color w:val="000000"/>
        </w:rPr>
        <w:t xml:space="preserve"> air quality;</w:t>
      </w:r>
    </w:p>
    <w:p w:rsidR="004D2307" w:rsidRPr="00AD4F8B" w:rsidRDefault="004D2307" w:rsidP="006A0A1A">
      <w:pPr>
        <w:numPr>
          <w:ilvl w:val="0"/>
          <w:numId w:val="37"/>
        </w:numPr>
        <w:tabs>
          <w:tab w:val="num" w:pos="720"/>
        </w:tabs>
        <w:autoSpaceDE w:val="0"/>
        <w:autoSpaceDN w:val="0"/>
        <w:adjustRightInd w:val="0"/>
        <w:ind w:left="714" w:hanging="357"/>
        <w:rPr>
          <w:rFonts w:cs="Arial"/>
          <w:b/>
        </w:rPr>
      </w:pPr>
      <w:r w:rsidRPr="00AD4F8B">
        <w:rPr>
          <w:rFonts w:cs="Arial"/>
          <w:b/>
        </w:rPr>
        <w:t xml:space="preserve">provide for comprehensive rights of </w:t>
      </w:r>
      <w:r w:rsidRPr="00AD4F8B">
        <w:rPr>
          <w:rFonts w:cs="Arial"/>
          <w:b/>
          <w:bCs/>
        </w:rPr>
        <w:t>public participation</w:t>
      </w:r>
      <w:r w:rsidRPr="00AD4F8B">
        <w:rPr>
          <w:rFonts w:cs="Arial"/>
          <w:b/>
        </w:rPr>
        <w:t>, and support to engage</w:t>
      </w:r>
      <w:r>
        <w:rPr>
          <w:rFonts w:cs="Arial"/>
          <w:b/>
        </w:rPr>
        <w:t xml:space="preserve"> – including tailored, inclusive engagement for indigenous peoples</w:t>
      </w:r>
      <w:r w:rsidRPr="00AD4F8B">
        <w:rPr>
          <w:rFonts w:cs="Arial"/>
          <w:b/>
        </w:rPr>
        <w:t xml:space="preserve">; </w:t>
      </w:r>
    </w:p>
    <w:p w:rsidR="004D2307" w:rsidRPr="00AD4F8B" w:rsidRDefault="004D2307" w:rsidP="006A0A1A">
      <w:pPr>
        <w:numPr>
          <w:ilvl w:val="0"/>
          <w:numId w:val="37"/>
        </w:numPr>
        <w:tabs>
          <w:tab w:val="num" w:pos="720"/>
        </w:tabs>
        <w:autoSpaceDE w:val="0"/>
        <w:autoSpaceDN w:val="0"/>
        <w:adjustRightInd w:val="0"/>
        <w:ind w:left="714" w:hanging="357"/>
        <w:rPr>
          <w:rFonts w:cs="Arial"/>
          <w:b/>
        </w:rPr>
      </w:pPr>
      <w:r w:rsidRPr="00AD4F8B">
        <w:rPr>
          <w:rFonts w:cs="Arial"/>
          <w:b/>
          <w:color w:val="000000"/>
        </w:rPr>
        <w:lastRenderedPageBreak/>
        <w:t xml:space="preserve">take account of potential </w:t>
      </w:r>
      <w:r w:rsidRPr="00AD4F8B">
        <w:rPr>
          <w:rFonts w:cs="Arial"/>
          <w:b/>
          <w:bCs/>
          <w:color w:val="000000"/>
        </w:rPr>
        <w:t xml:space="preserve">cumulative impacts of development over time; </w:t>
      </w:r>
    </w:p>
    <w:p w:rsidR="00825E2F" w:rsidRPr="00AD4F8B" w:rsidRDefault="00825E2F" w:rsidP="006A0A1A">
      <w:pPr>
        <w:numPr>
          <w:ilvl w:val="0"/>
          <w:numId w:val="37"/>
        </w:numPr>
        <w:tabs>
          <w:tab w:val="num" w:pos="720"/>
        </w:tabs>
        <w:autoSpaceDE w:val="0"/>
        <w:autoSpaceDN w:val="0"/>
        <w:adjustRightInd w:val="0"/>
        <w:ind w:left="714" w:hanging="357"/>
        <w:rPr>
          <w:rFonts w:cs="Arial"/>
          <w:b/>
          <w:color w:val="000000"/>
        </w:rPr>
      </w:pPr>
      <w:r w:rsidRPr="00AD4F8B">
        <w:rPr>
          <w:rFonts w:cs="Arial"/>
          <w:b/>
          <w:color w:val="000000"/>
        </w:rPr>
        <w:t xml:space="preserve">identify competing </w:t>
      </w:r>
      <w:r w:rsidRPr="00AD4F8B">
        <w:rPr>
          <w:rFonts w:cs="Arial"/>
          <w:b/>
          <w:bCs/>
          <w:color w:val="000000"/>
        </w:rPr>
        <w:t>land uses</w:t>
      </w:r>
      <w:r w:rsidR="004D2307">
        <w:rPr>
          <w:rFonts w:cs="Arial"/>
          <w:b/>
          <w:bCs/>
          <w:color w:val="000000"/>
        </w:rPr>
        <w:t>, including</w:t>
      </w:r>
      <w:r w:rsidR="004D2307" w:rsidRPr="00AD4F8B">
        <w:rPr>
          <w:rFonts w:cs="Arial"/>
          <w:b/>
        </w:rPr>
        <w:t xml:space="preserve"> sensitive areas where certain development </w:t>
      </w:r>
      <w:r w:rsidR="004D2307">
        <w:rPr>
          <w:rFonts w:cs="Arial"/>
          <w:b/>
        </w:rPr>
        <w:t>(</w:t>
      </w:r>
      <w:r w:rsidR="004D2307" w:rsidRPr="00AD4F8B">
        <w:rPr>
          <w:rFonts w:cs="Arial"/>
          <w:b/>
        </w:rPr>
        <w:t>such as mining</w:t>
      </w:r>
      <w:r w:rsidR="004D2307">
        <w:rPr>
          <w:rFonts w:cs="Arial"/>
          <w:b/>
        </w:rPr>
        <w:t>) is prohibited</w:t>
      </w:r>
      <w:r w:rsidR="004D2307" w:rsidRPr="00AD4F8B">
        <w:rPr>
          <w:rFonts w:cs="Arial"/>
          <w:b/>
        </w:rPr>
        <w:t xml:space="preserve"> based on </w:t>
      </w:r>
      <w:r w:rsidR="004D2307">
        <w:rPr>
          <w:rFonts w:cs="Arial"/>
          <w:b/>
        </w:rPr>
        <w:t xml:space="preserve">economic, </w:t>
      </w:r>
      <w:r w:rsidR="004D2307" w:rsidRPr="00AD4F8B">
        <w:rPr>
          <w:rFonts w:cs="Arial"/>
          <w:b/>
        </w:rPr>
        <w:t>environmental</w:t>
      </w:r>
      <w:r w:rsidR="004D2307">
        <w:rPr>
          <w:rFonts w:cs="Arial"/>
          <w:b/>
        </w:rPr>
        <w:t>,</w:t>
      </w:r>
      <w:r w:rsidR="004D2307" w:rsidRPr="00AD4F8B">
        <w:rPr>
          <w:rFonts w:cs="Arial"/>
          <w:b/>
        </w:rPr>
        <w:t xml:space="preserve"> social </w:t>
      </w:r>
      <w:r w:rsidR="004D2307">
        <w:rPr>
          <w:rFonts w:cs="Arial"/>
          <w:b/>
        </w:rPr>
        <w:t xml:space="preserve">or cultural </w:t>
      </w:r>
      <w:r w:rsidR="004D2307" w:rsidRPr="00AD4F8B">
        <w:rPr>
          <w:rFonts w:cs="Arial"/>
          <w:b/>
        </w:rPr>
        <w:t>criteria</w:t>
      </w:r>
      <w:r w:rsidRPr="00AD4F8B">
        <w:rPr>
          <w:rFonts w:cs="Arial"/>
          <w:b/>
          <w:color w:val="000000"/>
        </w:rPr>
        <w:t xml:space="preserve">; </w:t>
      </w:r>
    </w:p>
    <w:p w:rsidR="00825E2F" w:rsidRPr="00AD4F8B" w:rsidRDefault="00825E2F" w:rsidP="006A0A1A">
      <w:pPr>
        <w:numPr>
          <w:ilvl w:val="0"/>
          <w:numId w:val="37"/>
        </w:numPr>
        <w:tabs>
          <w:tab w:val="num" w:pos="720"/>
        </w:tabs>
        <w:autoSpaceDE w:val="0"/>
        <w:autoSpaceDN w:val="0"/>
        <w:adjustRightInd w:val="0"/>
        <w:ind w:left="714" w:hanging="357"/>
        <w:rPr>
          <w:rFonts w:cs="Arial"/>
          <w:b/>
        </w:rPr>
      </w:pPr>
      <w:r w:rsidRPr="00AD4F8B">
        <w:rPr>
          <w:rFonts w:cs="Arial"/>
          <w:b/>
        </w:rPr>
        <w:t xml:space="preserve">integrate natural resource management </w:t>
      </w:r>
      <w:r w:rsidRPr="00AD4F8B">
        <w:rPr>
          <w:rFonts w:cs="Arial"/>
          <w:b/>
          <w:bCs/>
        </w:rPr>
        <w:t xml:space="preserve">goals </w:t>
      </w:r>
      <w:r w:rsidRPr="00AD4F8B">
        <w:rPr>
          <w:rFonts w:cs="Arial"/>
          <w:b/>
        </w:rPr>
        <w:t>into the planning process;</w:t>
      </w:r>
    </w:p>
    <w:p w:rsidR="004D2307" w:rsidRPr="00AD4F8B" w:rsidRDefault="004D2307" w:rsidP="006A0A1A">
      <w:pPr>
        <w:numPr>
          <w:ilvl w:val="0"/>
          <w:numId w:val="37"/>
        </w:numPr>
        <w:tabs>
          <w:tab w:val="num" w:pos="720"/>
        </w:tabs>
        <w:autoSpaceDE w:val="0"/>
        <w:autoSpaceDN w:val="0"/>
        <w:adjustRightInd w:val="0"/>
        <w:ind w:left="714" w:hanging="357"/>
        <w:rPr>
          <w:rFonts w:cs="Arial"/>
          <w:b/>
          <w:color w:val="000000"/>
        </w:rPr>
      </w:pPr>
      <w:r w:rsidRPr="00AD4F8B">
        <w:rPr>
          <w:rFonts w:cs="Arial"/>
          <w:b/>
        </w:rPr>
        <w:t xml:space="preserve">measure, </w:t>
      </w:r>
      <w:r w:rsidRPr="00AD4F8B">
        <w:rPr>
          <w:rFonts w:cs="Arial"/>
          <w:b/>
          <w:bCs/>
        </w:rPr>
        <w:t xml:space="preserve">publish and analyse environmental data </w:t>
      </w:r>
      <w:r w:rsidRPr="00AD4F8B">
        <w:rPr>
          <w:rFonts w:cs="Arial"/>
          <w:b/>
        </w:rPr>
        <w:t xml:space="preserve">across jurisdictions </w:t>
      </w:r>
      <w:r>
        <w:rPr>
          <w:rFonts w:cs="Arial"/>
          <w:b/>
        </w:rPr>
        <w:t xml:space="preserve">and </w:t>
      </w:r>
      <w:r w:rsidRPr="00AD4F8B">
        <w:rPr>
          <w:rFonts w:cs="Arial"/>
          <w:b/>
        </w:rPr>
        <w:t xml:space="preserve">sectors </w:t>
      </w:r>
      <w:r>
        <w:rPr>
          <w:rFonts w:cs="Arial"/>
          <w:b/>
        </w:rPr>
        <w:t xml:space="preserve">– </w:t>
      </w:r>
      <w:r w:rsidRPr="00AD4F8B">
        <w:rPr>
          <w:rFonts w:cs="Arial"/>
          <w:b/>
        </w:rPr>
        <w:t xml:space="preserve">to promote accuracy, </w:t>
      </w:r>
      <w:r>
        <w:rPr>
          <w:rFonts w:cs="Arial"/>
          <w:b/>
        </w:rPr>
        <w:t>transparency and evidence-based policy</w:t>
      </w:r>
      <w:r w:rsidRPr="00AD4F8B">
        <w:rPr>
          <w:rFonts w:cs="Arial"/>
          <w:b/>
        </w:rPr>
        <w:t>;</w:t>
      </w:r>
    </w:p>
    <w:p w:rsidR="00825E2F" w:rsidRPr="00AD4F8B" w:rsidRDefault="00825E2F" w:rsidP="006A0A1A">
      <w:pPr>
        <w:numPr>
          <w:ilvl w:val="0"/>
          <w:numId w:val="37"/>
        </w:numPr>
        <w:tabs>
          <w:tab w:val="num" w:pos="720"/>
        </w:tabs>
        <w:autoSpaceDE w:val="0"/>
        <w:autoSpaceDN w:val="0"/>
        <w:adjustRightInd w:val="0"/>
        <w:ind w:left="714" w:hanging="357"/>
        <w:rPr>
          <w:rFonts w:cs="Arial"/>
          <w:b/>
        </w:rPr>
      </w:pPr>
      <w:r w:rsidRPr="00AD4F8B">
        <w:rPr>
          <w:rFonts w:cs="Arial"/>
          <w:b/>
        </w:rPr>
        <w:t xml:space="preserve">promote </w:t>
      </w:r>
      <w:r w:rsidRPr="00AD4F8B">
        <w:rPr>
          <w:rFonts w:cs="Arial"/>
          <w:b/>
          <w:bCs/>
        </w:rPr>
        <w:t xml:space="preserve">resilience to climate change </w:t>
      </w:r>
      <w:r w:rsidRPr="00AD4F8B">
        <w:rPr>
          <w:rFonts w:cs="Arial"/>
          <w:b/>
        </w:rPr>
        <w:t xml:space="preserve">for communities and </w:t>
      </w:r>
      <w:r>
        <w:rPr>
          <w:rFonts w:cs="Arial"/>
          <w:b/>
        </w:rPr>
        <w:t>the environment</w:t>
      </w:r>
      <w:r w:rsidRPr="00AD4F8B">
        <w:rPr>
          <w:rFonts w:cs="Arial"/>
          <w:b/>
        </w:rPr>
        <w:t xml:space="preserve">, addressing risks and opportunities via mitigation and adaptation; </w:t>
      </w:r>
    </w:p>
    <w:p w:rsidR="00825E2F" w:rsidRPr="00AD4F8B" w:rsidRDefault="00825E2F" w:rsidP="006A0A1A">
      <w:pPr>
        <w:numPr>
          <w:ilvl w:val="0"/>
          <w:numId w:val="37"/>
        </w:numPr>
        <w:tabs>
          <w:tab w:val="num" w:pos="720"/>
        </w:tabs>
        <w:autoSpaceDE w:val="0"/>
        <w:autoSpaceDN w:val="0"/>
        <w:adjustRightInd w:val="0"/>
        <w:ind w:left="714" w:hanging="357"/>
        <w:rPr>
          <w:rFonts w:cs="Arial"/>
          <w:b/>
        </w:rPr>
      </w:pPr>
      <w:r w:rsidRPr="00AD4F8B">
        <w:rPr>
          <w:rFonts w:cs="Arial"/>
          <w:b/>
        </w:rPr>
        <w:t xml:space="preserve">integrate </w:t>
      </w:r>
      <w:r w:rsidRPr="00AD4F8B">
        <w:rPr>
          <w:rFonts w:cs="Arial"/>
          <w:b/>
          <w:bCs/>
        </w:rPr>
        <w:t>infrastructure needs</w:t>
      </w:r>
      <w:r w:rsidRPr="00AD4F8B">
        <w:rPr>
          <w:rFonts w:cs="Arial"/>
          <w:b/>
        </w:rPr>
        <w:t xml:space="preserve"> </w:t>
      </w:r>
      <w:r w:rsidRPr="00AD4F8B">
        <w:rPr>
          <w:rFonts w:cs="Arial"/>
          <w:b/>
          <w:iCs/>
        </w:rPr>
        <w:t xml:space="preserve">ahead of new development, and prioritise </w:t>
      </w:r>
      <w:r w:rsidRPr="00AD4F8B">
        <w:rPr>
          <w:rFonts w:cs="Arial"/>
          <w:b/>
        </w:rPr>
        <w:t>public transport and ‘green infrastructure’.</w:t>
      </w:r>
      <w:r w:rsidRPr="00AD4F8B">
        <w:rPr>
          <w:rStyle w:val="FootnoteReference"/>
          <w:b/>
        </w:rPr>
        <w:footnoteReference w:id="84"/>
      </w:r>
    </w:p>
    <w:p w:rsidR="009A2125" w:rsidRDefault="009A2125" w:rsidP="00B63943"/>
    <w:p w:rsidR="00B63943" w:rsidRDefault="00B63943" w:rsidP="00B63943">
      <w:pPr>
        <w:rPr>
          <w:rFonts w:cs="Arial"/>
        </w:rPr>
      </w:pPr>
      <w:r>
        <w:rPr>
          <w:rFonts w:cs="Arial"/>
        </w:rPr>
        <w:t>Cumulative impacts</w:t>
      </w:r>
      <w:r w:rsidR="004D2307">
        <w:rPr>
          <w:rFonts w:cs="Arial"/>
        </w:rPr>
        <w:t>,</w:t>
      </w:r>
      <w:r>
        <w:rPr>
          <w:rFonts w:cs="Arial"/>
        </w:rPr>
        <w:t xml:space="preserve"> climate change-readiness </w:t>
      </w:r>
      <w:r w:rsidR="004D2307">
        <w:rPr>
          <w:rFonts w:cs="Arial"/>
        </w:rPr>
        <w:t xml:space="preserve">and </w:t>
      </w:r>
      <w:proofErr w:type="spellStart"/>
      <w:r w:rsidR="004D2307">
        <w:rPr>
          <w:rFonts w:cs="Arial"/>
        </w:rPr>
        <w:t>NRM</w:t>
      </w:r>
      <w:proofErr w:type="spellEnd"/>
      <w:r w:rsidR="004D2307">
        <w:rPr>
          <w:rFonts w:cs="Arial"/>
        </w:rPr>
        <w:t xml:space="preserve"> integration </w:t>
      </w:r>
      <w:r w:rsidRPr="00F3241E">
        <w:rPr>
          <w:rFonts w:cs="Arial"/>
        </w:rPr>
        <w:t>are discussed in more detail</w:t>
      </w:r>
      <w:r>
        <w:rPr>
          <w:rFonts w:cs="Arial"/>
        </w:rPr>
        <w:t xml:space="preserve"> below, and further information on any of these areas is available on request. </w:t>
      </w:r>
    </w:p>
    <w:p w:rsidR="001C1BB4" w:rsidRDefault="001C1BB4" w:rsidP="008B6620"/>
    <w:p w:rsidR="00CC4616" w:rsidRPr="000A4913" w:rsidRDefault="00CC4616" w:rsidP="009C52E3">
      <w:pPr>
        <w:pStyle w:val="Heading2"/>
        <w:numPr>
          <w:ilvl w:val="0"/>
          <w:numId w:val="45"/>
        </w:numPr>
      </w:pPr>
      <w:bookmarkStart w:id="31" w:name="_Toc351985910"/>
      <w:r w:rsidRPr="000A4913">
        <w:t xml:space="preserve">Major </w:t>
      </w:r>
      <w:r w:rsidR="000407C6" w:rsidRPr="000407C6">
        <w:t>project</w:t>
      </w:r>
      <w:r w:rsidR="000407C6">
        <w:t xml:space="preserve"> </w:t>
      </w:r>
      <w:proofErr w:type="spellStart"/>
      <w:r w:rsidR="000407C6">
        <w:t>DAA</w:t>
      </w:r>
      <w:proofErr w:type="spellEnd"/>
      <w:r w:rsidR="000407C6">
        <w:t xml:space="preserve"> must </w:t>
      </w:r>
      <w:r w:rsidR="00C935F2">
        <w:t>account for</w:t>
      </w:r>
      <w:r w:rsidR="000407C6">
        <w:t xml:space="preserve"> </w:t>
      </w:r>
      <w:r w:rsidR="000407C6" w:rsidRPr="000407C6">
        <w:t>cumulative impacts</w:t>
      </w:r>
      <w:bookmarkEnd w:id="31"/>
      <w:r w:rsidR="000407C6" w:rsidRPr="000407C6">
        <w:t xml:space="preserve"> </w:t>
      </w:r>
    </w:p>
    <w:p w:rsidR="00827763" w:rsidRDefault="00313255" w:rsidP="00662376">
      <w:pPr>
        <w:rPr>
          <w:rFonts w:cs="Arial"/>
        </w:rPr>
      </w:pPr>
      <w:r w:rsidRPr="00D0695C">
        <w:rPr>
          <w:rFonts w:cs="Arial"/>
        </w:rPr>
        <w:t>Australia’s environmental and planning laws are poor at addressing cumulative impacts, ‘particularly in the fields of biodiversity, water and climate change regulation.’</w:t>
      </w:r>
      <w:r w:rsidRPr="00D0695C">
        <w:rPr>
          <w:rFonts w:cs="Arial"/>
          <w:vertAlign w:val="superscript"/>
        </w:rPr>
        <w:footnoteReference w:id="85"/>
      </w:r>
      <w:r>
        <w:rPr>
          <w:rFonts w:cs="Arial"/>
        </w:rPr>
        <w:t xml:space="preserve">  </w:t>
      </w:r>
      <w:r w:rsidRPr="00D0695C">
        <w:rPr>
          <w:rFonts w:cs="Arial"/>
        </w:rPr>
        <w:t>Yet as areas of Australia are earmarked for development, there is a greater likelihood that individual projects will combine with past, present and likely future developments to have significant impacts.</w:t>
      </w:r>
      <w:r w:rsidR="00406F13">
        <w:rPr>
          <w:rFonts w:cs="Arial"/>
        </w:rPr>
        <w:t xml:space="preserve"> </w:t>
      </w:r>
      <w:r w:rsidR="00A10BFC">
        <w:rPr>
          <w:rFonts w:cs="Arial"/>
        </w:rPr>
        <w:t xml:space="preserve">The recent </w:t>
      </w:r>
      <w:r w:rsidR="00C935F2">
        <w:rPr>
          <w:rFonts w:cs="Arial"/>
        </w:rPr>
        <w:t>UNESCO World Heritage Committee report on the Great </w:t>
      </w:r>
      <w:r w:rsidR="00A10BFC">
        <w:rPr>
          <w:rFonts w:cs="Arial"/>
        </w:rPr>
        <w:t>Barrier Reef is a potent example of this problem (see below).</w:t>
      </w:r>
      <w:r w:rsidR="00A10BFC">
        <w:rPr>
          <w:rStyle w:val="FootnoteReference"/>
          <w:rFonts w:cs="Arial"/>
        </w:rPr>
        <w:footnoteReference w:id="86"/>
      </w:r>
      <w:r w:rsidR="00A10BFC">
        <w:rPr>
          <w:rFonts w:cs="Arial"/>
        </w:rPr>
        <w:t xml:space="preserve"> </w:t>
      </w:r>
    </w:p>
    <w:p w:rsidR="00827763" w:rsidRPr="00136324" w:rsidRDefault="00827763" w:rsidP="00662376">
      <w:pPr>
        <w:rPr>
          <w:rFonts w:cs="Arial"/>
          <w:szCs w:val="22"/>
        </w:rPr>
      </w:pPr>
    </w:p>
    <w:p w:rsidR="00136324" w:rsidRDefault="00662376" w:rsidP="00662376">
      <w:pPr>
        <w:rPr>
          <w:rFonts w:cs="Arial"/>
          <w:szCs w:val="22"/>
        </w:rPr>
      </w:pPr>
      <w:r w:rsidRPr="00136324">
        <w:rPr>
          <w:rFonts w:cs="Arial"/>
          <w:szCs w:val="22"/>
        </w:rPr>
        <w:t>Cumulative impact assessment and related processes like strategic environmental assessment (</w:t>
      </w:r>
      <w:r w:rsidRPr="00136324">
        <w:rPr>
          <w:rFonts w:cs="Arial"/>
          <w:b/>
          <w:szCs w:val="22"/>
        </w:rPr>
        <w:t>SEA</w:t>
      </w:r>
      <w:r w:rsidRPr="00136324">
        <w:rPr>
          <w:rFonts w:cs="Arial"/>
          <w:szCs w:val="22"/>
        </w:rPr>
        <w:t xml:space="preserve">) are only </w:t>
      </w:r>
      <w:r w:rsidR="00C935F2">
        <w:rPr>
          <w:rFonts w:cs="Arial"/>
          <w:szCs w:val="22"/>
        </w:rPr>
        <w:t>in their infancy</w:t>
      </w:r>
      <w:r w:rsidRPr="00136324">
        <w:rPr>
          <w:rFonts w:cs="Arial"/>
          <w:szCs w:val="22"/>
        </w:rPr>
        <w:t xml:space="preserve"> in </w:t>
      </w:r>
      <w:r w:rsidRPr="00825220">
        <w:rPr>
          <w:rFonts w:cs="Arial"/>
          <w:szCs w:val="22"/>
        </w:rPr>
        <w:t>Australia.</w:t>
      </w:r>
      <w:r w:rsidRPr="00825220">
        <w:rPr>
          <w:rStyle w:val="FootnoteReference"/>
          <w:rFonts w:cs="Arial"/>
          <w:szCs w:val="22"/>
        </w:rPr>
        <w:footnoteReference w:id="87"/>
      </w:r>
      <w:r w:rsidRPr="00825220">
        <w:rPr>
          <w:rFonts w:cs="Arial"/>
          <w:szCs w:val="22"/>
        </w:rPr>
        <w:t xml:space="preserve"> </w:t>
      </w:r>
      <w:r w:rsidR="00136324" w:rsidRPr="00825220">
        <w:rPr>
          <w:rFonts w:cs="Arial"/>
          <w:szCs w:val="22"/>
        </w:rPr>
        <w:t>Done</w:t>
      </w:r>
      <w:r w:rsidR="00136324">
        <w:rPr>
          <w:rFonts w:cs="Arial"/>
          <w:szCs w:val="22"/>
        </w:rPr>
        <w:t xml:space="preserve"> well, t</w:t>
      </w:r>
      <w:r w:rsidRPr="00136324">
        <w:rPr>
          <w:rFonts w:cs="Arial"/>
          <w:szCs w:val="22"/>
        </w:rPr>
        <w:t xml:space="preserve">hese </w:t>
      </w:r>
      <w:r w:rsidR="00136324">
        <w:rPr>
          <w:rFonts w:cs="Arial"/>
          <w:szCs w:val="22"/>
        </w:rPr>
        <w:t xml:space="preserve">processes </w:t>
      </w:r>
      <w:r w:rsidRPr="00136324">
        <w:rPr>
          <w:rFonts w:cs="Arial"/>
          <w:szCs w:val="22"/>
        </w:rPr>
        <w:t>are essen</w:t>
      </w:r>
      <w:r w:rsidR="00C935F2">
        <w:rPr>
          <w:rFonts w:cs="Arial"/>
          <w:szCs w:val="22"/>
        </w:rPr>
        <w:t>tial to good strategic planning;</w:t>
      </w:r>
      <w:r w:rsidRPr="00136324">
        <w:rPr>
          <w:rFonts w:cs="Arial"/>
          <w:szCs w:val="22"/>
        </w:rPr>
        <w:t xml:space="preserve"> and to assessing the full impacts of major projects</w:t>
      </w:r>
      <w:r w:rsidR="00A10BFC" w:rsidRPr="00136324">
        <w:rPr>
          <w:rFonts w:cs="Arial"/>
          <w:szCs w:val="22"/>
        </w:rPr>
        <w:t xml:space="preserve"> alongside individual project assessment</w:t>
      </w:r>
      <w:r w:rsidRPr="00136324">
        <w:rPr>
          <w:rFonts w:cs="Arial"/>
          <w:szCs w:val="22"/>
        </w:rPr>
        <w:t>.</w:t>
      </w:r>
      <w:r w:rsidR="00136324" w:rsidRPr="00136324">
        <w:rPr>
          <w:rFonts w:cs="Arial"/>
          <w:szCs w:val="22"/>
        </w:rPr>
        <w:t xml:space="preserve"> </w:t>
      </w:r>
    </w:p>
    <w:p w:rsidR="00136324" w:rsidRDefault="00136324" w:rsidP="00662376">
      <w:pPr>
        <w:rPr>
          <w:rFonts w:cs="Arial"/>
          <w:szCs w:val="22"/>
        </w:rPr>
      </w:pPr>
    </w:p>
    <w:p w:rsidR="00662376" w:rsidRPr="00136324" w:rsidRDefault="00662376" w:rsidP="00662376">
      <w:pPr>
        <w:rPr>
          <w:rFonts w:cs="Arial"/>
          <w:bCs/>
          <w:szCs w:val="22"/>
        </w:rPr>
      </w:pPr>
      <w:proofErr w:type="spellStart"/>
      <w:r w:rsidRPr="00136324">
        <w:rPr>
          <w:rFonts w:cs="Arial"/>
          <w:b/>
          <w:szCs w:val="22"/>
        </w:rPr>
        <w:t>ANEDO</w:t>
      </w:r>
      <w:proofErr w:type="spellEnd"/>
      <w:r w:rsidRPr="00136324">
        <w:rPr>
          <w:rFonts w:cs="Arial"/>
          <w:b/>
          <w:szCs w:val="22"/>
        </w:rPr>
        <w:t xml:space="preserve"> recommends that State and federal planning and assessment laws must be amended</w:t>
      </w:r>
      <w:r w:rsidR="00136324">
        <w:rPr>
          <w:rFonts w:cs="Arial"/>
          <w:b/>
          <w:szCs w:val="22"/>
        </w:rPr>
        <w:t>,</w:t>
      </w:r>
      <w:r w:rsidRPr="00136324">
        <w:rPr>
          <w:rFonts w:cs="Arial"/>
          <w:b/>
          <w:szCs w:val="22"/>
        </w:rPr>
        <w:t xml:space="preserve"> to </w:t>
      </w:r>
      <w:r w:rsidR="00136324">
        <w:rPr>
          <w:rFonts w:cs="Arial"/>
          <w:b/>
          <w:szCs w:val="22"/>
        </w:rPr>
        <w:t xml:space="preserve">require proponents and decision-makers to </w:t>
      </w:r>
      <w:r w:rsidRPr="00136324">
        <w:rPr>
          <w:rFonts w:cs="Arial"/>
          <w:b/>
          <w:szCs w:val="22"/>
        </w:rPr>
        <w:t>deal effectively with the cumulative impacts of development, particularly major projects.</w:t>
      </w:r>
    </w:p>
    <w:p w:rsidR="00313255" w:rsidRDefault="00313255" w:rsidP="00313255">
      <w:pPr>
        <w:rPr>
          <w:rFonts w:cs="Arial"/>
        </w:rPr>
      </w:pPr>
    </w:p>
    <w:p w:rsidR="00662376" w:rsidRDefault="00313255" w:rsidP="00313255">
      <w:pPr>
        <w:rPr>
          <w:rFonts w:cs="Arial"/>
        </w:rPr>
      </w:pPr>
      <w:r>
        <w:rPr>
          <w:rFonts w:cs="Arial"/>
        </w:rPr>
        <w:t>Federally,</w:t>
      </w:r>
      <w:r w:rsidRPr="00D0695C">
        <w:rPr>
          <w:rFonts w:cs="Arial"/>
        </w:rPr>
        <w:t xml:space="preserve"> </w:t>
      </w:r>
      <w:r>
        <w:rPr>
          <w:rFonts w:cs="Arial"/>
        </w:rPr>
        <w:t xml:space="preserve">the Hawke Review identified cumulative impact assessment as one of several areas where the </w:t>
      </w:r>
      <w:proofErr w:type="spellStart"/>
      <w:r>
        <w:rPr>
          <w:rFonts w:cs="Arial"/>
        </w:rPr>
        <w:t>EPBC</w:t>
      </w:r>
      <w:proofErr w:type="spellEnd"/>
      <w:r>
        <w:rPr>
          <w:rFonts w:cs="Arial"/>
        </w:rPr>
        <w:t xml:space="preserve"> Act should be strengthened.</w:t>
      </w:r>
      <w:r>
        <w:rPr>
          <w:rFonts w:cs="Arial"/>
          <w:vertAlign w:val="superscript"/>
        </w:rPr>
        <w:footnoteReference w:id="88"/>
      </w:r>
      <w:r>
        <w:rPr>
          <w:rFonts w:cs="Arial"/>
        </w:rPr>
        <w:t xml:space="preserve"> This deficiency was </w:t>
      </w:r>
      <w:r w:rsidR="00A10BFC">
        <w:rPr>
          <w:rFonts w:cs="Arial"/>
        </w:rPr>
        <w:t xml:space="preserve">also </w:t>
      </w:r>
      <w:r>
        <w:rPr>
          <w:rFonts w:cs="Arial"/>
        </w:rPr>
        <w:t xml:space="preserve">recognised in the Government Response to the </w:t>
      </w:r>
      <w:r w:rsidR="00662376">
        <w:rPr>
          <w:rFonts w:cs="Arial"/>
        </w:rPr>
        <w:t xml:space="preserve">Hawke </w:t>
      </w:r>
      <w:r>
        <w:rPr>
          <w:rFonts w:cs="Arial"/>
        </w:rPr>
        <w:t>Review.</w:t>
      </w:r>
      <w:r>
        <w:rPr>
          <w:rFonts w:cs="Arial"/>
          <w:vertAlign w:val="superscript"/>
        </w:rPr>
        <w:footnoteReference w:id="89"/>
      </w:r>
      <w:r>
        <w:rPr>
          <w:rFonts w:cs="Arial"/>
        </w:rPr>
        <w:t xml:space="preserve">  </w:t>
      </w:r>
      <w:r w:rsidR="00662376">
        <w:rPr>
          <w:rFonts w:cs="Arial"/>
        </w:rPr>
        <w:t xml:space="preserve">In </w:t>
      </w:r>
      <w:proofErr w:type="spellStart"/>
      <w:r w:rsidR="00662376">
        <w:rPr>
          <w:rFonts w:cs="Arial"/>
        </w:rPr>
        <w:t>ANEDO’s</w:t>
      </w:r>
      <w:proofErr w:type="spellEnd"/>
      <w:r w:rsidR="00662376">
        <w:rPr>
          <w:rFonts w:cs="Arial"/>
        </w:rPr>
        <w:t xml:space="preserve"> view, Commonwealth standards for assessing cumulative impacts </w:t>
      </w:r>
      <w:r w:rsidR="00A10BFC">
        <w:rPr>
          <w:rFonts w:cs="Arial"/>
        </w:rPr>
        <w:t>must</w:t>
      </w:r>
      <w:r w:rsidR="00662376">
        <w:rPr>
          <w:rFonts w:cs="Arial"/>
        </w:rPr>
        <w:t xml:space="preserve"> be strengthened, instead of delegating an inadequate</w:t>
      </w:r>
      <w:r w:rsidR="00A10BFC">
        <w:rPr>
          <w:rFonts w:cs="Arial"/>
        </w:rPr>
        <w:t>,</w:t>
      </w:r>
      <w:r w:rsidR="00662376">
        <w:rPr>
          <w:rFonts w:cs="Arial"/>
        </w:rPr>
        <w:t xml:space="preserve"> existing standard to the states.</w:t>
      </w:r>
      <w:r w:rsidR="00662376">
        <w:rPr>
          <w:rFonts w:cs="Arial"/>
          <w:vertAlign w:val="superscript"/>
        </w:rPr>
        <w:footnoteReference w:id="90"/>
      </w:r>
      <w:r w:rsidR="00662376">
        <w:rPr>
          <w:rFonts w:cs="Arial"/>
          <w:vertAlign w:val="superscript"/>
        </w:rPr>
        <w:t xml:space="preserve">  </w:t>
      </w:r>
      <w:r w:rsidR="00662376">
        <w:rPr>
          <w:rFonts w:cs="Arial"/>
        </w:rPr>
        <w:t>It should also b</w:t>
      </w:r>
      <w:r w:rsidR="00820D38">
        <w:rPr>
          <w:rFonts w:cs="Arial"/>
        </w:rPr>
        <w:t xml:space="preserve">e remembered that the </w:t>
      </w:r>
      <w:proofErr w:type="spellStart"/>
      <w:r w:rsidR="00820D38">
        <w:rPr>
          <w:rFonts w:cs="Arial"/>
        </w:rPr>
        <w:t>EPBC</w:t>
      </w:r>
      <w:proofErr w:type="spellEnd"/>
      <w:r w:rsidR="00820D38">
        <w:rPr>
          <w:rFonts w:cs="Arial"/>
        </w:rPr>
        <w:t xml:space="preserve"> Act </w:t>
      </w:r>
      <w:r w:rsidR="00662376">
        <w:rPr>
          <w:rFonts w:cs="Arial"/>
        </w:rPr>
        <w:t xml:space="preserve">only </w:t>
      </w:r>
      <w:r w:rsidR="00A10BFC">
        <w:rPr>
          <w:rFonts w:cs="Arial"/>
        </w:rPr>
        <w:t>applies to</w:t>
      </w:r>
      <w:r w:rsidR="00662376">
        <w:rPr>
          <w:rFonts w:cs="Arial"/>
        </w:rPr>
        <w:t xml:space="preserve"> actions </w:t>
      </w:r>
      <w:r w:rsidR="00820D38">
        <w:rPr>
          <w:rFonts w:cs="Arial"/>
        </w:rPr>
        <w:t>with a</w:t>
      </w:r>
      <w:r w:rsidR="00662376">
        <w:rPr>
          <w:rFonts w:cs="Arial"/>
        </w:rPr>
        <w:t xml:space="preserve"> ‘significant impact’ on matters of national environmental significance</w:t>
      </w:r>
      <w:r w:rsidR="00A10BFC">
        <w:rPr>
          <w:rFonts w:cs="Arial"/>
        </w:rPr>
        <w:t xml:space="preserve"> –</w:t>
      </w:r>
      <w:r w:rsidR="00820D38">
        <w:rPr>
          <w:rFonts w:cs="Arial"/>
        </w:rPr>
        <w:t xml:space="preserve"> </w:t>
      </w:r>
      <w:r w:rsidR="00662376">
        <w:rPr>
          <w:rFonts w:cs="Arial"/>
        </w:rPr>
        <w:t>limit</w:t>
      </w:r>
      <w:r w:rsidR="00A10BFC">
        <w:rPr>
          <w:rFonts w:cs="Arial"/>
        </w:rPr>
        <w:t>ing</w:t>
      </w:r>
      <w:r w:rsidR="00662376">
        <w:rPr>
          <w:rFonts w:cs="Arial"/>
        </w:rPr>
        <w:t xml:space="preserve"> federal </w:t>
      </w:r>
      <w:r w:rsidR="00820D38">
        <w:rPr>
          <w:rFonts w:cs="Arial"/>
        </w:rPr>
        <w:t>cumulative assessment</w:t>
      </w:r>
      <w:r w:rsidR="00662376">
        <w:rPr>
          <w:rFonts w:cs="Arial"/>
        </w:rPr>
        <w:t>.</w:t>
      </w:r>
    </w:p>
    <w:p w:rsidR="00662376" w:rsidRDefault="00662376" w:rsidP="00313255">
      <w:pPr>
        <w:rPr>
          <w:rFonts w:cs="Arial"/>
        </w:rPr>
      </w:pPr>
    </w:p>
    <w:p w:rsidR="00313255" w:rsidRPr="00313255" w:rsidRDefault="00662376" w:rsidP="00313255">
      <w:pPr>
        <w:rPr>
          <w:rFonts w:cs="Arial"/>
        </w:rPr>
      </w:pPr>
      <w:r>
        <w:rPr>
          <w:rFonts w:cs="Arial"/>
        </w:rPr>
        <w:lastRenderedPageBreak/>
        <w:t xml:space="preserve">The </w:t>
      </w:r>
      <w:r w:rsidR="00A10BFC">
        <w:rPr>
          <w:rFonts w:cs="Arial"/>
        </w:rPr>
        <w:t xml:space="preserve">inadequacy of cumulative impact assessment is </w:t>
      </w:r>
      <w:r>
        <w:rPr>
          <w:rFonts w:cs="Arial"/>
        </w:rPr>
        <w:t>similar at the state level. For example,</w:t>
      </w:r>
      <w:r w:rsidR="00313255">
        <w:rPr>
          <w:rFonts w:cs="Arial"/>
        </w:rPr>
        <w:t xml:space="preserve"> </w:t>
      </w:r>
      <w:r w:rsidR="00313255" w:rsidRPr="00A10BFC">
        <w:rPr>
          <w:rFonts w:cs="Calibri"/>
        </w:rPr>
        <w:t>cumulative</w:t>
      </w:r>
      <w:r w:rsidR="00D32C32" w:rsidRPr="00A10BFC">
        <w:rPr>
          <w:rFonts w:cs="Calibri"/>
        </w:rPr>
        <w:t xml:space="preserve"> impacts</w:t>
      </w:r>
      <w:r w:rsidR="00313255" w:rsidRPr="00070682">
        <w:rPr>
          <w:rFonts w:cs="Calibri"/>
          <w:i/>
        </w:rPr>
        <w:t xml:space="preserve"> </w:t>
      </w:r>
      <w:r w:rsidR="00313255" w:rsidRPr="00070682">
        <w:rPr>
          <w:rFonts w:cs="Calibri"/>
        </w:rPr>
        <w:t xml:space="preserve">barely rate a mention in </w:t>
      </w:r>
      <w:r w:rsidR="00313255">
        <w:rPr>
          <w:rFonts w:cs="Calibri"/>
        </w:rPr>
        <w:t>the NSW Planning Act</w:t>
      </w:r>
      <w:r w:rsidR="00820D38">
        <w:rPr>
          <w:rFonts w:cs="Calibri"/>
        </w:rPr>
        <w:t>, and</w:t>
      </w:r>
      <w:r w:rsidR="00A10BFC">
        <w:rPr>
          <w:rFonts w:cs="Calibri"/>
        </w:rPr>
        <w:t xml:space="preserve"> it is</w:t>
      </w:r>
      <w:r w:rsidR="00D32C32">
        <w:rPr>
          <w:rFonts w:cs="Calibri"/>
        </w:rPr>
        <w:t xml:space="preserve"> not</w:t>
      </w:r>
      <w:r w:rsidR="00D32C32" w:rsidRPr="00D32C32">
        <w:rPr>
          <w:rFonts w:cs="Calibri"/>
        </w:rPr>
        <w:t xml:space="preserve"> </w:t>
      </w:r>
      <w:r w:rsidR="00D32C32">
        <w:rPr>
          <w:rFonts w:cs="Calibri"/>
        </w:rPr>
        <w:t xml:space="preserve">a specific consideration under </w:t>
      </w:r>
      <w:r>
        <w:rPr>
          <w:rFonts w:cs="Calibri"/>
        </w:rPr>
        <w:t>‘</w:t>
      </w:r>
      <w:r w:rsidR="00D32C32">
        <w:rPr>
          <w:rFonts w:cs="Calibri"/>
        </w:rPr>
        <w:t xml:space="preserve">section </w:t>
      </w:r>
      <w:proofErr w:type="spellStart"/>
      <w:r w:rsidR="00D32C32">
        <w:rPr>
          <w:rFonts w:cs="Calibri"/>
        </w:rPr>
        <w:t>79C</w:t>
      </w:r>
      <w:proofErr w:type="spellEnd"/>
      <w:r>
        <w:rPr>
          <w:rFonts w:cs="Calibri"/>
        </w:rPr>
        <w:t>’</w:t>
      </w:r>
      <w:r w:rsidR="00D32C32">
        <w:rPr>
          <w:rFonts w:cs="Calibri"/>
        </w:rPr>
        <w:t xml:space="preserve"> decision making considerations.</w:t>
      </w:r>
      <w:r w:rsidR="00A10BFC">
        <w:rPr>
          <w:rFonts w:cs="Calibri"/>
        </w:rPr>
        <w:t xml:space="preserve"> </w:t>
      </w:r>
      <w:r w:rsidR="00C935F2" w:rsidRPr="00136324">
        <w:rPr>
          <w:rFonts w:cs="Arial"/>
          <w:szCs w:val="22"/>
        </w:rPr>
        <w:t xml:space="preserve">As the Chief Judge of the NSW Land </w:t>
      </w:r>
      <w:r w:rsidR="00820D38">
        <w:rPr>
          <w:rFonts w:cs="Arial"/>
          <w:szCs w:val="22"/>
        </w:rPr>
        <w:t>&amp;</w:t>
      </w:r>
      <w:r w:rsidR="00C935F2" w:rsidRPr="00136324">
        <w:rPr>
          <w:rFonts w:cs="Arial"/>
          <w:szCs w:val="22"/>
        </w:rPr>
        <w:t xml:space="preserve"> Environment Court </w:t>
      </w:r>
      <w:r w:rsidR="00C935F2">
        <w:rPr>
          <w:rFonts w:cs="Arial"/>
          <w:szCs w:val="22"/>
        </w:rPr>
        <w:t>notes</w:t>
      </w:r>
      <w:r w:rsidR="00820D38">
        <w:rPr>
          <w:rFonts w:cs="Arial"/>
          <w:szCs w:val="22"/>
        </w:rPr>
        <w:t xml:space="preserve"> (remarks not limited to NSW)</w:t>
      </w:r>
      <w:r w:rsidR="00C935F2" w:rsidRPr="00136324">
        <w:rPr>
          <w:rFonts w:cs="Arial"/>
          <w:szCs w:val="22"/>
        </w:rPr>
        <w:t>, ‘</w:t>
      </w:r>
      <w:r w:rsidR="00C935F2" w:rsidRPr="00136324">
        <w:rPr>
          <w:rFonts w:cs="Arial"/>
          <w:szCs w:val="22"/>
          <w:lang w:eastAsia="en-AU"/>
        </w:rPr>
        <w:t>A solution is for the statute to require expressly cumulative impact assessment.’</w:t>
      </w:r>
      <w:r w:rsidR="00C935F2" w:rsidRPr="00136324">
        <w:rPr>
          <w:rStyle w:val="FootnoteReference"/>
          <w:rFonts w:cs="Arial"/>
          <w:szCs w:val="22"/>
          <w:lang w:eastAsia="en-AU"/>
        </w:rPr>
        <w:footnoteReference w:id="91"/>
      </w:r>
      <w:r w:rsidR="00C935F2" w:rsidRPr="00136324">
        <w:rPr>
          <w:rFonts w:cs="Arial"/>
          <w:szCs w:val="22"/>
        </w:rPr>
        <w:t xml:space="preserve"> </w:t>
      </w:r>
      <w:r w:rsidR="00C935F2">
        <w:rPr>
          <w:rFonts w:cs="Arial"/>
          <w:szCs w:val="22"/>
        </w:rPr>
        <w:t>T</w:t>
      </w:r>
      <w:r w:rsidR="00D32C32">
        <w:rPr>
          <w:rFonts w:cs="Calibri"/>
        </w:rPr>
        <w:t xml:space="preserve">he </w:t>
      </w:r>
      <w:r>
        <w:rPr>
          <w:rFonts w:cs="Calibri"/>
        </w:rPr>
        <w:t xml:space="preserve">independent panel assisting the </w:t>
      </w:r>
      <w:r w:rsidR="00D32C32">
        <w:rPr>
          <w:rFonts w:cs="Calibri"/>
        </w:rPr>
        <w:t>NSW</w:t>
      </w:r>
      <w:r w:rsidR="00313255">
        <w:rPr>
          <w:rFonts w:cs="Calibri"/>
        </w:rPr>
        <w:t xml:space="preserve"> </w:t>
      </w:r>
      <w:r>
        <w:rPr>
          <w:rFonts w:cs="Calibri"/>
        </w:rPr>
        <w:t xml:space="preserve">planning </w:t>
      </w:r>
      <w:r w:rsidR="00D32C32">
        <w:rPr>
          <w:rFonts w:cs="Calibri"/>
        </w:rPr>
        <w:t>review</w:t>
      </w:r>
      <w:r w:rsidR="00820D38">
        <w:rPr>
          <w:rFonts w:cs="Calibri"/>
        </w:rPr>
        <w:t xml:space="preserve"> also</w:t>
      </w:r>
      <w:r w:rsidR="00D32C32">
        <w:rPr>
          <w:rFonts w:cs="Calibri"/>
        </w:rPr>
        <w:t xml:space="preserve"> </w:t>
      </w:r>
      <w:r w:rsidR="00A10BFC">
        <w:rPr>
          <w:rFonts w:cs="Calibri"/>
        </w:rPr>
        <w:t xml:space="preserve">recommended that cumulative impacts </w:t>
      </w:r>
      <w:r>
        <w:rPr>
          <w:rFonts w:cs="Calibri"/>
        </w:rPr>
        <w:t xml:space="preserve">be embedded in </w:t>
      </w:r>
      <w:r w:rsidR="00313255">
        <w:rPr>
          <w:rFonts w:cs="Calibri"/>
        </w:rPr>
        <w:t>statutory strategic p</w:t>
      </w:r>
      <w:r>
        <w:rPr>
          <w:rFonts w:cs="Calibri"/>
        </w:rPr>
        <w:t>lanning mechanisms</w:t>
      </w:r>
      <w:r w:rsidR="00A10BFC">
        <w:rPr>
          <w:rFonts w:cs="Calibri"/>
        </w:rPr>
        <w:t>, along with climate change considerations</w:t>
      </w:r>
      <w:r w:rsidR="00313255" w:rsidRPr="00070682">
        <w:rPr>
          <w:rFonts w:cs="Calibri"/>
        </w:rPr>
        <w:t>.</w:t>
      </w:r>
      <w:r w:rsidR="00820D38">
        <w:rPr>
          <w:rStyle w:val="FootnoteReference"/>
          <w:rFonts w:cs="Calibri"/>
        </w:rPr>
        <w:footnoteReference w:id="92"/>
      </w:r>
      <w:r w:rsidR="00A10BFC">
        <w:rPr>
          <w:rFonts w:cs="Calibri"/>
        </w:rPr>
        <w:t xml:space="preserve"> </w:t>
      </w:r>
      <w:r w:rsidR="00820D38">
        <w:rPr>
          <w:rFonts w:cs="Calibri"/>
        </w:rPr>
        <w:t>Meanwhile, in Queensland</w:t>
      </w:r>
      <w:r w:rsidR="00A10BFC">
        <w:rPr>
          <w:rFonts w:cs="Calibri"/>
        </w:rPr>
        <w:t xml:space="preserve"> </w:t>
      </w:r>
      <w:r w:rsidR="00820D38">
        <w:rPr>
          <w:rFonts w:cs="Calibri"/>
        </w:rPr>
        <w:t xml:space="preserve">and internationally, </w:t>
      </w:r>
      <w:r w:rsidR="00A10BFC">
        <w:rPr>
          <w:rFonts w:cs="Calibri"/>
        </w:rPr>
        <w:t xml:space="preserve">there is mounting concern about the cumulative impacts of development on one of Australia’s environmental </w:t>
      </w:r>
      <w:r w:rsidR="00820D38">
        <w:rPr>
          <w:rFonts w:cs="Calibri"/>
        </w:rPr>
        <w:t xml:space="preserve">and tourism </w:t>
      </w:r>
      <w:r w:rsidR="00A10BFC">
        <w:rPr>
          <w:rFonts w:cs="Calibri"/>
        </w:rPr>
        <w:t>icons.</w:t>
      </w:r>
    </w:p>
    <w:p w:rsidR="00A10BFC" w:rsidRDefault="00A10BFC" w:rsidP="00662376">
      <w:pPr>
        <w:rPr>
          <w:rFonts w:cs="Arial"/>
        </w:rPr>
      </w:pPr>
    </w:p>
    <w:p w:rsidR="00A10BFC" w:rsidRPr="00A10BFC" w:rsidRDefault="00F83F9B" w:rsidP="00A10BFC">
      <w:pPr>
        <w:pStyle w:val="Heading3"/>
        <w:pBdr>
          <w:top w:val="single" w:sz="4" w:space="1" w:color="auto"/>
          <w:left w:val="single" w:sz="4" w:space="1" w:color="auto"/>
          <w:bottom w:val="single" w:sz="4" w:space="1" w:color="auto"/>
          <w:right w:val="single" w:sz="4" w:space="1" w:color="auto"/>
        </w:pBdr>
      </w:pPr>
      <w:r>
        <w:t xml:space="preserve">Case study – </w:t>
      </w:r>
      <w:r w:rsidR="00A10BFC" w:rsidRPr="00A10BFC">
        <w:t>Cumulative impacts of major projects on the Great Barrier Reef</w:t>
      </w:r>
    </w:p>
    <w:p w:rsidR="00662376" w:rsidRDefault="00A10BFC" w:rsidP="00A10BFC">
      <w:pPr>
        <w:pBdr>
          <w:top w:val="single" w:sz="4" w:space="1" w:color="auto"/>
          <w:left w:val="single" w:sz="4" w:space="1" w:color="auto"/>
          <w:bottom w:val="single" w:sz="4" w:space="1" w:color="auto"/>
          <w:right w:val="single" w:sz="4" w:space="1" w:color="auto"/>
        </w:pBdr>
        <w:rPr>
          <w:rFonts w:cs="Arial"/>
        </w:rPr>
      </w:pPr>
      <w:r>
        <w:rPr>
          <w:rFonts w:cs="Arial"/>
        </w:rPr>
        <w:t>In 2012, a</w:t>
      </w:r>
      <w:r w:rsidR="00662376">
        <w:rPr>
          <w:rFonts w:cs="Arial"/>
        </w:rPr>
        <w:t xml:space="preserve"> World Heritage Centre/</w:t>
      </w:r>
      <w:proofErr w:type="spellStart"/>
      <w:r w:rsidR="00662376">
        <w:rPr>
          <w:rFonts w:cs="Arial"/>
        </w:rPr>
        <w:t>IUCN</w:t>
      </w:r>
      <w:proofErr w:type="spellEnd"/>
      <w:r w:rsidR="00662376">
        <w:rPr>
          <w:rFonts w:cs="Arial"/>
        </w:rPr>
        <w:t xml:space="preserve"> mission found that the future of the </w:t>
      </w:r>
      <w:r w:rsidR="00820D38">
        <w:rPr>
          <w:rFonts w:cs="Arial"/>
        </w:rPr>
        <w:t xml:space="preserve">Great Barrier </w:t>
      </w:r>
      <w:r w:rsidR="00662376">
        <w:rPr>
          <w:rFonts w:cs="Arial"/>
        </w:rPr>
        <w:t xml:space="preserve">Reef was threatened by the unprecedented scale of new </w:t>
      </w:r>
      <w:r w:rsidR="00820D38">
        <w:rPr>
          <w:rFonts w:cs="Arial"/>
        </w:rPr>
        <w:t xml:space="preserve">coastal </w:t>
      </w:r>
      <w:r w:rsidR="00662376">
        <w:rPr>
          <w:rFonts w:cs="Arial"/>
        </w:rPr>
        <w:t xml:space="preserve">mining and port development proposals in Queensland. </w:t>
      </w:r>
      <w:r w:rsidR="00820D38">
        <w:rPr>
          <w:rFonts w:cs="Arial"/>
        </w:rPr>
        <w:t>Subsequently</w:t>
      </w:r>
      <w:r w:rsidR="00662376">
        <w:rPr>
          <w:rFonts w:cs="Arial"/>
        </w:rPr>
        <w:t>, the World Heritage Committee noted ‘with great concern the potentially significant impact on the [Reef’s] Outstanding Universal Values’.</w:t>
      </w:r>
      <w:r w:rsidR="00820D38" w:rsidRPr="00820D38">
        <w:rPr>
          <w:rFonts w:cs="Arial"/>
        </w:rPr>
        <w:t xml:space="preserve"> </w:t>
      </w:r>
      <w:r w:rsidR="00820D38">
        <w:rPr>
          <w:rFonts w:cs="Arial"/>
        </w:rPr>
        <w:t>The Committee decision called for urgent responses from the Australian Government to avoid the Reef being listed as ‘World Heritage in Danger’.</w:t>
      </w:r>
      <w:r w:rsidR="00820D38">
        <w:rPr>
          <w:rStyle w:val="FootnoteReference"/>
          <w:rFonts w:cs="Arial"/>
        </w:rPr>
        <w:footnoteReference w:id="93"/>
      </w:r>
      <w:r w:rsidR="00820D38">
        <w:rPr>
          <w:rFonts w:cs="Arial"/>
        </w:rPr>
        <w:t xml:space="preserve">  </w:t>
      </w:r>
    </w:p>
    <w:p w:rsidR="00662376" w:rsidRDefault="00662376" w:rsidP="00A10BFC">
      <w:pPr>
        <w:pBdr>
          <w:top w:val="single" w:sz="4" w:space="1" w:color="auto"/>
          <w:left w:val="single" w:sz="4" w:space="1" w:color="auto"/>
          <w:bottom w:val="single" w:sz="4" w:space="1" w:color="auto"/>
          <w:right w:val="single" w:sz="4" w:space="1" w:color="auto"/>
        </w:pBdr>
        <w:rPr>
          <w:rFonts w:cs="Arial"/>
        </w:rPr>
      </w:pPr>
    </w:p>
    <w:p w:rsidR="00662376" w:rsidRDefault="00662376" w:rsidP="00A10BFC">
      <w:pPr>
        <w:pBdr>
          <w:top w:val="single" w:sz="4" w:space="1" w:color="auto"/>
          <w:left w:val="single" w:sz="4" w:space="1" w:color="auto"/>
          <w:bottom w:val="single" w:sz="4" w:space="1" w:color="auto"/>
          <w:right w:val="single" w:sz="4" w:space="1" w:color="auto"/>
        </w:pBdr>
        <w:rPr>
          <w:rFonts w:cs="Arial"/>
        </w:rPr>
      </w:pPr>
      <w:r>
        <w:rPr>
          <w:rFonts w:cs="Arial"/>
        </w:rPr>
        <w:t>The Committee called on the Australian Government to cease development expansion beyond the existing footprint; ‘</w:t>
      </w:r>
      <w:r>
        <w:t>ensure that development is not permitted if it would impact individually or cumulatively on the Outstanding Universal Value of the property’;</w:t>
      </w:r>
      <w:r w:rsidRPr="00A61271">
        <w:rPr>
          <w:rFonts w:cs="Arial"/>
        </w:rPr>
        <w:t xml:space="preserve"> </w:t>
      </w:r>
      <w:r>
        <w:rPr>
          <w:rFonts w:cs="Arial"/>
        </w:rPr>
        <w:t>and finalise a strategic assessment of the Reef for further consideration</w:t>
      </w:r>
      <w:r>
        <w:t>.</w:t>
      </w:r>
      <w:r>
        <w:rPr>
          <w:rStyle w:val="FootnoteReference"/>
        </w:rPr>
        <w:footnoteReference w:id="94"/>
      </w:r>
      <w:r>
        <w:rPr>
          <w:rFonts w:cs="Arial"/>
        </w:rPr>
        <w:t xml:space="preserve">   </w:t>
      </w:r>
    </w:p>
    <w:p w:rsidR="0094763F" w:rsidRDefault="0094763F" w:rsidP="00A10BFC">
      <w:pPr>
        <w:pBdr>
          <w:top w:val="single" w:sz="4" w:space="1" w:color="auto"/>
          <w:left w:val="single" w:sz="4" w:space="1" w:color="auto"/>
          <w:bottom w:val="single" w:sz="4" w:space="1" w:color="auto"/>
          <w:right w:val="single" w:sz="4" w:space="1" w:color="auto"/>
        </w:pBdr>
        <w:rPr>
          <w:rFonts w:cs="Arial"/>
        </w:rPr>
      </w:pPr>
    </w:p>
    <w:p w:rsidR="0094763F" w:rsidRDefault="0094763F" w:rsidP="00A10BFC">
      <w:pPr>
        <w:pBdr>
          <w:top w:val="single" w:sz="4" w:space="1" w:color="auto"/>
          <w:left w:val="single" w:sz="4" w:space="1" w:color="auto"/>
          <w:bottom w:val="single" w:sz="4" w:space="1" w:color="auto"/>
          <w:right w:val="single" w:sz="4" w:space="1" w:color="auto"/>
        </w:pBdr>
        <w:rPr>
          <w:rFonts w:cs="Arial"/>
        </w:rPr>
      </w:pPr>
      <w:r>
        <w:rPr>
          <w:rFonts w:cs="Arial"/>
          <w:szCs w:val="22"/>
        </w:rPr>
        <w:t xml:space="preserve">The Committee </w:t>
      </w:r>
      <w:r w:rsidRPr="005F4D42">
        <w:rPr>
          <w:rFonts w:cs="Arial"/>
          <w:szCs w:val="22"/>
        </w:rPr>
        <w:t xml:space="preserve">recommended </w:t>
      </w:r>
      <w:r>
        <w:rPr>
          <w:rFonts w:cs="Arial"/>
          <w:szCs w:val="22"/>
        </w:rPr>
        <w:t xml:space="preserve">that Australian governments ‘sustain and increase’ conservation efforts; adopt </w:t>
      </w:r>
      <w:r w:rsidRPr="005F4D42">
        <w:rPr>
          <w:rFonts w:cs="Arial"/>
          <w:szCs w:val="22"/>
        </w:rPr>
        <w:t>clear scientific targets to protect the Great Barrier Reef, for ‘improving its state of conservation and enhancing its resilience</w:t>
      </w:r>
      <w:r>
        <w:rPr>
          <w:rFonts w:cs="Arial"/>
          <w:szCs w:val="22"/>
        </w:rPr>
        <w:t>’; and ensure that any plans and developments contribute to achieving those targets,</w:t>
      </w:r>
      <w:r w:rsidRPr="005F4D42">
        <w:rPr>
          <w:rFonts w:cs="Arial"/>
          <w:szCs w:val="22"/>
        </w:rPr>
        <w:t xml:space="preserve"> </w:t>
      </w:r>
      <w:r>
        <w:rPr>
          <w:rFonts w:cs="Arial"/>
          <w:szCs w:val="22"/>
        </w:rPr>
        <w:t>‘</w:t>
      </w:r>
      <w:r w:rsidRPr="005F4D42">
        <w:rPr>
          <w:rFonts w:cs="Arial"/>
          <w:szCs w:val="22"/>
        </w:rPr>
        <w:t>and an overall net benefit to the protection of Outstanding Universal Value’.</w:t>
      </w:r>
    </w:p>
    <w:p w:rsidR="00A10BFC" w:rsidRDefault="00A10BFC" w:rsidP="00A10BFC">
      <w:pPr>
        <w:pBdr>
          <w:top w:val="single" w:sz="4" w:space="1" w:color="auto"/>
          <w:left w:val="single" w:sz="4" w:space="1" w:color="auto"/>
          <w:bottom w:val="single" w:sz="4" w:space="1" w:color="auto"/>
          <w:right w:val="single" w:sz="4" w:space="1" w:color="auto"/>
        </w:pBdr>
        <w:rPr>
          <w:rFonts w:cs="Arial"/>
        </w:rPr>
      </w:pPr>
    </w:p>
    <w:p w:rsidR="00A10BFC" w:rsidRDefault="00BA298C" w:rsidP="00A10BFC">
      <w:pPr>
        <w:pBdr>
          <w:top w:val="single" w:sz="4" w:space="1" w:color="auto"/>
          <w:left w:val="single" w:sz="4" w:space="1" w:color="auto"/>
          <w:bottom w:val="single" w:sz="4" w:space="1" w:color="auto"/>
          <w:right w:val="single" w:sz="4" w:space="1" w:color="auto"/>
        </w:pBdr>
        <w:rPr>
          <w:rFonts w:cs="Arial"/>
        </w:rPr>
      </w:pPr>
      <w:r>
        <w:rPr>
          <w:rFonts w:cs="Arial"/>
        </w:rPr>
        <w:t>The Government is responding to the Committee through new reports and assurances.</w:t>
      </w:r>
      <w:r>
        <w:rPr>
          <w:rStyle w:val="FootnoteReference"/>
          <w:rFonts w:cs="Arial"/>
        </w:rPr>
        <w:footnoteReference w:id="95"/>
      </w:r>
      <w:r>
        <w:rPr>
          <w:rFonts w:cs="Arial"/>
        </w:rPr>
        <w:t xml:space="preserve"> However, i</w:t>
      </w:r>
      <w:r w:rsidR="00A10BFC">
        <w:rPr>
          <w:rFonts w:cs="Arial"/>
        </w:rPr>
        <w:t>t is difficult to reconcile the proposals from COAG and the Business Advisory Forum to ‘streamline’ (speed up) major project assessment and approvals, on one hand</w:t>
      </w:r>
      <w:r w:rsidR="0094763F">
        <w:rPr>
          <w:rFonts w:cs="Arial"/>
        </w:rPr>
        <w:t>;</w:t>
      </w:r>
      <w:r w:rsidR="00A10BFC">
        <w:rPr>
          <w:rFonts w:cs="Arial"/>
        </w:rPr>
        <w:t xml:space="preserve"> with the World Heritage Commission’s concerns about major project impacts on the Great Barrier Reef</w:t>
      </w:r>
      <w:r w:rsidR="0094763F">
        <w:rPr>
          <w:rFonts w:cs="Arial"/>
        </w:rPr>
        <w:t>,</w:t>
      </w:r>
      <w:r w:rsidR="00A10BFC">
        <w:rPr>
          <w:rFonts w:cs="Arial"/>
        </w:rPr>
        <w:t xml:space="preserve"> on the other.</w:t>
      </w:r>
      <w:r w:rsidR="0094763F">
        <w:rPr>
          <w:rFonts w:cs="Arial"/>
        </w:rPr>
        <w:t xml:space="preserve"> Australia needs more, not less, cumulative assessment.</w:t>
      </w:r>
    </w:p>
    <w:p w:rsidR="00CC4616" w:rsidRPr="00070682" w:rsidRDefault="00CC4616" w:rsidP="00B67EBB">
      <w:pPr>
        <w:pStyle w:val="ListParagraph"/>
        <w:spacing w:after="120"/>
        <w:ind w:left="0"/>
        <w:contextualSpacing w:val="0"/>
        <w:rPr>
          <w:rFonts w:cs="Calibri"/>
          <w:i/>
        </w:rPr>
      </w:pPr>
    </w:p>
    <w:p w:rsidR="00CC4616" w:rsidRPr="00907A3C" w:rsidRDefault="00827763" w:rsidP="009C52E3">
      <w:pPr>
        <w:pStyle w:val="Heading2"/>
        <w:numPr>
          <w:ilvl w:val="0"/>
          <w:numId w:val="45"/>
        </w:numPr>
      </w:pPr>
      <w:bookmarkStart w:id="32" w:name="_Toc351985911"/>
      <w:r w:rsidRPr="00907A3C">
        <w:t>Strategic environmental assessments</w:t>
      </w:r>
      <w:r w:rsidR="002260F9" w:rsidRPr="00907A3C">
        <w:t xml:space="preserve"> need robust safeguards</w:t>
      </w:r>
      <w:bookmarkEnd w:id="32"/>
    </w:p>
    <w:p w:rsidR="00FF0FD0" w:rsidRPr="00FF0FD0" w:rsidRDefault="00823470" w:rsidP="00D808E9">
      <w:pPr>
        <w:autoSpaceDE w:val="0"/>
        <w:autoSpaceDN w:val="0"/>
        <w:adjustRightInd w:val="0"/>
        <w:rPr>
          <w:rFonts w:cs="Arial"/>
          <w:szCs w:val="22"/>
        </w:rPr>
      </w:pPr>
      <w:r>
        <w:t xml:space="preserve">In light of the COAG reforms, </w:t>
      </w:r>
      <w:proofErr w:type="spellStart"/>
      <w:r w:rsidR="00827763" w:rsidRPr="005F4D42">
        <w:t>ANEDO</w:t>
      </w:r>
      <w:proofErr w:type="spellEnd"/>
      <w:r w:rsidR="00827763" w:rsidRPr="005F4D42">
        <w:t xml:space="preserve"> is concerned that </w:t>
      </w:r>
      <w:r w:rsidR="00A103BE" w:rsidRPr="005F4D42">
        <w:t xml:space="preserve">the </w:t>
      </w:r>
      <w:r w:rsidR="005F4D42">
        <w:t xml:space="preserve">Australian </w:t>
      </w:r>
      <w:r w:rsidR="00A103BE" w:rsidRPr="005F4D42">
        <w:t xml:space="preserve">Government’s </w:t>
      </w:r>
      <w:r w:rsidR="00A103BE" w:rsidRPr="00FF0FD0">
        <w:rPr>
          <w:szCs w:val="22"/>
        </w:rPr>
        <w:t xml:space="preserve">intent to increase the use of </w:t>
      </w:r>
      <w:r w:rsidR="002260F9" w:rsidRPr="00FF0FD0">
        <w:rPr>
          <w:szCs w:val="22"/>
        </w:rPr>
        <w:t xml:space="preserve">strategic </w:t>
      </w:r>
      <w:r w:rsidRPr="00FF0FD0">
        <w:rPr>
          <w:szCs w:val="22"/>
        </w:rPr>
        <w:t xml:space="preserve">environmental </w:t>
      </w:r>
      <w:r w:rsidR="002260F9" w:rsidRPr="00FF0FD0">
        <w:rPr>
          <w:szCs w:val="22"/>
        </w:rPr>
        <w:t>assessment</w:t>
      </w:r>
      <w:r w:rsidR="00A103BE" w:rsidRPr="00FF0FD0">
        <w:rPr>
          <w:rFonts w:cs="Arial"/>
          <w:szCs w:val="22"/>
        </w:rPr>
        <w:t xml:space="preserve"> </w:t>
      </w:r>
      <w:r w:rsidR="00FF0FD0" w:rsidRPr="00FF0FD0">
        <w:rPr>
          <w:rFonts w:cs="Arial"/>
          <w:szCs w:val="22"/>
        </w:rPr>
        <w:t xml:space="preserve">(or </w:t>
      </w:r>
      <w:r w:rsidR="00FF0FD0" w:rsidRPr="004D6F76">
        <w:rPr>
          <w:rFonts w:cs="Arial"/>
          <w:b/>
          <w:szCs w:val="22"/>
        </w:rPr>
        <w:t>SEA</w:t>
      </w:r>
      <w:r w:rsidR="00FF0FD0" w:rsidRPr="00FF0FD0">
        <w:rPr>
          <w:rFonts w:cs="Arial"/>
          <w:szCs w:val="22"/>
        </w:rPr>
        <w:t xml:space="preserve">) </w:t>
      </w:r>
      <w:r w:rsidR="00A103BE" w:rsidRPr="00FF0FD0">
        <w:rPr>
          <w:rFonts w:cs="Arial"/>
          <w:szCs w:val="22"/>
        </w:rPr>
        <w:t xml:space="preserve">may </w:t>
      </w:r>
      <w:r w:rsidRPr="00FF0FD0">
        <w:rPr>
          <w:rFonts w:cs="Arial"/>
          <w:szCs w:val="22"/>
        </w:rPr>
        <w:t xml:space="preserve">place </w:t>
      </w:r>
      <w:r w:rsidR="00A103BE" w:rsidRPr="00FF0FD0">
        <w:rPr>
          <w:rFonts w:cs="Arial"/>
          <w:szCs w:val="22"/>
        </w:rPr>
        <w:t>emphasis</w:t>
      </w:r>
      <w:r w:rsidRPr="00FF0FD0">
        <w:rPr>
          <w:rFonts w:cs="Arial"/>
          <w:szCs w:val="22"/>
        </w:rPr>
        <w:t xml:space="preserve"> on</w:t>
      </w:r>
      <w:r w:rsidR="00A103BE" w:rsidRPr="00FF0FD0">
        <w:rPr>
          <w:rFonts w:cs="Arial"/>
          <w:szCs w:val="22"/>
        </w:rPr>
        <w:t xml:space="preserve"> </w:t>
      </w:r>
      <w:r w:rsidR="002260F9" w:rsidRPr="00FF0FD0">
        <w:rPr>
          <w:rFonts w:cs="Arial"/>
          <w:szCs w:val="22"/>
        </w:rPr>
        <w:t>‘</w:t>
      </w:r>
      <w:r w:rsidR="00A103BE" w:rsidRPr="00FF0FD0">
        <w:rPr>
          <w:rFonts w:cs="Arial"/>
          <w:szCs w:val="22"/>
        </w:rPr>
        <w:t>streamlining</w:t>
      </w:r>
      <w:r w:rsidR="002260F9" w:rsidRPr="00FF0FD0">
        <w:rPr>
          <w:rFonts w:cs="Arial"/>
          <w:szCs w:val="22"/>
        </w:rPr>
        <w:t>’</w:t>
      </w:r>
      <w:r w:rsidR="00A103BE" w:rsidRPr="00FF0FD0">
        <w:rPr>
          <w:rFonts w:cs="Arial"/>
          <w:szCs w:val="22"/>
        </w:rPr>
        <w:t xml:space="preserve"> approvals, without the additional safeguards recommended in </w:t>
      </w:r>
      <w:r w:rsidR="00A103BE" w:rsidRPr="00FF0FD0">
        <w:rPr>
          <w:rFonts w:cs="Arial"/>
          <w:szCs w:val="22"/>
        </w:rPr>
        <w:lastRenderedPageBreak/>
        <w:t xml:space="preserve">the </w:t>
      </w:r>
      <w:r w:rsidRPr="00FF0FD0">
        <w:rPr>
          <w:rFonts w:cs="Arial"/>
          <w:szCs w:val="22"/>
        </w:rPr>
        <w:t>Hawke</w:t>
      </w:r>
      <w:r w:rsidR="005F4D42" w:rsidRPr="00FF0FD0">
        <w:rPr>
          <w:rFonts w:cs="Arial"/>
          <w:szCs w:val="22"/>
        </w:rPr>
        <w:t xml:space="preserve"> </w:t>
      </w:r>
      <w:r w:rsidR="00A103BE" w:rsidRPr="00FF0FD0">
        <w:rPr>
          <w:rFonts w:cs="Arial"/>
          <w:szCs w:val="22"/>
        </w:rPr>
        <w:t>Review.</w:t>
      </w:r>
      <w:r w:rsidRPr="00FF0FD0">
        <w:rPr>
          <w:rStyle w:val="FootnoteReference"/>
          <w:rFonts w:cs="Arial"/>
          <w:szCs w:val="22"/>
        </w:rPr>
        <w:footnoteReference w:id="96"/>
      </w:r>
      <w:r w:rsidR="00FF0FD0" w:rsidRPr="00FF0FD0">
        <w:rPr>
          <w:rFonts w:cs="Arial"/>
          <w:szCs w:val="22"/>
        </w:rPr>
        <w:t xml:space="preserve"> As an emerging field</w:t>
      </w:r>
      <w:r w:rsidR="00D808E9">
        <w:rPr>
          <w:rFonts w:cs="Arial"/>
          <w:szCs w:val="22"/>
        </w:rPr>
        <w:t xml:space="preserve"> with a variety of implementation options</w:t>
      </w:r>
      <w:r w:rsidR="00FF0FD0" w:rsidRPr="00FF0FD0">
        <w:rPr>
          <w:rFonts w:cs="Arial"/>
          <w:szCs w:val="22"/>
        </w:rPr>
        <w:t>, SEA</w:t>
      </w:r>
      <w:r w:rsidR="00D808E9">
        <w:rPr>
          <w:rFonts w:cs="Arial"/>
          <w:szCs w:val="22"/>
        </w:rPr>
        <w:t xml:space="preserve"> presents new opportunities, but</w:t>
      </w:r>
      <w:r w:rsidR="00FF0FD0" w:rsidRPr="00FF0FD0">
        <w:rPr>
          <w:rFonts w:cs="Arial"/>
          <w:szCs w:val="22"/>
        </w:rPr>
        <w:t xml:space="preserve"> also a number of risks.</w:t>
      </w:r>
      <w:r w:rsidR="00FF0FD0" w:rsidRPr="00FF0FD0">
        <w:rPr>
          <w:rStyle w:val="FootnoteReference"/>
          <w:rFonts w:cs="Arial"/>
          <w:szCs w:val="22"/>
        </w:rPr>
        <w:footnoteReference w:id="97"/>
      </w:r>
      <w:r w:rsidR="00FF0FD0" w:rsidRPr="00FF0FD0">
        <w:rPr>
          <w:rFonts w:cs="Arial"/>
          <w:szCs w:val="22"/>
        </w:rPr>
        <w:t xml:space="preserve"> </w:t>
      </w:r>
      <w:proofErr w:type="spellStart"/>
      <w:r w:rsidR="00FF0FD0" w:rsidRPr="00FF0FD0">
        <w:rPr>
          <w:rFonts w:cs="Arial"/>
          <w:szCs w:val="22"/>
        </w:rPr>
        <w:t>ANEDO</w:t>
      </w:r>
      <w:proofErr w:type="spellEnd"/>
      <w:r w:rsidR="00FF0FD0" w:rsidRPr="00FF0FD0">
        <w:rPr>
          <w:rFonts w:cs="Arial"/>
          <w:szCs w:val="22"/>
        </w:rPr>
        <w:t xml:space="preserve"> has noted some of the inadequacies of strategic assessments to date, including in relation to the Melbourne Urban Growth Boundary and the Sydney Growth Centres assessment.</w:t>
      </w:r>
      <w:r w:rsidR="00FF0FD0" w:rsidRPr="00FF0FD0">
        <w:rPr>
          <w:rStyle w:val="FootnoteReference"/>
          <w:rFonts w:cs="Arial"/>
          <w:szCs w:val="22"/>
        </w:rPr>
        <w:footnoteReference w:id="98"/>
      </w:r>
      <w:r w:rsidR="00FF0FD0" w:rsidRPr="00FF0FD0">
        <w:rPr>
          <w:rFonts w:cs="Arial"/>
          <w:szCs w:val="22"/>
        </w:rPr>
        <w:t xml:space="preserve"> These risks must be managed and minimised by good process, standards and implementation.</w:t>
      </w:r>
    </w:p>
    <w:p w:rsidR="00A103BE" w:rsidRPr="00FF0FD0" w:rsidRDefault="00A103BE" w:rsidP="00D808E9">
      <w:pPr>
        <w:rPr>
          <w:rFonts w:cs="Arial"/>
          <w:szCs w:val="22"/>
          <w:highlight w:val="green"/>
        </w:rPr>
      </w:pPr>
    </w:p>
    <w:p w:rsidR="001A5FA5" w:rsidRDefault="00D808E9" w:rsidP="00D808E9">
      <w:pPr>
        <w:rPr>
          <w:rFonts w:cs="Arial"/>
          <w:szCs w:val="22"/>
        </w:rPr>
      </w:pPr>
      <w:r>
        <w:rPr>
          <w:rFonts w:cs="Arial"/>
          <w:szCs w:val="22"/>
        </w:rPr>
        <w:t>With SEA still in its infancy in Australia, t</w:t>
      </w:r>
      <w:r w:rsidR="00827763" w:rsidRPr="00FF0FD0">
        <w:rPr>
          <w:rFonts w:cs="Arial"/>
          <w:szCs w:val="22"/>
        </w:rPr>
        <w:t xml:space="preserve">he Hawke Review </w:t>
      </w:r>
      <w:r>
        <w:rPr>
          <w:rFonts w:cs="Arial"/>
          <w:szCs w:val="22"/>
        </w:rPr>
        <w:t xml:space="preserve">of the </w:t>
      </w:r>
      <w:proofErr w:type="spellStart"/>
      <w:r>
        <w:rPr>
          <w:rFonts w:cs="Arial"/>
          <w:szCs w:val="22"/>
        </w:rPr>
        <w:t>EPBC</w:t>
      </w:r>
      <w:proofErr w:type="spellEnd"/>
      <w:r>
        <w:rPr>
          <w:rFonts w:cs="Arial"/>
          <w:szCs w:val="22"/>
        </w:rPr>
        <w:t xml:space="preserve"> Act </w:t>
      </w:r>
      <w:r w:rsidR="001A5FA5" w:rsidRPr="00FF0FD0">
        <w:rPr>
          <w:rFonts w:cs="Arial"/>
          <w:szCs w:val="22"/>
        </w:rPr>
        <w:t>supported</w:t>
      </w:r>
      <w:r w:rsidR="00A103BE" w:rsidRPr="00FF0FD0">
        <w:rPr>
          <w:rFonts w:cs="Arial"/>
          <w:szCs w:val="22"/>
        </w:rPr>
        <w:t xml:space="preserve"> </w:t>
      </w:r>
      <w:r w:rsidR="00827763" w:rsidRPr="00FF0FD0">
        <w:rPr>
          <w:rFonts w:cs="Arial"/>
          <w:szCs w:val="22"/>
        </w:rPr>
        <w:t>increase</w:t>
      </w:r>
      <w:r w:rsidR="00A103BE" w:rsidRPr="00FF0FD0">
        <w:rPr>
          <w:rFonts w:cs="Arial"/>
          <w:szCs w:val="22"/>
        </w:rPr>
        <w:t>d</w:t>
      </w:r>
      <w:r w:rsidR="00827763" w:rsidRPr="00FF0FD0">
        <w:rPr>
          <w:rFonts w:cs="Arial"/>
          <w:szCs w:val="22"/>
        </w:rPr>
        <w:t xml:space="preserve"> use of</w:t>
      </w:r>
      <w:r w:rsidR="00827763" w:rsidRPr="005F4D42">
        <w:rPr>
          <w:rFonts w:cs="Arial"/>
          <w:szCs w:val="22"/>
        </w:rPr>
        <w:t xml:space="preserve"> strategic approaches, but also </w:t>
      </w:r>
      <w:r w:rsidR="00A103BE" w:rsidRPr="005F4D42">
        <w:rPr>
          <w:rFonts w:cs="Arial"/>
          <w:szCs w:val="22"/>
        </w:rPr>
        <w:t xml:space="preserve">recommended </w:t>
      </w:r>
      <w:r w:rsidR="005F4D42">
        <w:rPr>
          <w:rFonts w:cs="Arial"/>
          <w:szCs w:val="22"/>
        </w:rPr>
        <w:t>that the Government</w:t>
      </w:r>
      <w:r w:rsidR="00A103BE" w:rsidRPr="005F4D42">
        <w:rPr>
          <w:rFonts w:cs="Arial"/>
          <w:szCs w:val="22"/>
        </w:rPr>
        <w:t xml:space="preserve"> ‘</w:t>
      </w:r>
      <w:r w:rsidR="00A103BE" w:rsidRPr="005F4D42">
        <w:rPr>
          <w:rFonts w:cs="Arial"/>
          <w:iCs/>
          <w:szCs w:val="22"/>
          <w:lang w:eastAsia="en-AU"/>
        </w:rPr>
        <w:t>strengthen the process for creating these plans and undertaking these assessments, so</w:t>
      </w:r>
      <w:r>
        <w:rPr>
          <w:rFonts w:cs="Arial"/>
          <w:iCs/>
          <w:szCs w:val="22"/>
          <w:lang w:eastAsia="en-AU"/>
        </w:rPr>
        <w:t> </w:t>
      </w:r>
      <w:r w:rsidR="00A103BE" w:rsidRPr="005F4D42">
        <w:rPr>
          <w:rFonts w:cs="Arial"/>
          <w:iCs/>
          <w:szCs w:val="22"/>
          <w:lang w:eastAsia="en-AU"/>
        </w:rPr>
        <w:t xml:space="preserve">they are more substantial and robust’ </w:t>
      </w:r>
      <w:r w:rsidR="00A103BE" w:rsidRPr="005F4D42">
        <w:rPr>
          <w:rFonts w:cs="Arial"/>
          <w:szCs w:val="22"/>
        </w:rPr>
        <w:t>(rec</w:t>
      </w:r>
      <w:r w:rsidR="001A5FA5">
        <w:rPr>
          <w:rFonts w:cs="Arial"/>
          <w:szCs w:val="22"/>
        </w:rPr>
        <w:t>.</w:t>
      </w:r>
      <w:r w:rsidR="00A103BE" w:rsidRPr="005F4D42">
        <w:rPr>
          <w:rFonts w:cs="Arial"/>
          <w:szCs w:val="22"/>
        </w:rPr>
        <w:t xml:space="preserve"> 6.1(b)). </w:t>
      </w:r>
      <w:r w:rsidR="004341CD" w:rsidRPr="005F4D42">
        <w:rPr>
          <w:rFonts w:cs="Arial"/>
          <w:szCs w:val="22"/>
        </w:rPr>
        <w:t>The Review also sets out a range of ‘minimum information required for these assessments to be credible’.</w:t>
      </w:r>
      <w:r w:rsidR="004341CD" w:rsidRPr="005F4D42">
        <w:rPr>
          <w:rStyle w:val="FootnoteReference"/>
          <w:rFonts w:cs="Arial"/>
          <w:szCs w:val="22"/>
        </w:rPr>
        <w:footnoteReference w:id="99"/>
      </w:r>
      <w:r w:rsidR="004341CD" w:rsidRPr="005F4D42">
        <w:rPr>
          <w:rFonts w:cs="Arial"/>
          <w:szCs w:val="22"/>
        </w:rPr>
        <w:t xml:space="preserve"> </w:t>
      </w:r>
    </w:p>
    <w:p w:rsidR="001A5FA5" w:rsidRDefault="001A5FA5" w:rsidP="00A103BE">
      <w:pPr>
        <w:rPr>
          <w:rFonts w:cs="Arial"/>
          <w:szCs w:val="22"/>
        </w:rPr>
      </w:pPr>
    </w:p>
    <w:p w:rsidR="00827763" w:rsidRDefault="005F4D42" w:rsidP="00A103BE">
      <w:pPr>
        <w:rPr>
          <w:rFonts w:cs="Arial"/>
          <w:szCs w:val="22"/>
        </w:rPr>
      </w:pPr>
      <w:r>
        <w:rPr>
          <w:rFonts w:cs="Arial"/>
          <w:szCs w:val="22"/>
        </w:rPr>
        <w:t xml:space="preserve">While the </w:t>
      </w:r>
      <w:r w:rsidRPr="005F4D42">
        <w:rPr>
          <w:rFonts w:cs="Arial"/>
          <w:szCs w:val="22"/>
        </w:rPr>
        <w:t xml:space="preserve">Government Response </w:t>
      </w:r>
      <w:r w:rsidR="00A103BE" w:rsidRPr="005F4D42">
        <w:rPr>
          <w:rFonts w:cs="Arial"/>
          <w:szCs w:val="22"/>
        </w:rPr>
        <w:t>‘agree</w:t>
      </w:r>
      <w:r>
        <w:rPr>
          <w:rFonts w:cs="Arial"/>
          <w:szCs w:val="22"/>
        </w:rPr>
        <w:t>d</w:t>
      </w:r>
      <w:r w:rsidR="00A103BE" w:rsidRPr="005F4D42">
        <w:rPr>
          <w:rFonts w:cs="Arial"/>
          <w:szCs w:val="22"/>
        </w:rPr>
        <w:t xml:space="preserve"> in substance’ with </w:t>
      </w:r>
      <w:r w:rsidR="001F325F">
        <w:rPr>
          <w:rFonts w:cs="Arial"/>
          <w:szCs w:val="22"/>
        </w:rPr>
        <w:t xml:space="preserve">Hawke </w:t>
      </w:r>
      <w:r w:rsidR="00A103BE" w:rsidRPr="005F4D42">
        <w:rPr>
          <w:rFonts w:cs="Arial"/>
          <w:szCs w:val="22"/>
        </w:rPr>
        <w:t xml:space="preserve">recommendation 6 </w:t>
      </w:r>
      <w:r>
        <w:rPr>
          <w:rFonts w:cs="Arial"/>
          <w:szCs w:val="22"/>
        </w:rPr>
        <w:t>(</w:t>
      </w:r>
      <w:r w:rsidR="001F325F">
        <w:rPr>
          <w:rFonts w:cs="Arial"/>
          <w:szCs w:val="22"/>
        </w:rPr>
        <w:t xml:space="preserve">using and improving </w:t>
      </w:r>
      <w:r w:rsidR="00A103BE" w:rsidRPr="005F4D42">
        <w:rPr>
          <w:rFonts w:cs="Arial"/>
          <w:szCs w:val="22"/>
        </w:rPr>
        <w:t>strategic assessment and regional plans</w:t>
      </w:r>
      <w:r>
        <w:rPr>
          <w:rFonts w:cs="Arial"/>
          <w:szCs w:val="22"/>
        </w:rPr>
        <w:t>)</w:t>
      </w:r>
      <w:r w:rsidR="004341CD" w:rsidRPr="005F4D42">
        <w:rPr>
          <w:rFonts w:cs="Arial"/>
          <w:szCs w:val="22"/>
        </w:rPr>
        <w:t xml:space="preserve">, </w:t>
      </w:r>
      <w:proofErr w:type="spellStart"/>
      <w:r w:rsidR="004341CD" w:rsidRPr="005F4D42">
        <w:rPr>
          <w:rFonts w:cs="Arial"/>
          <w:szCs w:val="22"/>
        </w:rPr>
        <w:t>ANEDO</w:t>
      </w:r>
      <w:proofErr w:type="spellEnd"/>
      <w:r w:rsidR="004341CD" w:rsidRPr="005F4D42">
        <w:rPr>
          <w:rFonts w:cs="Arial"/>
          <w:szCs w:val="22"/>
        </w:rPr>
        <w:t xml:space="preserve"> is concerned that the </w:t>
      </w:r>
      <w:r>
        <w:rPr>
          <w:rFonts w:cs="Arial"/>
          <w:szCs w:val="22"/>
        </w:rPr>
        <w:t xml:space="preserve">Government </w:t>
      </w:r>
      <w:r w:rsidR="004341CD" w:rsidRPr="005F4D42">
        <w:rPr>
          <w:rFonts w:cs="Arial"/>
          <w:szCs w:val="22"/>
        </w:rPr>
        <w:t xml:space="preserve">rejected </w:t>
      </w:r>
      <w:r w:rsidR="001F325F">
        <w:rPr>
          <w:rFonts w:cs="Arial"/>
          <w:szCs w:val="22"/>
        </w:rPr>
        <w:t>a central tenet</w:t>
      </w:r>
      <w:r w:rsidR="004341CD" w:rsidRPr="005F4D42">
        <w:rPr>
          <w:rFonts w:cs="Arial"/>
          <w:szCs w:val="22"/>
        </w:rPr>
        <w:t xml:space="preserve"> of</w:t>
      </w:r>
      <w:r>
        <w:rPr>
          <w:rFonts w:cs="Arial"/>
          <w:szCs w:val="22"/>
        </w:rPr>
        <w:t xml:space="preserve"> th</w:t>
      </w:r>
      <w:r w:rsidR="001F325F">
        <w:rPr>
          <w:rFonts w:cs="Arial"/>
          <w:szCs w:val="22"/>
        </w:rPr>
        <w:t>at</w:t>
      </w:r>
      <w:r w:rsidR="004341CD" w:rsidRPr="005F4D42">
        <w:rPr>
          <w:rFonts w:cs="Arial"/>
          <w:szCs w:val="22"/>
        </w:rPr>
        <w:t xml:space="preserve"> recommendation. Namely</w:t>
      </w:r>
      <w:r w:rsidR="006D77AC">
        <w:rPr>
          <w:rFonts w:cs="Arial"/>
          <w:szCs w:val="22"/>
        </w:rPr>
        <w:t xml:space="preserve">, the </w:t>
      </w:r>
      <w:r w:rsidR="001F325F">
        <w:rPr>
          <w:rFonts w:cs="Arial"/>
          <w:szCs w:val="22"/>
        </w:rPr>
        <w:t>addition</w:t>
      </w:r>
      <w:r w:rsidR="006D77AC">
        <w:rPr>
          <w:rFonts w:cs="Arial"/>
          <w:szCs w:val="22"/>
        </w:rPr>
        <w:t xml:space="preserve"> of </w:t>
      </w:r>
      <w:r w:rsidR="004341CD" w:rsidRPr="005F4D42">
        <w:rPr>
          <w:rFonts w:cs="Arial"/>
          <w:szCs w:val="22"/>
        </w:rPr>
        <w:t>a robust, scient</w:t>
      </w:r>
      <w:r>
        <w:rPr>
          <w:rFonts w:cs="Arial"/>
          <w:szCs w:val="22"/>
        </w:rPr>
        <w:t xml:space="preserve">ific ‘improve or maintain’ test </w:t>
      </w:r>
      <w:r w:rsidR="004341CD" w:rsidRPr="005F4D42">
        <w:rPr>
          <w:rFonts w:cs="Arial"/>
          <w:szCs w:val="22"/>
        </w:rPr>
        <w:t>with regard to environment and heritage</w:t>
      </w:r>
      <w:r w:rsidR="001A5FA5">
        <w:rPr>
          <w:rFonts w:cs="Arial"/>
          <w:szCs w:val="22"/>
        </w:rPr>
        <w:t>.</w:t>
      </w:r>
      <w:r w:rsidR="00A103BE" w:rsidRPr="005F4D42">
        <w:rPr>
          <w:rStyle w:val="FootnoteReference"/>
          <w:rFonts w:cs="Arial"/>
          <w:szCs w:val="22"/>
        </w:rPr>
        <w:footnoteReference w:id="100"/>
      </w:r>
      <w:r w:rsidR="00A103BE" w:rsidRPr="005F4D42">
        <w:rPr>
          <w:rFonts w:cs="Arial"/>
          <w:szCs w:val="22"/>
        </w:rPr>
        <w:t xml:space="preserve"> </w:t>
      </w:r>
      <w:r w:rsidR="004341CD" w:rsidRPr="005F4D42">
        <w:rPr>
          <w:rFonts w:cs="Arial"/>
          <w:szCs w:val="22"/>
        </w:rPr>
        <w:t xml:space="preserve"> As we have submitted,</w:t>
      </w:r>
      <w:r w:rsidR="00A103BE" w:rsidRPr="005F4D42">
        <w:rPr>
          <w:rFonts w:cs="Arial"/>
          <w:szCs w:val="22"/>
        </w:rPr>
        <w:t xml:space="preserve"> </w:t>
      </w:r>
      <w:r w:rsidR="004341CD" w:rsidRPr="005F4D42">
        <w:rPr>
          <w:rFonts w:cs="Arial"/>
          <w:szCs w:val="22"/>
        </w:rPr>
        <w:t xml:space="preserve">objective tests for environmental outcomes are a leading practice mechanism towards achieving </w:t>
      </w:r>
      <w:proofErr w:type="spellStart"/>
      <w:r w:rsidR="004341CD" w:rsidRPr="005F4D42">
        <w:rPr>
          <w:rFonts w:cs="Arial"/>
          <w:szCs w:val="22"/>
        </w:rPr>
        <w:t>ESD</w:t>
      </w:r>
      <w:proofErr w:type="spellEnd"/>
      <w:r w:rsidR="004341CD" w:rsidRPr="005F4D42">
        <w:rPr>
          <w:rFonts w:cs="Arial"/>
          <w:szCs w:val="22"/>
        </w:rPr>
        <w:t xml:space="preserve"> in planning and major project </w:t>
      </w:r>
      <w:proofErr w:type="spellStart"/>
      <w:r w:rsidR="004341CD" w:rsidRPr="005F4D42">
        <w:rPr>
          <w:rFonts w:cs="Arial"/>
          <w:szCs w:val="22"/>
        </w:rPr>
        <w:t>DAA</w:t>
      </w:r>
      <w:proofErr w:type="spellEnd"/>
      <w:r w:rsidR="004341CD" w:rsidRPr="005F4D42">
        <w:rPr>
          <w:rFonts w:cs="Arial"/>
          <w:szCs w:val="22"/>
        </w:rPr>
        <w:t>.</w:t>
      </w:r>
      <w:r w:rsidR="0094763F">
        <w:rPr>
          <w:rFonts w:cs="Arial"/>
          <w:szCs w:val="22"/>
        </w:rPr>
        <w:t xml:space="preserve"> A</w:t>
      </w:r>
      <w:r w:rsidR="006D77AC">
        <w:rPr>
          <w:rFonts w:cs="Arial"/>
          <w:szCs w:val="22"/>
        </w:rPr>
        <w:t xml:space="preserve"> ‘maintain or improve test’ is also consistent with </w:t>
      </w:r>
      <w:r w:rsidR="004341CD" w:rsidRPr="005F4D42">
        <w:rPr>
          <w:rFonts w:cs="Arial"/>
          <w:szCs w:val="22"/>
        </w:rPr>
        <w:t>the World Heritage Committee</w:t>
      </w:r>
      <w:r w:rsidR="006D77AC">
        <w:rPr>
          <w:rFonts w:cs="Arial"/>
          <w:szCs w:val="22"/>
        </w:rPr>
        <w:t>’s</w:t>
      </w:r>
      <w:r w:rsidR="004341CD" w:rsidRPr="005F4D42">
        <w:rPr>
          <w:rFonts w:cs="Arial"/>
          <w:szCs w:val="22"/>
        </w:rPr>
        <w:t xml:space="preserve"> </w:t>
      </w:r>
      <w:r w:rsidR="006D77AC">
        <w:rPr>
          <w:rFonts w:cs="Arial"/>
          <w:szCs w:val="22"/>
        </w:rPr>
        <w:t xml:space="preserve">decision </w:t>
      </w:r>
      <w:r w:rsidR="0026215A">
        <w:rPr>
          <w:rFonts w:cs="Arial"/>
          <w:szCs w:val="22"/>
        </w:rPr>
        <w:t xml:space="preserve">on the Great Barrier Reef </w:t>
      </w:r>
      <w:r w:rsidR="001F325F">
        <w:rPr>
          <w:rFonts w:cs="Arial"/>
          <w:szCs w:val="22"/>
        </w:rPr>
        <w:t xml:space="preserve">noted </w:t>
      </w:r>
      <w:r w:rsidR="006D77AC">
        <w:rPr>
          <w:rFonts w:cs="Arial"/>
          <w:szCs w:val="22"/>
        </w:rPr>
        <w:t>above.</w:t>
      </w:r>
      <w:r w:rsidR="006D77AC">
        <w:rPr>
          <w:rStyle w:val="FootnoteReference"/>
          <w:rFonts w:cs="Arial"/>
          <w:szCs w:val="22"/>
        </w:rPr>
        <w:footnoteReference w:id="101"/>
      </w:r>
    </w:p>
    <w:p w:rsidR="001A5FA5" w:rsidRDefault="001A5FA5" w:rsidP="00A103BE">
      <w:pPr>
        <w:rPr>
          <w:rFonts w:cs="Arial"/>
          <w:szCs w:val="22"/>
        </w:rPr>
      </w:pPr>
    </w:p>
    <w:p w:rsidR="000813BD" w:rsidRDefault="001A5FA5" w:rsidP="00A103BE">
      <w:pPr>
        <w:rPr>
          <w:rFonts w:cs="Arial"/>
          <w:b/>
          <w:szCs w:val="22"/>
        </w:rPr>
      </w:pPr>
      <w:r w:rsidRPr="004D6F76">
        <w:rPr>
          <w:rFonts w:cs="Arial"/>
          <w:szCs w:val="22"/>
        </w:rPr>
        <w:t xml:space="preserve">Given the broad scale, long-term implications of strategic </w:t>
      </w:r>
      <w:r w:rsidR="00CB7D56" w:rsidRPr="004D6F76">
        <w:rPr>
          <w:rFonts w:cs="Arial"/>
          <w:szCs w:val="22"/>
        </w:rPr>
        <w:t xml:space="preserve">environmental </w:t>
      </w:r>
      <w:r w:rsidRPr="004D6F76">
        <w:rPr>
          <w:rFonts w:cs="Arial"/>
          <w:szCs w:val="22"/>
        </w:rPr>
        <w:t xml:space="preserve">assessments, </w:t>
      </w:r>
      <w:r w:rsidR="00390C2E" w:rsidRPr="004D6F76">
        <w:rPr>
          <w:rFonts w:cs="Arial"/>
          <w:szCs w:val="22"/>
        </w:rPr>
        <w:t>minimum</w:t>
      </w:r>
      <w:r w:rsidRPr="004D6F76">
        <w:rPr>
          <w:rFonts w:cs="Arial"/>
          <w:szCs w:val="22"/>
        </w:rPr>
        <w:t xml:space="preserve"> safeguards </w:t>
      </w:r>
      <w:r w:rsidR="00390C2E" w:rsidRPr="004D6F76">
        <w:rPr>
          <w:rFonts w:cs="Arial"/>
          <w:szCs w:val="22"/>
        </w:rPr>
        <w:t xml:space="preserve">are needed </w:t>
      </w:r>
      <w:r w:rsidRPr="004D6F76">
        <w:rPr>
          <w:rFonts w:cs="Arial"/>
          <w:szCs w:val="22"/>
        </w:rPr>
        <w:t>to ensure th</w:t>
      </w:r>
      <w:r w:rsidR="00390C2E" w:rsidRPr="004D6F76">
        <w:rPr>
          <w:rFonts w:cs="Arial"/>
          <w:szCs w:val="22"/>
        </w:rPr>
        <w:t>e</w:t>
      </w:r>
      <w:r w:rsidR="00390C2E" w:rsidRPr="000813BD">
        <w:rPr>
          <w:rFonts w:cs="Arial"/>
          <w:szCs w:val="22"/>
        </w:rPr>
        <w:t>y</w:t>
      </w:r>
      <w:r w:rsidR="00390C2E" w:rsidRPr="004D6F76">
        <w:rPr>
          <w:rFonts w:cs="Arial"/>
          <w:szCs w:val="22"/>
        </w:rPr>
        <w:t xml:space="preserve"> </w:t>
      </w:r>
      <w:r w:rsidRPr="004D6F76">
        <w:rPr>
          <w:rFonts w:cs="Arial"/>
          <w:szCs w:val="22"/>
        </w:rPr>
        <w:t xml:space="preserve">are </w:t>
      </w:r>
      <w:r w:rsidR="00390C2E" w:rsidRPr="004D6F76">
        <w:rPr>
          <w:rFonts w:cs="Arial"/>
          <w:szCs w:val="22"/>
        </w:rPr>
        <w:t>‘</w:t>
      </w:r>
      <w:r w:rsidRPr="004D6F76">
        <w:rPr>
          <w:rFonts w:cs="Arial"/>
          <w:szCs w:val="22"/>
        </w:rPr>
        <w:t>robust and fit for purpose.’</w:t>
      </w:r>
      <w:r w:rsidRPr="004D6F76">
        <w:rPr>
          <w:rStyle w:val="FootnoteReference"/>
          <w:rFonts w:cs="Arial"/>
          <w:szCs w:val="22"/>
        </w:rPr>
        <w:footnoteReference w:id="102"/>
      </w:r>
      <w:r w:rsidRPr="000813BD">
        <w:rPr>
          <w:rFonts w:cs="Arial"/>
          <w:b/>
          <w:szCs w:val="22"/>
        </w:rPr>
        <w:t xml:space="preserve"> </w:t>
      </w:r>
    </w:p>
    <w:p w:rsidR="000813BD" w:rsidRDefault="000813BD" w:rsidP="00A103BE">
      <w:pPr>
        <w:rPr>
          <w:rFonts w:cs="Arial"/>
          <w:b/>
          <w:szCs w:val="22"/>
        </w:rPr>
      </w:pPr>
    </w:p>
    <w:p w:rsidR="000813BD" w:rsidRPr="000813BD" w:rsidRDefault="000813BD" w:rsidP="000813BD">
      <w:pPr>
        <w:rPr>
          <w:rFonts w:cs="Arial"/>
          <w:b/>
          <w:szCs w:val="22"/>
        </w:rPr>
      </w:pPr>
      <w:r w:rsidRPr="000813BD">
        <w:rPr>
          <w:rFonts w:cs="Arial"/>
          <w:b/>
          <w:i/>
          <w:szCs w:val="22"/>
        </w:rPr>
        <w:t xml:space="preserve">Recommendation: </w:t>
      </w:r>
      <w:proofErr w:type="spellStart"/>
      <w:r w:rsidRPr="004D6F76">
        <w:rPr>
          <w:rFonts w:cs="Arial"/>
          <w:b/>
          <w:szCs w:val="22"/>
        </w:rPr>
        <w:t>ANEDO</w:t>
      </w:r>
      <w:proofErr w:type="spellEnd"/>
      <w:r w:rsidRPr="004D6F76">
        <w:rPr>
          <w:rFonts w:cs="Arial"/>
          <w:b/>
          <w:szCs w:val="22"/>
        </w:rPr>
        <w:t xml:space="preserve"> strongly supports </w:t>
      </w:r>
      <w:r w:rsidR="00B30260">
        <w:rPr>
          <w:rFonts w:cs="Arial"/>
          <w:b/>
          <w:szCs w:val="22"/>
        </w:rPr>
        <w:t>Hawke</w:t>
      </w:r>
      <w:r w:rsidRPr="004D6F76">
        <w:rPr>
          <w:rFonts w:cs="Arial"/>
          <w:b/>
          <w:szCs w:val="22"/>
        </w:rPr>
        <w:t xml:space="preserve"> Review recommendation 6 to </w:t>
      </w:r>
      <w:r w:rsidRPr="004D6F76">
        <w:rPr>
          <w:rFonts w:cs="Arial"/>
          <w:b/>
          <w:iCs/>
          <w:szCs w:val="22"/>
          <w:lang w:eastAsia="en-AU"/>
        </w:rPr>
        <w:t xml:space="preserve">make the process for undertaking </w:t>
      </w:r>
      <w:r w:rsidRPr="000813BD">
        <w:rPr>
          <w:rFonts w:cs="Arial"/>
          <w:b/>
          <w:iCs/>
          <w:szCs w:val="22"/>
          <w:lang w:eastAsia="en-AU"/>
        </w:rPr>
        <w:t>strategic assessments</w:t>
      </w:r>
      <w:r w:rsidRPr="004D6F76">
        <w:rPr>
          <w:rFonts w:cs="Arial"/>
          <w:b/>
          <w:iCs/>
          <w:szCs w:val="22"/>
          <w:lang w:eastAsia="en-AU"/>
        </w:rPr>
        <w:t xml:space="preserve"> ‘more substantial and robust’</w:t>
      </w:r>
      <w:r w:rsidRPr="004D6F76">
        <w:rPr>
          <w:rFonts w:cs="Arial"/>
          <w:b/>
          <w:szCs w:val="22"/>
        </w:rPr>
        <w:t xml:space="preserve">. This includes </w:t>
      </w:r>
      <w:r w:rsidRPr="000813BD">
        <w:rPr>
          <w:rFonts w:cs="Arial"/>
          <w:b/>
          <w:szCs w:val="22"/>
        </w:rPr>
        <w:t>mandatory information</w:t>
      </w:r>
      <w:r w:rsidRPr="004D6F76">
        <w:rPr>
          <w:rFonts w:cs="Arial"/>
          <w:b/>
          <w:szCs w:val="22"/>
        </w:rPr>
        <w:t xml:space="preserve"> requirements, and a criterion that approved activities and policies will </w:t>
      </w:r>
      <w:r w:rsidRPr="000813BD">
        <w:rPr>
          <w:rFonts w:cs="Arial"/>
          <w:b/>
          <w:szCs w:val="22"/>
        </w:rPr>
        <w:t>‘maintain or improve’</w:t>
      </w:r>
      <w:r w:rsidRPr="004D6F76">
        <w:rPr>
          <w:rFonts w:cs="Arial"/>
          <w:b/>
          <w:szCs w:val="22"/>
        </w:rPr>
        <w:t xml:space="preserve"> environmental outcomes. </w:t>
      </w:r>
      <w:proofErr w:type="spellStart"/>
      <w:r w:rsidRPr="004D6F76">
        <w:rPr>
          <w:rFonts w:cs="Arial"/>
          <w:b/>
          <w:szCs w:val="22"/>
        </w:rPr>
        <w:t>ANEDO</w:t>
      </w:r>
      <w:proofErr w:type="spellEnd"/>
      <w:r w:rsidRPr="004D6F76">
        <w:rPr>
          <w:rFonts w:cs="Arial"/>
          <w:b/>
          <w:szCs w:val="22"/>
        </w:rPr>
        <w:t xml:space="preserve"> also outlines a range of best practice standards for strategic assessments at </w:t>
      </w:r>
      <w:r w:rsidRPr="000813BD">
        <w:rPr>
          <w:rFonts w:cs="Arial"/>
          <w:b/>
          <w:szCs w:val="22"/>
        </w:rPr>
        <w:t>Attachment A</w:t>
      </w:r>
      <w:r w:rsidRPr="004D6F76">
        <w:rPr>
          <w:rFonts w:cs="Arial"/>
          <w:b/>
          <w:szCs w:val="22"/>
        </w:rPr>
        <w:t>.</w:t>
      </w:r>
    </w:p>
    <w:p w:rsidR="004341CD" w:rsidRPr="00827763" w:rsidRDefault="004341CD" w:rsidP="00827763">
      <w:pPr>
        <w:rPr>
          <w:highlight w:val="green"/>
        </w:rPr>
      </w:pPr>
    </w:p>
    <w:p w:rsidR="00BD185F" w:rsidRDefault="002260F9" w:rsidP="009C52E3">
      <w:pPr>
        <w:pStyle w:val="Heading2"/>
        <w:numPr>
          <w:ilvl w:val="0"/>
          <w:numId w:val="45"/>
        </w:numPr>
        <w:rPr>
          <w:rFonts w:cs="Calibri"/>
        </w:rPr>
      </w:pPr>
      <w:bookmarkStart w:id="33" w:name="_Toc351985912"/>
      <w:r>
        <w:t>Improving climate change-readiness in m</w:t>
      </w:r>
      <w:r w:rsidR="00CC4616" w:rsidRPr="00D73E08">
        <w:t>ajor project</w:t>
      </w:r>
      <w:r>
        <w:t xml:space="preserve"> </w:t>
      </w:r>
      <w:proofErr w:type="spellStart"/>
      <w:r>
        <w:t>DAA</w:t>
      </w:r>
      <w:proofErr w:type="spellEnd"/>
      <w:r>
        <w:t xml:space="preserve"> processes</w:t>
      </w:r>
      <w:bookmarkEnd w:id="33"/>
    </w:p>
    <w:p w:rsidR="00CC4616" w:rsidRDefault="0094763F" w:rsidP="00CB03A8">
      <w:pPr>
        <w:spacing w:after="120"/>
        <w:rPr>
          <w:rFonts w:cs="Arial"/>
          <w:szCs w:val="22"/>
          <w:lang w:val="en-US"/>
        </w:rPr>
      </w:pPr>
      <w:r>
        <w:rPr>
          <w:rFonts w:cs="Arial"/>
          <w:szCs w:val="22"/>
          <w:lang w:val="en"/>
        </w:rPr>
        <w:t xml:space="preserve">The World Bank has </w:t>
      </w:r>
      <w:proofErr w:type="spellStart"/>
      <w:r>
        <w:rPr>
          <w:rFonts w:cs="Arial"/>
          <w:szCs w:val="22"/>
          <w:lang w:val="en"/>
        </w:rPr>
        <w:t>recognised</w:t>
      </w:r>
      <w:proofErr w:type="spellEnd"/>
      <w:r>
        <w:rPr>
          <w:rFonts w:cs="Arial"/>
          <w:szCs w:val="22"/>
          <w:lang w:val="en"/>
        </w:rPr>
        <w:t xml:space="preserve"> c</w:t>
      </w:r>
      <w:proofErr w:type="spellStart"/>
      <w:r>
        <w:rPr>
          <w:rFonts w:cs="Arial"/>
          <w:szCs w:val="22"/>
          <w:lang w:val="en-US"/>
        </w:rPr>
        <w:t>limate</w:t>
      </w:r>
      <w:proofErr w:type="spellEnd"/>
      <w:r>
        <w:rPr>
          <w:rFonts w:cs="Arial"/>
          <w:szCs w:val="22"/>
          <w:lang w:val="en-US"/>
        </w:rPr>
        <w:t xml:space="preserve"> change as one of the most significant threats to the global economy.</w:t>
      </w:r>
      <w:r>
        <w:rPr>
          <w:rStyle w:val="FootnoteReference"/>
          <w:rFonts w:cs="Arial"/>
          <w:szCs w:val="22"/>
          <w:lang w:val="en-US"/>
        </w:rPr>
        <w:footnoteReference w:id="103"/>
      </w:r>
      <w:r>
        <w:rPr>
          <w:rFonts w:cs="Arial"/>
          <w:szCs w:val="22"/>
          <w:lang w:val="en-US"/>
        </w:rPr>
        <w:t xml:space="preserve"> The environmental and social risks are equally clear. </w:t>
      </w:r>
      <w:r w:rsidR="00CC4616">
        <w:rPr>
          <w:rFonts w:cs="Arial"/>
          <w:szCs w:val="22"/>
          <w:lang w:val="en-US"/>
        </w:rPr>
        <w:t xml:space="preserve">According to the </w:t>
      </w:r>
      <w:r w:rsidR="001F325F">
        <w:rPr>
          <w:rFonts w:cs="Arial"/>
          <w:i/>
          <w:szCs w:val="22"/>
          <w:lang w:val="en-US"/>
        </w:rPr>
        <w:t>State </w:t>
      </w:r>
      <w:r w:rsidR="00CC4616">
        <w:rPr>
          <w:rFonts w:cs="Arial"/>
          <w:i/>
          <w:szCs w:val="22"/>
          <w:lang w:val="en-US"/>
        </w:rPr>
        <w:t>of the Environment Report 2011:</w:t>
      </w:r>
      <w:r w:rsidR="00CC4616">
        <w:rPr>
          <w:rFonts w:cs="Arial"/>
          <w:szCs w:val="22"/>
          <w:lang w:val="en-US"/>
        </w:rPr>
        <w:t xml:space="preserve"> </w:t>
      </w:r>
    </w:p>
    <w:p w:rsidR="00CC4616" w:rsidRPr="008A1A26" w:rsidRDefault="00CC4616" w:rsidP="00CB03A8">
      <w:pPr>
        <w:spacing w:after="120"/>
        <w:ind w:left="720"/>
        <w:rPr>
          <w:rFonts w:cs="Arial"/>
          <w:i/>
          <w:szCs w:val="22"/>
          <w:lang w:val="en"/>
        </w:rPr>
      </w:pPr>
      <w:r w:rsidRPr="008A1A26">
        <w:rPr>
          <w:rFonts w:cs="Arial"/>
          <w:i/>
          <w:szCs w:val="22"/>
          <w:lang w:val="en"/>
        </w:rPr>
        <w:t>Climate change will profoundly change the Australian environment, presenting widespread and significant risks to our ecosystems, native vegetation, water security, agricultural production systems and coastal communities.</w:t>
      </w:r>
      <w:r w:rsidRPr="008A1A26">
        <w:rPr>
          <w:rStyle w:val="FootnoteReference"/>
          <w:rFonts w:cs="Arial"/>
          <w:i/>
          <w:szCs w:val="22"/>
          <w:lang w:val="en"/>
        </w:rPr>
        <w:footnoteReference w:id="104"/>
      </w:r>
    </w:p>
    <w:p w:rsidR="00D73E08" w:rsidRPr="0094763F" w:rsidRDefault="001F325F" w:rsidP="00CC4616">
      <w:pPr>
        <w:rPr>
          <w:rFonts w:cs="Arial"/>
          <w:b/>
          <w:szCs w:val="22"/>
          <w:lang w:val="en-US"/>
        </w:rPr>
      </w:pPr>
      <w:proofErr w:type="spellStart"/>
      <w:r w:rsidRPr="0094763F">
        <w:rPr>
          <w:rFonts w:cs="Arial"/>
          <w:b/>
          <w:szCs w:val="22"/>
          <w:lang w:val="en-US"/>
        </w:rPr>
        <w:lastRenderedPageBreak/>
        <w:t>ANEDO</w:t>
      </w:r>
      <w:proofErr w:type="spellEnd"/>
      <w:r w:rsidRPr="0094763F">
        <w:rPr>
          <w:rFonts w:cs="Arial"/>
          <w:b/>
          <w:szCs w:val="22"/>
          <w:lang w:val="en-US"/>
        </w:rPr>
        <w:t xml:space="preserve"> submits that climate change is an essential consideration for 21</w:t>
      </w:r>
      <w:r w:rsidRPr="0094763F">
        <w:rPr>
          <w:rFonts w:cs="Arial"/>
          <w:b/>
          <w:szCs w:val="22"/>
          <w:vertAlign w:val="superscript"/>
          <w:lang w:val="en-US"/>
        </w:rPr>
        <w:t>st</w:t>
      </w:r>
      <w:r w:rsidRPr="0094763F">
        <w:rPr>
          <w:rFonts w:cs="Arial"/>
          <w:b/>
          <w:szCs w:val="22"/>
          <w:lang w:val="en-US"/>
        </w:rPr>
        <w:t xml:space="preserve"> century planning systems. It is a particularly pertinent issue for major projects, which both contribute to, and are at risk from, the impacts of climate change. </w:t>
      </w:r>
    </w:p>
    <w:p w:rsidR="00D73E08" w:rsidRDefault="00D73E08" w:rsidP="00CC4616">
      <w:pPr>
        <w:rPr>
          <w:rFonts w:cs="Arial"/>
          <w:szCs w:val="22"/>
          <w:lang w:val="en-US"/>
        </w:rPr>
      </w:pPr>
    </w:p>
    <w:p w:rsidR="00C4002E" w:rsidRPr="00C4002E" w:rsidRDefault="00CA6C57" w:rsidP="00C4002E">
      <w:pPr>
        <w:rPr>
          <w:rFonts w:cs="Arial"/>
          <w:lang w:eastAsia="en-AU"/>
        </w:rPr>
      </w:pPr>
      <w:r w:rsidRPr="00C4002E">
        <w:rPr>
          <w:rFonts w:cs="Arial"/>
          <w:szCs w:val="22"/>
          <w:lang w:val="en-US"/>
        </w:rPr>
        <w:t>A</w:t>
      </w:r>
      <w:r w:rsidR="001F325F" w:rsidRPr="00C4002E">
        <w:rPr>
          <w:rFonts w:cs="Arial"/>
          <w:szCs w:val="22"/>
          <w:lang w:val="en-US"/>
        </w:rPr>
        <w:t xml:space="preserve">ustralia’s </w:t>
      </w:r>
      <w:r w:rsidR="00CC4616" w:rsidRPr="00C4002E">
        <w:rPr>
          <w:rFonts w:cs="Arial"/>
          <w:szCs w:val="22"/>
          <w:lang w:val="en-US"/>
        </w:rPr>
        <w:t>planning</w:t>
      </w:r>
      <w:r w:rsidR="007D6443">
        <w:rPr>
          <w:rFonts w:cs="Arial"/>
          <w:szCs w:val="22"/>
          <w:lang w:val="en-US"/>
        </w:rPr>
        <w:t xml:space="preserve"> </w:t>
      </w:r>
      <w:r w:rsidR="007D6443" w:rsidRPr="008A1A26">
        <w:rPr>
          <w:rFonts w:cs="Arial"/>
          <w:szCs w:val="22"/>
          <w:lang w:val="en-US"/>
        </w:rPr>
        <w:t>and</w:t>
      </w:r>
      <w:r w:rsidR="001F325F" w:rsidRPr="008A1A26">
        <w:rPr>
          <w:rFonts w:cs="Arial"/>
          <w:szCs w:val="22"/>
          <w:lang w:val="en-US"/>
        </w:rPr>
        <w:t xml:space="preserve"> mining</w:t>
      </w:r>
      <w:r w:rsidR="001F325F" w:rsidRPr="00C4002E">
        <w:rPr>
          <w:rFonts w:cs="Arial"/>
          <w:szCs w:val="22"/>
          <w:lang w:val="en-US"/>
        </w:rPr>
        <w:t xml:space="preserve"> </w:t>
      </w:r>
      <w:r w:rsidR="00CC4616" w:rsidRPr="00C4002E">
        <w:rPr>
          <w:rFonts w:cs="Arial"/>
          <w:szCs w:val="22"/>
          <w:lang w:val="en-US"/>
        </w:rPr>
        <w:t xml:space="preserve">laws do not </w:t>
      </w:r>
      <w:r w:rsidR="007D6443">
        <w:rPr>
          <w:rFonts w:cs="Arial"/>
          <w:szCs w:val="22"/>
          <w:lang w:val="en-US"/>
        </w:rPr>
        <w:t>require</w:t>
      </w:r>
      <w:r w:rsidR="00CC4616" w:rsidRPr="00C4002E">
        <w:rPr>
          <w:rFonts w:cs="Arial"/>
          <w:szCs w:val="22"/>
          <w:lang w:val="en-US"/>
        </w:rPr>
        <w:t xml:space="preserve"> adequate assessment </w:t>
      </w:r>
      <w:r w:rsidR="007D6443">
        <w:rPr>
          <w:rFonts w:cs="Arial"/>
          <w:szCs w:val="22"/>
          <w:lang w:val="en-US"/>
        </w:rPr>
        <w:t xml:space="preserve">of, </w:t>
      </w:r>
      <w:r w:rsidRPr="00C4002E">
        <w:rPr>
          <w:rFonts w:cs="Arial"/>
          <w:szCs w:val="22"/>
          <w:lang w:val="en-US"/>
        </w:rPr>
        <w:t>or</w:t>
      </w:r>
      <w:r w:rsidR="00CC4616" w:rsidRPr="00C4002E">
        <w:rPr>
          <w:rFonts w:cs="Arial"/>
          <w:szCs w:val="22"/>
          <w:lang w:val="en-US"/>
        </w:rPr>
        <w:t xml:space="preserve"> condition</w:t>
      </w:r>
      <w:r w:rsidR="007D6443">
        <w:rPr>
          <w:rFonts w:cs="Arial"/>
          <w:szCs w:val="22"/>
          <w:lang w:val="en-US"/>
        </w:rPr>
        <w:t>s to address,</w:t>
      </w:r>
      <w:r w:rsidR="00CC4616" w:rsidRPr="00C4002E">
        <w:rPr>
          <w:rFonts w:cs="Arial"/>
          <w:szCs w:val="22"/>
          <w:lang w:val="en-US"/>
        </w:rPr>
        <w:t xml:space="preserve"> </w:t>
      </w:r>
      <w:r w:rsidR="007D6443" w:rsidRPr="00C4002E">
        <w:rPr>
          <w:rFonts w:cs="Arial"/>
          <w:szCs w:val="22"/>
          <w:lang w:val="en-US"/>
        </w:rPr>
        <w:t xml:space="preserve">greenhouse emissions </w:t>
      </w:r>
      <w:r w:rsidR="00CC4616" w:rsidRPr="00C4002E">
        <w:rPr>
          <w:rFonts w:cs="Arial"/>
          <w:szCs w:val="22"/>
          <w:lang w:val="en-US"/>
        </w:rPr>
        <w:t xml:space="preserve">and </w:t>
      </w:r>
      <w:r w:rsidR="007D6443" w:rsidRPr="00C4002E">
        <w:rPr>
          <w:rFonts w:cs="Arial"/>
          <w:szCs w:val="22"/>
          <w:lang w:val="en-US"/>
        </w:rPr>
        <w:t xml:space="preserve">climate change impacts </w:t>
      </w:r>
      <w:r w:rsidR="007D6443">
        <w:rPr>
          <w:rFonts w:cs="Arial"/>
          <w:szCs w:val="22"/>
          <w:lang w:val="en-US"/>
        </w:rPr>
        <w:t>for</w:t>
      </w:r>
      <w:r w:rsidR="00CC4616" w:rsidRPr="00C4002E">
        <w:rPr>
          <w:rFonts w:cs="Arial"/>
          <w:szCs w:val="22"/>
          <w:lang w:val="en-US"/>
        </w:rPr>
        <w:t xml:space="preserve"> major projects. </w:t>
      </w:r>
      <w:r w:rsidR="00B8723B">
        <w:rPr>
          <w:rFonts w:cs="Arial"/>
          <w:szCs w:val="22"/>
          <w:lang w:val="en-US"/>
        </w:rPr>
        <w:t>T</w:t>
      </w:r>
      <w:r w:rsidR="00D73E08" w:rsidRPr="00C4002E">
        <w:rPr>
          <w:rFonts w:cs="Arial"/>
        </w:rPr>
        <w:t>he</w:t>
      </w:r>
      <w:r w:rsidR="009A2125">
        <w:rPr>
          <w:rFonts w:cs="Arial"/>
        </w:rPr>
        <w:t> </w:t>
      </w:r>
      <w:r w:rsidR="00D73E08" w:rsidRPr="00C4002E">
        <w:rPr>
          <w:rFonts w:cs="Arial"/>
        </w:rPr>
        <w:t xml:space="preserve">2011 </w:t>
      </w:r>
      <w:r w:rsidR="00D73E08" w:rsidRPr="00C4002E">
        <w:rPr>
          <w:rFonts w:cs="Arial"/>
          <w:i/>
          <w:iCs/>
        </w:rPr>
        <w:t>Ulan</w:t>
      </w:r>
      <w:r w:rsidR="00D73E08" w:rsidRPr="00C4002E">
        <w:rPr>
          <w:rFonts w:cs="Arial"/>
        </w:rPr>
        <w:t xml:space="preserve"> case</w:t>
      </w:r>
      <w:r w:rsidR="00C4002E" w:rsidRPr="00C4002E">
        <w:rPr>
          <w:rFonts w:cs="Arial"/>
        </w:rPr>
        <w:t xml:space="preserve"> </w:t>
      </w:r>
      <w:r w:rsidR="00D73E08" w:rsidRPr="00C4002E">
        <w:rPr>
          <w:rFonts w:cs="Arial"/>
        </w:rPr>
        <w:t>highlight</w:t>
      </w:r>
      <w:r w:rsidR="00C4002E" w:rsidRPr="00C4002E">
        <w:rPr>
          <w:rFonts w:cs="Arial"/>
        </w:rPr>
        <w:t>ed</w:t>
      </w:r>
      <w:r w:rsidR="00D73E08" w:rsidRPr="00C4002E">
        <w:rPr>
          <w:rFonts w:cs="Arial"/>
        </w:rPr>
        <w:t xml:space="preserve"> the</w:t>
      </w:r>
      <w:r w:rsidR="00C4002E" w:rsidRPr="00C4002E">
        <w:rPr>
          <w:rFonts w:cs="Arial"/>
        </w:rPr>
        <w:t xml:space="preserve"> </w:t>
      </w:r>
      <w:r w:rsidR="007D6443">
        <w:rPr>
          <w:rFonts w:cs="Arial"/>
        </w:rPr>
        <w:t>NSW</w:t>
      </w:r>
      <w:r w:rsidR="00D73E08" w:rsidRPr="00C4002E">
        <w:rPr>
          <w:rFonts w:cs="Arial"/>
        </w:rPr>
        <w:t xml:space="preserve"> Planning Department’s unwillingness to use the </w:t>
      </w:r>
      <w:proofErr w:type="spellStart"/>
      <w:r w:rsidR="00C4002E">
        <w:rPr>
          <w:rFonts w:cs="Arial"/>
        </w:rPr>
        <w:t>DAA</w:t>
      </w:r>
      <w:proofErr w:type="spellEnd"/>
      <w:r w:rsidR="00D73E08" w:rsidRPr="00C4002E">
        <w:rPr>
          <w:rFonts w:cs="Arial"/>
        </w:rPr>
        <w:t xml:space="preserve"> process to impose conditions relating to greenhouse emissions </w:t>
      </w:r>
      <w:r w:rsidR="007D6443">
        <w:rPr>
          <w:rFonts w:cs="Arial"/>
        </w:rPr>
        <w:t>from</w:t>
      </w:r>
      <w:r w:rsidR="00D73E08" w:rsidRPr="00C4002E">
        <w:rPr>
          <w:rFonts w:cs="Arial"/>
        </w:rPr>
        <w:t xml:space="preserve"> coal mines.</w:t>
      </w:r>
      <w:r w:rsidR="00D73E08" w:rsidRPr="00C4002E">
        <w:rPr>
          <w:rStyle w:val="FootnoteReference"/>
          <w:rFonts w:cs="Arial"/>
        </w:rPr>
        <w:footnoteReference w:id="105"/>
      </w:r>
      <w:r w:rsidR="00825220">
        <w:rPr>
          <w:rFonts w:cs="Arial"/>
        </w:rPr>
        <w:t xml:space="preserve"> T</w:t>
      </w:r>
      <w:r w:rsidR="00825220" w:rsidRPr="00B07481">
        <w:rPr>
          <w:rFonts w:cs="Arial"/>
        </w:rPr>
        <w:t xml:space="preserve">here is also a lack of </w:t>
      </w:r>
      <w:r w:rsidR="00825220" w:rsidRPr="00B07481">
        <w:rPr>
          <w:rFonts w:cs="Arial"/>
          <w:szCs w:val="22"/>
          <w:lang w:val="en-US"/>
        </w:rPr>
        <w:t>independen</w:t>
      </w:r>
      <w:r w:rsidR="00825220">
        <w:rPr>
          <w:rFonts w:cs="Arial"/>
          <w:szCs w:val="22"/>
          <w:lang w:val="en-US"/>
        </w:rPr>
        <w:t xml:space="preserve">t research </w:t>
      </w:r>
      <w:r w:rsidR="007D6443">
        <w:rPr>
          <w:rFonts w:cs="Arial"/>
          <w:szCs w:val="22"/>
          <w:lang w:val="en-US"/>
        </w:rPr>
        <w:t>and comparative analysis of</w:t>
      </w:r>
      <w:r w:rsidR="00825220">
        <w:rPr>
          <w:rFonts w:cs="Arial"/>
          <w:szCs w:val="22"/>
          <w:lang w:val="en-US"/>
        </w:rPr>
        <w:t xml:space="preserve"> </w:t>
      </w:r>
      <w:r w:rsidR="007D6443">
        <w:rPr>
          <w:rFonts w:cs="Arial"/>
          <w:szCs w:val="22"/>
          <w:lang w:val="en-US"/>
        </w:rPr>
        <w:t xml:space="preserve">the </w:t>
      </w:r>
      <w:r w:rsidR="00825220">
        <w:rPr>
          <w:rFonts w:cs="Arial"/>
          <w:szCs w:val="22"/>
          <w:lang w:val="en-US"/>
        </w:rPr>
        <w:t>life</w:t>
      </w:r>
      <w:r w:rsidR="00825220" w:rsidRPr="00B07481">
        <w:rPr>
          <w:rFonts w:cs="Arial"/>
          <w:szCs w:val="22"/>
          <w:lang w:val="en-US"/>
        </w:rPr>
        <w:t>cycle greenhouse emissions</w:t>
      </w:r>
      <w:r w:rsidR="00825220">
        <w:rPr>
          <w:rFonts w:cs="Arial"/>
          <w:szCs w:val="22"/>
          <w:lang w:val="en-US"/>
        </w:rPr>
        <w:t xml:space="preserve"> of energy sources in Australia, </w:t>
      </w:r>
      <w:r w:rsidR="007D6443">
        <w:rPr>
          <w:rFonts w:cs="Arial"/>
          <w:szCs w:val="22"/>
          <w:lang w:val="en-US"/>
        </w:rPr>
        <w:t>including from emerging industries like</w:t>
      </w:r>
      <w:r w:rsidR="00825220">
        <w:rPr>
          <w:rFonts w:cs="Arial"/>
          <w:szCs w:val="22"/>
          <w:lang w:val="en-US"/>
        </w:rPr>
        <w:t xml:space="preserve"> coal seam gas (</w:t>
      </w:r>
      <w:proofErr w:type="spellStart"/>
      <w:r w:rsidR="00825220" w:rsidRPr="00CA6C57">
        <w:rPr>
          <w:rFonts w:cs="Arial"/>
          <w:b/>
          <w:szCs w:val="22"/>
          <w:lang w:val="en-US"/>
        </w:rPr>
        <w:t>CSG</w:t>
      </w:r>
      <w:proofErr w:type="spellEnd"/>
      <w:r w:rsidR="00825220">
        <w:rPr>
          <w:rFonts w:cs="Arial"/>
          <w:szCs w:val="22"/>
          <w:lang w:val="en-US"/>
        </w:rPr>
        <w:t>).</w:t>
      </w:r>
      <w:r w:rsidR="00825220">
        <w:rPr>
          <w:rStyle w:val="FootnoteReference"/>
          <w:rFonts w:cs="Arial"/>
          <w:szCs w:val="22"/>
          <w:lang w:val="en-US"/>
        </w:rPr>
        <w:footnoteReference w:id="106"/>
      </w:r>
      <w:r w:rsidR="00825220">
        <w:rPr>
          <w:rFonts w:cs="Arial"/>
          <w:szCs w:val="22"/>
          <w:lang w:val="en-US"/>
        </w:rPr>
        <w:t xml:space="preserve">  </w:t>
      </w:r>
    </w:p>
    <w:p w:rsidR="008136FA" w:rsidRDefault="008136FA" w:rsidP="00CC4616">
      <w:pPr>
        <w:rPr>
          <w:rFonts w:cs="Arial"/>
        </w:rPr>
      </w:pPr>
    </w:p>
    <w:p w:rsidR="00B8723B" w:rsidRDefault="008136FA" w:rsidP="00B8723B">
      <w:pPr>
        <w:autoSpaceDE w:val="0"/>
        <w:autoSpaceDN w:val="0"/>
        <w:adjustRightInd w:val="0"/>
        <w:spacing w:after="120"/>
        <w:rPr>
          <w:rFonts w:cs="Arial"/>
        </w:rPr>
      </w:pPr>
      <w:r>
        <w:rPr>
          <w:rFonts w:cs="Arial"/>
        </w:rPr>
        <w:t>Unfortunately, g</w:t>
      </w:r>
      <w:r w:rsidR="00CA6C57" w:rsidRPr="00B07481">
        <w:rPr>
          <w:rFonts w:cs="Arial"/>
        </w:rPr>
        <w:t xml:space="preserve">overnments </w:t>
      </w:r>
      <w:r w:rsidR="002260F9">
        <w:rPr>
          <w:rFonts w:cs="Arial"/>
        </w:rPr>
        <w:t>are</w:t>
      </w:r>
      <w:r w:rsidR="00CA6C57" w:rsidRPr="00B07481">
        <w:rPr>
          <w:rFonts w:cs="Arial"/>
        </w:rPr>
        <w:t xml:space="preserve"> reluctant to address th</w:t>
      </w:r>
      <w:r w:rsidR="00825220">
        <w:rPr>
          <w:rFonts w:cs="Arial"/>
        </w:rPr>
        <w:t>e</w:t>
      </w:r>
      <w:r w:rsidR="00CA6C57" w:rsidRPr="00B07481">
        <w:rPr>
          <w:rFonts w:cs="Arial"/>
        </w:rPr>
        <w:t>s</w:t>
      </w:r>
      <w:r w:rsidR="00825220">
        <w:rPr>
          <w:rFonts w:cs="Arial"/>
        </w:rPr>
        <w:t>e legal inadequacies</w:t>
      </w:r>
      <w:r w:rsidR="00B8723B">
        <w:rPr>
          <w:rFonts w:cs="Arial"/>
        </w:rPr>
        <w:t>, and p</w:t>
      </w:r>
      <w:r>
        <w:rPr>
          <w:rFonts w:cs="Arial"/>
        </w:rPr>
        <w:t xml:space="preserve">roposals to ‘streamline’ major project </w:t>
      </w:r>
      <w:proofErr w:type="spellStart"/>
      <w:r>
        <w:rPr>
          <w:rFonts w:cs="Arial"/>
        </w:rPr>
        <w:t>DAA</w:t>
      </w:r>
      <w:proofErr w:type="spellEnd"/>
      <w:r>
        <w:rPr>
          <w:rFonts w:cs="Arial"/>
        </w:rPr>
        <w:t xml:space="preserve"> processes</w:t>
      </w:r>
      <w:r w:rsidR="007D6443">
        <w:rPr>
          <w:rFonts w:cs="Arial"/>
        </w:rPr>
        <w:t xml:space="preserve"> and climate change programs</w:t>
      </w:r>
      <w:r>
        <w:rPr>
          <w:rFonts w:cs="Arial"/>
        </w:rPr>
        <w:t xml:space="preserve"> are unlikely to assist</w:t>
      </w:r>
      <w:r w:rsidR="00C4002E">
        <w:rPr>
          <w:rFonts w:cs="Arial"/>
        </w:rPr>
        <w:t>.</w:t>
      </w:r>
      <w:r w:rsidR="002260F9">
        <w:rPr>
          <w:rFonts w:cs="Arial"/>
        </w:rPr>
        <w:t xml:space="preserve">  F</w:t>
      </w:r>
      <w:r>
        <w:rPr>
          <w:rFonts w:cs="Arial"/>
        </w:rPr>
        <w:t>or</w:t>
      </w:r>
      <w:r w:rsidR="002260F9">
        <w:rPr>
          <w:rFonts w:cs="Arial"/>
        </w:rPr>
        <w:t xml:space="preserve"> </w:t>
      </w:r>
      <w:r w:rsidR="002E2625">
        <w:rPr>
          <w:rFonts w:cs="Arial"/>
        </w:rPr>
        <w:t>example</w:t>
      </w:r>
      <w:r w:rsidR="00B8723B">
        <w:rPr>
          <w:rFonts w:cs="Arial"/>
        </w:rPr>
        <w:t>:</w:t>
      </w:r>
    </w:p>
    <w:p w:rsidR="00B8723B" w:rsidRPr="00B8723B" w:rsidRDefault="002E2625" w:rsidP="009C52E3">
      <w:pPr>
        <w:numPr>
          <w:ilvl w:val="0"/>
          <w:numId w:val="57"/>
        </w:numPr>
        <w:autoSpaceDE w:val="0"/>
        <w:autoSpaceDN w:val="0"/>
        <w:adjustRightInd w:val="0"/>
        <w:rPr>
          <w:rFonts w:cs="Arial"/>
          <w:szCs w:val="22"/>
        </w:rPr>
      </w:pPr>
      <w:r w:rsidRPr="00B8723B">
        <w:rPr>
          <w:rFonts w:cs="Arial"/>
          <w:szCs w:val="22"/>
        </w:rPr>
        <w:t xml:space="preserve">the Australian Government rejected the Hawke Review recommendation </w:t>
      </w:r>
      <w:r w:rsidR="00C4002E" w:rsidRPr="00B8723B">
        <w:rPr>
          <w:rFonts w:cs="Arial"/>
          <w:szCs w:val="22"/>
        </w:rPr>
        <w:t xml:space="preserve">for </w:t>
      </w:r>
      <w:r w:rsidR="002260F9" w:rsidRPr="00B8723B">
        <w:rPr>
          <w:rFonts w:cs="Arial"/>
          <w:szCs w:val="22"/>
        </w:rPr>
        <w:t>‘</w:t>
      </w:r>
      <w:r w:rsidR="002260F9" w:rsidRPr="00B8723B">
        <w:rPr>
          <w:rFonts w:ascii="Arial-ItalicMT" w:hAnsi="Arial-ItalicMT" w:cs="Arial-ItalicMT"/>
          <w:iCs/>
          <w:szCs w:val="22"/>
          <w:lang w:eastAsia="en-AU"/>
        </w:rPr>
        <w:t xml:space="preserve">a </w:t>
      </w:r>
      <w:r w:rsidR="00C4002E" w:rsidRPr="00B8723B">
        <w:rPr>
          <w:rFonts w:ascii="Arial-ItalicMT" w:hAnsi="Arial-ItalicMT" w:cs="Arial-ItalicMT"/>
          <w:iCs/>
          <w:szCs w:val="22"/>
          <w:lang w:eastAsia="en-AU"/>
        </w:rPr>
        <w:t>requirement to consider cost-effective climate change</w:t>
      </w:r>
      <w:r w:rsidR="002260F9" w:rsidRPr="00B8723B">
        <w:rPr>
          <w:rFonts w:ascii="Arial-ItalicMT" w:hAnsi="Arial-ItalicMT" w:cs="Arial-ItalicMT"/>
          <w:iCs/>
          <w:szCs w:val="22"/>
          <w:lang w:eastAsia="en-AU"/>
        </w:rPr>
        <w:t xml:space="preserve"> </w:t>
      </w:r>
      <w:r w:rsidR="00C4002E" w:rsidRPr="00B8723B">
        <w:rPr>
          <w:rFonts w:ascii="Arial-ItalicMT" w:hAnsi="Arial-ItalicMT" w:cs="Arial-ItalicMT"/>
          <w:iCs/>
          <w:szCs w:val="22"/>
          <w:lang w:eastAsia="en-AU"/>
        </w:rPr>
        <w:t>mitigation opportunities as part of strategic assessments</w:t>
      </w:r>
      <w:r w:rsidR="002260F9" w:rsidRPr="00B8723B">
        <w:rPr>
          <w:rFonts w:ascii="Arial-ItalicMT" w:hAnsi="Arial-ItalicMT" w:cs="Arial-ItalicMT"/>
          <w:iCs/>
          <w:szCs w:val="22"/>
          <w:lang w:eastAsia="en-AU"/>
        </w:rPr>
        <w:t>’</w:t>
      </w:r>
      <w:r w:rsidRPr="00B8723B">
        <w:rPr>
          <w:rFonts w:cs="Arial"/>
          <w:szCs w:val="22"/>
        </w:rPr>
        <w:t>;</w:t>
      </w:r>
      <w:r w:rsidR="002260F9" w:rsidRPr="00B8723B">
        <w:rPr>
          <w:rStyle w:val="FootnoteReference"/>
          <w:rFonts w:cs="Arial"/>
          <w:szCs w:val="22"/>
        </w:rPr>
        <w:footnoteReference w:id="107"/>
      </w:r>
      <w:r w:rsidR="008136FA" w:rsidRPr="00B8723B">
        <w:rPr>
          <w:rFonts w:cs="Arial"/>
          <w:szCs w:val="22"/>
        </w:rPr>
        <w:t xml:space="preserve"> </w:t>
      </w:r>
    </w:p>
    <w:p w:rsidR="00B8723B" w:rsidRPr="00B8723B" w:rsidRDefault="00B8723B" w:rsidP="009C52E3">
      <w:pPr>
        <w:numPr>
          <w:ilvl w:val="0"/>
          <w:numId w:val="57"/>
        </w:numPr>
        <w:autoSpaceDE w:val="0"/>
        <w:autoSpaceDN w:val="0"/>
        <w:adjustRightInd w:val="0"/>
        <w:rPr>
          <w:rFonts w:cs="Arial"/>
          <w:szCs w:val="22"/>
        </w:rPr>
      </w:pPr>
      <w:r>
        <w:rPr>
          <w:rFonts w:cs="Arial"/>
          <w:szCs w:val="22"/>
        </w:rPr>
        <w:t>g</w:t>
      </w:r>
      <w:r w:rsidR="008136FA" w:rsidRPr="00B8723B">
        <w:rPr>
          <w:rFonts w:cs="Arial"/>
          <w:szCs w:val="22"/>
        </w:rPr>
        <w:t xml:space="preserve">overnments are pursuing the </w:t>
      </w:r>
      <w:proofErr w:type="spellStart"/>
      <w:r w:rsidR="008136FA" w:rsidRPr="00B8723B">
        <w:rPr>
          <w:rFonts w:cs="Arial"/>
          <w:szCs w:val="22"/>
        </w:rPr>
        <w:t>BAF’s</w:t>
      </w:r>
      <w:proofErr w:type="spellEnd"/>
      <w:r w:rsidR="008136FA" w:rsidRPr="00B8723B">
        <w:rPr>
          <w:rFonts w:cs="Arial"/>
          <w:szCs w:val="22"/>
        </w:rPr>
        <w:t xml:space="preserve"> recommendations to dismantle </w:t>
      </w:r>
      <w:r w:rsidR="00116972">
        <w:rPr>
          <w:rFonts w:cs="Arial"/>
          <w:szCs w:val="22"/>
        </w:rPr>
        <w:t xml:space="preserve">purportedly </w:t>
      </w:r>
      <w:r w:rsidR="008136FA" w:rsidRPr="00B8723B">
        <w:rPr>
          <w:rFonts w:cs="Arial"/>
          <w:szCs w:val="22"/>
        </w:rPr>
        <w:t>‘inefficient’ or ‘non-complementary’ climate change initiatives as part of the COAG reforms</w:t>
      </w:r>
      <w:r w:rsidR="00116972">
        <w:rPr>
          <w:rFonts w:cs="Arial"/>
          <w:szCs w:val="22"/>
        </w:rPr>
        <w:t>, recently drawing criticism from the federal Attorney-General</w:t>
      </w:r>
      <w:r w:rsidR="008136FA" w:rsidRPr="00B8723B">
        <w:rPr>
          <w:rFonts w:cs="Arial"/>
          <w:szCs w:val="22"/>
        </w:rPr>
        <w:t>;</w:t>
      </w:r>
      <w:r>
        <w:rPr>
          <w:rStyle w:val="FootnoteReference"/>
          <w:rFonts w:cs="Arial"/>
          <w:szCs w:val="22"/>
        </w:rPr>
        <w:footnoteReference w:id="108"/>
      </w:r>
      <w:r>
        <w:rPr>
          <w:rFonts w:cs="Arial"/>
          <w:szCs w:val="22"/>
        </w:rPr>
        <w:t xml:space="preserve"> </w:t>
      </w:r>
      <w:r w:rsidR="002E2625" w:rsidRPr="00B8723B">
        <w:rPr>
          <w:rFonts w:cs="Arial"/>
          <w:szCs w:val="22"/>
        </w:rPr>
        <w:t>and</w:t>
      </w:r>
      <w:r w:rsidR="008136FA" w:rsidRPr="00B8723B">
        <w:rPr>
          <w:rFonts w:cs="Arial"/>
          <w:szCs w:val="22"/>
        </w:rPr>
        <w:t xml:space="preserve"> </w:t>
      </w:r>
    </w:p>
    <w:p w:rsidR="00B8723B" w:rsidRPr="00B8723B" w:rsidRDefault="00CA6C57" w:rsidP="009C52E3">
      <w:pPr>
        <w:numPr>
          <w:ilvl w:val="0"/>
          <w:numId w:val="57"/>
        </w:numPr>
        <w:autoSpaceDE w:val="0"/>
        <w:autoSpaceDN w:val="0"/>
        <w:adjustRightInd w:val="0"/>
        <w:rPr>
          <w:rFonts w:cs="Arial"/>
          <w:szCs w:val="22"/>
        </w:rPr>
      </w:pPr>
      <w:r w:rsidRPr="00B8723B">
        <w:rPr>
          <w:rFonts w:cs="Arial"/>
          <w:szCs w:val="22"/>
        </w:rPr>
        <w:t xml:space="preserve">the NSW Government’s </w:t>
      </w:r>
      <w:r w:rsidR="008136FA" w:rsidRPr="00B8723B">
        <w:rPr>
          <w:rFonts w:cs="Arial"/>
          <w:szCs w:val="22"/>
        </w:rPr>
        <w:t xml:space="preserve">2012 </w:t>
      </w:r>
      <w:r w:rsidRPr="00B8723B">
        <w:rPr>
          <w:rFonts w:cs="Arial"/>
          <w:szCs w:val="22"/>
        </w:rPr>
        <w:t>Planning Green Paper does not refer to climate change at all</w:t>
      </w:r>
      <w:r w:rsidR="008136FA" w:rsidRPr="00B8723B">
        <w:rPr>
          <w:rFonts w:cs="Arial"/>
          <w:szCs w:val="22"/>
        </w:rPr>
        <w:t xml:space="preserve"> (unlike the report </w:t>
      </w:r>
      <w:r w:rsidR="00C4002E" w:rsidRPr="00B8723B">
        <w:rPr>
          <w:rFonts w:cs="Arial"/>
          <w:szCs w:val="22"/>
        </w:rPr>
        <w:t>of the</w:t>
      </w:r>
      <w:r w:rsidR="008136FA" w:rsidRPr="00B8723B">
        <w:rPr>
          <w:rFonts w:cs="Arial"/>
          <w:szCs w:val="22"/>
        </w:rPr>
        <w:t xml:space="preserve"> expert </w:t>
      </w:r>
      <w:r w:rsidR="00C4002E" w:rsidRPr="00B8723B">
        <w:rPr>
          <w:rFonts w:cs="Arial"/>
          <w:szCs w:val="22"/>
        </w:rPr>
        <w:t>P</w:t>
      </w:r>
      <w:r w:rsidR="008136FA" w:rsidRPr="00B8723B">
        <w:rPr>
          <w:rFonts w:cs="Arial"/>
          <w:szCs w:val="22"/>
        </w:rPr>
        <w:t xml:space="preserve">lanning </w:t>
      </w:r>
      <w:r w:rsidR="00C4002E" w:rsidRPr="00B8723B">
        <w:rPr>
          <w:rFonts w:cs="Arial"/>
          <w:szCs w:val="22"/>
        </w:rPr>
        <w:t>R</w:t>
      </w:r>
      <w:r w:rsidR="008136FA" w:rsidRPr="00B8723B">
        <w:rPr>
          <w:rFonts w:cs="Arial"/>
          <w:szCs w:val="22"/>
        </w:rPr>
        <w:t xml:space="preserve">eview </w:t>
      </w:r>
      <w:r w:rsidR="00C4002E" w:rsidRPr="00B8723B">
        <w:rPr>
          <w:rFonts w:cs="Arial"/>
          <w:szCs w:val="22"/>
        </w:rPr>
        <w:t>P</w:t>
      </w:r>
      <w:r w:rsidR="008136FA" w:rsidRPr="00B8723B">
        <w:rPr>
          <w:rFonts w:cs="Arial"/>
          <w:szCs w:val="22"/>
        </w:rPr>
        <w:t>anel)</w:t>
      </w:r>
      <w:r w:rsidRPr="00B8723B">
        <w:rPr>
          <w:rFonts w:cs="Arial"/>
          <w:szCs w:val="22"/>
        </w:rPr>
        <w:t>.</w:t>
      </w:r>
      <w:r w:rsidR="00825220" w:rsidRPr="00B8723B">
        <w:rPr>
          <w:rFonts w:cs="Arial"/>
          <w:szCs w:val="22"/>
        </w:rPr>
        <w:t xml:space="preserve"> </w:t>
      </w:r>
    </w:p>
    <w:p w:rsidR="00B8723B" w:rsidRDefault="00B8723B" w:rsidP="00825220">
      <w:pPr>
        <w:autoSpaceDE w:val="0"/>
        <w:autoSpaceDN w:val="0"/>
        <w:adjustRightInd w:val="0"/>
        <w:rPr>
          <w:rFonts w:cs="Arial"/>
        </w:rPr>
      </w:pPr>
    </w:p>
    <w:p w:rsidR="0094763F" w:rsidRPr="00116972" w:rsidRDefault="00825220" w:rsidP="00825220">
      <w:pPr>
        <w:autoSpaceDE w:val="0"/>
        <w:autoSpaceDN w:val="0"/>
        <w:adjustRightInd w:val="0"/>
        <w:rPr>
          <w:rFonts w:cs="Arial"/>
          <w:szCs w:val="22"/>
          <w:lang w:val="en-US"/>
        </w:rPr>
      </w:pPr>
      <w:proofErr w:type="spellStart"/>
      <w:r>
        <w:rPr>
          <w:rFonts w:cs="Arial"/>
        </w:rPr>
        <w:t>ANEDO</w:t>
      </w:r>
      <w:proofErr w:type="spellEnd"/>
      <w:r>
        <w:rPr>
          <w:rFonts w:cs="Arial"/>
        </w:rPr>
        <w:t xml:space="preserve"> offices </w:t>
      </w:r>
      <w:r w:rsidR="002260F9">
        <w:rPr>
          <w:rFonts w:cs="Arial"/>
          <w:szCs w:val="22"/>
          <w:lang w:val="en-US"/>
        </w:rPr>
        <w:t>ha</w:t>
      </w:r>
      <w:r>
        <w:rPr>
          <w:rFonts w:cs="Arial"/>
          <w:szCs w:val="22"/>
          <w:lang w:val="en-US"/>
        </w:rPr>
        <w:t>ve</w:t>
      </w:r>
      <w:r w:rsidR="002260F9">
        <w:rPr>
          <w:rFonts w:cs="Arial"/>
          <w:szCs w:val="22"/>
          <w:lang w:val="en-US"/>
        </w:rPr>
        <w:t xml:space="preserve"> </w:t>
      </w:r>
      <w:r w:rsidR="00CC4616">
        <w:rPr>
          <w:rFonts w:cs="Arial"/>
          <w:szCs w:val="22"/>
          <w:lang w:val="en-US"/>
        </w:rPr>
        <w:t>made several recommendations to improve carbon accounting</w:t>
      </w:r>
      <w:r w:rsidR="0020308D">
        <w:rPr>
          <w:rFonts w:cs="Arial"/>
          <w:szCs w:val="22"/>
          <w:lang w:val="en-US"/>
        </w:rPr>
        <w:t xml:space="preserve">, </w:t>
      </w:r>
      <w:r w:rsidR="00116972">
        <w:rPr>
          <w:rFonts w:cs="Arial"/>
          <w:szCs w:val="22"/>
          <w:lang w:val="en-US"/>
        </w:rPr>
        <w:t>particularly</w:t>
      </w:r>
      <w:r w:rsidR="00CC4616">
        <w:rPr>
          <w:rFonts w:cs="Arial"/>
          <w:szCs w:val="22"/>
          <w:lang w:val="en-US"/>
        </w:rPr>
        <w:t xml:space="preserve"> for </w:t>
      </w:r>
      <w:r w:rsidR="0020308D">
        <w:rPr>
          <w:rFonts w:cs="Arial"/>
          <w:szCs w:val="22"/>
          <w:lang w:val="en-US"/>
        </w:rPr>
        <w:t xml:space="preserve">mining </w:t>
      </w:r>
      <w:r w:rsidR="00CC4616">
        <w:rPr>
          <w:rFonts w:cs="Arial"/>
          <w:szCs w:val="22"/>
          <w:lang w:val="en-US"/>
        </w:rPr>
        <w:t>projects</w:t>
      </w:r>
      <w:r w:rsidR="0020308D">
        <w:rPr>
          <w:rFonts w:cs="Arial"/>
          <w:szCs w:val="22"/>
          <w:lang w:val="en-US"/>
        </w:rPr>
        <w:t xml:space="preserve">, </w:t>
      </w:r>
      <w:r w:rsidR="00CC4616">
        <w:rPr>
          <w:rFonts w:cs="Arial"/>
          <w:szCs w:val="22"/>
          <w:lang w:val="en-US"/>
        </w:rPr>
        <w:t>at the licensing, approval and post-approval stages</w:t>
      </w:r>
      <w:r w:rsidR="00116972">
        <w:rPr>
          <w:rFonts w:cs="Arial"/>
          <w:szCs w:val="22"/>
          <w:lang w:val="en-US"/>
        </w:rPr>
        <w:t>.</w:t>
      </w:r>
      <w:r w:rsidR="00116972" w:rsidRPr="00116972">
        <w:rPr>
          <w:rStyle w:val="FootnoteReference"/>
          <w:rFonts w:cs="Arial"/>
          <w:szCs w:val="22"/>
          <w:lang w:val="en-US"/>
        </w:rPr>
        <w:footnoteReference w:id="109"/>
      </w:r>
    </w:p>
    <w:p w:rsidR="0094763F" w:rsidRDefault="0094763F" w:rsidP="00825220">
      <w:pPr>
        <w:autoSpaceDE w:val="0"/>
        <w:autoSpaceDN w:val="0"/>
        <w:adjustRightInd w:val="0"/>
        <w:rPr>
          <w:rFonts w:cs="Arial"/>
          <w:szCs w:val="22"/>
          <w:lang w:val="en-US"/>
        </w:rPr>
      </w:pPr>
    </w:p>
    <w:p w:rsidR="0094763F" w:rsidRPr="00BD2680" w:rsidRDefault="0094763F" w:rsidP="0094763F">
      <w:pPr>
        <w:spacing w:after="120"/>
        <w:rPr>
          <w:rFonts w:cs="Arial"/>
          <w:b/>
          <w:szCs w:val="22"/>
          <w:lang w:val="en-US"/>
        </w:rPr>
      </w:pPr>
      <w:r w:rsidRPr="009A2125">
        <w:rPr>
          <w:rFonts w:cs="Arial"/>
          <w:b/>
          <w:i/>
          <w:szCs w:val="22"/>
          <w:lang w:val="en-US"/>
        </w:rPr>
        <w:t xml:space="preserve">Recommendation: </w:t>
      </w:r>
      <w:r>
        <w:rPr>
          <w:rFonts w:cs="Arial"/>
          <w:b/>
          <w:szCs w:val="22"/>
          <w:lang w:val="en-US"/>
        </w:rPr>
        <w:t>T</w:t>
      </w:r>
      <w:r w:rsidRPr="00C4002E">
        <w:rPr>
          <w:rFonts w:cs="Arial"/>
          <w:b/>
          <w:szCs w:val="22"/>
          <w:lang w:val="en-US"/>
        </w:rPr>
        <w:t>he Productivity</w:t>
      </w:r>
      <w:r w:rsidRPr="002E2625">
        <w:rPr>
          <w:rFonts w:cs="Arial"/>
          <w:b/>
          <w:szCs w:val="22"/>
          <w:lang w:val="en-US"/>
        </w:rPr>
        <w:t xml:space="preserve"> Commission </w:t>
      </w:r>
      <w:r>
        <w:rPr>
          <w:rFonts w:cs="Arial"/>
          <w:b/>
          <w:szCs w:val="22"/>
          <w:lang w:val="en-US"/>
        </w:rPr>
        <w:t xml:space="preserve">should </w:t>
      </w:r>
      <w:r w:rsidRPr="002E2625">
        <w:rPr>
          <w:rFonts w:cs="Arial"/>
          <w:b/>
          <w:szCs w:val="22"/>
          <w:lang w:val="en-US"/>
        </w:rPr>
        <w:t xml:space="preserve">consider </w:t>
      </w:r>
      <w:r>
        <w:rPr>
          <w:rFonts w:cs="Arial"/>
          <w:b/>
          <w:szCs w:val="22"/>
          <w:lang w:val="en-US"/>
        </w:rPr>
        <w:t>and recommend a range of</w:t>
      </w:r>
      <w:r w:rsidRPr="002E2625">
        <w:rPr>
          <w:rFonts w:cs="Arial"/>
          <w:b/>
          <w:szCs w:val="22"/>
          <w:lang w:val="en-US"/>
        </w:rPr>
        <w:t xml:space="preserve"> </w:t>
      </w:r>
      <w:r w:rsidRPr="00116972">
        <w:rPr>
          <w:rFonts w:cs="Arial"/>
          <w:b/>
          <w:szCs w:val="22"/>
          <w:lang w:val="en-US"/>
        </w:rPr>
        <w:t>mandatory measures to improve the climate change-readiness</w:t>
      </w:r>
      <w:r>
        <w:rPr>
          <w:rFonts w:cs="Arial"/>
          <w:b/>
          <w:szCs w:val="22"/>
          <w:lang w:val="en-US"/>
        </w:rPr>
        <w:t xml:space="preserve"> of strategic planning systems and </w:t>
      </w:r>
      <w:r w:rsidRPr="002E2625">
        <w:rPr>
          <w:rFonts w:cs="Arial"/>
          <w:b/>
          <w:szCs w:val="22"/>
          <w:lang w:val="en-US"/>
        </w:rPr>
        <w:t xml:space="preserve">major project </w:t>
      </w:r>
      <w:proofErr w:type="spellStart"/>
      <w:r w:rsidRPr="002E2625">
        <w:rPr>
          <w:rFonts w:cs="Arial"/>
          <w:b/>
          <w:szCs w:val="22"/>
          <w:lang w:val="en-US"/>
        </w:rPr>
        <w:t>DAA</w:t>
      </w:r>
      <w:proofErr w:type="spellEnd"/>
      <w:r w:rsidRPr="002E2625">
        <w:rPr>
          <w:rFonts w:cs="Arial"/>
          <w:b/>
          <w:szCs w:val="22"/>
          <w:lang w:val="en-US"/>
        </w:rPr>
        <w:t xml:space="preserve"> processes.</w:t>
      </w:r>
      <w:r>
        <w:rPr>
          <w:rFonts w:cs="Arial"/>
          <w:b/>
          <w:szCs w:val="22"/>
          <w:lang w:val="en-US"/>
        </w:rPr>
        <w:t xml:space="preserve"> </w:t>
      </w:r>
      <w:r w:rsidRPr="00BD2680">
        <w:rPr>
          <w:rFonts w:cs="Arial"/>
          <w:b/>
          <w:szCs w:val="22"/>
          <w:lang w:val="en-US"/>
        </w:rPr>
        <w:t>In particular:</w:t>
      </w:r>
    </w:p>
    <w:p w:rsidR="0094763F" w:rsidRPr="00116972" w:rsidRDefault="0094763F" w:rsidP="009C52E3">
      <w:pPr>
        <w:numPr>
          <w:ilvl w:val="0"/>
          <w:numId w:val="40"/>
        </w:numPr>
        <w:rPr>
          <w:b/>
        </w:rPr>
      </w:pPr>
      <w:r w:rsidRPr="00BD2680">
        <w:rPr>
          <w:b/>
        </w:rPr>
        <w:t xml:space="preserve">make the direct and indirect impacts of climate change a </w:t>
      </w:r>
      <w:r w:rsidRPr="00BD2680">
        <w:rPr>
          <w:b/>
          <w:i/>
        </w:rPr>
        <w:t>mandatory consideration in strategic planning</w:t>
      </w:r>
      <w:r w:rsidR="00116972">
        <w:rPr>
          <w:b/>
          <w:i/>
        </w:rPr>
        <w:t xml:space="preserve"> </w:t>
      </w:r>
      <w:r w:rsidR="0000354B">
        <w:rPr>
          <w:b/>
        </w:rPr>
        <w:t xml:space="preserve">– </w:t>
      </w:r>
      <w:r w:rsidR="00116972" w:rsidRPr="00116972">
        <w:rPr>
          <w:b/>
        </w:rPr>
        <w:t>as per expert recommendations</w:t>
      </w:r>
      <w:r w:rsidR="0000354B">
        <w:rPr>
          <w:b/>
        </w:rPr>
        <w:t>;</w:t>
      </w:r>
      <w:r w:rsidRPr="00116972">
        <w:rPr>
          <w:rStyle w:val="FootnoteReference"/>
          <w:rFonts w:cs="Arial"/>
          <w:b/>
        </w:rPr>
        <w:footnoteReference w:id="110"/>
      </w:r>
    </w:p>
    <w:p w:rsidR="00D73E08" w:rsidRPr="00116972" w:rsidRDefault="0094763F" w:rsidP="009C52E3">
      <w:pPr>
        <w:numPr>
          <w:ilvl w:val="0"/>
          <w:numId w:val="35"/>
        </w:numPr>
        <w:rPr>
          <w:b/>
        </w:rPr>
      </w:pPr>
      <w:r w:rsidRPr="00BD2680">
        <w:rPr>
          <w:b/>
        </w:rPr>
        <w:lastRenderedPageBreak/>
        <w:t xml:space="preserve">adopt a </w:t>
      </w:r>
      <w:r w:rsidRPr="00BD2680">
        <w:rPr>
          <w:b/>
          <w:i/>
        </w:rPr>
        <w:t>comprehensive assessment framework</w:t>
      </w:r>
      <w:r w:rsidRPr="00BD2680">
        <w:rPr>
          <w:b/>
        </w:rPr>
        <w:t xml:space="preserve"> for the climate change implications of </w:t>
      </w:r>
      <w:r w:rsidRPr="007D6443">
        <w:rPr>
          <w:b/>
          <w:i/>
        </w:rPr>
        <w:t>individual developments</w:t>
      </w:r>
      <w:r w:rsidRPr="007D6443">
        <w:rPr>
          <w:b/>
        </w:rPr>
        <w:t>, particularly major projects</w:t>
      </w:r>
      <w:r w:rsidR="00116972">
        <w:rPr>
          <w:b/>
        </w:rPr>
        <w:t xml:space="preserve">– this framework could cover </w:t>
      </w:r>
      <w:r w:rsidR="00116972">
        <w:rPr>
          <w:rFonts w:cs="Arial"/>
          <w:b/>
          <w:szCs w:val="22"/>
          <w:lang w:val="en-US"/>
        </w:rPr>
        <w:t>licensing, approval and post-approval mechanisms, and</w:t>
      </w:r>
      <w:r w:rsidR="00CB7D56">
        <w:rPr>
          <w:rFonts w:cs="Arial"/>
          <w:b/>
          <w:szCs w:val="22"/>
          <w:lang w:val="en-US"/>
        </w:rPr>
        <w:t xml:space="preserve"> would</w:t>
      </w:r>
      <w:r w:rsidR="00116972">
        <w:rPr>
          <w:rFonts w:cs="Arial"/>
          <w:b/>
          <w:szCs w:val="22"/>
          <w:lang w:val="en-US"/>
        </w:rPr>
        <w:t xml:space="preserve"> </w:t>
      </w:r>
      <w:r w:rsidR="0020308D" w:rsidRPr="00116972">
        <w:rPr>
          <w:rFonts w:cs="Arial"/>
          <w:b/>
          <w:szCs w:val="22"/>
          <w:lang w:val="en-US"/>
        </w:rPr>
        <w:t xml:space="preserve">complement </w:t>
      </w:r>
      <w:r w:rsidRPr="00116972">
        <w:rPr>
          <w:rFonts w:cs="Arial"/>
          <w:b/>
          <w:szCs w:val="22"/>
          <w:lang w:val="en-US"/>
        </w:rPr>
        <w:t>a</w:t>
      </w:r>
      <w:r w:rsidR="0020308D" w:rsidRPr="00116972">
        <w:rPr>
          <w:rFonts w:cs="Arial"/>
          <w:b/>
          <w:szCs w:val="22"/>
          <w:lang w:val="en-US"/>
        </w:rPr>
        <w:t xml:space="preserve"> </w:t>
      </w:r>
      <w:r w:rsidRPr="00116972">
        <w:rPr>
          <w:rFonts w:cs="Arial"/>
          <w:b/>
          <w:szCs w:val="22"/>
          <w:lang w:val="en-US"/>
        </w:rPr>
        <w:t>national</w:t>
      </w:r>
      <w:r w:rsidR="0020308D" w:rsidRPr="00116972">
        <w:rPr>
          <w:rFonts w:cs="Arial"/>
          <w:b/>
          <w:szCs w:val="22"/>
          <w:lang w:val="en-US"/>
        </w:rPr>
        <w:t xml:space="preserve"> carbon price</w:t>
      </w:r>
      <w:r w:rsidR="00CC4616" w:rsidRPr="00116972">
        <w:rPr>
          <w:rFonts w:cs="Arial"/>
          <w:b/>
          <w:szCs w:val="22"/>
          <w:lang w:val="en-US"/>
        </w:rPr>
        <w:t>.</w:t>
      </w:r>
    </w:p>
    <w:p w:rsidR="00CC4616" w:rsidRDefault="00CC4616" w:rsidP="00CC4616"/>
    <w:p w:rsidR="00CC4616" w:rsidRDefault="008A1A26" w:rsidP="009C52E3">
      <w:pPr>
        <w:pStyle w:val="Heading2"/>
        <w:numPr>
          <w:ilvl w:val="0"/>
          <w:numId w:val="45"/>
        </w:numPr>
      </w:pPr>
      <w:bookmarkStart w:id="34" w:name="_Toc351985913"/>
      <w:r>
        <w:t>Improved integration of</w:t>
      </w:r>
      <w:r w:rsidR="00CC4616" w:rsidRPr="00702ADD">
        <w:t xml:space="preserve"> </w:t>
      </w:r>
      <w:proofErr w:type="spellStart"/>
      <w:r w:rsidR="00CC4616" w:rsidRPr="00702ADD">
        <w:t>NRM</w:t>
      </w:r>
      <w:proofErr w:type="spellEnd"/>
      <w:r w:rsidR="00CC4616" w:rsidRPr="00702ADD">
        <w:t xml:space="preserve"> data</w:t>
      </w:r>
      <w:r>
        <w:t xml:space="preserve"> </w:t>
      </w:r>
      <w:r w:rsidR="00CC4616" w:rsidRPr="00702ADD">
        <w:t xml:space="preserve">and </w:t>
      </w:r>
      <w:r>
        <w:t>valuation of</w:t>
      </w:r>
      <w:r w:rsidR="00CC4616" w:rsidRPr="00702ADD">
        <w:t xml:space="preserve"> environmental assets</w:t>
      </w:r>
      <w:bookmarkEnd w:id="34"/>
      <w:r w:rsidR="00CC4616" w:rsidRPr="00702ADD">
        <w:t xml:space="preserve"> </w:t>
      </w:r>
    </w:p>
    <w:p w:rsidR="0000354B" w:rsidRPr="008A1A26" w:rsidRDefault="0000354B" w:rsidP="0000354B">
      <w:pPr>
        <w:pStyle w:val="Heading3"/>
        <w:rPr>
          <w:i/>
          <w:u w:val="none"/>
        </w:rPr>
      </w:pPr>
      <w:bookmarkStart w:id="35" w:name="_Toc350780854"/>
      <w:r w:rsidRPr="008A1A26">
        <w:rPr>
          <w:i/>
          <w:u w:val="none"/>
        </w:rPr>
        <w:t>Environmental outcomes, data collation and accounting</w:t>
      </w:r>
      <w:bookmarkEnd w:id="35"/>
      <w:r w:rsidRPr="008A1A26">
        <w:rPr>
          <w:i/>
          <w:u w:val="none"/>
        </w:rPr>
        <w:t xml:space="preserve"> </w:t>
      </w:r>
    </w:p>
    <w:p w:rsidR="007E10A7" w:rsidRPr="00C91E55" w:rsidRDefault="00303B53" w:rsidP="001900F8">
      <w:pPr>
        <w:rPr>
          <w:rFonts w:cs="Arial"/>
          <w:szCs w:val="22"/>
        </w:rPr>
      </w:pPr>
      <w:r w:rsidRPr="00C91E55">
        <w:rPr>
          <w:rFonts w:cs="Arial"/>
          <w:szCs w:val="22"/>
        </w:rPr>
        <w:t xml:space="preserve">Strategic planning processes should aim to produce ecologically sustainable outcomes that maintain or improve </w:t>
      </w:r>
      <w:r w:rsidR="0000354B" w:rsidRPr="00C91E55">
        <w:rPr>
          <w:rFonts w:cs="Arial"/>
          <w:szCs w:val="22"/>
        </w:rPr>
        <w:t xml:space="preserve">Australians’ </w:t>
      </w:r>
      <w:r w:rsidRPr="00C91E55">
        <w:rPr>
          <w:rFonts w:cs="Arial"/>
          <w:szCs w:val="22"/>
        </w:rPr>
        <w:t>environment and wellbeing</w:t>
      </w:r>
      <w:r w:rsidR="007E10A7" w:rsidRPr="00C91E55">
        <w:rPr>
          <w:rFonts w:cs="Arial"/>
          <w:szCs w:val="22"/>
        </w:rPr>
        <w:t>,</w:t>
      </w:r>
      <w:r w:rsidR="007E10A7" w:rsidRPr="00C91E55">
        <w:rPr>
          <w:rFonts w:cs="Arial"/>
          <w:color w:val="000000"/>
          <w:szCs w:val="22"/>
        </w:rPr>
        <w:t xml:space="preserve"> and that fully account for environmental values and ecological services</w:t>
      </w:r>
      <w:r w:rsidR="007E10A7" w:rsidRPr="00C91E55">
        <w:rPr>
          <w:rFonts w:cs="Arial"/>
          <w:szCs w:val="22"/>
        </w:rPr>
        <w:t xml:space="preserve">. </w:t>
      </w:r>
      <w:r w:rsidRPr="00C91E55">
        <w:rPr>
          <w:rFonts w:cs="Arial"/>
          <w:szCs w:val="22"/>
        </w:rPr>
        <w:t xml:space="preserve">This requires a </w:t>
      </w:r>
      <w:r w:rsidR="00966C2C">
        <w:rPr>
          <w:rFonts w:cs="Arial"/>
          <w:szCs w:val="22"/>
        </w:rPr>
        <w:t>‘triple bottom line’</w:t>
      </w:r>
      <w:r w:rsidRPr="00C91E55">
        <w:rPr>
          <w:rFonts w:cs="Arial"/>
          <w:szCs w:val="22"/>
        </w:rPr>
        <w:t xml:space="preserve"> approach to </w:t>
      </w:r>
      <w:r w:rsidR="00C91E55">
        <w:rPr>
          <w:rFonts w:cs="Arial"/>
          <w:szCs w:val="22"/>
        </w:rPr>
        <w:t>establish</w:t>
      </w:r>
      <w:r w:rsidR="00966C2C">
        <w:rPr>
          <w:rFonts w:cs="Arial"/>
          <w:szCs w:val="22"/>
        </w:rPr>
        <w:t>,</w:t>
      </w:r>
      <w:r w:rsidR="00C91E55">
        <w:rPr>
          <w:rFonts w:cs="Arial"/>
          <w:szCs w:val="22"/>
        </w:rPr>
        <w:t xml:space="preserve"> </w:t>
      </w:r>
      <w:r w:rsidR="0000354B" w:rsidRPr="00C91E55">
        <w:rPr>
          <w:rFonts w:cs="Arial"/>
          <w:szCs w:val="22"/>
        </w:rPr>
        <w:t xml:space="preserve">monitor and </w:t>
      </w:r>
      <w:r w:rsidRPr="00C91E55">
        <w:rPr>
          <w:rFonts w:cs="Arial"/>
          <w:szCs w:val="22"/>
        </w:rPr>
        <w:t>report o</w:t>
      </w:r>
      <w:r w:rsidR="00C91E55">
        <w:rPr>
          <w:rFonts w:cs="Arial"/>
          <w:szCs w:val="22"/>
        </w:rPr>
        <w:t>n</w:t>
      </w:r>
      <w:r w:rsidRPr="00C91E55">
        <w:rPr>
          <w:rFonts w:cs="Arial"/>
          <w:szCs w:val="22"/>
        </w:rPr>
        <w:t xml:space="preserve"> strategic planning outcomes</w:t>
      </w:r>
      <w:r w:rsidR="007E10A7" w:rsidRPr="00C91E55">
        <w:rPr>
          <w:rFonts w:cs="Arial"/>
          <w:szCs w:val="22"/>
        </w:rPr>
        <w:t xml:space="preserve"> –</w:t>
      </w:r>
      <w:r w:rsidR="00966C2C">
        <w:rPr>
          <w:rFonts w:cs="Arial"/>
          <w:szCs w:val="22"/>
        </w:rPr>
        <w:t xml:space="preserve"> </w:t>
      </w:r>
      <w:r w:rsidRPr="00C91E55">
        <w:rPr>
          <w:rFonts w:cs="Arial"/>
          <w:szCs w:val="22"/>
        </w:rPr>
        <w:t>integrat</w:t>
      </w:r>
      <w:r w:rsidR="00966C2C">
        <w:rPr>
          <w:rFonts w:cs="Arial"/>
          <w:szCs w:val="22"/>
        </w:rPr>
        <w:t>ing</w:t>
      </w:r>
      <w:r w:rsidRPr="00C91E55">
        <w:rPr>
          <w:rFonts w:cs="Arial"/>
          <w:szCs w:val="22"/>
        </w:rPr>
        <w:t xml:space="preserve"> </w:t>
      </w:r>
      <w:r w:rsidR="00C91E55" w:rsidRPr="00C91E55">
        <w:rPr>
          <w:rFonts w:cs="Arial"/>
          <w:szCs w:val="22"/>
        </w:rPr>
        <w:t>community engagement</w:t>
      </w:r>
      <w:r w:rsidR="00C91E55">
        <w:rPr>
          <w:rFonts w:cs="Arial"/>
          <w:szCs w:val="22"/>
        </w:rPr>
        <w:t>,</w:t>
      </w:r>
      <w:r w:rsidR="00C91E55" w:rsidRPr="00C91E55">
        <w:rPr>
          <w:rFonts w:cs="Arial"/>
          <w:szCs w:val="22"/>
        </w:rPr>
        <w:t xml:space="preserve"> </w:t>
      </w:r>
      <w:r w:rsidR="00966C2C">
        <w:rPr>
          <w:rFonts w:cs="Arial"/>
          <w:szCs w:val="22"/>
        </w:rPr>
        <w:t>economic</w:t>
      </w:r>
      <w:r w:rsidRPr="00C91E55">
        <w:rPr>
          <w:rFonts w:cs="Arial"/>
          <w:szCs w:val="22"/>
        </w:rPr>
        <w:t xml:space="preserve"> indicators, </w:t>
      </w:r>
      <w:proofErr w:type="spellStart"/>
      <w:r w:rsidRPr="00C91E55">
        <w:rPr>
          <w:rFonts w:cs="Arial"/>
          <w:szCs w:val="22"/>
        </w:rPr>
        <w:t>NRM</w:t>
      </w:r>
      <w:proofErr w:type="spellEnd"/>
      <w:r w:rsidRPr="00C91E55">
        <w:rPr>
          <w:rFonts w:cs="Arial"/>
          <w:szCs w:val="22"/>
        </w:rPr>
        <w:t xml:space="preserve"> goals and</w:t>
      </w:r>
      <w:r w:rsidR="00C91E55">
        <w:rPr>
          <w:rFonts w:cs="Arial"/>
          <w:szCs w:val="22"/>
        </w:rPr>
        <w:t xml:space="preserve"> catchment limits</w:t>
      </w:r>
      <w:r w:rsidRPr="00C91E55">
        <w:rPr>
          <w:rFonts w:cs="Arial"/>
          <w:szCs w:val="22"/>
        </w:rPr>
        <w:t>.</w:t>
      </w:r>
      <w:r w:rsidR="0000354B" w:rsidRPr="00C91E55">
        <w:rPr>
          <w:rFonts w:cs="Arial"/>
          <w:szCs w:val="22"/>
        </w:rPr>
        <w:t xml:space="preserve"> </w:t>
      </w:r>
    </w:p>
    <w:p w:rsidR="007E10A7" w:rsidRDefault="007E10A7" w:rsidP="001900F8">
      <w:pPr>
        <w:rPr>
          <w:rFonts w:cs="Arial"/>
        </w:rPr>
      </w:pPr>
    </w:p>
    <w:p w:rsidR="007E10A7" w:rsidRDefault="004D2307" w:rsidP="007E10A7">
      <w:pPr>
        <w:rPr>
          <w:szCs w:val="22"/>
        </w:rPr>
      </w:pPr>
      <w:r w:rsidRPr="00A70EFA">
        <w:rPr>
          <w:rFonts w:cs="Arial"/>
        </w:rPr>
        <w:t xml:space="preserve">Government agencies already hold a substantial amount of information that could feed into </w:t>
      </w:r>
      <w:r>
        <w:rPr>
          <w:rFonts w:cs="Arial"/>
        </w:rPr>
        <w:t>strategic planning</w:t>
      </w:r>
      <w:r w:rsidRPr="00A70EFA">
        <w:rPr>
          <w:rFonts w:cs="Arial"/>
        </w:rPr>
        <w:t xml:space="preserve"> system</w:t>
      </w:r>
      <w:r>
        <w:rPr>
          <w:rFonts w:cs="Arial"/>
        </w:rPr>
        <w:t>s</w:t>
      </w:r>
      <w:r w:rsidRPr="00A70EFA">
        <w:rPr>
          <w:rFonts w:cs="Arial"/>
        </w:rPr>
        <w:t>.</w:t>
      </w:r>
      <w:r w:rsidRPr="00A70EFA">
        <w:rPr>
          <w:rStyle w:val="FootnoteReference"/>
          <w:rFonts w:cs="Arial"/>
        </w:rPr>
        <w:footnoteReference w:id="111"/>
      </w:r>
      <w:r w:rsidR="0000354B" w:rsidRPr="0000354B">
        <w:rPr>
          <w:rFonts w:cs="Arial"/>
          <w:szCs w:val="22"/>
        </w:rPr>
        <w:t xml:space="preserve"> </w:t>
      </w:r>
      <w:r w:rsidR="00C91E55">
        <w:rPr>
          <w:rFonts w:cs="Arial"/>
          <w:szCs w:val="22"/>
        </w:rPr>
        <w:t xml:space="preserve">However, there is a disconnect between environmental data and current planning, monitoring and reporting systems </w:t>
      </w:r>
      <w:r w:rsidR="00C91E55" w:rsidRPr="008A1A26">
        <w:rPr>
          <w:rFonts w:cs="Arial"/>
          <w:szCs w:val="22"/>
        </w:rPr>
        <w:t>(see ‘</w:t>
      </w:r>
      <w:r w:rsidR="001001E1" w:rsidRPr="008A1A26">
        <w:rPr>
          <w:rFonts w:cs="Arial"/>
          <w:szCs w:val="22"/>
        </w:rPr>
        <w:t xml:space="preserve">Part </w:t>
      </w:r>
      <w:proofErr w:type="spellStart"/>
      <w:r w:rsidR="001001E1" w:rsidRPr="008A1A26">
        <w:rPr>
          <w:rFonts w:cs="Arial"/>
          <w:szCs w:val="22"/>
        </w:rPr>
        <w:t>3A</w:t>
      </w:r>
      <w:proofErr w:type="spellEnd"/>
      <w:r w:rsidR="001001E1" w:rsidRPr="008A1A26">
        <w:rPr>
          <w:rFonts w:cs="Arial"/>
          <w:szCs w:val="22"/>
        </w:rPr>
        <w:t xml:space="preserve"> reporting’ example below</w:t>
      </w:r>
      <w:r w:rsidR="00C91E55">
        <w:rPr>
          <w:rFonts w:cs="Arial"/>
          <w:szCs w:val="22"/>
        </w:rPr>
        <w:t>).  According to the</w:t>
      </w:r>
      <w:r w:rsidR="0000354B">
        <w:rPr>
          <w:rFonts w:cs="Arial"/>
          <w:szCs w:val="22"/>
        </w:rPr>
        <w:t xml:space="preserve"> </w:t>
      </w:r>
      <w:r w:rsidR="0000354B" w:rsidRPr="0000354B">
        <w:rPr>
          <w:rFonts w:cs="Arial"/>
          <w:i/>
          <w:szCs w:val="22"/>
        </w:rPr>
        <w:t>State of the Environment 2011</w:t>
      </w:r>
      <w:r w:rsidR="00C91E55">
        <w:rPr>
          <w:rFonts w:cs="Arial"/>
          <w:szCs w:val="22"/>
        </w:rPr>
        <w:t xml:space="preserve">, </w:t>
      </w:r>
      <w:r w:rsidR="0000354B">
        <w:rPr>
          <w:rFonts w:cs="Arial"/>
          <w:szCs w:val="22"/>
        </w:rPr>
        <w:t>‘Australia is positioned for a revolution in environmental monitoring and reporting.’</w:t>
      </w:r>
      <w:r w:rsidR="0000354B">
        <w:rPr>
          <w:rFonts w:cs="Arial"/>
          <w:szCs w:val="22"/>
          <w:vertAlign w:val="superscript"/>
        </w:rPr>
        <w:footnoteReference w:id="112"/>
      </w:r>
      <w:r w:rsidR="0000354B">
        <w:rPr>
          <w:rFonts w:cs="Arial"/>
          <w:szCs w:val="22"/>
        </w:rPr>
        <w:t xml:space="preserve"> However, ‘Creating and using systems that allow efficient access to environmental information remain a great national-scale challenge.’</w:t>
      </w:r>
      <w:r w:rsidR="0000354B">
        <w:rPr>
          <w:rFonts w:cs="Arial"/>
          <w:szCs w:val="22"/>
          <w:vertAlign w:val="superscript"/>
        </w:rPr>
        <w:footnoteReference w:id="113"/>
      </w:r>
      <w:r w:rsidR="0000354B">
        <w:rPr>
          <w:rFonts w:cs="Arial"/>
          <w:szCs w:val="22"/>
        </w:rPr>
        <w:t xml:space="preserve">  </w:t>
      </w:r>
      <w:r w:rsidR="00C91E55" w:rsidRPr="0000354B">
        <w:rPr>
          <w:rFonts w:cs="Arial"/>
          <w:szCs w:val="22"/>
        </w:rPr>
        <w:t>An expert panel assisting the COAG Reform Council agree</w:t>
      </w:r>
      <w:r w:rsidR="00C91E55">
        <w:rPr>
          <w:rFonts w:cs="Arial"/>
          <w:szCs w:val="22"/>
        </w:rPr>
        <w:t>s</w:t>
      </w:r>
      <w:r w:rsidR="00C91E55" w:rsidRPr="0000354B">
        <w:rPr>
          <w:rFonts w:cs="Arial"/>
          <w:szCs w:val="22"/>
        </w:rPr>
        <w:t xml:space="preserve">, noting </w:t>
      </w:r>
      <w:r w:rsidR="00C91E55" w:rsidRPr="0000354B">
        <w:rPr>
          <w:szCs w:val="22"/>
          <w:lang w:eastAsia="en-AU"/>
        </w:rPr>
        <w:t>the need for ‘</w:t>
      </w:r>
      <w:r w:rsidR="00C91E55" w:rsidRPr="0000354B">
        <w:rPr>
          <w:szCs w:val="22"/>
        </w:rPr>
        <w:t>improving project and cost-benefit analysis frameworks so they take better account of externalities and do not unduly discount future benefits.</w:t>
      </w:r>
      <w:r w:rsidR="00C91E55">
        <w:rPr>
          <w:szCs w:val="22"/>
        </w:rPr>
        <w:t>’</w:t>
      </w:r>
      <w:r w:rsidR="00C91E55" w:rsidRPr="0000354B">
        <w:rPr>
          <w:rStyle w:val="FootnoteReference"/>
          <w:szCs w:val="22"/>
          <w:lang w:eastAsia="en-AU"/>
        </w:rPr>
        <w:footnoteReference w:id="114"/>
      </w:r>
      <w:r w:rsidR="00C91E55">
        <w:rPr>
          <w:szCs w:val="22"/>
        </w:rPr>
        <w:t xml:space="preserve">  </w:t>
      </w:r>
    </w:p>
    <w:p w:rsidR="002974E2" w:rsidRDefault="002974E2" w:rsidP="007E10A7">
      <w:pPr>
        <w:rPr>
          <w:szCs w:val="22"/>
        </w:rPr>
      </w:pPr>
    </w:p>
    <w:p w:rsidR="002974E2" w:rsidRDefault="002974E2" w:rsidP="002974E2">
      <w:pPr>
        <w:rPr>
          <w:rFonts w:cs="Arial"/>
          <w:szCs w:val="22"/>
        </w:rPr>
      </w:pPr>
      <w:r w:rsidRPr="002974E2">
        <w:rPr>
          <w:rFonts w:cs="Arial"/>
        </w:rPr>
        <w:t xml:space="preserve">Federal, state and territory governments should also </w:t>
      </w:r>
      <w:r w:rsidRPr="002974E2">
        <w:rPr>
          <w:rFonts w:cs="Arial"/>
          <w:szCs w:val="22"/>
        </w:rPr>
        <w:t xml:space="preserve">commit to develop and apply systems of </w:t>
      </w:r>
      <w:r w:rsidRPr="002974E2">
        <w:rPr>
          <w:rFonts w:cs="Arial"/>
          <w:i/>
          <w:szCs w:val="22"/>
        </w:rPr>
        <w:t>environmental accounts</w:t>
      </w:r>
      <w:r w:rsidRPr="002974E2">
        <w:rPr>
          <w:rFonts w:cs="Arial"/>
          <w:szCs w:val="22"/>
        </w:rPr>
        <w:t xml:space="preserve"> that link to </w:t>
      </w:r>
      <w:r w:rsidR="00966C2C">
        <w:rPr>
          <w:rFonts w:cs="Arial"/>
          <w:szCs w:val="22"/>
        </w:rPr>
        <w:t xml:space="preserve">planning, </w:t>
      </w:r>
      <w:r w:rsidRPr="002974E2">
        <w:rPr>
          <w:rFonts w:cs="Arial"/>
          <w:szCs w:val="22"/>
        </w:rPr>
        <w:t xml:space="preserve">environment and </w:t>
      </w:r>
      <w:proofErr w:type="spellStart"/>
      <w:r w:rsidRPr="002974E2">
        <w:rPr>
          <w:rFonts w:cs="Arial"/>
          <w:szCs w:val="22"/>
        </w:rPr>
        <w:t>NRM</w:t>
      </w:r>
      <w:proofErr w:type="spellEnd"/>
      <w:r w:rsidRPr="002974E2">
        <w:rPr>
          <w:rFonts w:cs="Arial"/>
          <w:szCs w:val="22"/>
        </w:rPr>
        <w:t xml:space="preserve"> targets.</w:t>
      </w:r>
      <w:r w:rsidRPr="002974E2">
        <w:rPr>
          <w:rStyle w:val="FootnoteReference"/>
          <w:rFonts w:cs="Arial"/>
        </w:rPr>
        <w:footnoteReference w:id="115"/>
      </w:r>
      <w:r w:rsidRPr="002974E2">
        <w:rPr>
          <w:rFonts w:cs="Arial"/>
        </w:rPr>
        <w:t xml:space="preserve"> </w:t>
      </w:r>
      <w:r w:rsidRPr="006870F1">
        <w:rPr>
          <w:rFonts w:cs="Arial"/>
          <w:szCs w:val="22"/>
        </w:rPr>
        <w:t>Whi</w:t>
      </w:r>
      <w:r w:rsidRPr="00880A28">
        <w:rPr>
          <w:rFonts w:cs="Arial"/>
          <w:szCs w:val="22"/>
        </w:rPr>
        <w:t>le environmental accounts are not yet well established in Australia, there are initiatives underway at the federal level,</w:t>
      </w:r>
      <w:r w:rsidRPr="00880A28">
        <w:rPr>
          <w:rStyle w:val="FootnoteReference"/>
          <w:rFonts w:cs="Arial"/>
          <w:szCs w:val="22"/>
        </w:rPr>
        <w:footnoteReference w:id="116"/>
      </w:r>
      <w:r w:rsidRPr="00880A28">
        <w:rPr>
          <w:rFonts w:cs="Arial"/>
          <w:szCs w:val="22"/>
        </w:rPr>
        <w:t xml:space="preserve"> including as recommended by the Hawke Review.</w:t>
      </w:r>
      <w:r w:rsidRPr="00880A28">
        <w:rPr>
          <w:rStyle w:val="FootnoteReference"/>
          <w:rFonts w:cs="Arial"/>
          <w:color w:val="000000"/>
          <w:szCs w:val="22"/>
        </w:rPr>
        <w:footnoteReference w:id="117"/>
      </w:r>
      <w:r w:rsidRPr="00880A28">
        <w:rPr>
          <w:rFonts w:cs="Arial"/>
          <w:szCs w:val="22"/>
        </w:rPr>
        <w:t xml:space="preserve"> </w:t>
      </w:r>
      <w:r w:rsidR="00966C2C" w:rsidRPr="0000354B">
        <w:rPr>
          <w:rFonts w:cs="Arial"/>
        </w:rPr>
        <w:t xml:space="preserve">Environmental accounts </w:t>
      </w:r>
      <w:r w:rsidR="00966C2C">
        <w:rPr>
          <w:rFonts w:cs="Arial"/>
        </w:rPr>
        <w:t xml:space="preserve">should be published </w:t>
      </w:r>
      <w:r w:rsidR="00966C2C" w:rsidRPr="005778FB">
        <w:rPr>
          <w:rFonts w:cs="Arial"/>
        </w:rPr>
        <w:t xml:space="preserve">alongside traditional economic </w:t>
      </w:r>
      <w:r w:rsidR="00966C2C">
        <w:rPr>
          <w:rFonts w:cs="Arial"/>
        </w:rPr>
        <w:t xml:space="preserve">budget </w:t>
      </w:r>
      <w:r w:rsidR="00966C2C" w:rsidRPr="005778FB">
        <w:rPr>
          <w:rFonts w:cs="Arial"/>
        </w:rPr>
        <w:t>indicators</w:t>
      </w:r>
      <w:r w:rsidR="00966C2C">
        <w:rPr>
          <w:rFonts w:cs="Arial"/>
        </w:rPr>
        <w:t xml:space="preserve">, and cross-referenced </w:t>
      </w:r>
      <w:r w:rsidR="00966C2C" w:rsidRPr="0000354B">
        <w:rPr>
          <w:rFonts w:cs="Arial"/>
        </w:rPr>
        <w:t>in annual reports from planning</w:t>
      </w:r>
      <w:r w:rsidR="00966C2C" w:rsidRPr="005778FB">
        <w:rPr>
          <w:rFonts w:cs="Arial"/>
        </w:rPr>
        <w:t xml:space="preserve"> and </w:t>
      </w:r>
      <w:r w:rsidR="00966C2C">
        <w:rPr>
          <w:rFonts w:cs="Arial"/>
        </w:rPr>
        <w:t>environmental departments.</w:t>
      </w:r>
    </w:p>
    <w:p w:rsidR="002974E2" w:rsidRPr="002974E2" w:rsidRDefault="002974E2" w:rsidP="002974E2">
      <w:pPr>
        <w:rPr>
          <w:rFonts w:cs="Arial"/>
          <w:szCs w:val="22"/>
        </w:rPr>
      </w:pPr>
    </w:p>
    <w:p w:rsidR="002974E2" w:rsidRDefault="00C91E55" w:rsidP="009C52E3">
      <w:pPr>
        <w:keepNext/>
        <w:spacing w:after="120"/>
        <w:rPr>
          <w:rFonts w:cs="Arial"/>
          <w:b/>
          <w:i/>
          <w:szCs w:val="22"/>
        </w:rPr>
      </w:pPr>
      <w:r w:rsidRPr="00C91E55">
        <w:rPr>
          <w:rFonts w:cs="Arial"/>
          <w:b/>
          <w:i/>
          <w:szCs w:val="22"/>
        </w:rPr>
        <w:lastRenderedPageBreak/>
        <w:t>Recommendation</w:t>
      </w:r>
      <w:r w:rsidR="002974E2">
        <w:rPr>
          <w:rFonts w:cs="Arial"/>
          <w:b/>
          <w:i/>
          <w:szCs w:val="22"/>
        </w:rPr>
        <w:t>s</w:t>
      </w:r>
      <w:r w:rsidRPr="00C91E55">
        <w:rPr>
          <w:rFonts w:cs="Arial"/>
          <w:b/>
          <w:i/>
          <w:szCs w:val="22"/>
        </w:rPr>
        <w:t xml:space="preserve">: </w:t>
      </w:r>
      <w:r>
        <w:rPr>
          <w:rFonts w:cs="Arial"/>
          <w:b/>
          <w:i/>
          <w:szCs w:val="22"/>
        </w:rPr>
        <w:t xml:space="preserve"> </w:t>
      </w:r>
    </w:p>
    <w:p w:rsidR="007E10A7" w:rsidRDefault="007E10A7" w:rsidP="002974E2">
      <w:pPr>
        <w:spacing w:after="120"/>
        <w:rPr>
          <w:rFonts w:cs="Arial"/>
          <w:b/>
          <w:szCs w:val="22"/>
        </w:rPr>
      </w:pPr>
      <w:proofErr w:type="spellStart"/>
      <w:r w:rsidRPr="007E10A7">
        <w:rPr>
          <w:rFonts w:cs="Arial"/>
          <w:b/>
          <w:szCs w:val="22"/>
        </w:rPr>
        <w:t>ANEDO</w:t>
      </w:r>
      <w:proofErr w:type="spellEnd"/>
      <w:r w:rsidRPr="007E10A7">
        <w:rPr>
          <w:rFonts w:cs="Arial"/>
          <w:b/>
          <w:szCs w:val="22"/>
        </w:rPr>
        <w:t xml:space="preserve"> strongly supports the </w:t>
      </w:r>
      <w:r w:rsidR="0000354B">
        <w:rPr>
          <w:rFonts w:cs="Arial"/>
          <w:b/>
          <w:szCs w:val="22"/>
        </w:rPr>
        <w:t xml:space="preserve">accelerated </w:t>
      </w:r>
      <w:r w:rsidRPr="007E10A7">
        <w:rPr>
          <w:rFonts w:cs="Arial"/>
          <w:b/>
          <w:szCs w:val="22"/>
        </w:rPr>
        <w:t xml:space="preserve">development of tools </w:t>
      </w:r>
      <w:r w:rsidR="002974E2">
        <w:rPr>
          <w:rFonts w:cs="Arial"/>
          <w:b/>
          <w:szCs w:val="22"/>
        </w:rPr>
        <w:t xml:space="preserve">to </w:t>
      </w:r>
      <w:r>
        <w:rPr>
          <w:rFonts w:cs="Arial"/>
          <w:b/>
          <w:szCs w:val="22"/>
        </w:rPr>
        <w:t xml:space="preserve">better </w:t>
      </w:r>
      <w:r w:rsidR="00C91E55">
        <w:rPr>
          <w:rFonts w:cs="Arial"/>
          <w:b/>
          <w:szCs w:val="22"/>
        </w:rPr>
        <w:t>integrat</w:t>
      </w:r>
      <w:r w:rsidR="002974E2">
        <w:rPr>
          <w:rFonts w:cs="Arial"/>
          <w:b/>
          <w:szCs w:val="22"/>
        </w:rPr>
        <w:t>e,</w:t>
      </w:r>
      <w:r w:rsidR="00C91E55">
        <w:rPr>
          <w:rFonts w:cs="Arial"/>
          <w:b/>
          <w:szCs w:val="22"/>
        </w:rPr>
        <w:t xml:space="preserve"> </w:t>
      </w:r>
      <w:r w:rsidR="002974E2" w:rsidRPr="007E10A7">
        <w:rPr>
          <w:rFonts w:cs="Arial"/>
          <w:b/>
          <w:szCs w:val="22"/>
        </w:rPr>
        <w:t>monitor</w:t>
      </w:r>
      <w:r w:rsidR="002974E2">
        <w:rPr>
          <w:rFonts w:cs="Arial"/>
          <w:b/>
          <w:szCs w:val="22"/>
        </w:rPr>
        <w:t xml:space="preserve"> and report on</w:t>
      </w:r>
      <w:r w:rsidR="00C91E55">
        <w:rPr>
          <w:rFonts w:cs="Arial"/>
          <w:b/>
          <w:szCs w:val="22"/>
        </w:rPr>
        <w:t xml:space="preserve"> </w:t>
      </w:r>
      <w:r w:rsidR="00C91E55" w:rsidRPr="002974E2">
        <w:rPr>
          <w:rFonts w:cs="Arial"/>
          <w:b/>
          <w:i/>
          <w:szCs w:val="22"/>
        </w:rPr>
        <w:t>environmental</w:t>
      </w:r>
      <w:r w:rsidRPr="002974E2">
        <w:rPr>
          <w:rFonts w:cs="Arial"/>
          <w:b/>
          <w:i/>
          <w:szCs w:val="22"/>
        </w:rPr>
        <w:t xml:space="preserve"> indicators</w:t>
      </w:r>
      <w:r w:rsidR="00C91E55">
        <w:rPr>
          <w:rFonts w:cs="Arial"/>
          <w:b/>
          <w:szCs w:val="22"/>
        </w:rPr>
        <w:t xml:space="preserve"> in</w:t>
      </w:r>
      <w:r w:rsidRPr="007E10A7">
        <w:rPr>
          <w:rFonts w:cs="Arial"/>
          <w:b/>
          <w:szCs w:val="22"/>
        </w:rPr>
        <w:t xml:space="preserve"> strategic planning</w:t>
      </w:r>
      <w:r w:rsidR="002974E2">
        <w:rPr>
          <w:rFonts w:cs="Arial"/>
          <w:b/>
          <w:szCs w:val="22"/>
        </w:rPr>
        <w:t xml:space="preserve"> and </w:t>
      </w:r>
      <w:r w:rsidR="006870F1" w:rsidRPr="00C91E55">
        <w:rPr>
          <w:rFonts w:cs="Arial"/>
          <w:b/>
        </w:rPr>
        <w:t xml:space="preserve">major project </w:t>
      </w:r>
      <w:proofErr w:type="spellStart"/>
      <w:r w:rsidRPr="00C91E55">
        <w:rPr>
          <w:rFonts w:cs="Arial"/>
          <w:b/>
        </w:rPr>
        <w:t>DAA</w:t>
      </w:r>
      <w:proofErr w:type="spellEnd"/>
      <w:r w:rsidR="006870F1" w:rsidRPr="00C91E55">
        <w:rPr>
          <w:rFonts w:cs="Arial"/>
          <w:b/>
        </w:rPr>
        <w:t xml:space="preserve"> processes.</w:t>
      </w:r>
      <w:r w:rsidRPr="00C91E55">
        <w:rPr>
          <w:rFonts w:cs="Arial"/>
          <w:b/>
          <w:szCs w:val="22"/>
        </w:rPr>
        <w:t xml:space="preserve"> </w:t>
      </w:r>
    </w:p>
    <w:p w:rsidR="002974E2" w:rsidRDefault="002974E2" w:rsidP="002974E2">
      <w:pPr>
        <w:spacing w:after="120"/>
        <w:rPr>
          <w:rFonts w:cs="Arial"/>
          <w:b/>
          <w:szCs w:val="22"/>
        </w:rPr>
      </w:pPr>
      <w:r>
        <w:rPr>
          <w:rFonts w:cs="Arial"/>
          <w:b/>
          <w:szCs w:val="22"/>
        </w:rPr>
        <w:t xml:space="preserve">National and state-level </w:t>
      </w:r>
      <w:r w:rsidRPr="002974E2">
        <w:rPr>
          <w:rFonts w:cs="Arial"/>
          <w:b/>
          <w:i/>
          <w:szCs w:val="22"/>
        </w:rPr>
        <w:t>environmental accounting</w:t>
      </w:r>
      <w:r w:rsidRPr="0020308D">
        <w:rPr>
          <w:rFonts w:cs="Arial"/>
          <w:b/>
          <w:szCs w:val="22"/>
        </w:rPr>
        <w:t xml:space="preserve"> should </w:t>
      </w:r>
      <w:r>
        <w:rPr>
          <w:rFonts w:cs="Arial"/>
          <w:b/>
          <w:szCs w:val="22"/>
        </w:rPr>
        <w:t xml:space="preserve">also </w:t>
      </w:r>
      <w:r w:rsidRPr="0020308D">
        <w:rPr>
          <w:rFonts w:cs="Arial"/>
          <w:b/>
          <w:szCs w:val="22"/>
        </w:rPr>
        <w:t>be accelerated</w:t>
      </w:r>
      <w:r>
        <w:rPr>
          <w:rFonts w:cs="Arial"/>
          <w:b/>
          <w:szCs w:val="22"/>
        </w:rPr>
        <w:t>,</w:t>
      </w:r>
      <w:r w:rsidRPr="0020308D">
        <w:rPr>
          <w:rFonts w:cs="Arial"/>
          <w:b/>
          <w:szCs w:val="22"/>
        </w:rPr>
        <w:t xml:space="preserve"> to ensure planning systems properly account for environmental values, costs and benefits.</w:t>
      </w:r>
    </w:p>
    <w:p w:rsidR="00303B53" w:rsidRPr="006870F1" w:rsidRDefault="007E10A7" w:rsidP="002974E2">
      <w:pPr>
        <w:rPr>
          <w:rFonts w:cs="Arial"/>
          <w:b/>
        </w:rPr>
      </w:pPr>
      <w:r w:rsidRPr="007E10A7">
        <w:rPr>
          <w:rFonts w:cs="Arial"/>
          <w:b/>
          <w:szCs w:val="22"/>
        </w:rPr>
        <w:t xml:space="preserve">A corollary of improved </w:t>
      </w:r>
      <w:r w:rsidR="002974E2">
        <w:rPr>
          <w:rFonts w:cs="Arial"/>
          <w:b/>
          <w:szCs w:val="22"/>
        </w:rPr>
        <w:t xml:space="preserve">environmental </w:t>
      </w:r>
      <w:r w:rsidRPr="007E10A7">
        <w:rPr>
          <w:rFonts w:cs="Arial"/>
          <w:b/>
          <w:szCs w:val="22"/>
        </w:rPr>
        <w:t>data-sharing</w:t>
      </w:r>
      <w:r w:rsidR="002974E2">
        <w:rPr>
          <w:rFonts w:cs="Arial"/>
          <w:b/>
          <w:szCs w:val="22"/>
        </w:rPr>
        <w:t xml:space="preserve"> and analysis</w:t>
      </w:r>
      <w:r w:rsidRPr="007E10A7">
        <w:rPr>
          <w:rFonts w:cs="Arial"/>
          <w:b/>
          <w:szCs w:val="22"/>
        </w:rPr>
        <w:t xml:space="preserve"> is the need for accurate, transparent and publicly accessible information. The Productivity Commission could also identify gaps and leading practices in this regard.</w:t>
      </w:r>
      <w:r w:rsidR="002974E2">
        <w:rPr>
          <w:rStyle w:val="FootnoteReference"/>
          <w:rFonts w:cs="Arial"/>
          <w:b/>
          <w:szCs w:val="22"/>
        </w:rPr>
        <w:footnoteReference w:id="118"/>
      </w:r>
    </w:p>
    <w:p w:rsidR="00303B53" w:rsidRDefault="00303B53" w:rsidP="00303B53">
      <w:pPr>
        <w:rPr>
          <w:rFonts w:cs="Arial"/>
          <w:szCs w:val="22"/>
        </w:rPr>
      </w:pPr>
    </w:p>
    <w:p w:rsidR="0000354B" w:rsidRPr="008A1A26" w:rsidRDefault="00B9743E" w:rsidP="0000354B">
      <w:pPr>
        <w:pStyle w:val="Heading3"/>
        <w:rPr>
          <w:i/>
          <w:u w:val="none"/>
        </w:rPr>
      </w:pPr>
      <w:bookmarkStart w:id="36" w:name="_Toc350780855"/>
      <w:r w:rsidRPr="008A1A26">
        <w:rPr>
          <w:i/>
          <w:u w:val="none"/>
        </w:rPr>
        <w:t>Independent</w:t>
      </w:r>
      <w:r w:rsidR="0000354B" w:rsidRPr="008A1A26">
        <w:rPr>
          <w:i/>
          <w:u w:val="none"/>
        </w:rPr>
        <w:t xml:space="preserve"> </w:t>
      </w:r>
      <w:r w:rsidRPr="008A1A26">
        <w:rPr>
          <w:i/>
          <w:u w:val="none"/>
        </w:rPr>
        <w:t xml:space="preserve">statutory </w:t>
      </w:r>
      <w:r w:rsidR="0000354B" w:rsidRPr="008A1A26">
        <w:rPr>
          <w:i/>
          <w:u w:val="none"/>
        </w:rPr>
        <w:t>Environment Commissioner (and overseas</w:t>
      </w:r>
      <w:r w:rsidR="00D81977" w:rsidRPr="008A1A26">
        <w:rPr>
          <w:i/>
          <w:u w:val="none"/>
        </w:rPr>
        <w:t xml:space="preserve"> comparisons</w:t>
      </w:r>
      <w:r w:rsidR="0000354B" w:rsidRPr="008A1A26">
        <w:rPr>
          <w:i/>
          <w:u w:val="none"/>
        </w:rPr>
        <w:t>)</w:t>
      </w:r>
      <w:bookmarkEnd w:id="36"/>
    </w:p>
    <w:p w:rsidR="005778FB" w:rsidRDefault="00966C2C" w:rsidP="00303B53">
      <w:pPr>
        <w:rPr>
          <w:rFonts w:cs="Arial"/>
          <w:b/>
          <w:szCs w:val="22"/>
        </w:rPr>
      </w:pPr>
      <w:r>
        <w:rPr>
          <w:rFonts w:cs="Arial"/>
          <w:szCs w:val="22"/>
        </w:rPr>
        <w:t>To give an independent voice on environmental protection, t</w:t>
      </w:r>
      <w:r w:rsidR="00303B53">
        <w:rPr>
          <w:rFonts w:cs="Arial"/>
          <w:szCs w:val="22"/>
        </w:rPr>
        <w:t xml:space="preserve">he Hawke Review </w:t>
      </w:r>
      <w:r w:rsidR="0020308D">
        <w:rPr>
          <w:rFonts w:cs="Arial"/>
          <w:szCs w:val="22"/>
        </w:rPr>
        <w:t xml:space="preserve">also </w:t>
      </w:r>
      <w:r w:rsidR="00303B53">
        <w:rPr>
          <w:rFonts w:cs="Arial"/>
          <w:szCs w:val="22"/>
        </w:rPr>
        <w:t xml:space="preserve">recommended </w:t>
      </w:r>
      <w:r>
        <w:rPr>
          <w:rFonts w:cs="Arial"/>
          <w:szCs w:val="22"/>
        </w:rPr>
        <w:t xml:space="preserve">establishing </w:t>
      </w:r>
      <w:r w:rsidR="00303B53">
        <w:rPr>
          <w:rFonts w:cs="Arial"/>
          <w:szCs w:val="22"/>
        </w:rPr>
        <w:t>a</w:t>
      </w:r>
      <w:r>
        <w:rPr>
          <w:rFonts w:cs="Arial"/>
          <w:szCs w:val="22"/>
        </w:rPr>
        <w:t>n</w:t>
      </w:r>
      <w:r w:rsidR="00303B53">
        <w:rPr>
          <w:rFonts w:cs="Arial"/>
          <w:szCs w:val="22"/>
        </w:rPr>
        <w:t xml:space="preserve"> Australian Environment Commissioner under the </w:t>
      </w:r>
      <w:proofErr w:type="spellStart"/>
      <w:r w:rsidR="00303B53">
        <w:rPr>
          <w:rFonts w:cs="Arial"/>
          <w:szCs w:val="22"/>
        </w:rPr>
        <w:t>EPBC</w:t>
      </w:r>
      <w:proofErr w:type="spellEnd"/>
      <w:r w:rsidR="00303B53">
        <w:rPr>
          <w:rFonts w:cs="Arial"/>
          <w:szCs w:val="22"/>
        </w:rPr>
        <w:t xml:space="preserve"> Act. </w:t>
      </w:r>
      <w:r>
        <w:rPr>
          <w:rFonts w:cs="Arial"/>
          <w:szCs w:val="22"/>
        </w:rPr>
        <w:t>T</w:t>
      </w:r>
      <w:r w:rsidR="00303B53">
        <w:rPr>
          <w:rFonts w:cs="Arial"/>
          <w:szCs w:val="22"/>
        </w:rPr>
        <w:t xml:space="preserve">he Australian Government Response rejected </w:t>
      </w:r>
      <w:r w:rsidR="000A472F">
        <w:rPr>
          <w:rFonts w:cs="Arial"/>
          <w:szCs w:val="22"/>
        </w:rPr>
        <w:t xml:space="preserve">Hawke </w:t>
      </w:r>
      <w:r w:rsidR="00303B53">
        <w:rPr>
          <w:rFonts w:cs="Arial"/>
          <w:szCs w:val="22"/>
        </w:rPr>
        <w:t>recommendation</w:t>
      </w:r>
      <w:r w:rsidR="0020308D">
        <w:rPr>
          <w:rFonts w:cs="Arial"/>
          <w:szCs w:val="22"/>
        </w:rPr>
        <w:t xml:space="preserve"> 71</w:t>
      </w:r>
      <w:r>
        <w:rPr>
          <w:rFonts w:cs="Arial"/>
          <w:szCs w:val="22"/>
        </w:rPr>
        <w:t>. Instead,</w:t>
      </w:r>
      <w:r w:rsidRPr="00966C2C">
        <w:rPr>
          <w:rFonts w:cs="Arial"/>
          <w:szCs w:val="22"/>
        </w:rPr>
        <w:t xml:space="preserve"> </w:t>
      </w:r>
      <w:r>
        <w:rPr>
          <w:rFonts w:cs="Arial"/>
          <w:szCs w:val="22"/>
        </w:rPr>
        <w:t>i</w:t>
      </w:r>
      <w:r w:rsidR="000A472F">
        <w:rPr>
          <w:rFonts w:cs="Arial"/>
          <w:szCs w:val="22"/>
        </w:rPr>
        <w:t>n </w:t>
      </w:r>
      <w:r w:rsidR="0020308D">
        <w:rPr>
          <w:rFonts w:cs="Arial"/>
          <w:szCs w:val="22"/>
        </w:rPr>
        <w:t>October 2012, the Government</w:t>
      </w:r>
      <w:r w:rsidR="006870F1">
        <w:rPr>
          <w:rFonts w:cs="Arial"/>
          <w:szCs w:val="22"/>
        </w:rPr>
        <w:t xml:space="preserve"> announced a ‘Sustainability Council’ to provide two-yearly reports to the Government on a </w:t>
      </w:r>
      <w:r w:rsidR="00D81977">
        <w:rPr>
          <w:rFonts w:cs="Arial"/>
          <w:szCs w:val="22"/>
        </w:rPr>
        <w:t xml:space="preserve">range of triple bottom line </w:t>
      </w:r>
      <w:r w:rsidR="006870F1">
        <w:rPr>
          <w:rFonts w:cs="Arial"/>
          <w:szCs w:val="22"/>
        </w:rPr>
        <w:t>indicators.</w:t>
      </w:r>
      <w:r w:rsidR="005778FB">
        <w:rPr>
          <w:rStyle w:val="FootnoteReference"/>
          <w:rFonts w:cs="Arial"/>
          <w:szCs w:val="22"/>
        </w:rPr>
        <w:footnoteReference w:id="119"/>
      </w:r>
      <w:r w:rsidR="006870F1">
        <w:rPr>
          <w:rFonts w:cs="Arial"/>
          <w:szCs w:val="22"/>
        </w:rPr>
        <w:t xml:space="preserve"> </w:t>
      </w:r>
      <w:r w:rsidR="00D03B23">
        <w:rPr>
          <w:rFonts w:cs="Arial"/>
          <w:szCs w:val="22"/>
        </w:rPr>
        <w:t>The ‘</w:t>
      </w:r>
      <w:proofErr w:type="spellStart"/>
      <w:r w:rsidR="00D03B23">
        <w:rPr>
          <w:rFonts w:cs="Arial"/>
          <w:szCs w:val="22"/>
        </w:rPr>
        <w:t>IESC</w:t>
      </w:r>
      <w:proofErr w:type="spellEnd"/>
      <w:r w:rsidR="00D03B23">
        <w:rPr>
          <w:rFonts w:cs="Arial"/>
          <w:szCs w:val="22"/>
        </w:rPr>
        <w:t xml:space="preserve">’ has also been established under the </w:t>
      </w:r>
      <w:proofErr w:type="spellStart"/>
      <w:r w:rsidR="00D03B23">
        <w:rPr>
          <w:rFonts w:cs="Arial"/>
          <w:szCs w:val="22"/>
        </w:rPr>
        <w:t>EPBC</w:t>
      </w:r>
      <w:proofErr w:type="spellEnd"/>
      <w:r w:rsidR="00D03B23">
        <w:rPr>
          <w:rFonts w:cs="Arial"/>
          <w:szCs w:val="22"/>
        </w:rPr>
        <w:t xml:space="preserve"> Act in the specific context of water and mining. </w:t>
      </w:r>
      <w:r w:rsidR="000A472F">
        <w:rPr>
          <w:rFonts w:cs="Arial"/>
          <w:szCs w:val="22"/>
        </w:rPr>
        <w:t>The influence of th</w:t>
      </w:r>
      <w:r w:rsidR="00D03B23">
        <w:rPr>
          <w:rFonts w:cs="Arial"/>
          <w:szCs w:val="22"/>
        </w:rPr>
        <w:t>e</w:t>
      </w:r>
      <w:r w:rsidR="000A472F">
        <w:rPr>
          <w:rFonts w:cs="Arial"/>
          <w:szCs w:val="22"/>
        </w:rPr>
        <w:t>s</w:t>
      </w:r>
      <w:r w:rsidR="00D03B23">
        <w:rPr>
          <w:rFonts w:cs="Arial"/>
          <w:szCs w:val="22"/>
        </w:rPr>
        <w:t xml:space="preserve">e bodies </w:t>
      </w:r>
      <w:r w:rsidR="000A472F">
        <w:rPr>
          <w:rFonts w:cs="Arial"/>
          <w:szCs w:val="22"/>
        </w:rPr>
        <w:t xml:space="preserve">will depend on how </w:t>
      </w:r>
      <w:r w:rsidR="00D03B23">
        <w:rPr>
          <w:rFonts w:cs="Arial"/>
          <w:szCs w:val="22"/>
        </w:rPr>
        <w:t>their</w:t>
      </w:r>
      <w:r w:rsidR="000A472F">
        <w:rPr>
          <w:rFonts w:cs="Arial"/>
          <w:szCs w:val="22"/>
        </w:rPr>
        <w:t xml:space="preserve"> advice is </w:t>
      </w:r>
      <w:r w:rsidR="00D81977">
        <w:rPr>
          <w:rFonts w:cs="Arial"/>
          <w:szCs w:val="22"/>
        </w:rPr>
        <w:t xml:space="preserve">taken and integrated in practice, and whether </w:t>
      </w:r>
      <w:r w:rsidR="00D03B23">
        <w:rPr>
          <w:rFonts w:cs="Arial"/>
          <w:szCs w:val="22"/>
        </w:rPr>
        <w:t>they</w:t>
      </w:r>
      <w:r w:rsidR="00D81977">
        <w:rPr>
          <w:rFonts w:cs="Arial"/>
          <w:szCs w:val="22"/>
        </w:rPr>
        <w:t xml:space="preserve"> </w:t>
      </w:r>
      <w:r w:rsidR="00D03B23">
        <w:rPr>
          <w:rFonts w:cs="Arial"/>
          <w:szCs w:val="22"/>
        </w:rPr>
        <w:t>substantively a</w:t>
      </w:r>
      <w:r w:rsidR="00D81977">
        <w:rPr>
          <w:rFonts w:cs="Arial"/>
          <w:szCs w:val="22"/>
        </w:rPr>
        <w:t>ffect</w:t>
      </w:r>
      <w:r w:rsidR="00D03B23">
        <w:rPr>
          <w:rFonts w:cs="Arial"/>
          <w:szCs w:val="22"/>
        </w:rPr>
        <w:t xml:space="preserve"> state planning systems</w:t>
      </w:r>
      <w:r w:rsidR="000A472F">
        <w:rPr>
          <w:rFonts w:cs="Arial"/>
          <w:szCs w:val="22"/>
        </w:rPr>
        <w:t>.</w:t>
      </w:r>
    </w:p>
    <w:p w:rsidR="005778FB" w:rsidRDefault="005778FB" w:rsidP="00303B53">
      <w:pPr>
        <w:rPr>
          <w:rFonts w:cs="Arial"/>
          <w:b/>
          <w:szCs w:val="22"/>
        </w:rPr>
      </w:pPr>
    </w:p>
    <w:p w:rsidR="00D81977" w:rsidRDefault="005778FB" w:rsidP="00D81977">
      <w:pPr>
        <w:rPr>
          <w:rFonts w:cs="Arial"/>
          <w:szCs w:val="22"/>
        </w:rPr>
      </w:pPr>
      <w:r w:rsidRPr="005778FB">
        <w:rPr>
          <w:rFonts w:cs="Arial"/>
          <w:szCs w:val="22"/>
        </w:rPr>
        <w:t>O</w:t>
      </w:r>
      <w:r w:rsidR="002036E1" w:rsidRPr="005778FB">
        <w:rPr>
          <w:rFonts w:cs="Arial"/>
          <w:szCs w:val="22"/>
        </w:rPr>
        <w:t>verseas</w:t>
      </w:r>
      <w:r w:rsidR="00303B53" w:rsidRPr="005778FB">
        <w:rPr>
          <w:rFonts w:cs="Arial"/>
          <w:szCs w:val="22"/>
        </w:rPr>
        <w:t xml:space="preserve"> jurisdictions </w:t>
      </w:r>
      <w:r w:rsidR="002036E1" w:rsidRPr="005778FB">
        <w:rPr>
          <w:rFonts w:cs="Arial"/>
          <w:szCs w:val="22"/>
        </w:rPr>
        <w:t xml:space="preserve">are </w:t>
      </w:r>
      <w:r w:rsidR="00702ADD" w:rsidRPr="005778FB">
        <w:rPr>
          <w:rFonts w:cs="Arial"/>
          <w:szCs w:val="22"/>
        </w:rPr>
        <w:t>recognising the value of independent expert environmental advice and guidance</w:t>
      </w:r>
      <w:r w:rsidR="002036E1" w:rsidRPr="005778FB">
        <w:rPr>
          <w:rFonts w:cs="Arial"/>
          <w:szCs w:val="22"/>
        </w:rPr>
        <w:t>.</w:t>
      </w:r>
      <w:r w:rsidR="00303B53" w:rsidRPr="005778FB">
        <w:rPr>
          <w:rFonts w:cs="Arial"/>
          <w:szCs w:val="22"/>
        </w:rPr>
        <w:t xml:space="preserve"> </w:t>
      </w:r>
      <w:r w:rsidR="001900F8" w:rsidRPr="005778FB">
        <w:rPr>
          <w:rFonts w:cs="Arial"/>
          <w:szCs w:val="22"/>
        </w:rPr>
        <w:t>For example, i</w:t>
      </w:r>
      <w:r w:rsidR="00303B53" w:rsidRPr="005778FB">
        <w:rPr>
          <w:rFonts w:cs="Arial"/>
          <w:szCs w:val="22"/>
        </w:rPr>
        <w:t>n the UK, an Independent Committee has been established ‘to advise</w:t>
      </w:r>
      <w:r w:rsidR="00303B53" w:rsidRPr="00880A28">
        <w:rPr>
          <w:rFonts w:cs="Arial"/>
          <w:szCs w:val="22"/>
        </w:rPr>
        <w:t xml:space="preserve"> the Government on the State of English Natural Capital’.</w:t>
      </w:r>
      <w:r w:rsidR="00303B53" w:rsidRPr="00880A28">
        <w:rPr>
          <w:rStyle w:val="FootnoteReference"/>
          <w:rFonts w:cs="Arial"/>
          <w:szCs w:val="22"/>
        </w:rPr>
        <w:footnoteReference w:id="120"/>
      </w:r>
      <w:r w:rsidR="00303B53" w:rsidRPr="00880A28">
        <w:rPr>
          <w:rFonts w:cs="Arial"/>
          <w:szCs w:val="22"/>
        </w:rPr>
        <w:t xml:space="preserve"> </w:t>
      </w:r>
    </w:p>
    <w:p w:rsidR="00D81977" w:rsidRDefault="00D81977" w:rsidP="00D81977">
      <w:pPr>
        <w:rPr>
          <w:rFonts w:cs="Arial"/>
          <w:szCs w:val="22"/>
        </w:rPr>
      </w:pPr>
    </w:p>
    <w:p w:rsidR="00D81977" w:rsidRDefault="000A472F" w:rsidP="00D81977">
      <w:pPr>
        <w:rPr>
          <w:lang w:val="en"/>
        </w:rPr>
      </w:pPr>
      <w:r>
        <w:rPr>
          <w:rFonts w:cs="Arial"/>
          <w:szCs w:val="22"/>
        </w:rPr>
        <w:t>New </w:t>
      </w:r>
      <w:r w:rsidR="00303B53">
        <w:rPr>
          <w:rFonts w:cs="Arial"/>
          <w:szCs w:val="22"/>
        </w:rPr>
        <w:t>Zealand also has a</w:t>
      </w:r>
      <w:r w:rsidR="002036E1">
        <w:rPr>
          <w:rFonts w:cs="Arial"/>
          <w:szCs w:val="22"/>
        </w:rPr>
        <w:t xml:space="preserve"> </w:t>
      </w:r>
      <w:r w:rsidR="00303B53">
        <w:rPr>
          <w:rFonts w:cs="Arial"/>
          <w:szCs w:val="22"/>
        </w:rPr>
        <w:t xml:space="preserve">Parliamentary Commissioner </w:t>
      </w:r>
      <w:r w:rsidR="002036E1">
        <w:rPr>
          <w:rFonts w:cs="Arial"/>
          <w:szCs w:val="22"/>
        </w:rPr>
        <w:t>for the Environment. This statuto</w:t>
      </w:r>
      <w:r w:rsidR="00D81977">
        <w:rPr>
          <w:rFonts w:cs="Arial"/>
          <w:szCs w:val="22"/>
        </w:rPr>
        <w:t xml:space="preserve">ry role provides an independent, </w:t>
      </w:r>
      <w:r w:rsidR="002036E1">
        <w:rPr>
          <w:rFonts w:cs="Arial"/>
          <w:szCs w:val="22"/>
        </w:rPr>
        <w:t>authoritative perspective on sig</w:t>
      </w:r>
      <w:r w:rsidR="00D81977">
        <w:rPr>
          <w:rFonts w:cs="Arial"/>
          <w:szCs w:val="22"/>
        </w:rPr>
        <w:t>nificant law and policy changes</w:t>
      </w:r>
      <w:r w:rsidR="002036E1">
        <w:rPr>
          <w:rFonts w:cs="Arial"/>
          <w:szCs w:val="22"/>
        </w:rPr>
        <w:t xml:space="preserve">. </w:t>
      </w:r>
      <w:r w:rsidR="00B9743E">
        <w:rPr>
          <w:rFonts w:cs="Arial"/>
          <w:szCs w:val="22"/>
        </w:rPr>
        <w:t>T</w:t>
      </w:r>
      <w:r w:rsidR="00D81977">
        <w:rPr>
          <w:rFonts w:cs="Arial"/>
          <w:szCs w:val="22"/>
        </w:rPr>
        <w:t xml:space="preserve">he NZ Commissioner recently </w:t>
      </w:r>
      <w:r w:rsidR="00B9743E">
        <w:rPr>
          <w:rFonts w:cs="Arial"/>
          <w:szCs w:val="22"/>
        </w:rPr>
        <w:t>‘</w:t>
      </w:r>
      <w:proofErr w:type="spellStart"/>
      <w:r w:rsidR="00D81977">
        <w:rPr>
          <w:lang w:val="en"/>
        </w:rPr>
        <w:t>criticis</w:t>
      </w:r>
      <w:r w:rsidR="00B9743E">
        <w:rPr>
          <w:lang w:val="en"/>
        </w:rPr>
        <w:t>ed</w:t>
      </w:r>
      <w:proofErr w:type="spellEnd"/>
      <w:r w:rsidR="00B9743E">
        <w:rPr>
          <w:lang w:val="en"/>
        </w:rPr>
        <w:t xml:space="preserve"> </w:t>
      </w:r>
      <w:r w:rsidR="00D81977">
        <w:rPr>
          <w:lang w:val="en"/>
        </w:rPr>
        <w:t xml:space="preserve">plans to increase the influence of economic concerns’ in </w:t>
      </w:r>
      <w:r w:rsidR="00D81977">
        <w:rPr>
          <w:rFonts w:cs="Arial"/>
          <w:szCs w:val="22"/>
        </w:rPr>
        <w:t xml:space="preserve">proposed amendments to the </w:t>
      </w:r>
      <w:r w:rsidR="00D81977" w:rsidRPr="002036E1">
        <w:rPr>
          <w:rFonts w:cs="Arial"/>
          <w:i/>
          <w:szCs w:val="22"/>
        </w:rPr>
        <w:t>Resource Management Act 1991</w:t>
      </w:r>
      <w:r w:rsidR="00D81977">
        <w:rPr>
          <w:rFonts w:cs="Arial"/>
          <w:szCs w:val="22"/>
        </w:rPr>
        <w:t xml:space="preserve"> (NZ</w:t>
      </w:r>
      <w:r w:rsidR="00B9743E">
        <w:rPr>
          <w:rFonts w:cs="Arial"/>
          <w:szCs w:val="22"/>
        </w:rPr>
        <w:t>),</w:t>
      </w:r>
      <w:r w:rsidR="00B9743E" w:rsidRPr="00B9743E">
        <w:rPr>
          <w:rFonts w:cs="Arial"/>
          <w:szCs w:val="22"/>
        </w:rPr>
        <w:t xml:space="preserve"> </w:t>
      </w:r>
      <w:r w:rsidR="00B9743E">
        <w:rPr>
          <w:rFonts w:cs="Arial"/>
          <w:szCs w:val="22"/>
        </w:rPr>
        <w:t xml:space="preserve">confirming that similar </w:t>
      </w:r>
      <w:r w:rsidR="00B9743E">
        <w:rPr>
          <w:lang w:val="en"/>
        </w:rPr>
        <w:t>pressures are being felt across the Tasman</w:t>
      </w:r>
      <w:r w:rsidR="00D81977">
        <w:rPr>
          <w:lang w:val="en"/>
        </w:rPr>
        <w:t>.</w:t>
      </w:r>
      <w:r w:rsidR="00D81977">
        <w:rPr>
          <w:rStyle w:val="FootnoteReference"/>
          <w:lang w:val="en"/>
        </w:rPr>
        <w:footnoteReference w:id="121"/>
      </w:r>
      <w:r w:rsidR="00D81977">
        <w:rPr>
          <w:lang w:val="en"/>
        </w:rPr>
        <w:t xml:space="preserve"> In Australia, while other sectors have more direct access to policy-making</w:t>
      </w:r>
      <w:r w:rsidR="00B9743E">
        <w:rPr>
          <w:lang w:val="en"/>
        </w:rPr>
        <w:t xml:space="preserve"> –</w:t>
      </w:r>
      <w:r w:rsidR="00D81977">
        <w:rPr>
          <w:lang w:val="en"/>
        </w:rPr>
        <w:t xml:space="preserve"> </w:t>
      </w:r>
      <w:r w:rsidR="00B9743E">
        <w:rPr>
          <w:lang w:val="en"/>
        </w:rPr>
        <w:t xml:space="preserve">such as through COAG’s Business Advisory Forum – it is left to non-government bodies </w:t>
      </w:r>
      <w:r w:rsidR="00D81977">
        <w:rPr>
          <w:lang w:val="en"/>
        </w:rPr>
        <w:t xml:space="preserve">to articulate the </w:t>
      </w:r>
      <w:r w:rsidR="00B9743E">
        <w:rPr>
          <w:lang w:val="en"/>
        </w:rPr>
        <w:t xml:space="preserve">strong </w:t>
      </w:r>
      <w:r w:rsidR="00D81977">
        <w:rPr>
          <w:lang w:val="en"/>
        </w:rPr>
        <w:t>public interes</w:t>
      </w:r>
      <w:r w:rsidR="00B9743E">
        <w:rPr>
          <w:lang w:val="en"/>
        </w:rPr>
        <w:t>t in environmental protection</w:t>
      </w:r>
      <w:r w:rsidR="00D81977">
        <w:rPr>
          <w:lang w:val="en"/>
        </w:rPr>
        <w:t>.</w:t>
      </w:r>
      <w:r w:rsidR="00686478" w:rsidRPr="00686478">
        <w:rPr>
          <w:rFonts w:cs="Arial"/>
          <w:b/>
          <w:szCs w:val="22"/>
        </w:rPr>
        <w:t xml:space="preserve"> </w:t>
      </w:r>
      <w:r w:rsidR="00686478" w:rsidRPr="00686478">
        <w:rPr>
          <w:rFonts w:cs="Arial"/>
          <w:szCs w:val="22"/>
        </w:rPr>
        <w:t>Australia would greatly benefit from an independent</w:t>
      </w:r>
      <w:r w:rsidR="00686478">
        <w:rPr>
          <w:rFonts w:cs="Arial"/>
          <w:szCs w:val="22"/>
        </w:rPr>
        <w:t>,</w:t>
      </w:r>
      <w:r w:rsidR="00686478" w:rsidRPr="00686478">
        <w:rPr>
          <w:rFonts w:cs="Arial"/>
          <w:szCs w:val="22"/>
        </w:rPr>
        <w:t xml:space="preserve"> </w:t>
      </w:r>
      <w:r w:rsidR="00686478">
        <w:rPr>
          <w:rFonts w:cs="Arial"/>
          <w:szCs w:val="22"/>
        </w:rPr>
        <w:t xml:space="preserve">statutory </w:t>
      </w:r>
      <w:r w:rsidR="00686478" w:rsidRPr="00686478">
        <w:rPr>
          <w:rFonts w:cs="Arial"/>
          <w:szCs w:val="22"/>
        </w:rPr>
        <w:t>office to oversee environmental decision-making</w:t>
      </w:r>
      <w:r w:rsidR="00686478">
        <w:rPr>
          <w:rFonts w:cs="Arial"/>
          <w:szCs w:val="22"/>
        </w:rPr>
        <w:t>;</w:t>
      </w:r>
      <w:r w:rsidR="00686478" w:rsidRPr="00686478">
        <w:rPr>
          <w:rFonts w:cs="Arial"/>
          <w:szCs w:val="22"/>
        </w:rPr>
        <w:t xml:space="preserve"> advi</w:t>
      </w:r>
      <w:r w:rsidR="00686478">
        <w:rPr>
          <w:rFonts w:cs="Arial"/>
          <w:szCs w:val="22"/>
        </w:rPr>
        <w:t>se</w:t>
      </w:r>
      <w:r w:rsidR="00686478" w:rsidRPr="00686478">
        <w:rPr>
          <w:rFonts w:cs="Arial"/>
          <w:szCs w:val="22"/>
        </w:rPr>
        <w:t xml:space="preserve"> COAG, federal and state decision makers</w:t>
      </w:r>
      <w:r w:rsidR="00686478">
        <w:rPr>
          <w:rFonts w:cs="Arial"/>
          <w:szCs w:val="22"/>
        </w:rPr>
        <w:t>;</w:t>
      </w:r>
      <w:r w:rsidR="00686478" w:rsidRPr="00686478">
        <w:rPr>
          <w:rFonts w:cs="Arial"/>
          <w:szCs w:val="22"/>
        </w:rPr>
        <w:t xml:space="preserve"> and to educate the wider community.</w:t>
      </w:r>
      <w:r w:rsidR="00B6378B">
        <w:rPr>
          <w:rStyle w:val="FootnoteReference"/>
          <w:rFonts w:cs="Arial"/>
          <w:szCs w:val="22"/>
        </w:rPr>
        <w:footnoteReference w:id="122"/>
      </w:r>
    </w:p>
    <w:p w:rsidR="000A472F" w:rsidRDefault="000A472F" w:rsidP="00303B53">
      <w:pPr>
        <w:rPr>
          <w:rFonts w:cs="Arial"/>
          <w:szCs w:val="22"/>
        </w:rPr>
      </w:pPr>
    </w:p>
    <w:p w:rsidR="00D81977" w:rsidRPr="00D03B23" w:rsidRDefault="00D81977" w:rsidP="00303B53">
      <w:pPr>
        <w:rPr>
          <w:rFonts w:cs="Arial"/>
          <w:b/>
          <w:i/>
          <w:szCs w:val="22"/>
        </w:rPr>
      </w:pPr>
      <w:r w:rsidRPr="00B9743E">
        <w:rPr>
          <w:rFonts w:cs="Arial"/>
          <w:b/>
          <w:i/>
          <w:szCs w:val="22"/>
        </w:rPr>
        <w:t>Recommendation:</w:t>
      </w:r>
      <w:r w:rsidR="00D03B23">
        <w:rPr>
          <w:rFonts w:cs="Arial"/>
          <w:b/>
          <w:i/>
          <w:szCs w:val="22"/>
        </w:rPr>
        <w:t xml:space="preserve"> </w:t>
      </w:r>
      <w:proofErr w:type="spellStart"/>
      <w:r w:rsidR="000A472F" w:rsidRPr="000A472F">
        <w:rPr>
          <w:rFonts w:cs="Arial"/>
          <w:b/>
          <w:szCs w:val="22"/>
        </w:rPr>
        <w:t>ANEDO</w:t>
      </w:r>
      <w:proofErr w:type="spellEnd"/>
      <w:r w:rsidR="000A472F" w:rsidRPr="000A472F">
        <w:rPr>
          <w:rFonts w:cs="Arial"/>
          <w:b/>
          <w:szCs w:val="22"/>
        </w:rPr>
        <w:t xml:space="preserve"> supports an independent</w:t>
      </w:r>
      <w:r>
        <w:rPr>
          <w:rFonts w:cs="Arial"/>
          <w:b/>
          <w:szCs w:val="22"/>
        </w:rPr>
        <w:t xml:space="preserve">, </w:t>
      </w:r>
      <w:r w:rsidR="00B9743E">
        <w:rPr>
          <w:rFonts w:cs="Arial"/>
          <w:b/>
          <w:szCs w:val="22"/>
        </w:rPr>
        <w:t xml:space="preserve">statutory </w:t>
      </w:r>
      <w:r w:rsidR="000A472F" w:rsidRPr="000A472F">
        <w:rPr>
          <w:rFonts w:cs="Arial"/>
          <w:b/>
          <w:szCs w:val="22"/>
        </w:rPr>
        <w:t>Environment Commissioner</w:t>
      </w:r>
      <w:r>
        <w:rPr>
          <w:rFonts w:cs="Arial"/>
          <w:b/>
          <w:szCs w:val="22"/>
        </w:rPr>
        <w:t xml:space="preserve"> role</w:t>
      </w:r>
      <w:r w:rsidR="000A472F" w:rsidRPr="000A472F">
        <w:rPr>
          <w:rFonts w:cs="Arial"/>
          <w:b/>
          <w:szCs w:val="22"/>
        </w:rPr>
        <w:t xml:space="preserve">, noting the </w:t>
      </w:r>
      <w:r w:rsidR="00D03B23">
        <w:rPr>
          <w:rFonts w:cs="Arial"/>
          <w:b/>
          <w:szCs w:val="22"/>
        </w:rPr>
        <w:t>different roles and mandates of the</w:t>
      </w:r>
      <w:r w:rsidR="000A472F" w:rsidRPr="000A472F">
        <w:rPr>
          <w:rFonts w:cs="Arial"/>
          <w:b/>
          <w:szCs w:val="22"/>
        </w:rPr>
        <w:t xml:space="preserve"> </w:t>
      </w:r>
      <w:r w:rsidR="00B9743E">
        <w:rPr>
          <w:rFonts w:cs="Arial"/>
          <w:b/>
          <w:szCs w:val="22"/>
        </w:rPr>
        <w:t xml:space="preserve">National </w:t>
      </w:r>
      <w:r w:rsidR="000A472F" w:rsidRPr="000A472F">
        <w:rPr>
          <w:rFonts w:cs="Arial"/>
          <w:b/>
          <w:szCs w:val="22"/>
        </w:rPr>
        <w:t>Sustainability Council</w:t>
      </w:r>
      <w:r w:rsidR="00D03B23">
        <w:rPr>
          <w:rFonts w:cs="Arial"/>
          <w:b/>
          <w:szCs w:val="22"/>
        </w:rPr>
        <w:t xml:space="preserve"> and the Independent Expert Scientific Committee on Large coal mining and </w:t>
      </w:r>
      <w:proofErr w:type="spellStart"/>
      <w:r w:rsidR="00D03B23">
        <w:rPr>
          <w:rFonts w:cs="Arial"/>
          <w:b/>
          <w:szCs w:val="22"/>
        </w:rPr>
        <w:t>CSG</w:t>
      </w:r>
      <w:proofErr w:type="spellEnd"/>
      <w:r w:rsidR="00D03B23">
        <w:rPr>
          <w:rFonts w:cs="Arial"/>
          <w:b/>
          <w:szCs w:val="22"/>
        </w:rPr>
        <w:t xml:space="preserve"> developments</w:t>
      </w:r>
      <w:r w:rsidR="000A472F" w:rsidRPr="000A472F">
        <w:rPr>
          <w:rFonts w:cs="Arial"/>
          <w:b/>
          <w:szCs w:val="22"/>
        </w:rPr>
        <w:t xml:space="preserve">. </w:t>
      </w:r>
    </w:p>
    <w:p w:rsidR="00D81977" w:rsidRDefault="00D81977" w:rsidP="00303B53">
      <w:pPr>
        <w:rPr>
          <w:rFonts w:cs="Arial"/>
          <w:szCs w:val="22"/>
        </w:rPr>
      </w:pPr>
    </w:p>
    <w:p w:rsidR="008A1A26" w:rsidRDefault="008A1A26" w:rsidP="00A1550A">
      <w:pPr>
        <w:pStyle w:val="ListBullet"/>
        <w:numPr>
          <w:ilvl w:val="0"/>
          <w:numId w:val="0"/>
        </w:numPr>
        <w:ind w:left="340" w:hanging="340"/>
      </w:pPr>
    </w:p>
    <w:p w:rsidR="00A1550A" w:rsidRDefault="00A1550A" w:rsidP="00556ACD">
      <w:pPr>
        <w:pStyle w:val="Heading1"/>
        <w:keepNext/>
      </w:pPr>
      <w:bookmarkStart w:id="37" w:name="_Toc351985914"/>
      <w:r>
        <w:lastRenderedPageBreak/>
        <w:t xml:space="preserve">Efficiency and effectiveness of Australian </w:t>
      </w:r>
      <w:proofErr w:type="spellStart"/>
      <w:r>
        <w:t>DAA</w:t>
      </w:r>
      <w:proofErr w:type="spellEnd"/>
      <w:r>
        <w:t xml:space="preserve"> processes in protecting social, economic and environmental assets</w:t>
      </w:r>
      <w:bookmarkEnd w:id="37"/>
      <w:r>
        <w:t xml:space="preserve"> </w:t>
      </w:r>
    </w:p>
    <w:p w:rsidR="00A1550A" w:rsidRDefault="00A1550A" w:rsidP="00A1550A"/>
    <w:p w:rsidR="008A1E17" w:rsidRDefault="008A1E17" w:rsidP="008A1E17">
      <w:pPr>
        <w:spacing w:after="120"/>
      </w:pPr>
      <w:r>
        <w:t>This part of the submission notes the following aspects on efficiency and effectiveness:</w:t>
      </w:r>
    </w:p>
    <w:p w:rsidR="008A1E17" w:rsidRPr="004D6F76" w:rsidRDefault="008A1E17" w:rsidP="009C52E3">
      <w:pPr>
        <w:numPr>
          <w:ilvl w:val="0"/>
          <w:numId w:val="46"/>
        </w:numPr>
        <w:ind w:left="567" w:hanging="425"/>
        <w:rPr>
          <w:i/>
        </w:rPr>
      </w:pPr>
      <w:r w:rsidRPr="004D6F76">
        <w:rPr>
          <w:i/>
        </w:rPr>
        <w:t>State planning and major pr</w:t>
      </w:r>
      <w:r w:rsidR="008A1A26" w:rsidRPr="004D6F76">
        <w:rPr>
          <w:i/>
        </w:rPr>
        <w:t>oject reports must</w:t>
      </w:r>
      <w:r w:rsidRPr="004D6F76">
        <w:rPr>
          <w:i/>
        </w:rPr>
        <w:t xml:space="preserve"> monitor ‘triple bottom line’</w:t>
      </w:r>
    </w:p>
    <w:p w:rsidR="008A1E17" w:rsidRPr="004D6F76" w:rsidRDefault="00674CD8" w:rsidP="009C52E3">
      <w:pPr>
        <w:numPr>
          <w:ilvl w:val="0"/>
          <w:numId w:val="46"/>
        </w:numPr>
        <w:ind w:left="567" w:hanging="425"/>
        <w:rPr>
          <w:i/>
        </w:rPr>
      </w:pPr>
      <w:r w:rsidRPr="004D6F76">
        <w:rPr>
          <w:i/>
        </w:rPr>
        <w:t>Effectiveness of f</w:t>
      </w:r>
      <w:r w:rsidR="008A1E17" w:rsidRPr="004D6F76">
        <w:rPr>
          <w:i/>
        </w:rPr>
        <w:t xml:space="preserve">ederal laws – Independent review of the </w:t>
      </w:r>
      <w:proofErr w:type="spellStart"/>
      <w:r w:rsidR="008A1E17" w:rsidRPr="004D6F76">
        <w:rPr>
          <w:i/>
        </w:rPr>
        <w:t>EPBC</w:t>
      </w:r>
      <w:proofErr w:type="spellEnd"/>
      <w:r w:rsidR="008A1E17" w:rsidRPr="004D6F76">
        <w:rPr>
          <w:i/>
        </w:rPr>
        <w:t xml:space="preserve"> Act</w:t>
      </w:r>
      <w:r w:rsidR="00B30260">
        <w:rPr>
          <w:i/>
        </w:rPr>
        <w:t>.</w:t>
      </w:r>
    </w:p>
    <w:p w:rsidR="00A1550A" w:rsidRDefault="00040456" w:rsidP="009C52E3">
      <w:pPr>
        <w:pStyle w:val="Heading2"/>
        <w:numPr>
          <w:ilvl w:val="0"/>
          <w:numId w:val="50"/>
        </w:numPr>
      </w:pPr>
      <w:bookmarkStart w:id="38" w:name="_Toc351985915"/>
      <w:r>
        <w:t>P</w:t>
      </w:r>
      <w:r w:rsidR="00A1550A">
        <w:t>lannin</w:t>
      </w:r>
      <w:r w:rsidR="008A1A26">
        <w:t>g and major project reports mus</w:t>
      </w:r>
      <w:r w:rsidR="00A1550A">
        <w:t>t monitor ‘triple bottom line’</w:t>
      </w:r>
      <w:bookmarkEnd w:id="38"/>
    </w:p>
    <w:p w:rsidR="00AA175F" w:rsidRDefault="00A1550A" w:rsidP="00A1550A">
      <w:pPr>
        <w:rPr>
          <w:rFonts w:cs="Arial"/>
          <w:szCs w:val="22"/>
        </w:rPr>
      </w:pPr>
      <w:r w:rsidRPr="00346B24">
        <w:rPr>
          <w:rFonts w:cs="Arial"/>
          <w:szCs w:val="22"/>
        </w:rPr>
        <w:t>There are inherent difficulties in measuring</w:t>
      </w:r>
      <w:r>
        <w:rPr>
          <w:rFonts w:cs="Arial"/>
          <w:szCs w:val="22"/>
        </w:rPr>
        <w:t xml:space="preserve"> the</w:t>
      </w:r>
      <w:r w:rsidRPr="00346B24">
        <w:rPr>
          <w:rFonts w:cs="Arial"/>
          <w:szCs w:val="22"/>
        </w:rPr>
        <w:t xml:space="preserve"> efficiency and effectiveness of </w:t>
      </w:r>
      <w:r>
        <w:rPr>
          <w:rFonts w:cs="Arial"/>
          <w:szCs w:val="22"/>
        </w:rPr>
        <w:t>s</w:t>
      </w:r>
      <w:r w:rsidRPr="00346B24">
        <w:rPr>
          <w:rFonts w:cs="Arial"/>
          <w:szCs w:val="22"/>
        </w:rPr>
        <w:t>tate planning systems, because</w:t>
      </w:r>
      <w:r w:rsidR="001001E1">
        <w:rPr>
          <w:rFonts w:cs="Arial"/>
          <w:szCs w:val="22"/>
        </w:rPr>
        <w:t xml:space="preserve"> as noted above,</w:t>
      </w:r>
      <w:r w:rsidRPr="00346B24">
        <w:rPr>
          <w:rFonts w:cs="Arial"/>
          <w:szCs w:val="22"/>
        </w:rPr>
        <w:t xml:space="preserve"> jurisdictions are poor at integrating natural resource management (</w:t>
      </w:r>
      <w:proofErr w:type="spellStart"/>
      <w:r w:rsidRPr="00346B24">
        <w:rPr>
          <w:rFonts w:cs="Arial"/>
          <w:b/>
          <w:szCs w:val="22"/>
        </w:rPr>
        <w:t>NRM</w:t>
      </w:r>
      <w:proofErr w:type="spellEnd"/>
      <w:r w:rsidRPr="00346B24">
        <w:rPr>
          <w:rFonts w:cs="Arial"/>
          <w:szCs w:val="22"/>
        </w:rPr>
        <w:t xml:space="preserve">) </w:t>
      </w:r>
      <w:r>
        <w:rPr>
          <w:rFonts w:cs="Arial"/>
          <w:szCs w:val="22"/>
        </w:rPr>
        <w:t>indicators,</w:t>
      </w:r>
      <w:r w:rsidRPr="00346B24">
        <w:rPr>
          <w:rFonts w:cs="Arial"/>
          <w:szCs w:val="22"/>
        </w:rPr>
        <w:t xml:space="preserve"> and reporting on ‘triple bottom line’ outcomes.</w:t>
      </w:r>
      <w:r>
        <w:rPr>
          <w:rFonts w:cs="Arial"/>
          <w:szCs w:val="22"/>
        </w:rPr>
        <w:t xml:space="preserve"> </w:t>
      </w:r>
    </w:p>
    <w:p w:rsidR="00AA175F" w:rsidRDefault="00AA175F" w:rsidP="00A1550A">
      <w:pPr>
        <w:rPr>
          <w:rFonts w:cs="Arial"/>
          <w:szCs w:val="22"/>
        </w:rPr>
      </w:pPr>
    </w:p>
    <w:p w:rsidR="00A1550A" w:rsidRPr="00346B24" w:rsidRDefault="00AA175F" w:rsidP="00A1550A">
      <w:pPr>
        <w:rPr>
          <w:rFonts w:cs="Arial"/>
          <w:szCs w:val="22"/>
        </w:rPr>
      </w:pPr>
      <w:r>
        <w:rPr>
          <w:rFonts w:cs="Arial"/>
          <w:szCs w:val="22"/>
        </w:rPr>
        <w:t>S</w:t>
      </w:r>
      <w:r w:rsidR="000E3B13">
        <w:rPr>
          <w:rFonts w:cs="Arial"/>
          <w:szCs w:val="22"/>
        </w:rPr>
        <w:t xml:space="preserve">tate and federal </w:t>
      </w:r>
      <w:r w:rsidR="00A1550A" w:rsidRPr="00346B24">
        <w:rPr>
          <w:rFonts w:cs="Arial"/>
          <w:i/>
          <w:szCs w:val="22"/>
        </w:rPr>
        <w:t xml:space="preserve">State of the Environment Reports </w:t>
      </w:r>
      <w:r w:rsidR="00A1550A" w:rsidRPr="00346B24">
        <w:rPr>
          <w:rFonts w:cs="Arial"/>
          <w:szCs w:val="22"/>
        </w:rPr>
        <w:t xml:space="preserve">note declining </w:t>
      </w:r>
      <w:r>
        <w:rPr>
          <w:rFonts w:cs="Arial"/>
          <w:szCs w:val="22"/>
        </w:rPr>
        <w:t xml:space="preserve">environmental </w:t>
      </w:r>
      <w:r w:rsidR="00A1550A" w:rsidRPr="00346B24">
        <w:rPr>
          <w:rFonts w:cs="Arial"/>
          <w:szCs w:val="22"/>
        </w:rPr>
        <w:t xml:space="preserve">trends across a </w:t>
      </w:r>
      <w:r w:rsidR="00A1550A">
        <w:rPr>
          <w:rFonts w:cs="Arial"/>
          <w:szCs w:val="22"/>
        </w:rPr>
        <w:t>range</w:t>
      </w:r>
      <w:r w:rsidR="00A1550A" w:rsidRPr="00346B24">
        <w:rPr>
          <w:rFonts w:cs="Arial"/>
          <w:szCs w:val="22"/>
        </w:rPr>
        <w:t xml:space="preserve"> of </w:t>
      </w:r>
      <w:r w:rsidR="00A1550A">
        <w:rPr>
          <w:rFonts w:cs="Arial"/>
          <w:szCs w:val="22"/>
        </w:rPr>
        <w:t>indicator</w:t>
      </w:r>
      <w:r w:rsidR="001001E1">
        <w:rPr>
          <w:rFonts w:cs="Arial"/>
          <w:szCs w:val="22"/>
        </w:rPr>
        <w:t>s</w:t>
      </w:r>
      <w:r w:rsidR="00A1550A">
        <w:rPr>
          <w:rFonts w:cs="Arial"/>
          <w:szCs w:val="22"/>
        </w:rPr>
        <w:t>.</w:t>
      </w:r>
      <w:r w:rsidR="001001E1">
        <w:rPr>
          <w:rFonts w:cs="Arial"/>
          <w:szCs w:val="22"/>
        </w:rPr>
        <w:t xml:space="preserve"> A</w:t>
      </w:r>
      <w:r w:rsidR="00A1550A" w:rsidRPr="00346B24">
        <w:rPr>
          <w:rFonts w:cs="Arial"/>
          <w:szCs w:val="22"/>
        </w:rPr>
        <w:t xml:space="preserve"> </w:t>
      </w:r>
      <w:r w:rsidR="001001E1">
        <w:rPr>
          <w:rFonts w:cs="Arial"/>
          <w:szCs w:val="22"/>
        </w:rPr>
        <w:t>headline</w:t>
      </w:r>
      <w:r w:rsidR="00A1550A" w:rsidRPr="00346B24">
        <w:rPr>
          <w:rFonts w:cs="Arial"/>
          <w:szCs w:val="22"/>
        </w:rPr>
        <w:t xml:space="preserve"> finding</w:t>
      </w:r>
      <w:r w:rsidR="00A1550A">
        <w:rPr>
          <w:rFonts w:cs="Arial"/>
          <w:szCs w:val="22"/>
        </w:rPr>
        <w:t xml:space="preserve"> of the federal 2011</w:t>
      </w:r>
      <w:r w:rsidR="00A1550A" w:rsidRPr="00346B24">
        <w:rPr>
          <w:rFonts w:cs="Arial"/>
          <w:szCs w:val="22"/>
        </w:rPr>
        <w:t xml:space="preserve"> Report was that </w:t>
      </w:r>
      <w:r w:rsidR="00A1550A">
        <w:rPr>
          <w:rFonts w:cs="Arial"/>
          <w:szCs w:val="22"/>
        </w:rPr>
        <w:t>‘</w:t>
      </w:r>
      <w:r w:rsidR="00F41BA1">
        <w:rPr>
          <w:rFonts w:cs="Arial"/>
          <w:szCs w:val="22"/>
        </w:rPr>
        <w:t>Our </w:t>
      </w:r>
      <w:r w:rsidR="00A1550A" w:rsidRPr="00346B24">
        <w:rPr>
          <w:rFonts w:cs="Arial"/>
          <w:szCs w:val="22"/>
        </w:rPr>
        <w:t>unique biodiversity is in decline, and new approaches will be needed to prevent accelerating decline in many species</w:t>
      </w:r>
      <w:r w:rsidR="00A1550A">
        <w:rPr>
          <w:rFonts w:cs="Arial"/>
          <w:szCs w:val="22"/>
        </w:rPr>
        <w:t>’</w:t>
      </w:r>
      <w:r w:rsidR="00A1550A" w:rsidRPr="00346B24">
        <w:rPr>
          <w:rFonts w:cs="Arial"/>
          <w:szCs w:val="22"/>
        </w:rPr>
        <w:t xml:space="preserve">. </w:t>
      </w:r>
      <w:r w:rsidR="00D12780">
        <w:t xml:space="preserve">Australia has the highest number of mammal extinctions in recorded history than any other nation. </w:t>
      </w:r>
      <w:r w:rsidR="00F41BA1">
        <w:rPr>
          <w:rFonts w:cs="Arial"/>
          <w:szCs w:val="22"/>
        </w:rPr>
        <w:t xml:space="preserve">According to the ABS, </w:t>
      </w:r>
      <w:r w:rsidR="00F41BA1">
        <w:t>in the decade to 2011, the number of threatened fauna species in Australia increased from 353 to 439.</w:t>
      </w:r>
      <w:r w:rsidR="00F41BA1">
        <w:rPr>
          <w:rStyle w:val="FootnoteReference"/>
        </w:rPr>
        <w:footnoteReference w:id="123"/>
      </w:r>
      <w:r w:rsidR="00497CD2">
        <w:t xml:space="preserve"> </w:t>
      </w:r>
      <w:r w:rsidR="00F41BA1">
        <w:rPr>
          <w:rFonts w:cs="Arial"/>
          <w:szCs w:val="22"/>
        </w:rPr>
        <w:t>The </w:t>
      </w:r>
      <w:r w:rsidR="00A1550A" w:rsidRPr="00346B24">
        <w:rPr>
          <w:rFonts w:cs="Arial"/>
          <w:szCs w:val="22"/>
        </w:rPr>
        <w:t>Government Response to the Hawke Review also recognise</w:t>
      </w:r>
      <w:r w:rsidR="000E3B13">
        <w:rPr>
          <w:rFonts w:cs="Arial"/>
          <w:szCs w:val="22"/>
        </w:rPr>
        <w:t>d</w:t>
      </w:r>
      <w:r w:rsidR="00A1550A" w:rsidRPr="00346B24">
        <w:rPr>
          <w:rFonts w:cs="Arial"/>
          <w:szCs w:val="22"/>
        </w:rPr>
        <w:t xml:space="preserve"> the ‘significant and ongoing decline’ in global biodiversity as backdrop to the reforms. </w:t>
      </w:r>
      <w:r w:rsidR="00A1550A">
        <w:rPr>
          <w:rFonts w:cs="Arial"/>
          <w:szCs w:val="22"/>
        </w:rPr>
        <w:t xml:space="preserve"> Notwithstanding this</w:t>
      </w:r>
      <w:r w:rsidR="001001E1" w:rsidRPr="001001E1">
        <w:rPr>
          <w:rFonts w:cs="Arial"/>
          <w:szCs w:val="22"/>
        </w:rPr>
        <w:t xml:space="preserve"> </w:t>
      </w:r>
      <w:r w:rsidR="001001E1">
        <w:rPr>
          <w:rFonts w:cs="Arial"/>
          <w:szCs w:val="22"/>
        </w:rPr>
        <w:t>acknowledgement</w:t>
      </w:r>
      <w:r w:rsidR="00A1550A">
        <w:rPr>
          <w:rFonts w:cs="Arial"/>
          <w:szCs w:val="22"/>
        </w:rPr>
        <w:t xml:space="preserve">, it is clear that </w:t>
      </w:r>
      <w:r w:rsidR="001001E1">
        <w:rPr>
          <w:rFonts w:cs="Arial"/>
          <w:szCs w:val="22"/>
        </w:rPr>
        <w:t>our</w:t>
      </w:r>
      <w:r w:rsidR="00A1550A">
        <w:rPr>
          <w:rFonts w:cs="Arial"/>
          <w:szCs w:val="22"/>
        </w:rPr>
        <w:t xml:space="preserve"> planning systems fail to </w:t>
      </w:r>
      <w:r w:rsidR="001001E1">
        <w:rPr>
          <w:rFonts w:cs="Arial"/>
          <w:szCs w:val="22"/>
        </w:rPr>
        <w:t>cost or</w:t>
      </w:r>
      <w:r w:rsidR="00A1550A">
        <w:rPr>
          <w:rFonts w:cs="Arial"/>
          <w:szCs w:val="22"/>
        </w:rPr>
        <w:t xml:space="preserve"> quantify environmental deterioration</w:t>
      </w:r>
      <w:r w:rsidR="001001E1">
        <w:rPr>
          <w:rFonts w:cs="Arial"/>
          <w:szCs w:val="22"/>
        </w:rPr>
        <w:t xml:space="preserve">. </w:t>
      </w:r>
      <w:r w:rsidR="000E3B13">
        <w:rPr>
          <w:rFonts w:cs="Arial"/>
          <w:szCs w:val="22"/>
        </w:rPr>
        <w:t>Without meaningful measurement, monitoring and reporting, i</w:t>
      </w:r>
      <w:r w:rsidR="001001E1">
        <w:rPr>
          <w:rFonts w:cs="Arial"/>
          <w:szCs w:val="22"/>
        </w:rPr>
        <w:t xml:space="preserve">t is impossible to arrest </w:t>
      </w:r>
      <w:r w:rsidR="000E3B13">
        <w:rPr>
          <w:rFonts w:cs="Arial"/>
          <w:szCs w:val="22"/>
        </w:rPr>
        <w:t>such</w:t>
      </w:r>
      <w:r w:rsidR="001001E1">
        <w:rPr>
          <w:rFonts w:cs="Arial"/>
          <w:szCs w:val="22"/>
        </w:rPr>
        <w:t xml:space="preserve"> problems </w:t>
      </w:r>
      <w:r w:rsidR="000E3B13">
        <w:rPr>
          <w:rFonts w:cs="Arial"/>
          <w:szCs w:val="22"/>
        </w:rPr>
        <w:t xml:space="preserve">and </w:t>
      </w:r>
      <w:r w:rsidR="00497CD2">
        <w:rPr>
          <w:rFonts w:cs="Arial"/>
          <w:szCs w:val="22"/>
        </w:rPr>
        <w:t>ensure that</w:t>
      </w:r>
      <w:r w:rsidR="000E3B13">
        <w:rPr>
          <w:rFonts w:cs="Arial"/>
          <w:szCs w:val="22"/>
        </w:rPr>
        <w:t xml:space="preserve"> development </w:t>
      </w:r>
      <w:r w:rsidR="00497CD2">
        <w:rPr>
          <w:rFonts w:cs="Arial"/>
          <w:szCs w:val="22"/>
        </w:rPr>
        <w:t xml:space="preserve">is </w:t>
      </w:r>
      <w:r w:rsidR="000E3B13">
        <w:rPr>
          <w:rFonts w:cs="Arial"/>
          <w:szCs w:val="22"/>
        </w:rPr>
        <w:t>sustainable</w:t>
      </w:r>
      <w:r w:rsidR="001001E1">
        <w:rPr>
          <w:rFonts w:cs="Arial"/>
          <w:szCs w:val="22"/>
        </w:rPr>
        <w:t>.</w:t>
      </w:r>
    </w:p>
    <w:p w:rsidR="00A1550A" w:rsidRDefault="00A1550A" w:rsidP="00A1550A"/>
    <w:p w:rsidR="00A1550A" w:rsidRDefault="00A1550A" w:rsidP="001001E1">
      <w:pPr>
        <w:pStyle w:val="Default"/>
      </w:pPr>
      <w:r w:rsidRPr="003D278F">
        <w:rPr>
          <w:sz w:val="22"/>
          <w:szCs w:val="22"/>
        </w:rPr>
        <w:t xml:space="preserve">The COAG Reform Council’s </w:t>
      </w:r>
      <w:r w:rsidR="001001E1">
        <w:rPr>
          <w:sz w:val="22"/>
          <w:szCs w:val="22"/>
        </w:rPr>
        <w:t>review of capital city</w:t>
      </w:r>
      <w:r w:rsidRPr="003D278F">
        <w:rPr>
          <w:sz w:val="22"/>
          <w:szCs w:val="22"/>
        </w:rPr>
        <w:t xml:space="preserve"> strategic planning found that most </w:t>
      </w:r>
      <w:r w:rsidR="001001E1">
        <w:rPr>
          <w:sz w:val="22"/>
          <w:szCs w:val="22"/>
        </w:rPr>
        <w:t>Australian</w:t>
      </w:r>
      <w:r w:rsidRPr="003D278F">
        <w:rPr>
          <w:sz w:val="22"/>
          <w:szCs w:val="22"/>
        </w:rPr>
        <w:t xml:space="preserve"> </w:t>
      </w:r>
      <w:r w:rsidRPr="001001E1">
        <w:rPr>
          <w:sz w:val="22"/>
          <w:szCs w:val="22"/>
        </w:rPr>
        <w:t xml:space="preserve">capitals </w:t>
      </w:r>
      <w:r w:rsidR="003D278F" w:rsidRPr="001001E1">
        <w:rPr>
          <w:sz w:val="22"/>
          <w:szCs w:val="22"/>
        </w:rPr>
        <w:t xml:space="preserve">(with the exception of Adelaide) </w:t>
      </w:r>
      <w:r w:rsidRPr="001001E1">
        <w:rPr>
          <w:sz w:val="22"/>
          <w:szCs w:val="22"/>
        </w:rPr>
        <w:t xml:space="preserve">have a poor record of monitoring </w:t>
      </w:r>
      <w:r w:rsidR="003D278F" w:rsidRPr="001001E1">
        <w:rPr>
          <w:sz w:val="22"/>
          <w:szCs w:val="22"/>
        </w:rPr>
        <w:t>and reporting on accountabilities, timelines and performance measures</w:t>
      </w:r>
      <w:r w:rsidRPr="001001E1">
        <w:rPr>
          <w:sz w:val="22"/>
          <w:szCs w:val="22"/>
        </w:rPr>
        <w:t>.</w:t>
      </w:r>
      <w:r w:rsidR="003D278F" w:rsidRPr="001001E1">
        <w:rPr>
          <w:rStyle w:val="FootnoteReference"/>
          <w:sz w:val="22"/>
          <w:szCs w:val="22"/>
        </w:rPr>
        <w:footnoteReference w:id="124"/>
      </w:r>
      <w:r w:rsidR="001001E1" w:rsidRPr="001001E1">
        <w:rPr>
          <w:sz w:val="22"/>
          <w:szCs w:val="22"/>
        </w:rPr>
        <w:t xml:space="preserve"> </w:t>
      </w:r>
      <w:r w:rsidRPr="000E3B13">
        <w:rPr>
          <w:sz w:val="22"/>
          <w:szCs w:val="22"/>
        </w:rPr>
        <w:t xml:space="preserve">Even where </w:t>
      </w:r>
      <w:r w:rsidR="000E3B13">
        <w:rPr>
          <w:sz w:val="22"/>
          <w:szCs w:val="22"/>
        </w:rPr>
        <w:t xml:space="preserve">governments commit to report on </w:t>
      </w:r>
      <w:r w:rsidRPr="000E3B13">
        <w:rPr>
          <w:sz w:val="22"/>
          <w:szCs w:val="22"/>
        </w:rPr>
        <w:t xml:space="preserve">outcomes, </w:t>
      </w:r>
      <w:r w:rsidR="000E3B13">
        <w:rPr>
          <w:sz w:val="22"/>
          <w:szCs w:val="22"/>
        </w:rPr>
        <w:t xml:space="preserve">social and environmental </w:t>
      </w:r>
      <w:r w:rsidRPr="000E3B13">
        <w:rPr>
          <w:sz w:val="22"/>
          <w:szCs w:val="22"/>
        </w:rPr>
        <w:t xml:space="preserve">objectives and </w:t>
      </w:r>
      <w:r w:rsidR="000E3B13">
        <w:rPr>
          <w:sz w:val="22"/>
          <w:szCs w:val="22"/>
        </w:rPr>
        <w:t>indicators</w:t>
      </w:r>
      <w:r w:rsidRPr="000E3B13">
        <w:rPr>
          <w:sz w:val="22"/>
          <w:szCs w:val="22"/>
        </w:rPr>
        <w:t xml:space="preserve"> </w:t>
      </w:r>
      <w:r w:rsidR="000E3B13">
        <w:rPr>
          <w:sz w:val="22"/>
          <w:szCs w:val="22"/>
        </w:rPr>
        <w:t xml:space="preserve">are rarely </w:t>
      </w:r>
      <w:r w:rsidRPr="000E3B13">
        <w:rPr>
          <w:sz w:val="22"/>
          <w:szCs w:val="22"/>
        </w:rPr>
        <w:t>re</w:t>
      </w:r>
      <w:r w:rsidR="000E3B13">
        <w:rPr>
          <w:sz w:val="22"/>
          <w:szCs w:val="22"/>
        </w:rPr>
        <w:t>ferred to</w:t>
      </w:r>
      <w:r w:rsidRPr="000E3B13">
        <w:rPr>
          <w:sz w:val="22"/>
          <w:szCs w:val="22"/>
        </w:rPr>
        <w:t>. Major projects reporting, in particular, tends to focus on project value and employment numbers generated, providing an incomplete picture</w:t>
      </w:r>
      <w:r w:rsidRPr="001001E1">
        <w:rPr>
          <w:sz w:val="22"/>
          <w:szCs w:val="22"/>
        </w:rPr>
        <w:t xml:space="preserve"> of benefits and costs. This is contrary to best practice reporting principles</w:t>
      </w:r>
      <w:r w:rsidR="003D278F" w:rsidRPr="001001E1">
        <w:rPr>
          <w:sz w:val="22"/>
          <w:szCs w:val="22"/>
        </w:rPr>
        <w:t>.</w:t>
      </w:r>
      <w:r w:rsidRPr="001001E1">
        <w:rPr>
          <w:rStyle w:val="FootnoteReference"/>
          <w:sz w:val="22"/>
          <w:szCs w:val="22"/>
        </w:rPr>
        <w:footnoteReference w:id="125"/>
      </w:r>
      <w:r w:rsidRPr="001001E1">
        <w:rPr>
          <w:sz w:val="22"/>
          <w:szCs w:val="22"/>
        </w:rPr>
        <w:t xml:space="preserve"> </w:t>
      </w:r>
      <w:r w:rsidR="003D278F" w:rsidRPr="001001E1">
        <w:rPr>
          <w:sz w:val="22"/>
          <w:szCs w:val="22"/>
        </w:rPr>
        <w:t xml:space="preserve"> Although governments may wish to report</w:t>
      </w:r>
      <w:r w:rsidRPr="001001E1">
        <w:rPr>
          <w:sz w:val="22"/>
          <w:szCs w:val="22"/>
        </w:rPr>
        <w:t xml:space="preserve"> </w:t>
      </w:r>
      <w:r w:rsidR="003D278F" w:rsidRPr="001001E1">
        <w:rPr>
          <w:sz w:val="22"/>
          <w:szCs w:val="22"/>
        </w:rPr>
        <w:t>positive outcomes to</w:t>
      </w:r>
      <w:r w:rsidRPr="001001E1">
        <w:rPr>
          <w:sz w:val="22"/>
          <w:szCs w:val="22"/>
        </w:rPr>
        <w:t xml:space="preserve"> encourage </w:t>
      </w:r>
      <w:r w:rsidR="003D278F" w:rsidRPr="001001E1">
        <w:rPr>
          <w:sz w:val="22"/>
          <w:szCs w:val="22"/>
        </w:rPr>
        <w:t>economic</w:t>
      </w:r>
      <w:r w:rsidRPr="001001E1">
        <w:rPr>
          <w:sz w:val="22"/>
          <w:szCs w:val="22"/>
        </w:rPr>
        <w:t xml:space="preserve"> confidence</w:t>
      </w:r>
      <w:r w:rsidR="003D278F" w:rsidRPr="001001E1">
        <w:rPr>
          <w:sz w:val="22"/>
          <w:szCs w:val="22"/>
        </w:rPr>
        <w:t xml:space="preserve">, annual reports </w:t>
      </w:r>
      <w:r w:rsidR="000E3B13">
        <w:rPr>
          <w:sz w:val="22"/>
          <w:szCs w:val="22"/>
        </w:rPr>
        <w:t xml:space="preserve">must also </w:t>
      </w:r>
      <w:r w:rsidR="003D278F" w:rsidRPr="001001E1">
        <w:rPr>
          <w:sz w:val="22"/>
          <w:szCs w:val="22"/>
        </w:rPr>
        <w:t>perform</w:t>
      </w:r>
      <w:r w:rsidRPr="001001E1">
        <w:rPr>
          <w:sz w:val="22"/>
          <w:szCs w:val="22"/>
        </w:rPr>
        <w:t xml:space="preserve"> </w:t>
      </w:r>
      <w:r w:rsidR="003D278F" w:rsidRPr="001001E1">
        <w:rPr>
          <w:sz w:val="22"/>
          <w:szCs w:val="22"/>
        </w:rPr>
        <w:t xml:space="preserve">broader </w:t>
      </w:r>
      <w:r w:rsidRPr="001001E1">
        <w:rPr>
          <w:sz w:val="22"/>
          <w:szCs w:val="22"/>
        </w:rPr>
        <w:t>public accountability</w:t>
      </w:r>
      <w:r w:rsidR="003D278F" w:rsidRPr="001001E1">
        <w:rPr>
          <w:sz w:val="22"/>
          <w:szCs w:val="22"/>
        </w:rPr>
        <w:t xml:space="preserve"> functions</w:t>
      </w:r>
      <w:r w:rsidRPr="001001E1">
        <w:rPr>
          <w:sz w:val="22"/>
          <w:szCs w:val="22"/>
        </w:rPr>
        <w:t>. The following case study appeared in the EDO NSW</w:t>
      </w:r>
      <w:r w:rsidRPr="001001E1">
        <w:rPr>
          <w:i/>
          <w:sz w:val="22"/>
          <w:szCs w:val="22"/>
        </w:rPr>
        <w:t xml:space="preserve"> </w:t>
      </w:r>
      <w:r w:rsidRPr="001001E1">
        <w:rPr>
          <w:sz w:val="22"/>
          <w:szCs w:val="22"/>
        </w:rPr>
        <w:t xml:space="preserve">report, </w:t>
      </w:r>
      <w:r w:rsidR="003D278F" w:rsidRPr="001001E1">
        <w:rPr>
          <w:i/>
          <w:sz w:val="22"/>
          <w:szCs w:val="22"/>
        </w:rPr>
        <w:t>The </w:t>
      </w:r>
      <w:r w:rsidRPr="001001E1">
        <w:rPr>
          <w:i/>
          <w:sz w:val="22"/>
          <w:szCs w:val="22"/>
        </w:rPr>
        <w:t>State of Planning in NSW</w:t>
      </w:r>
      <w:r w:rsidRPr="001001E1">
        <w:rPr>
          <w:sz w:val="22"/>
          <w:szCs w:val="22"/>
        </w:rPr>
        <w:t xml:space="preserve"> (2010).</w:t>
      </w:r>
      <w:r w:rsidR="001001E1" w:rsidRPr="001001E1">
        <w:rPr>
          <w:rStyle w:val="FootnoteReference"/>
          <w:sz w:val="20"/>
          <w:szCs w:val="20"/>
        </w:rPr>
        <w:footnoteReference w:id="126"/>
      </w:r>
    </w:p>
    <w:p w:rsidR="00A1550A" w:rsidRDefault="00A1550A" w:rsidP="00A1550A"/>
    <w:p w:rsidR="00A1550A" w:rsidRPr="00911EA7" w:rsidRDefault="00A1550A" w:rsidP="00B30260">
      <w:pPr>
        <w:pStyle w:val="Heading3"/>
        <w:keepNext/>
        <w:pBdr>
          <w:top w:val="single" w:sz="4" w:space="1" w:color="auto"/>
          <w:left w:val="single" w:sz="4" w:space="4" w:color="auto"/>
          <w:bottom w:val="single" w:sz="4" w:space="1" w:color="auto"/>
          <w:right w:val="single" w:sz="4" w:space="4" w:color="auto"/>
        </w:pBdr>
      </w:pPr>
      <w:bookmarkStart w:id="39" w:name="_Toc350780858"/>
      <w:r w:rsidRPr="00911EA7">
        <w:t xml:space="preserve">Case study – Part </w:t>
      </w:r>
      <w:proofErr w:type="spellStart"/>
      <w:r w:rsidRPr="00911EA7">
        <w:t>3A</w:t>
      </w:r>
      <w:proofErr w:type="spellEnd"/>
      <w:r w:rsidRPr="00911EA7">
        <w:t xml:space="preserve"> reporting by the NSW Department of Planning</w:t>
      </w:r>
      <w:bookmarkEnd w:id="39"/>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 xml:space="preserve">Up until October 2010, there have been approximately 260 Part </w:t>
      </w:r>
      <w:proofErr w:type="spellStart"/>
      <w:r w:rsidRPr="00911EA7">
        <w:rPr>
          <w:rFonts w:cs="Arial"/>
          <w:i/>
          <w:sz w:val="20"/>
          <w:szCs w:val="20"/>
        </w:rPr>
        <w:t>3A</w:t>
      </w:r>
      <w:proofErr w:type="spellEnd"/>
      <w:r w:rsidRPr="00911EA7">
        <w:rPr>
          <w:rFonts w:cs="Arial"/>
          <w:i/>
          <w:sz w:val="20"/>
          <w:szCs w:val="20"/>
        </w:rPr>
        <w:t xml:space="preserve"> determinations, with 1 refusal (</w:t>
      </w:r>
      <w:proofErr w:type="spellStart"/>
      <w:r w:rsidRPr="00911EA7">
        <w:rPr>
          <w:rFonts w:cs="Arial"/>
          <w:i/>
          <w:sz w:val="20"/>
          <w:szCs w:val="20"/>
        </w:rPr>
        <w:t>Bickham</w:t>
      </w:r>
      <w:proofErr w:type="spellEnd"/>
      <w:r w:rsidRPr="00911EA7">
        <w:rPr>
          <w:rFonts w:cs="Arial"/>
          <w:i/>
          <w:sz w:val="20"/>
          <w:szCs w:val="20"/>
        </w:rPr>
        <w:t xml:space="preserve"> coal mine). There have only been 6 refusals in total since Part </w:t>
      </w:r>
      <w:proofErr w:type="spellStart"/>
      <w:r w:rsidRPr="00911EA7">
        <w:rPr>
          <w:rFonts w:cs="Arial"/>
          <w:i/>
          <w:sz w:val="20"/>
          <w:szCs w:val="20"/>
        </w:rPr>
        <w:t>3A</w:t>
      </w:r>
      <w:proofErr w:type="spellEnd"/>
      <w:r w:rsidRPr="00911EA7">
        <w:rPr>
          <w:rFonts w:cs="Arial"/>
          <w:i/>
          <w:sz w:val="20"/>
          <w:szCs w:val="20"/>
        </w:rPr>
        <w:t xml:space="preserve"> commenced.</w:t>
      </w:r>
      <w:r w:rsidRPr="00911EA7">
        <w:rPr>
          <w:rStyle w:val="FootnoteReference"/>
          <w:rFonts w:cs="Arial"/>
          <w:i/>
          <w:sz w:val="20"/>
          <w:szCs w:val="20"/>
        </w:rPr>
        <w:footnoteReference w:id="127"/>
      </w:r>
      <w:r w:rsidRPr="00911EA7">
        <w:rPr>
          <w:rFonts w:cs="Arial"/>
          <w:i/>
          <w:sz w:val="20"/>
          <w:szCs w:val="20"/>
        </w:rPr>
        <w:t xml:space="preserve">  </w:t>
      </w:r>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rPr>
          <w:rFonts w:cs="Arial"/>
          <w:b/>
          <w:i/>
          <w:sz w:val="20"/>
          <w:szCs w:val="20"/>
          <w:highlight w:val="yellow"/>
        </w:rPr>
      </w:pPr>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spacing w:after="120"/>
        <w:rPr>
          <w:rFonts w:cs="Arial"/>
          <w:i/>
          <w:sz w:val="20"/>
          <w:szCs w:val="20"/>
        </w:rPr>
      </w:pPr>
      <w:r w:rsidRPr="00911EA7">
        <w:rPr>
          <w:rFonts w:cs="Arial"/>
          <w:i/>
          <w:sz w:val="20"/>
          <w:szCs w:val="20"/>
        </w:rPr>
        <w:t xml:space="preserve">The Department of Planning “Major Development Monitor” for 2008-09 reports the following </w:t>
      </w:r>
      <w:r w:rsidRPr="00911EA7">
        <w:rPr>
          <w:rFonts w:cs="Arial"/>
          <w:i/>
          <w:sz w:val="20"/>
          <w:szCs w:val="20"/>
        </w:rPr>
        <w:lastRenderedPageBreak/>
        <w:t>statistics:</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121 projects determined – 119 approved, 2 refused – 98% approval rate;</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9308 submissions made on projects;</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$6 billion in concept plan approvals;</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$10 billion in project plan approvals;</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27,702 potential jobs from approved concept plans;</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26,551 potential jobs from approved project applications;</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12 critical infrastructure declarations; and</w:t>
      </w:r>
    </w:p>
    <w:p w:rsidR="00A1550A" w:rsidRPr="00911EA7" w:rsidRDefault="00A1550A" w:rsidP="00B30260">
      <w:pPr>
        <w:widowControl w:val="0"/>
        <w:numPr>
          <w:ilvl w:val="0"/>
          <w:numId w:val="34"/>
        </w:numPr>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13 proposals were withdrawn prior to determination.</w:t>
      </w:r>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rPr>
          <w:rFonts w:cs="Arial"/>
          <w:i/>
          <w:sz w:val="20"/>
          <w:szCs w:val="20"/>
        </w:rPr>
      </w:pPr>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rPr>
          <w:rFonts w:cs="Arial"/>
          <w:i/>
          <w:sz w:val="20"/>
          <w:szCs w:val="20"/>
        </w:rPr>
      </w:pPr>
      <w:r w:rsidRPr="00911EA7">
        <w:rPr>
          <w:rFonts w:cs="Arial"/>
          <w:i/>
          <w:sz w:val="20"/>
          <w:szCs w:val="20"/>
        </w:rPr>
        <w:t xml:space="preserve">Capital investment value, construction jobs and operational jobs numbers are summarised in tables, including economic and job value of refused projects. The report states that the reason there are negligible refusals under Part </w:t>
      </w:r>
      <w:proofErr w:type="spellStart"/>
      <w:r w:rsidRPr="00911EA7">
        <w:rPr>
          <w:rFonts w:cs="Arial"/>
          <w:i/>
          <w:sz w:val="20"/>
          <w:szCs w:val="20"/>
        </w:rPr>
        <w:t>3A</w:t>
      </w:r>
      <w:proofErr w:type="spellEnd"/>
      <w:r w:rsidRPr="00911EA7">
        <w:rPr>
          <w:rFonts w:cs="Arial"/>
          <w:i/>
          <w:sz w:val="20"/>
          <w:szCs w:val="20"/>
        </w:rPr>
        <w:t xml:space="preserve"> is because “inappropriate or poorly-explained proposals are regularly removed from the system before a final refusal is made”.  However no evidence is publicly available to support this proposition. </w:t>
      </w:r>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rPr>
          <w:rFonts w:cs="Arial"/>
          <w:i/>
          <w:sz w:val="20"/>
          <w:szCs w:val="20"/>
        </w:rPr>
      </w:pPr>
    </w:p>
    <w:p w:rsidR="00A1550A" w:rsidRPr="00911EA7" w:rsidRDefault="00A1550A" w:rsidP="00B30260">
      <w:pPr>
        <w:widowControl w:val="0"/>
        <w:pBdr>
          <w:top w:val="single" w:sz="4" w:space="1" w:color="auto"/>
          <w:left w:val="single" w:sz="4" w:space="4" w:color="auto"/>
          <w:bottom w:val="single" w:sz="4" w:space="1" w:color="auto"/>
          <w:right w:val="single" w:sz="4" w:space="4" w:color="auto"/>
        </w:pBdr>
        <w:rPr>
          <w:rFonts w:ascii="Garamond" w:hAnsi="Garamond"/>
          <w:i/>
        </w:rPr>
      </w:pPr>
      <w:r w:rsidRPr="00911EA7">
        <w:rPr>
          <w:rFonts w:cs="Arial"/>
          <w:i/>
          <w:sz w:val="20"/>
          <w:szCs w:val="20"/>
        </w:rPr>
        <w:t xml:space="preserve">It is clear that the current reporting focuses very much on economic outcomes. What is missing in the development monitor is any indication of the environmental and social costs of Part </w:t>
      </w:r>
      <w:proofErr w:type="spellStart"/>
      <w:r w:rsidRPr="00911EA7">
        <w:rPr>
          <w:rFonts w:cs="Arial"/>
          <w:i/>
          <w:sz w:val="20"/>
          <w:szCs w:val="20"/>
        </w:rPr>
        <w:t>3A</w:t>
      </w:r>
      <w:proofErr w:type="spellEnd"/>
      <w:r w:rsidRPr="00911EA7">
        <w:rPr>
          <w:rFonts w:cs="Arial"/>
          <w:i/>
          <w:sz w:val="20"/>
          <w:szCs w:val="20"/>
        </w:rPr>
        <w:t xml:space="preserve"> projects. For example, a description of the impacts of  converting farm land to mining in rural communities, and the impacts that Part </w:t>
      </w:r>
      <w:proofErr w:type="spellStart"/>
      <w:r w:rsidRPr="00911EA7">
        <w:rPr>
          <w:rFonts w:cs="Arial"/>
          <w:i/>
          <w:sz w:val="20"/>
          <w:szCs w:val="20"/>
        </w:rPr>
        <w:t>3A</w:t>
      </w:r>
      <w:proofErr w:type="spellEnd"/>
      <w:r w:rsidRPr="00911EA7">
        <w:rPr>
          <w:rFonts w:cs="Arial"/>
          <w:i/>
          <w:sz w:val="20"/>
          <w:szCs w:val="20"/>
        </w:rPr>
        <w:t xml:space="preserve"> projects have on biodiversity, habitat loss and water extraction and pollution. Reporting should also include more analysis (for example, not just the total number of submissions received, but include a break-down of how many submissions were in favour or opposed to a proposal and key responses). Given that Part </w:t>
      </w:r>
      <w:proofErr w:type="spellStart"/>
      <w:r w:rsidRPr="00911EA7">
        <w:rPr>
          <w:rFonts w:cs="Arial"/>
          <w:i/>
          <w:sz w:val="20"/>
          <w:szCs w:val="20"/>
        </w:rPr>
        <w:t>3A</w:t>
      </w:r>
      <w:proofErr w:type="spellEnd"/>
      <w:r w:rsidRPr="00911EA7">
        <w:rPr>
          <w:rFonts w:cs="Arial"/>
          <w:i/>
          <w:sz w:val="20"/>
          <w:szCs w:val="20"/>
        </w:rPr>
        <w:t xml:space="preserve"> covers the largest and most intensive developments in NSW, that have many identifiable impacts on communities, biodiversity and the environment, it is critical that these costs are quantified and reported accurately. This is consistent with </w:t>
      </w:r>
      <w:proofErr w:type="spellStart"/>
      <w:r w:rsidRPr="00911EA7">
        <w:rPr>
          <w:rFonts w:cs="Arial"/>
          <w:i/>
          <w:sz w:val="20"/>
          <w:szCs w:val="20"/>
        </w:rPr>
        <w:t>ESD</w:t>
      </w:r>
      <w:proofErr w:type="spellEnd"/>
      <w:r w:rsidRPr="00911EA7">
        <w:rPr>
          <w:rFonts w:cs="Arial"/>
          <w:i/>
          <w:sz w:val="20"/>
          <w:szCs w:val="20"/>
        </w:rPr>
        <w:t xml:space="preserve"> and triple-bottom line reporting.</w:t>
      </w:r>
      <w:r w:rsidRPr="00911EA7">
        <w:rPr>
          <w:rFonts w:ascii="Garamond" w:hAnsi="Garamond"/>
          <w:i/>
        </w:rPr>
        <w:t xml:space="preserve"> </w:t>
      </w:r>
    </w:p>
    <w:p w:rsidR="00A1550A" w:rsidRDefault="00A1550A" w:rsidP="00A1550A"/>
    <w:p w:rsidR="00A1550A" w:rsidRDefault="00674CD8" w:rsidP="009C52E3">
      <w:pPr>
        <w:pStyle w:val="Heading2"/>
        <w:numPr>
          <w:ilvl w:val="0"/>
          <w:numId w:val="50"/>
        </w:numPr>
      </w:pPr>
      <w:bookmarkStart w:id="40" w:name="_Toc351985916"/>
      <w:r>
        <w:t>Effectiveness of f</w:t>
      </w:r>
      <w:r w:rsidR="00A1550A">
        <w:t xml:space="preserve">ederal laws – Independent review of the </w:t>
      </w:r>
      <w:proofErr w:type="spellStart"/>
      <w:r w:rsidR="00A1550A">
        <w:t>EPBC</w:t>
      </w:r>
      <w:proofErr w:type="spellEnd"/>
      <w:r w:rsidR="00A1550A">
        <w:t xml:space="preserve"> Act</w:t>
      </w:r>
      <w:bookmarkEnd w:id="40"/>
    </w:p>
    <w:p w:rsidR="00A1550A" w:rsidRDefault="00A1550A" w:rsidP="00A1550A">
      <w:r>
        <w:t xml:space="preserve">The 10-year independent review of the </w:t>
      </w:r>
      <w:proofErr w:type="spellStart"/>
      <w:r>
        <w:t>EPBC</w:t>
      </w:r>
      <w:proofErr w:type="spellEnd"/>
      <w:r>
        <w:t xml:space="preserve"> Act, led by Dr Allan Hawke</w:t>
      </w:r>
      <w:r w:rsidR="008A1A26">
        <w:t>, has provided the most comprehensive</w:t>
      </w:r>
      <w:r>
        <w:t>, consultative and thorough analysis to date of the effectiveness of Australia’s national environmental law. Unlike the 2012 COAG reform announcements, which came from one stakeholder gr</w:t>
      </w:r>
      <w:r w:rsidR="000E3B13">
        <w:t xml:space="preserve">oup (the </w:t>
      </w:r>
      <w:proofErr w:type="spellStart"/>
      <w:r w:rsidR="000E3B13">
        <w:t>BAF</w:t>
      </w:r>
      <w:proofErr w:type="spellEnd"/>
      <w:r w:rsidR="000E3B13">
        <w:t xml:space="preserve">), the Hawke Review’s public </w:t>
      </w:r>
      <w:r>
        <w:t xml:space="preserve">consultation process sought and analysed specific feedback on the operation of the Act. </w:t>
      </w:r>
      <w:r w:rsidR="008A1A26">
        <w:t>As noted, t</w:t>
      </w:r>
      <w:r>
        <w:t>his included 220 submissions, 119 supplementary submissions, and face-to-face consultations in each state and territory with industry, NGOs, the community, individuals, research groups, academics, individual corporations, and agencies from every level of government.</w:t>
      </w:r>
    </w:p>
    <w:p w:rsidR="00A1550A" w:rsidRDefault="00A1550A" w:rsidP="00A1550A"/>
    <w:p w:rsidR="00A1550A" w:rsidRDefault="00A1550A" w:rsidP="00A1550A">
      <w:r>
        <w:t xml:space="preserve">The Hawke Review Report made 71 recommendations to strengthen and improve the </w:t>
      </w:r>
      <w:proofErr w:type="spellStart"/>
      <w:r>
        <w:t>EPBC</w:t>
      </w:r>
      <w:proofErr w:type="spellEnd"/>
      <w:r>
        <w:t xml:space="preserve"> Act and clarify the scope and purpose of federal involvement in environmental matters. While the Hawke Review did recommend streamlining some regulatory processes and increasing the use of strategic assessments and bilateral </w:t>
      </w:r>
      <w:r w:rsidR="000E3B13">
        <w:t>agreements</w:t>
      </w:r>
      <w:r>
        <w:t>, it also recommended</w:t>
      </w:r>
      <w:r w:rsidR="000E3B13">
        <w:t xml:space="preserve"> adding</w:t>
      </w:r>
      <w:r>
        <w:t xml:space="preserve"> </w:t>
      </w:r>
      <w:r w:rsidR="000E3B13">
        <w:t>new</w:t>
      </w:r>
      <w:r>
        <w:t xml:space="preserve"> matters of national environmental significance (including an interim greenhouse trigger)</w:t>
      </w:r>
      <w:r w:rsidR="00674CD8">
        <w:t>;</w:t>
      </w:r>
      <w:r>
        <w:t xml:space="preserve"> establishment of a federal Environment Commission</w:t>
      </w:r>
      <w:r w:rsidR="00674CD8">
        <w:t>;</w:t>
      </w:r>
      <w:r>
        <w:t xml:space="preserve"> and improved enforcement, including greater access to courts </w:t>
      </w:r>
      <w:r w:rsidR="008A1A26">
        <w:t>for public interest litigation.</w:t>
      </w:r>
    </w:p>
    <w:p w:rsidR="00A1550A" w:rsidRDefault="00A1550A" w:rsidP="00A1550A"/>
    <w:p w:rsidR="00A1550A" w:rsidRDefault="00A1550A" w:rsidP="00A1550A">
      <w:r>
        <w:t>Almost two years later, the Australian Government</w:t>
      </w:r>
      <w:r w:rsidR="00674CD8">
        <w:t>’s August 2011</w:t>
      </w:r>
      <w:r>
        <w:t xml:space="preserve"> formal</w:t>
      </w:r>
      <w:r w:rsidR="00674CD8">
        <w:t xml:space="preserve"> response</w:t>
      </w:r>
      <w:r>
        <w:t xml:space="preserve"> rejected a number of recommendations aimed at strengthening the </w:t>
      </w:r>
      <w:proofErr w:type="spellStart"/>
      <w:r>
        <w:t>EPBC</w:t>
      </w:r>
      <w:proofErr w:type="spellEnd"/>
      <w:r>
        <w:t xml:space="preserve"> Act. A clear emphasis in the Government response is the aim to ‘substantially deregulate and improve efficiency.’  The Government Response identifies a clear preference for a shift from individual project approvals to strategic approaches, streamlined assessment and approval processes, and developing cooperative national standards and guidelines to harmonise approaches between jurisdictions.  </w:t>
      </w:r>
    </w:p>
    <w:p w:rsidR="00A1550A" w:rsidRDefault="00A1550A" w:rsidP="00A1550A"/>
    <w:p w:rsidR="00A1550A" w:rsidRDefault="00A1550A" w:rsidP="00A1550A">
      <w:r>
        <w:lastRenderedPageBreak/>
        <w:t xml:space="preserve">A significant </w:t>
      </w:r>
      <w:proofErr w:type="spellStart"/>
      <w:r>
        <w:t>EPBC</w:t>
      </w:r>
      <w:proofErr w:type="spellEnd"/>
      <w:r>
        <w:t xml:space="preserve"> amendment bill to implement these changes was listed for introduction in the 2012 Spring Session of federal parliament, but as at March 2013 has yet to be introduced.  The progression of the April 2012 COAG reforms appears to have sidelined its introduction. However, this gives the Productivity Commission an opportunity to revisit the Hawke Review as they were intended – as a </w:t>
      </w:r>
      <w:r w:rsidRPr="00C75974">
        <w:rPr>
          <w:i/>
        </w:rPr>
        <w:t>package</w:t>
      </w:r>
      <w:r>
        <w:t xml:space="preserve"> of recommendations.</w:t>
      </w:r>
    </w:p>
    <w:p w:rsidR="00A1550A" w:rsidRDefault="00A1550A" w:rsidP="00A1550A"/>
    <w:p w:rsidR="00A1550A" w:rsidRDefault="00A1550A" w:rsidP="008A1A26">
      <w:r w:rsidRPr="00A850F1">
        <w:t xml:space="preserve">This is all the more vital given the limited evidence presented </w:t>
      </w:r>
      <w:r w:rsidR="007F7A24" w:rsidRPr="00A850F1">
        <w:t>to</w:t>
      </w:r>
      <w:r w:rsidRPr="00A850F1">
        <w:t xml:space="preserve"> </w:t>
      </w:r>
      <w:r w:rsidR="007F7A24" w:rsidRPr="00A850F1">
        <w:t xml:space="preserve">justify </w:t>
      </w:r>
      <w:r w:rsidRPr="00A850F1">
        <w:t xml:space="preserve">the </w:t>
      </w:r>
      <w:r w:rsidR="007F7A24" w:rsidRPr="00A850F1">
        <w:t>sweeping</w:t>
      </w:r>
      <w:r w:rsidRPr="00A850F1">
        <w:t xml:space="preserve"> </w:t>
      </w:r>
      <w:r w:rsidR="007F7A24" w:rsidRPr="00A850F1">
        <w:t xml:space="preserve">COAG </w:t>
      </w:r>
      <w:r w:rsidRPr="00A850F1">
        <w:t xml:space="preserve">reform </w:t>
      </w:r>
      <w:r w:rsidRPr="003D278F">
        <w:t xml:space="preserve">proposals. The </w:t>
      </w:r>
      <w:proofErr w:type="spellStart"/>
      <w:r w:rsidRPr="003D278F">
        <w:t>BAF</w:t>
      </w:r>
      <w:proofErr w:type="spellEnd"/>
      <w:r w:rsidRPr="003D278F">
        <w:t xml:space="preserve"> policy paper provides only two examples to support its case. </w:t>
      </w:r>
      <w:r w:rsidR="00A850F1" w:rsidRPr="003D278F">
        <w:t>The exa</w:t>
      </w:r>
      <w:r w:rsidR="00A850F1">
        <w:t xml:space="preserve">mple put </w:t>
      </w:r>
      <w:r w:rsidR="00A850F1" w:rsidRPr="00A850F1">
        <w:t xml:space="preserve">forward for streamlining major projects </w:t>
      </w:r>
      <w:r w:rsidRPr="00A850F1">
        <w:t>(noted in the Productivity Commission Issues Paper, p 4) is both anonymous and lacking in context</w:t>
      </w:r>
      <w:r w:rsidRPr="008A1A26">
        <w:t>.</w:t>
      </w:r>
      <w:r w:rsidR="007F7A24" w:rsidRPr="008A1A26">
        <w:rPr>
          <w:rStyle w:val="FootnoteReference"/>
        </w:rPr>
        <w:footnoteReference w:id="128"/>
      </w:r>
      <w:r w:rsidR="00040456" w:rsidRPr="008A1A26">
        <w:t xml:space="preserve"> </w:t>
      </w:r>
      <w:r w:rsidR="00A850F1" w:rsidRPr="008A1A26">
        <w:t xml:space="preserve">The </w:t>
      </w:r>
      <w:r w:rsidR="00674CD8" w:rsidRPr="008A1A26">
        <w:t>‘more than 1500</w:t>
      </w:r>
      <w:r w:rsidR="00A850F1" w:rsidRPr="008A1A26">
        <w:t xml:space="preserve"> conditions</w:t>
      </w:r>
      <w:r w:rsidR="00674CD8" w:rsidRPr="008A1A26">
        <w:t>’</w:t>
      </w:r>
      <w:r w:rsidR="00A850F1" w:rsidRPr="008A1A26">
        <w:t xml:space="preserve"> required for th</w:t>
      </w:r>
      <w:r w:rsidR="00674CD8" w:rsidRPr="008A1A26">
        <w:t>at</w:t>
      </w:r>
      <w:r w:rsidR="00A850F1" w:rsidRPr="008A1A26">
        <w:t xml:space="preserve"> project underlines the complexity of</w:t>
      </w:r>
      <w:r w:rsidR="00A850F1">
        <w:t xml:space="preserve"> major projects, and the need for proper assessment, timeframes and agency resources. </w:t>
      </w:r>
      <w:r w:rsidRPr="00A850F1">
        <w:t xml:space="preserve">As the Wentworth Group </w:t>
      </w:r>
      <w:r w:rsidR="007F7A24" w:rsidRPr="00A850F1">
        <w:t xml:space="preserve">has </w:t>
      </w:r>
      <w:r w:rsidRPr="00A850F1">
        <w:t>note</w:t>
      </w:r>
      <w:r w:rsidR="007F7A24" w:rsidRPr="00A850F1">
        <w:t>d</w:t>
      </w:r>
      <w:r w:rsidRPr="00A850F1">
        <w:t xml:space="preserve">, the </w:t>
      </w:r>
      <w:r w:rsidR="00674CD8">
        <w:t xml:space="preserve">BCA paper’s </w:t>
      </w:r>
      <w:r w:rsidR="007F7A24" w:rsidRPr="00A850F1">
        <w:t>other</w:t>
      </w:r>
      <w:r w:rsidRPr="00A850F1">
        <w:t xml:space="preserve"> example</w:t>
      </w:r>
      <w:r w:rsidR="00A850F1">
        <w:t>,</w:t>
      </w:r>
      <w:r w:rsidRPr="00A850F1">
        <w:t xml:space="preserve"> as to why </w:t>
      </w:r>
      <w:r w:rsidR="007F7A24" w:rsidRPr="00A850F1">
        <w:t>state governments should be given fe</w:t>
      </w:r>
      <w:r w:rsidRPr="00A850F1">
        <w:t>deral approval powers</w:t>
      </w:r>
      <w:r w:rsidR="00A850F1">
        <w:t>,</w:t>
      </w:r>
      <w:r w:rsidR="007F7A24" w:rsidRPr="00A850F1">
        <w:t xml:space="preserve"> </w:t>
      </w:r>
      <w:r w:rsidRPr="00A850F1">
        <w:t>‘</w:t>
      </w:r>
      <w:r w:rsidR="007F7A24" w:rsidRPr="00A850F1">
        <w:t xml:space="preserve">actually serves to demonstrate precisely </w:t>
      </w:r>
      <w:r w:rsidRPr="00A850F1">
        <w:t>why they shouldn’t</w:t>
      </w:r>
      <w:r w:rsidR="00A850F1">
        <w:t>.</w:t>
      </w:r>
      <w:r w:rsidRPr="00A850F1">
        <w:t>’</w:t>
      </w:r>
      <w:r w:rsidR="007F7A24" w:rsidRPr="00A850F1">
        <w:t xml:space="preserve"> </w:t>
      </w:r>
      <w:r w:rsidR="00A850F1">
        <w:t>T</w:t>
      </w:r>
      <w:r w:rsidR="007F7A24">
        <w:t xml:space="preserve">he federal </w:t>
      </w:r>
      <w:r w:rsidR="00A850F1">
        <w:t xml:space="preserve">Minister’s refusal of the </w:t>
      </w:r>
      <w:r w:rsidR="00A850F1" w:rsidRPr="00A850F1">
        <w:t>Traveston Crossing Dam on the Mary River</w:t>
      </w:r>
      <w:r w:rsidR="00A850F1">
        <w:t xml:space="preserve"> –</w:t>
      </w:r>
      <w:r w:rsidR="003D278F">
        <w:t xml:space="preserve"> </w:t>
      </w:r>
      <w:r w:rsidR="00A850F1">
        <w:t xml:space="preserve">proposed </w:t>
      </w:r>
      <w:r w:rsidR="00674CD8">
        <w:t xml:space="preserve">and approved </w:t>
      </w:r>
      <w:r w:rsidR="00A850F1">
        <w:t xml:space="preserve">by Queensland </w:t>
      </w:r>
      <w:r w:rsidR="00674CD8">
        <w:t xml:space="preserve">authorities </w:t>
      </w:r>
      <w:r w:rsidR="00A850F1" w:rsidRPr="00A850F1">
        <w:t xml:space="preserve">– </w:t>
      </w:r>
      <w:r w:rsidR="00A850F1">
        <w:t>was backed by</w:t>
      </w:r>
      <w:r w:rsidR="00A850F1" w:rsidRPr="00A850F1">
        <w:t xml:space="preserve"> scientific evidence </w:t>
      </w:r>
      <w:r w:rsidR="00A850F1">
        <w:t xml:space="preserve">of unacceptable impacts on </w:t>
      </w:r>
      <w:r w:rsidR="003D278F">
        <w:t xml:space="preserve">listed </w:t>
      </w:r>
      <w:r w:rsidR="00A850F1">
        <w:t>threatened species.</w:t>
      </w:r>
      <w:r w:rsidR="00A850F1">
        <w:rPr>
          <w:rStyle w:val="FootnoteReference"/>
        </w:rPr>
        <w:footnoteReference w:id="129"/>
      </w:r>
    </w:p>
    <w:p w:rsidR="008A1A26" w:rsidRDefault="008A1A26" w:rsidP="008A1A26"/>
    <w:p w:rsidR="000209F4" w:rsidRPr="00EA041C" w:rsidRDefault="000209F4" w:rsidP="000209F4">
      <w:pPr>
        <w:rPr>
          <w:szCs w:val="22"/>
        </w:rPr>
      </w:pPr>
    </w:p>
    <w:p w:rsidR="000209F4" w:rsidRDefault="000209F4" w:rsidP="004D6F76">
      <w:pPr>
        <w:pStyle w:val="Heading1"/>
        <w:keepNext/>
      </w:pPr>
      <w:bookmarkStart w:id="41" w:name="_Toc351985917"/>
      <w:r>
        <w:t>Major projects and the NSW P</w:t>
      </w:r>
      <w:r w:rsidRPr="006755FB">
        <w:t xml:space="preserve">lanning </w:t>
      </w:r>
      <w:r>
        <w:t>System R</w:t>
      </w:r>
      <w:r w:rsidRPr="006755FB">
        <w:t>eview</w:t>
      </w:r>
      <w:bookmarkEnd w:id="41"/>
      <w:r w:rsidRPr="006755FB">
        <w:t xml:space="preserve"> </w:t>
      </w:r>
    </w:p>
    <w:p w:rsidR="000209F4" w:rsidRDefault="000209F4" w:rsidP="000209F4"/>
    <w:p w:rsidR="000209F4" w:rsidRDefault="000209F4" w:rsidP="000209F4">
      <w:pPr>
        <w:spacing w:after="120"/>
      </w:pPr>
      <w:r w:rsidRPr="00EC110A">
        <w:t>The Productivity Commission inquiry is to have regard to related work on development assessment processes by individual jurisdictions, such as the NSW Planning System Review.</w:t>
      </w:r>
      <w:r>
        <w:rPr>
          <w:rStyle w:val="FootnoteReference"/>
        </w:rPr>
        <w:footnoteReference w:id="130"/>
      </w:r>
      <w:r w:rsidRPr="00EC110A">
        <w:t xml:space="preserve"> This </w:t>
      </w:r>
      <w:r w:rsidR="00674CD8">
        <w:t>part of this</w:t>
      </w:r>
      <w:r w:rsidRPr="00EC110A">
        <w:t xml:space="preserve"> submission considers </w:t>
      </w:r>
      <w:r w:rsidR="00F019E5">
        <w:t>the</w:t>
      </w:r>
      <w:r w:rsidR="00A850F1">
        <w:t xml:space="preserve"> following</w:t>
      </w:r>
      <w:r w:rsidR="00F019E5">
        <w:t xml:space="preserve"> aspects </w:t>
      </w:r>
      <w:r w:rsidR="00674CD8">
        <w:t>in</w:t>
      </w:r>
      <w:r w:rsidR="00F019E5">
        <w:t xml:space="preserve"> </w:t>
      </w:r>
      <w:r w:rsidR="00A850F1">
        <w:t>NSW</w:t>
      </w:r>
      <w:r w:rsidR="00674CD8">
        <w:t>:</w:t>
      </w:r>
      <w:r w:rsidR="00A850F1">
        <w:t xml:space="preserve"> </w:t>
      </w:r>
    </w:p>
    <w:p w:rsidR="000209F4" w:rsidRPr="004D6F76" w:rsidRDefault="000209F4" w:rsidP="009C52E3">
      <w:pPr>
        <w:numPr>
          <w:ilvl w:val="0"/>
          <w:numId w:val="48"/>
        </w:numPr>
        <w:rPr>
          <w:i/>
        </w:rPr>
      </w:pPr>
      <w:r w:rsidRPr="004D6F76">
        <w:rPr>
          <w:i/>
        </w:rPr>
        <w:t xml:space="preserve">From ‘Part </w:t>
      </w:r>
      <w:proofErr w:type="spellStart"/>
      <w:r w:rsidRPr="004D6F76">
        <w:rPr>
          <w:i/>
        </w:rPr>
        <w:t>3A</w:t>
      </w:r>
      <w:proofErr w:type="spellEnd"/>
      <w:r w:rsidRPr="004D6F76">
        <w:rPr>
          <w:i/>
        </w:rPr>
        <w:t>’ to State Significant Development and Infrastructure</w:t>
      </w:r>
    </w:p>
    <w:p w:rsidR="00F019E5" w:rsidRPr="004D6F76" w:rsidRDefault="000209F4" w:rsidP="009C52E3">
      <w:pPr>
        <w:numPr>
          <w:ilvl w:val="0"/>
          <w:numId w:val="48"/>
        </w:numPr>
        <w:rPr>
          <w:i/>
        </w:rPr>
      </w:pPr>
      <w:r w:rsidRPr="004D6F76">
        <w:rPr>
          <w:i/>
        </w:rPr>
        <w:t>General comments on the NSW Planning Green Paper</w:t>
      </w:r>
    </w:p>
    <w:p w:rsidR="00F019E5" w:rsidRPr="004D6F76" w:rsidRDefault="000209F4" w:rsidP="009C52E3">
      <w:pPr>
        <w:numPr>
          <w:ilvl w:val="0"/>
          <w:numId w:val="48"/>
        </w:numPr>
        <w:spacing w:after="120"/>
        <w:ind w:left="1077" w:hanging="357"/>
        <w:rPr>
          <w:i/>
        </w:rPr>
      </w:pPr>
      <w:r w:rsidRPr="004D6F76">
        <w:rPr>
          <w:i/>
        </w:rPr>
        <w:t>Major projects and ‘streamlined approval’ in the Green Paper</w:t>
      </w:r>
      <w:r w:rsidR="009C52E3" w:rsidRPr="004D6F76">
        <w:rPr>
          <w:i/>
        </w:rPr>
        <w:t>.</w:t>
      </w:r>
    </w:p>
    <w:p w:rsidR="00F019E5" w:rsidRDefault="00AE005B" w:rsidP="00F019E5">
      <w:r w:rsidRPr="00AE005B">
        <w:rPr>
          <w:lang w:val="en-US"/>
        </w:rPr>
        <w:t xml:space="preserve">In </w:t>
      </w:r>
      <w:r w:rsidRPr="003D278F">
        <w:rPr>
          <w:lang w:val="en-US"/>
        </w:rPr>
        <w:t xml:space="preserve">addition, </w:t>
      </w:r>
      <w:r w:rsidR="00F019E5" w:rsidRPr="003D278F">
        <w:rPr>
          <w:b/>
          <w:lang w:val="en-US"/>
        </w:rPr>
        <w:t xml:space="preserve">Attachment </w:t>
      </w:r>
      <w:r w:rsidR="00674F30">
        <w:rPr>
          <w:b/>
          <w:lang w:val="en-US"/>
        </w:rPr>
        <w:t>B</w:t>
      </w:r>
      <w:r w:rsidR="00F019E5" w:rsidRPr="003D278F">
        <w:rPr>
          <w:lang w:val="en-US"/>
        </w:rPr>
        <w:t xml:space="preserve"> </w:t>
      </w:r>
      <w:r w:rsidR="00F019E5" w:rsidRPr="003D278F">
        <w:t>includes</w:t>
      </w:r>
      <w:r w:rsidR="00F019E5">
        <w:t xml:space="preserve"> excerpts </w:t>
      </w:r>
      <w:r w:rsidR="005F2A84">
        <w:t>on</w:t>
      </w:r>
      <w:r>
        <w:t xml:space="preserve"> </w:t>
      </w:r>
      <w:r w:rsidRPr="00AE005B">
        <w:t>major projects</w:t>
      </w:r>
      <w:r w:rsidRPr="00AE005B">
        <w:rPr>
          <w:lang w:val="en-US"/>
        </w:rPr>
        <w:t xml:space="preserve"> </w:t>
      </w:r>
      <w:r w:rsidR="00F019E5" w:rsidRPr="00AE005B">
        <w:t>from the EDO N</w:t>
      </w:r>
      <w:r w:rsidRPr="00AE005B">
        <w:t xml:space="preserve">SW </w:t>
      </w:r>
      <w:r>
        <w:t xml:space="preserve">2012 </w:t>
      </w:r>
      <w:r w:rsidRPr="00AE005B">
        <w:t xml:space="preserve">submission on the </w:t>
      </w:r>
      <w:r w:rsidR="005F2A84">
        <w:t>NSW</w:t>
      </w:r>
      <w:r>
        <w:t xml:space="preserve"> Government Planning </w:t>
      </w:r>
      <w:r w:rsidRPr="00AE005B">
        <w:t>Green </w:t>
      </w:r>
      <w:r w:rsidR="008A1A26">
        <w:t xml:space="preserve">Paper. </w:t>
      </w:r>
      <w:proofErr w:type="spellStart"/>
      <w:r w:rsidR="00F019E5" w:rsidRPr="00AE005B">
        <w:t>ANEDO</w:t>
      </w:r>
      <w:proofErr w:type="spellEnd"/>
      <w:r>
        <w:t> </w:t>
      </w:r>
      <w:r w:rsidR="00F019E5">
        <w:t>welcomes the Commission’s consideration of these issues</w:t>
      </w:r>
      <w:r>
        <w:t xml:space="preserve"> in the context of major project </w:t>
      </w:r>
      <w:proofErr w:type="spellStart"/>
      <w:r>
        <w:t>DAA</w:t>
      </w:r>
      <w:proofErr w:type="spellEnd"/>
      <w:r>
        <w:t xml:space="preserve"> processes nationally</w:t>
      </w:r>
      <w:r w:rsidR="00F019E5">
        <w:t>.</w:t>
      </w:r>
    </w:p>
    <w:p w:rsidR="000209F4" w:rsidRDefault="000209F4" w:rsidP="009C52E3">
      <w:pPr>
        <w:pStyle w:val="Heading2"/>
        <w:numPr>
          <w:ilvl w:val="0"/>
          <w:numId w:val="49"/>
        </w:numPr>
      </w:pPr>
      <w:bookmarkStart w:id="42" w:name="_Toc351985918"/>
      <w:r>
        <w:t xml:space="preserve">From ‘Part </w:t>
      </w:r>
      <w:proofErr w:type="spellStart"/>
      <w:r>
        <w:t>3A</w:t>
      </w:r>
      <w:proofErr w:type="spellEnd"/>
      <w:r>
        <w:t xml:space="preserve">’ to ‘State Significant’ Development </w:t>
      </w:r>
      <w:r w:rsidR="00F019E5">
        <w:t>&amp;</w:t>
      </w:r>
      <w:r>
        <w:t xml:space="preserve"> Infrastructure</w:t>
      </w:r>
      <w:bookmarkEnd w:id="42"/>
    </w:p>
    <w:p w:rsidR="009A5D84" w:rsidRDefault="00B52E21" w:rsidP="000209F4">
      <w:pPr>
        <w:autoSpaceDE w:val="0"/>
        <w:autoSpaceDN w:val="0"/>
        <w:adjustRightInd w:val="0"/>
        <w:rPr>
          <w:rFonts w:cs="Arial"/>
        </w:rPr>
      </w:pPr>
      <w:r w:rsidRPr="009A5D84">
        <w:rPr>
          <w:rFonts w:cs="Arial"/>
        </w:rPr>
        <w:t xml:space="preserve">The New South Wales experience with former ‘Part </w:t>
      </w:r>
      <w:proofErr w:type="spellStart"/>
      <w:r w:rsidRPr="009A5D84">
        <w:rPr>
          <w:rFonts w:cs="Arial"/>
        </w:rPr>
        <w:t>3A</w:t>
      </w:r>
      <w:proofErr w:type="spellEnd"/>
      <w:r w:rsidRPr="009A5D84">
        <w:rPr>
          <w:rFonts w:cs="Arial"/>
        </w:rPr>
        <w:t xml:space="preserve">’ of the </w:t>
      </w:r>
      <w:r w:rsidRPr="009A5D84">
        <w:rPr>
          <w:rFonts w:cs="Arial"/>
          <w:i/>
        </w:rPr>
        <w:t>Environmental Planning and Assessment Act 1979</w:t>
      </w:r>
      <w:r w:rsidRPr="009A5D84">
        <w:rPr>
          <w:rFonts w:cs="Arial"/>
        </w:rPr>
        <w:t xml:space="preserve"> has eroded community confidence in proposals to </w:t>
      </w:r>
      <w:r w:rsidR="009A5D84" w:rsidRPr="009A5D84">
        <w:rPr>
          <w:rFonts w:cs="Arial"/>
        </w:rPr>
        <w:t>‘</w:t>
      </w:r>
      <w:r w:rsidRPr="009A5D84">
        <w:rPr>
          <w:rFonts w:cs="Arial"/>
        </w:rPr>
        <w:t>fast-track</w:t>
      </w:r>
      <w:r w:rsidR="009A5D84" w:rsidRPr="009A5D84">
        <w:rPr>
          <w:rFonts w:cs="Arial"/>
        </w:rPr>
        <w:t>’</w:t>
      </w:r>
      <w:r w:rsidRPr="009A5D84">
        <w:rPr>
          <w:rFonts w:cs="Arial"/>
        </w:rPr>
        <w:t xml:space="preserve"> major project </w:t>
      </w:r>
      <w:r w:rsidR="009A5D84" w:rsidRPr="009A5D84">
        <w:rPr>
          <w:rFonts w:cs="Arial"/>
        </w:rPr>
        <w:t>assessment and approval</w:t>
      </w:r>
      <w:r w:rsidRPr="009A5D84">
        <w:rPr>
          <w:rFonts w:cs="Arial"/>
        </w:rPr>
        <w:t xml:space="preserve">. </w:t>
      </w:r>
      <w:r w:rsidR="009A5D84" w:rsidRPr="009A5D84">
        <w:rPr>
          <w:rFonts w:cs="Arial"/>
        </w:rPr>
        <w:t xml:space="preserve">The mistakes of </w:t>
      </w:r>
      <w:r w:rsidR="00461C32" w:rsidRPr="009A5D84">
        <w:rPr>
          <w:rFonts w:cs="Arial"/>
        </w:rPr>
        <w:t xml:space="preserve">Part </w:t>
      </w:r>
      <w:proofErr w:type="spellStart"/>
      <w:r w:rsidR="00461C32" w:rsidRPr="009A5D84">
        <w:rPr>
          <w:rFonts w:cs="Arial"/>
        </w:rPr>
        <w:t>3A</w:t>
      </w:r>
      <w:proofErr w:type="spellEnd"/>
      <w:r w:rsidR="00461C32" w:rsidRPr="009A5D84">
        <w:rPr>
          <w:rFonts w:cs="Arial"/>
        </w:rPr>
        <w:t xml:space="preserve"> should also serve as a warning for future major project models. </w:t>
      </w:r>
    </w:p>
    <w:p w:rsidR="009A5D84" w:rsidRDefault="009A5D84" w:rsidP="000209F4">
      <w:pPr>
        <w:autoSpaceDE w:val="0"/>
        <w:autoSpaceDN w:val="0"/>
        <w:adjustRightInd w:val="0"/>
        <w:rPr>
          <w:rFonts w:cs="Arial"/>
        </w:rPr>
      </w:pPr>
    </w:p>
    <w:p w:rsidR="002D15BD" w:rsidRDefault="009A5D84" w:rsidP="000209F4">
      <w:pPr>
        <w:autoSpaceDE w:val="0"/>
        <w:autoSpaceDN w:val="0"/>
        <w:adjustRightInd w:val="0"/>
        <w:rPr>
          <w:rFonts w:cs="Arial"/>
        </w:rPr>
      </w:pPr>
      <w:r w:rsidRPr="009A5D84">
        <w:rPr>
          <w:rFonts w:cs="Arial"/>
        </w:rPr>
        <w:t xml:space="preserve">In place from 2005 to 2011, </w:t>
      </w:r>
      <w:r>
        <w:rPr>
          <w:rFonts w:cs="Arial"/>
        </w:rPr>
        <w:t>t</w:t>
      </w:r>
      <w:r w:rsidRPr="0033379D">
        <w:rPr>
          <w:rFonts w:cs="Arial"/>
          <w:szCs w:val="22"/>
          <w:lang w:eastAsia="en-AU"/>
        </w:rPr>
        <w:t xml:space="preserve">he main effect of Part </w:t>
      </w:r>
      <w:proofErr w:type="spellStart"/>
      <w:r w:rsidRPr="0033379D">
        <w:rPr>
          <w:rFonts w:cs="Arial"/>
          <w:szCs w:val="22"/>
          <w:lang w:eastAsia="en-AU"/>
        </w:rPr>
        <w:t>3A</w:t>
      </w:r>
      <w:proofErr w:type="spellEnd"/>
      <w:r w:rsidRPr="0033379D">
        <w:rPr>
          <w:rFonts w:cs="Arial"/>
          <w:szCs w:val="22"/>
          <w:lang w:eastAsia="en-AU"/>
        </w:rPr>
        <w:t xml:space="preserve"> </w:t>
      </w:r>
      <w:r>
        <w:rPr>
          <w:rFonts w:cs="Arial"/>
          <w:szCs w:val="22"/>
          <w:lang w:eastAsia="en-AU"/>
        </w:rPr>
        <w:t>wa</w:t>
      </w:r>
      <w:r w:rsidRPr="0033379D">
        <w:rPr>
          <w:rFonts w:cs="Arial"/>
          <w:szCs w:val="22"/>
          <w:lang w:eastAsia="en-AU"/>
        </w:rPr>
        <w:t>s that it remove</w:t>
      </w:r>
      <w:r>
        <w:rPr>
          <w:rFonts w:cs="Arial"/>
          <w:szCs w:val="22"/>
          <w:lang w:eastAsia="en-AU"/>
        </w:rPr>
        <w:t>d</w:t>
      </w:r>
      <w:r w:rsidRPr="0033379D">
        <w:rPr>
          <w:rFonts w:cs="Arial"/>
          <w:szCs w:val="22"/>
          <w:lang w:eastAsia="en-AU"/>
        </w:rPr>
        <w:t xml:space="preserve"> major projects from assessment and approval under the Part 4 and Part 5 of the</w:t>
      </w:r>
      <w:r>
        <w:rPr>
          <w:rFonts w:cs="Arial"/>
          <w:szCs w:val="22"/>
          <w:lang w:eastAsia="en-AU"/>
        </w:rPr>
        <w:t xml:space="preserve"> Planning Act</w:t>
      </w:r>
      <w:r w:rsidRPr="0033379D">
        <w:rPr>
          <w:rFonts w:cs="Arial"/>
          <w:szCs w:val="22"/>
          <w:lang w:eastAsia="en-AU"/>
        </w:rPr>
        <w:t>, and concentrated control of these projects in the Planning Minister</w:t>
      </w:r>
      <w:r>
        <w:rPr>
          <w:rFonts w:cs="Arial"/>
          <w:szCs w:val="22"/>
          <w:lang w:eastAsia="en-AU"/>
        </w:rPr>
        <w:t xml:space="preserve"> and Department</w:t>
      </w:r>
      <w:r w:rsidRPr="0033379D">
        <w:rPr>
          <w:rFonts w:cs="Arial"/>
          <w:szCs w:val="22"/>
          <w:lang w:eastAsia="en-AU"/>
        </w:rPr>
        <w:t>.</w:t>
      </w:r>
      <w:r w:rsidRPr="0033379D">
        <w:rPr>
          <w:rFonts w:cs="Arial"/>
          <w:szCs w:val="22"/>
        </w:rPr>
        <w:t xml:space="preserve"> </w:t>
      </w:r>
      <w:r w:rsidR="002D15BD">
        <w:rPr>
          <w:rFonts w:cs="Arial"/>
        </w:rPr>
        <w:t>T</w:t>
      </w:r>
      <w:r w:rsidR="00B52E21" w:rsidRPr="009A5D84">
        <w:rPr>
          <w:rFonts w:cs="Arial"/>
        </w:rPr>
        <w:t xml:space="preserve">he Part </w:t>
      </w:r>
      <w:proofErr w:type="spellStart"/>
      <w:r w:rsidR="00B52E21" w:rsidRPr="009A5D84">
        <w:rPr>
          <w:rFonts w:cs="Arial"/>
        </w:rPr>
        <w:t>3A</w:t>
      </w:r>
      <w:proofErr w:type="spellEnd"/>
      <w:r w:rsidR="00B52E21" w:rsidRPr="009A5D84">
        <w:rPr>
          <w:rFonts w:cs="Arial"/>
        </w:rPr>
        <w:t xml:space="preserve"> </w:t>
      </w:r>
      <w:r w:rsidR="00461C32" w:rsidRPr="009A5D84">
        <w:rPr>
          <w:rFonts w:cs="Arial"/>
        </w:rPr>
        <w:t>system</w:t>
      </w:r>
      <w:r w:rsidR="00B52E21" w:rsidRPr="009A5D84">
        <w:rPr>
          <w:rFonts w:cs="Arial"/>
        </w:rPr>
        <w:t xml:space="preserve"> was characterised by discretionary decision-making, limitations on local decision</w:t>
      </w:r>
      <w:r w:rsidR="00461C32" w:rsidRPr="009A5D84">
        <w:rPr>
          <w:rFonts w:cs="Arial"/>
        </w:rPr>
        <w:t>-</w:t>
      </w:r>
      <w:r w:rsidR="00B52E21" w:rsidRPr="009A5D84">
        <w:rPr>
          <w:rFonts w:cs="Arial"/>
        </w:rPr>
        <w:t xml:space="preserve">making and public </w:t>
      </w:r>
      <w:r w:rsidR="00461C32" w:rsidRPr="009A5D84">
        <w:rPr>
          <w:rFonts w:cs="Arial"/>
        </w:rPr>
        <w:t>scrutiny</w:t>
      </w:r>
      <w:r>
        <w:rPr>
          <w:rFonts w:cs="Arial"/>
        </w:rPr>
        <w:t>,</w:t>
      </w:r>
      <w:r w:rsidR="00B52E21" w:rsidRPr="009A5D84">
        <w:rPr>
          <w:rFonts w:cs="Arial"/>
        </w:rPr>
        <w:t xml:space="preserve"> high-level ‘concept plan’ approvals, </w:t>
      </w:r>
      <w:r w:rsidR="00461C32" w:rsidRPr="009A5D84">
        <w:rPr>
          <w:rFonts w:cs="Arial"/>
        </w:rPr>
        <w:t>override of environmental agency ‘concurrences’ (which persists today)</w:t>
      </w:r>
      <w:r>
        <w:rPr>
          <w:rFonts w:cs="Arial"/>
        </w:rPr>
        <w:t>,</w:t>
      </w:r>
      <w:r w:rsidR="00461C32" w:rsidRPr="009A5D84">
        <w:rPr>
          <w:rFonts w:cs="Arial"/>
        </w:rPr>
        <w:t xml:space="preserve"> and </w:t>
      </w:r>
      <w:r w:rsidR="00B52E21" w:rsidRPr="009A5D84">
        <w:rPr>
          <w:rFonts w:cs="Arial"/>
        </w:rPr>
        <w:t xml:space="preserve">removal of </w:t>
      </w:r>
      <w:r w:rsidRPr="009A5D84">
        <w:rPr>
          <w:rFonts w:cs="Arial"/>
        </w:rPr>
        <w:t xml:space="preserve">third party </w:t>
      </w:r>
      <w:r w:rsidR="00B52E21" w:rsidRPr="009A5D84">
        <w:rPr>
          <w:rFonts w:cs="Arial"/>
        </w:rPr>
        <w:lastRenderedPageBreak/>
        <w:t xml:space="preserve">merit appeal rights </w:t>
      </w:r>
      <w:r w:rsidRPr="009A5D84">
        <w:rPr>
          <w:rFonts w:cs="Arial"/>
        </w:rPr>
        <w:t>for the majority of applications</w:t>
      </w:r>
      <w:r w:rsidR="00461C32" w:rsidRPr="009A5D84">
        <w:rPr>
          <w:rFonts w:cs="Arial"/>
        </w:rPr>
        <w:t>.</w:t>
      </w:r>
      <w:r w:rsidR="00461C32" w:rsidRPr="009A5D84">
        <w:rPr>
          <w:rStyle w:val="FootnoteReference"/>
          <w:rFonts w:cs="Arial"/>
        </w:rPr>
        <w:footnoteReference w:id="131"/>
      </w:r>
      <w:r w:rsidR="00461C32" w:rsidRPr="009A5D84">
        <w:rPr>
          <w:rFonts w:cs="Arial"/>
        </w:rPr>
        <w:t xml:space="preserve"> </w:t>
      </w:r>
      <w:r w:rsidRPr="009A5D84">
        <w:rPr>
          <w:rFonts w:cs="Arial"/>
        </w:rPr>
        <w:t>In addition to</w:t>
      </w:r>
      <w:r w:rsidR="00461C32" w:rsidRPr="009A5D84">
        <w:rPr>
          <w:rFonts w:cs="Arial"/>
        </w:rPr>
        <w:t xml:space="preserve"> these accountability failures, assessment and approvals under Part </w:t>
      </w:r>
      <w:proofErr w:type="spellStart"/>
      <w:r w:rsidR="00461C32" w:rsidRPr="009A5D84">
        <w:rPr>
          <w:rFonts w:cs="Arial"/>
        </w:rPr>
        <w:t>3A</w:t>
      </w:r>
      <w:proofErr w:type="spellEnd"/>
      <w:r w:rsidR="00461C32" w:rsidRPr="009A5D84">
        <w:rPr>
          <w:rFonts w:cs="Arial"/>
        </w:rPr>
        <w:t xml:space="preserve"> were also inadequate at taking account of cumulative impacts, climate change or ecologically sustainable development</w:t>
      </w:r>
      <w:r w:rsidR="00B52E21" w:rsidRPr="009A5D84">
        <w:rPr>
          <w:rFonts w:cs="Arial"/>
        </w:rPr>
        <w:t>.</w:t>
      </w:r>
      <w:r w:rsidR="00461C32" w:rsidRPr="009A5D84">
        <w:rPr>
          <w:rStyle w:val="FootnoteReference"/>
          <w:rFonts w:cs="Arial"/>
        </w:rPr>
        <w:footnoteReference w:id="132"/>
      </w:r>
      <w:r w:rsidR="00B52E21">
        <w:rPr>
          <w:rFonts w:cs="Arial"/>
        </w:rPr>
        <w:t xml:space="preserve"> </w:t>
      </w:r>
    </w:p>
    <w:p w:rsidR="002D15BD" w:rsidRDefault="002D15BD" w:rsidP="000209F4">
      <w:pPr>
        <w:autoSpaceDE w:val="0"/>
        <w:autoSpaceDN w:val="0"/>
        <w:adjustRightInd w:val="0"/>
        <w:rPr>
          <w:rFonts w:cs="Arial"/>
        </w:rPr>
      </w:pPr>
    </w:p>
    <w:p w:rsidR="000209F4" w:rsidRDefault="009A5D84" w:rsidP="002D15BD">
      <w:pPr>
        <w:autoSpaceDE w:val="0"/>
        <w:autoSpaceDN w:val="0"/>
        <w:adjustRightInd w:val="0"/>
        <w:spacing w:after="120"/>
        <w:rPr>
          <w:rFonts w:cs="Arial"/>
        </w:rPr>
      </w:pPr>
      <w:r>
        <w:rPr>
          <w:rFonts w:cs="Arial"/>
        </w:rPr>
        <w:t xml:space="preserve">Overall, Part </w:t>
      </w:r>
      <w:proofErr w:type="spellStart"/>
      <w:r>
        <w:rPr>
          <w:rFonts w:cs="Arial"/>
        </w:rPr>
        <w:t>3A</w:t>
      </w:r>
      <w:proofErr w:type="spellEnd"/>
      <w:r>
        <w:rPr>
          <w:rFonts w:cs="Arial"/>
        </w:rPr>
        <w:t xml:space="preserve"> led to profound community feelings of powerlessness, frustration, scepticism and disengagement.</w:t>
      </w:r>
      <w:r w:rsidR="002D15BD">
        <w:rPr>
          <w:rFonts w:cs="Arial"/>
        </w:rPr>
        <w:t xml:space="preserve"> </w:t>
      </w:r>
      <w:r w:rsidR="002D15BD">
        <w:rPr>
          <w:rFonts w:cs="Arial"/>
          <w:szCs w:val="22"/>
        </w:rPr>
        <w:t>By the</w:t>
      </w:r>
      <w:r w:rsidR="000209F4">
        <w:rPr>
          <w:rFonts w:cs="Arial"/>
          <w:szCs w:val="22"/>
        </w:rPr>
        <w:t xml:space="preserve"> 2011 election</w:t>
      </w:r>
      <w:r w:rsidR="002D15BD">
        <w:rPr>
          <w:rFonts w:cs="Arial"/>
          <w:szCs w:val="22"/>
        </w:rPr>
        <w:t xml:space="preserve"> year</w:t>
      </w:r>
      <w:r w:rsidR="000209F4">
        <w:rPr>
          <w:rFonts w:cs="Arial"/>
          <w:szCs w:val="22"/>
        </w:rPr>
        <w:t>, it</w:t>
      </w:r>
      <w:r w:rsidR="000209F4" w:rsidRPr="0033379D">
        <w:rPr>
          <w:rFonts w:cs="Arial"/>
          <w:szCs w:val="22"/>
        </w:rPr>
        <w:t xml:space="preserve"> </w:t>
      </w:r>
      <w:r w:rsidR="000209F4">
        <w:rPr>
          <w:rFonts w:cs="Arial"/>
          <w:szCs w:val="22"/>
        </w:rPr>
        <w:t>was</w:t>
      </w:r>
      <w:r w:rsidR="000209F4" w:rsidRPr="0033379D">
        <w:rPr>
          <w:rFonts w:cs="Arial"/>
          <w:szCs w:val="22"/>
        </w:rPr>
        <w:t xml:space="preserve"> a potent symbol of public </w:t>
      </w:r>
      <w:r w:rsidR="002D15BD">
        <w:rPr>
          <w:rFonts w:cs="Arial"/>
          <w:szCs w:val="22"/>
        </w:rPr>
        <w:t>discontent</w:t>
      </w:r>
      <w:r w:rsidR="000209F4" w:rsidRPr="0033379D">
        <w:rPr>
          <w:rFonts w:cs="Arial"/>
          <w:szCs w:val="22"/>
        </w:rPr>
        <w:t xml:space="preserve"> with the </w:t>
      </w:r>
      <w:r w:rsidR="002D15BD">
        <w:rPr>
          <w:rFonts w:cs="Arial"/>
          <w:szCs w:val="22"/>
        </w:rPr>
        <w:t>State</w:t>
      </w:r>
      <w:r w:rsidR="000209F4" w:rsidRPr="0033379D">
        <w:rPr>
          <w:rFonts w:cs="Arial"/>
          <w:szCs w:val="22"/>
        </w:rPr>
        <w:t xml:space="preserve"> Government.</w:t>
      </w:r>
      <w:r w:rsidR="005F2A84">
        <w:rPr>
          <w:rFonts w:cs="Arial"/>
        </w:rPr>
        <w:t xml:space="preserve"> EDO NSW </w:t>
      </w:r>
      <w:r w:rsidR="002D15BD">
        <w:rPr>
          <w:rFonts w:cs="Arial"/>
        </w:rPr>
        <w:t xml:space="preserve">summarised the situation in its December 2010 </w:t>
      </w:r>
      <w:r w:rsidR="005F2A84">
        <w:rPr>
          <w:rFonts w:cs="Arial"/>
        </w:rPr>
        <w:t xml:space="preserve">report, </w:t>
      </w:r>
      <w:r w:rsidR="005F2A84">
        <w:rPr>
          <w:rFonts w:cs="Arial"/>
          <w:i/>
        </w:rPr>
        <w:t>The St</w:t>
      </w:r>
      <w:r w:rsidR="005F2A84" w:rsidRPr="005F2A84">
        <w:rPr>
          <w:rFonts w:cs="Arial"/>
          <w:i/>
        </w:rPr>
        <w:t xml:space="preserve">ate of Planning in </w:t>
      </w:r>
      <w:r w:rsidR="005F2A84" w:rsidRPr="002D15BD">
        <w:rPr>
          <w:rFonts w:cs="Arial"/>
          <w:i/>
        </w:rPr>
        <w:t>NSW</w:t>
      </w:r>
      <w:r w:rsidR="000209F4" w:rsidRPr="002D15BD">
        <w:rPr>
          <w:rFonts w:cs="Arial"/>
          <w:i/>
        </w:rPr>
        <w:t>:</w:t>
      </w:r>
    </w:p>
    <w:p w:rsidR="000209F4" w:rsidRPr="002D15BD" w:rsidRDefault="000209F4" w:rsidP="002D15BD">
      <w:pPr>
        <w:autoSpaceDE w:val="0"/>
        <w:autoSpaceDN w:val="0"/>
        <w:adjustRightInd w:val="0"/>
        <w:spacing w:after="120"/>
        <w:ind w:left="720"/>
        <w:rPr>
          <w:rFonts w:cs="Arial"/>
          <w:i/>
          <w:sz w:val="20"/>
          <w:szCs w:val="20"/>
        </w:rPr>
      </w:pPr>
      <w:r w:rsidRPr="002D15BD">
        <w:rPr>
          <w:rFonts w:cs="Arial"/>
          <w:bCs/>
          <w:i/>
          <w:sz w:val="20"/>
          <w:szCs w:val="20"/>
          <w:lang w:eastAsia="en-AU"/>
        </w:rPr>
        <w:t xml:space="preserve">Part </w:t>
      </w:r>
      <w:proofErr w:type="spellStart"/>
      <w:r w:rsidRPr="002D15BD">
        <w:rPr>
          <w:rFonts w:cs="Arial"/>
          <w:bCs/>
          <w:i/>
          <w:sz w:val="20"/>
          <w:szCs w:val="20"/>
          <w:lang w:eastAsia="en-AU"/>
        </w:rPr>
        <w:t>3A</w:t>
      </w:r>
      <w:proofErr w:type="spellEnd"/>
      <w:r w:rsidRPr="002D15BD">
        <w:rPr>
          <w:rFonts w:cs="Arial"/>
          <w:bCs/>
          <w:i/>
          <w:sz w:val="20"/>
          <w:szCs w:val="20"/>
          <w:lang w:eastAsia="en-AU"/>
        </w:rPr>
        <w:t xml:space="preserve"> is demonstrably failing to implement </w:t>
      </w:r>
      <w:proofErr w:type="spellStart"/>
      <w:r w:rsidRPr="002D15BD">
        <w:rPr>
          <w:rFonts w:cs="Arial"/>
          <w:bCs/>
          <w:i/>
          <w:sz w:val="20"/>
          <w:szCs w:val="20"/>
          <w:lang w:eastAsia="en-AU"/>
        </w:rPr>
        <w:t>ESD</w:t>
      </w:r>
      <w:proofErr w:type="spellEnd"/>
      <w:r w:rsidRPr="002D15BD">
        <w:rPr>
          <w:rFonts w:cs="Arial"/>
          <w:bCs/>
          <w:i/>
          <w:sz w:val="20"/>
          <w:szCs w:val="20"/>
          <w:lang w:eastAsia="en-AU"/>
        </w:rPr>
        <w:t xml:space="preserve"> and is skewed in favour of economic outcomes over social and environmental impacts. Public participation is severely limited, especially regarding review rights, and the type of environmental assessment is discretionary. Instead of providing a robust regime requiring comprehensive public consultation and environmental assessment for the largest public infrastructure projects with the greatest impacts, the category of Part </w:t>
      </w:r>
      <w:proofErr w:type="spellStart"/>
      <w:r w:rsidRPr="002D15BD">
        <w:rPr>
          <w:rFonts w:cs="Arial"/>
          <w:bCs/>
          <w:i/>
          <w:sz w:val="20"/>
          <w:szCs w:val="20"/>
          <w:lang w:eastAsia="en-AU"/>
        </w:rPr>
        <w:t>3A</w:t>
      </w:r>
      <w:proofErr w:type="spellEnd"/>
      <w:r w:rsidRPr="002D15BD">
        <w:rPr>
          <w:rFonts w:cs="Arial"/>
          <w:bCs/>
          <w:i/>
          <w:sz w:val="20"/>
          <w:szCs w:val="20"/>
          <w:lang w:eastAsia="en-AU"/>
        </w:rPr>
        <w:t xml:space="preserve"> projects keeps expanding to include private projects in response to ‘streamlining’ pressures and desired financial outcomes.</w:t>
      </w:r>
      <w:r w:rsidRPr="002D15BD">
        <w:rPr>
          <w:rStyle w:val="FootnoteReference"/>
          <w:rFonts w:cs="Arial"/>
          <w:i/>
          <w:sz w:val="20"/>
          <w:szCs w:val="20"/>
        </w:rPr>
        <w:footnoteReference w:id="133"/>
      </w:r>
    </w:p>
    <w:p w:rsidR="002D15BD" w:rsidRDefault="009A5D84" w:rsidP="009A5D84">
      <w:pPr>
        <w:autoSpaceDE w:val="0"/>
        <w:autoSpaceDN w:val="0"/>
        <w:adjustRightInd w:val="0"/>
        <w:rPr>
          <w:rFonts w:cs="Arial"/>
          <w:szCs w:val="22"/>
        </w:rPr>
      </w:pPr>
      <w:r>
        <w:rPr>
          <w:rFonts w:cs="Arial"/>
        </w:rPr>
        <w:t xml:space="preserve">In the lead up to the NSW election in </w:t>
      </w:r>
      <w:r w:rsidRPr="0095371B">
        <w:rPr>
          <w:rFonts w:cs="Arial"/>
        </w:rPr>
        <w:t>March</w:t>
      </w:r>
      <w:r>
        <w:rPr>
          <w:rFonts w:cs="Arial"/>
        </w:rPr>
        <w:t xml:space="preserve"> 2011, the Liberal-National Opposition campaigned strongly on a public accountability platform. Its policies included repealing the controversial Part </w:t>
      </w:r>
      <w:proofErr w:type="spellStart"/>
      <w:r>
        <w:rPr>
          <w:rFonts w:cs="Arial"/>
        </w:rPr>
        <w:t>3A</w:t>
      </w:r>
      <w:proofErr w:type="spellEnd"/>
      <w:r>
        <w:rPr>
          <w:rFonts w:cs="Arial"/>
        </w:rPr>
        <w:t xml:space="preserve"> </w:t>
      </w:r>
      <w:r w:rsidRPr="0033379D">
        <w:rPr>
          <w:rFonts w:cs="Arial"/>
          <w:szCs w:val="22"/>
        </w:rPr>
        <w:t xml:space="preserve">and a sweeping review of state planning laws. </w:t>
      </w:r>
    </w:p>
    <w:p w:rsidR="002D15BD" w:rsidRDefault="002D15BD" w:rsidP="009A5D84">
      <w:pPr>
        <w:autoSpaceDE w:val="0"/>
        <w:autoSpaceDN w:val="0"/>
        <w:adjustRightInd w:val="0"/>
        <w:rPr>
          <w:rFonts w:cs="Arial"/>
          <w:szCs w:val="22"/>
        </w:rPr>
      </w:pPr>
    </w:p>
    <w:p w:rsidR="000209F4" w:rsidRDefault="000209F4" w:rsidP="009A5D84">
      <w:pPr>
        <w:autoSpaceDE w:val="0"/>
        <w:autoSpaceDN w:val="0"/>
        <w:adjustRightInd w:val="0"/>
        <w:rPr>
          <w:rFonts w:cs="Arial"/>
        </w:rPr>
      </w:pPr>
      <w:r>
        <w:rPr>
          <w:rFonts w:cs="Arial"/>
        </w:rPr>
        <w:t xml:space="preserve">In mid-2011, the new Coalition Government introduced amendments to repeal Part </w:t>
      </w:r>
      <w:proofErr w:type="spellStart"/>
      <w:r>
        <w:rPr>
          <w:rFonts w:cs="Arial"/>
        </w:rPr>
        <w:t>3A</w:t>
      </w:r>
      <w:proofErr w:type="spellEnd"/>
      <w:r w:rsidR="005F2A84">
        <w:rPr>
          <w:rFonts w:cs="Arial"/>
        </w:rPr>
        <w:t>;</w:t>
      </w:r>
      <w:r>
        <w:rPr>
          <w:rFonts w:cs="Arial"/>
        </w:rPr>
        <w:t xml:space="preserve"> created transitional provisions for the existing pipeline</w:t>
      </w:r>
      <w:r w:rsidRPr="00280E94">
        <w:rPr>
          <w:rFonts w:cs="Arial"/>
        </w:rPr>
        <w:t xml:space="preserve"> </w:t>
      </w:r>
      <w:r>
        <w:rPr>
          <w:rFonts w:cs="Arial"/>
        </w:rPr>
        <w:t>of major projects</w:t>
      </w:r>
      <w:r w:rsidR="005F2A84">
        <w:rPr>
          <w:rFonts w:cs="Arial"/>
        </w:rPr>
        <w:t>;</w:t>
      </w:r>
      <w:r>
        <w:rPr>
          <w:rFonts w:cs="Arial"/>
        </w:rPr>
        <w:t xml:space="preserve"> and introduced a revised system called ‘State Significant Development’ (</w:t>
      </w:r>
      <w:proofErr w:type="spellStart"/>
      <w:r w:rsidRPr="00992DA1">
        <w:rPr>
          <w:rFonts w:cs="Arial"/>
          <w:b/>
        </w:rPr>
        <w:t>SSD</w:t>
      </w:r>
      <w:proofErr w:type="spellEnd"/>
      <w:r>
        <w:rPr>
          <w:rFonts w:cs="Arial"/>
        </w:rPr>
        <w:t>) and ‘State Significant Infrastructure’ (</w:t>
      </w:r>
      <w:r w:rsidRPr="00992DA1">
        <w:rPr>
          <w:rFonts w:cs="Arial"/>
          <w:b/>
        </w:rPr>
        <w:t>SSI</w:t>
      </w:r>
      <w:r>
        <w:rPr>
          <w:rFonts w:cs="Arial"/>
        </w:rPr>
        <w:t>).</w:t>
      </w:r>
      <w:r>
        <w:rPr>
          <w:rStyle w:val="FootnoteReference"/>
          <w:rFonts w:cs="Arial"/>
        </w:rPr>
        <w:footnoteReference w:id="134"/>
      </w:r>
      <w:r>
        <w:rPr>
          <w:rFonts w:cs="Arial"/>
        </w:rPr>
        <w:t xml:space="preserve"> This ‘interim’ system commenced in October 2011, pending the outcome of the wider planning overhaul. Although it retains some problematic aspects of the system it replaced, the </w:t>
      </w:r>
      <w:proofErr w:type="spellStart"/>
      <w:r>
        <w:rPr>
          <w:rFonts w:cs="Arial"/>
        </w:rPr>
        <w:t>SSD</w:t>
      </w:r>
      <w:proofErr w:type="spellEnd"/>
      <w:r>
        <w:rPr>
          <w:rFonts w:cs="Arial"/>
        </w:rPr>
        <w:t xml:space="preserve">/SSI provisions are seen as an improvement on Part </w:t>
      </w:r>
      <w:proofErr w:type="spellStart"/>
      <w:r>
        <w:rPr>
          <w:rFonts w:cs="Arial"/>
        </w:rPr>
        <w:t>3A</w:t>
      </w:r>
      <w:proofErr w:type="spellEnd"/>
      <w:r>
        <w:rPr>
          <w:rFonts w:cs="Arial"/>
        </w:rPr>
        <w:t xml:space="preserve">. </w:t>
      </w:r>
    </w:p>
    <w:p w:rsidR="000209F4" w:rsidRDefault="000209F4" w:rsidP="000209F4">
      <w:pPr>
        <w:rPr>
          <w:rFonts w:cs="Arial"/>
        </w:rPr>
      </w:pPr>
    </w:p>
    <w:p w:rsidR="000209F4" w:rsidRDefault="000209F4" w:rsidP="000209F4">
      <w:pPr>
        <w:rPr>
          <w:rFonts w:cs="Arial"/>
          <w:szCs w:val="22"/>
          <w:lang w:val="en-US"/>
        </w:rPr>
      </w:pPr>
      <w:r w:rsidRPr="005E716D">
        <w:rPr>
          <w:rFonts w:cs="Arial"/>
        </w:rPr>
        <w:t xml:space="preserve">The </w:t>
      </w:r>
      <w:proofErr w:type="spellStart"/>
      <w:r w:rsidRPr="005E716D">
        <w:rPr>
          <w:rFonts w:cs="Arial"/>
        </w:rPr>
        <w:t>SSD</w:t>
      </w:r>
      <w:proofErr w:type="spellEnd"/>
      <w:r w:rsidRPr="005E716D">
        <w:rPr>
          <w:rFonts w:cs="Arial"/>
        </w:rPr>
        <w:t xml:space="preserve"> </w:t>
      </w:r>
      <w:r w:rsidRPr="00280E94">
        <w:rPr>
          <w:rFonts w:cs="Arial"/>
          <w:szCs w:val="22"/>
        </w:rPr>
        <w:t xml:space="preserve">system narrows the scope of projects that were eligible for fast-tracking under Part </w:t>
      </w:r>
      <w:proofErr w:type="spellStart"/>
      <w:r w:rsidRPr="00280E94">
        <w:rPr>
          <w:rFonts w:cs="Arial"/>
          <w:szCs w:val="22"/>
        </w:rPr>
        <w:t>3A</w:t>
      </w:r>
      <w:proofErr w:type="spellEnd"/>
      <w:r w:rsidRPr="00280E94">
        <w:rPr>
          <w:rFonts w:cs="Arial"/>
          <w:szCs w:val="22"/>
        </w:rPr>
        <w:t>. It also reinstates the statutory assessment considerations that apply to other development decisions.</w:t>
      </w:r>
      <w:r w:rsidRPr="00280E94">
        <w:rPr>
          <w:rStyle w:val="FootnoteReference"/>
          <w:rFonts w:cs="Arial"/>
          <w:szCs w:val="22"/>
        </w:rPr>
        <w:footnoteReference w:id="135"/>
      </w:r>
      <w:r w:rsidRPr="00280E94">
        <w:rPr>
          <w:rFonts w:cs="Arial"/>
          <w:szCs w:val="22"/>
        </w:rPr>
        <w:t xml:space="preserve"> </w:t>
      </w:r>
      <w:r w:rsidRPr="00280E94">
        <w:rPr>
          <w:rFonts w:cs="Arial"/>
          <w:szCs w:val="22"/>
          <w:lang w:val="en-US"/>
        </w:rPr>
        <w:t>The Minister (or delegate) is still the consent authority for these projects,</w:t>
      </w:r>
      <w:r w:rsidRPr="00280E94">
        <w:rPr>
          <w:rStyle w:val="FootnoteReference"/>
          <w:rFonts w:cs="Arial"/>
          <w:szCs w:val="22"/>
          <w:lang w:val="en-US"/>
        </w:rPr>
        <w:footnoteReference w:id="136"/>
      </w:r>
      <w:r w:rsidRPr="00280E94">
        <w:rPr>
          <w:rFonts w:cs="Arial"/>
          <w:szCs w:val="22"/>
          <w:lang w:val="en-US"/>
        </w:rPr>
        <w:t xml:space="preserve"> which are assessed by the Planning Department. </w:t>
      </w:r>
      <w:r w:rsidR="005F2A84">
        <w:rPr>
          <w:rFonts w:cs="Arial"/>
          <w:szCs w:val="22"/>
          <w:lang w:val="en-US"/>
        </w:rPr>
        <w:t>However, t</w:t>
      </w:r>
      <w:r w:rsidRPr="00280E94">
        <w:rPr>
          <w:rFonts w:cs="Arial"/>
          <w:szCs w:val="22"/>
        </w:rPr>
        <w:t xml:space="preserve">o reinforce an arms-length approach, the current Planning Minister </w:t>
      </w:r>
      <w:r w:rsidR="005F2A84">
        <w:rPr>
          <w:rFonts w:cs="Arial"/>
          <w:szCs w:val="22"/>
        </w:rPr>
        <w:t xml:space="preserve">has </w:t>
      </w:r>
      <w:r w:rsidRPr="00280E94">
        <w:rPr>
          <w:rFonts w:cs="Arial"/>
          <w:szCs w:val="22"/>
        </w:rPr>
        <w:t xml:space="preserve">delegated his project decision-making </w:t>
      </w:r>
      <w:r w:rsidRPr="00280E94">
        <w:rPr>
          <w:rFonts w:cs="Arial"/>
          <w:szCs w:val="22"/>
          <w:lang w:val="en-US"/>
        </w:rPr>
        <w:t>authority to senior departmental</w:t>
      </w:r>
      <w:r w:rsidRPr="008C04FF">
        <w:rPr>
          <w:rFonts w:cs="Arial"/>
          <w:szCs w:val="22"/>
          <w:lang w:val="en-US"/>
        </w:rPr>
        <w:t xml:space="preserve"> officials and the expert Planning Assessment Commission (</w:t>
      </w:r>
      <w:r w:rsidRPr="008C04FF">
        <w:rPr>
          <w:rFonts w:cs="Arial"/>
          <w:b/>
          <w:szCs w:val="22"/>
          <w:lang w:val="en-US"/>
        </w:rPr>
        <w:t>PAC</w:t>
      </w:r>
      <w:r w:rsidRPr="008C04FF">
        <w:rPr>
          <w:rFonts w:cs="Arial"/>
          <w:szCs w:val="22"/>
          <w:lang w:val="en-US"/>
        </w:rPr>
        <w:t xml:space="preserve">). </w:t>
      </w:r>
    </w:p>
    <w:p w:rsidR="000209F4" w:rsidRDefault="000209F4" w:rsidP="000209F4">
      <w:pPr>
        <w:rPr>
          <w:rFonts w:cs="Arial"/>
          <w:szCs w:val="22"/>
          <w:lang w:val="en-US"/>
        </w:rPr>
      </w:pPr>
    </w:p>
    <w:p w:rsidR="000209F4" w:rsidRPr="008C04FF" w:rsidRDefault="005F2A84" w:rsidP="000209F4">
      <w:pPr>
        <w:rPr>
          <w:rFonts w:cs="Arial"/>
          <w:szCs w:val="22"/>
          <w:lang w:eastAsia="en-AU"/>
        </w:rPr>
      </w:pPr>
      <w:r>
        <w:rPr>
          <w:rFonts w:cs="Arial"/>
          <w:szCs w:val="22"/>
          <w:lang w:val="en-US"/>
        </w:rPr>
        <w:t>In some circumstances, third party objectors can appeal on the m</w:t>
      </w:r>
      <w:r w:rsidR="000209F4" w:rsidRPr="008C04FF">
        <w:rPr>
          <w:rFonts w:cs="Arial"/>
          <w:szCs w:val="22"/>
          <w:lang w:val="en-US"/>
        </w:rPr>
        <w:t xml:space="preserve">erits against </w:t>
      </w:r>
      <w:proofErr w:type="spellStart"/>
      <w:r w:rsidR="000209F4" w:rsidRPr="008C04FF">
        <w:rPr>
          <w:rFonts w:cs="Arial"/>
          <w:szCs w:val="22"/>
          <w:lang w:val="en-US"/>
        </w:rPr>
        <w:t>SSD</w:t>
      </w:r>
      <w:proofErr w:type="spellEnd"/>
      <w:r w:rsidR="000209F4" w:rsidRPr="008C04FF">
        <w:rPr>
          <w:rFonts w:cs="Arial"/>
          <w:szCs w:val="22"/>
          <w:lang w:val="en-US"/>
        </w:rPr>
        <w:t xml:space="preserve"> </w:t>
      </w:r>
      <w:r w:rsidR="000209F4">
        <w:rPr>
          <w:rFonts w:cs="Arial"/>
          <w:szCs w:val="22"/>
          <w:lang w:val="en-US"/>
        </w:rPr>
        <w:t>decisions</w:t>
      </w:r>
      <w:r>
        <w:rPr>
          <w:rFonts w:cs="Arial"/>
          <w:szCs w:val="22"/>
          <w:lang w:val="en-US"/>
        </w:rPr>
        <w:t>,</w:t>
      </w:r>
      <w:r w:rsidR="000209F4" w:rsidRPr="008C04FF">
        <w:rPr>
          <w:rFonts w:cs="Arial"/>
          <w:szCs w:val="22"/>
          <w:lang w:val="en-US"/>
        </w:rPr>
        <w:t xml:space="preserve"> </w:t>
      </w:r>
      <w:r>
        <w:rPr>
          <w:rFonts w:cs="Arial"/>
          <w:szCs w:val="22"/>
          <w:lang w:val="en-US"/>
        </w:rPr>
        <w:t>but</w:t>
      </w:r>
      <w:r w:rsidR="000209F4">
        <w:rPr>
          <w:rFonts w:cs="Arial"/>
          <w:szCs w:val="22"/>
          <w:lang w:val="en-US"/>
        </w:rPr>
        <w:t xml:space="preserve"> </w:t>
      </w:r>
      <w:r w:rsidR="000209F4" w:rsidRPr="008C04FF">
        <w:rPr>
          <w:rFonts w:cs="Arial"/>
          <w:szCs w:val="22"/>
          <w:lang w:val="en-US"/>
        </w:rPr>
        <w:t xml:space="preserve">these rights are removed if the PAC </w:t>
      </w:r>
      <w:r>
        <w:rPr>
          <w:rFonts w:cs="Arial"/>
          <w:szCs w:val="22"/>
          <w:lang w:val="en-US"/>
        </w:rPr>
        <w:t>holds</w:t>
      </w:r>
      <w:r w:rsidR="000209F4" w:rsidRPr="008C04FF">
        <w:rPr>
          <w:rFonts w:cs="Arial"/>
          <w:szCs w:val="22"/>
          <w:lang w:val="en-US"/>
        </w:rPr>
        <w:t xml:space="preserve"> a public hearing</w:t>
      </w:r>
      <w:r>
        <w:rPr>
          <w:rFonts w:cs="Arial"/>
          <w:szCs w:val="22"/>
          <w:lang w:val="en-US"/>
        </w:rPr>
        <w:t xml:space="preserve"> (which is not unusual)</w:t>
      </w:r>
      <w:r w:rsidR="000209F4" w:rsidRPr="008C04FF">
        <w:rPr>
          <w:rFonts w:cs="Arial"/>
          <w:szCs w:val="22"/>
          <w:lang w:val="en-US"/>
        </w:rPr>
        <w:t>.</w:t>
      </w:r>
      <w:r w:rsidR="000209F4" w:rsidRPr="008C04FF">
        <w:rPr>
          <w:rStyle w:val="FootnoteReference"/>
          <w:rFonts w:cs="Arial"/>
          <w:szCs w:val="22"/>
          <w:lang w:val="en-US"/>
        </w:rPr>
        <w:footnoteReference w:id="137"/>
      </w:r>
      <w:r w:rsidR="000209F4" w:rsidRPr="008C04FF">
        <w:rPr>
          <w:rFonts w:cs="Arial"/>
          <w:szCs w:val="22"/>
          <w:lang w:val="en-US"/>
        </w:rPr>
        <w:t xml:space="preserve"> Another significant shortcoming retained </w:t>
      </w:r>
      <w:r>
        <w:rPr>
          <w:rFonts w:cs="Arial"/>
          <w:szCs w:val="22"/>
          <w:lang w:val="en-US"/>
        </w:rPr>
        <w:t>for both</w:t>
      </w:r>
      <w:r w:rsidR="000209F4" w:rsidRPr="008C04FF">
        <w:rPr>
          <w:rFonts w:cs="Arial"/>
          <w:szCs w:val="22"/>
          <w:lang w:val="en-US"/>
        </w:rPr>
        <w:t xml:space="preserve"> </w:t>
      </w:r>
      <w:proofErr w:type="spellStart"/>
      <w:r w:rsidR="000209F4" w:rsidRPr="008C04FF">
        <w:rPr>
          <w:rFonts w:cs="Arial"/>
          <w:szCs w:val="22"/>
          <w:lang w:val="en-US"/>
        </w:rPr>
        <w:t>SSD</w:t>
      </w:r>
      <w:proofErr w:type="spellEnd"/>
      <w:r>
        <w:rPr>
          <w:rFonts w:cs="Arial"/>
          <w:szCs w:val="22"/>
          <w:lang w:val="en-US"/>
        </w:rPr>
        <w:t xml:space="preserve"> and </w:t>
      </w:r>
      <w:r w:rsidR="000209F4">
        <w:rPr>
          <w:rFonts w:cs="Arial"/>
          <w:szCs w:val="22"/>
          <w:lang w:val="en-US"/>
        </w:rPr>
        <w:t>SSI</w:t>
      </w:r>
      <w:r>
        <w:rPr>
          <w:rFonts w:cs="Arial"/>
          <w:szCs w:val="22"/>
          <w:lang w:val="en-US"/>
        </w:rPr>
        <w:t xml:space="preserve"> i</w:t>
      </w:r>
      <w:r w:rsidR="000209F4" w:rsidRPr="008C04FF">
        <w:rPr>
          <w:rFonts w:cs="Arial"/>
          <w:szCs w:val="22"/>
          <w:lang w:val="en-US"/>
        </w:rPr>
        <w:t xml:space="preserve">s that major projects remain </w:t>
      </w:r>
      <w:r w:rsidR="000209F4" w:rsidRPr="008C04FF">
        <w:rPr>
          <w:rFonts w:cs="Arial"/>
          <w:i/>
          <w:szCs w:val="22"/>
          <w:lang w:val="en-US"/>
        </w:rPr>
        <w:t>exempt</w:t>
      </w:r>
      <w:r w:rsidR="000209F4" w:rsidRPr="008C04FF">
        <w:rPr>
          <w:rFonts w:cs="Arial"/>
          <w:szCs w:val="22"/>
          <w:lang w:val="en-US"/>
        </w:rPr>
        <w:t xml:space="preserve"> from a </w:t>
      </w:r>
      <w:r w:rsidR="00A67BF7">
        <w:rPr>
          <w:rFonts w:cs="Arial"/>
          <w:szCs w:val="22"/>
          <w:lang w:val="en-US"/>
        </w:rPr>
        <w:t xml:space="preserve">list </w:t>
      </w:r>
      <w:r w:rsidR="000209F4" w:rsidRPr="008C04FF">
        <w:rPr>
          <w:rFonts w:cs="Arial"/>
          <w:szCs w:val="22"/>
          <w:lang w:val="en-US"/>
        </w:rPr>
        <w:t>of ‘concurrence’ approvals re</w:t>
      </w:r>
      <w:r w:rsidR="000209F4">
        <w:rPr>
          <w:rFonts w:cs="Arial"/>
          <w:szCs w:val="22"/>
          <w:lang w:val="en-US"/>
        </w:rPr>
        <w:t xml:space="preserve">quired by law from </w:t>
      </w:r>
      <w:r w:rsidR="000209F4">
        <w:rPr>
          <w:rFonts w:cs="Arial"/>
          <w:szCs w:val="22"/>
          <w:lang w:val="en-US"/>
        </w:rPr>
        <w:lastRenderedPageBreak/>
        <w:t>various agencies (such as Aboriginal heritage impact permits and land-clearing approvals). O</w:t>
      </w:r>
      <w:r w:rsidR="000209F4" w:rsidRPr="008C04FF">
        <w:rPr>
          <w:rFonts w:cs="Arial"/>
          <w:szCs w:val="22"/>
          <w:lang w:val="en-US"/>
        </w:rPr>
        <w:t xml:space="preserve">ther </w:t>
      </w:r>
      <w:proofErr w:type="spellStart"/>
      <w:r w:rsidR="000209F4" w:rsidRPr="008C04FF">
        <w:rPr>
          <w:rFonts w:cs="Arial"/>
          <w:szCs w:val="22"/>
          <w:lang w:val="en-US"/>
        </w:rPr>
        <w:t>authorisations</w:t>
      </w:r>
      <w:proofErr w:type="spellEnd"/>
      <w:r w:rsidR="000209F4" w:rsidRPr="008C04FF">
        <w:rPr>
          <w:rFonts w:cs="Arial"/>
          <w:szCs w:val="22"/>
          <w:lang w:val="en-US"/>
        </w:rPr>
        <w:t xml:space="preserve"> </w:t>
      </w:r>
      <w:r w:rsidR="000209F4" w:rsidRPr="008C04FF">
        <w:rPr>
          <w:rFonts w:cs="Arial"/>
          <w:i/>
          <w:szCs w:val="22"/>
          <w:lang w:val="en-US"/>
        </w:rPr>
        <w:t>cannot be refused</w:t>
      </w:r>
      <w:r w:rsidR="000209F4">
        <w:rPr>
          <w:rFonts w:cs="Arial"/>
          <w:szCs w:val="22"/>
          <w:lang w:val="en-US"/>
        </w:rPr>
        <w:t xml:space="preserve"> by the agency (such as pollution </w:t>
      </w:r>
      <w:proofErr w:type="spellStart"/>
      <w:r w:rsidR="000209F4">
        <w:rPr>
          <w:rFonts w:cs="Arial"/>
          <w:szCs w:val="22"/>
          <w:lang w:val="en-US"/>
        </w:rPr>
        <w:t>licences</w:t>
      </w:r>
      <w:proofErr w:type="spellEnd"/>
      <w:r w:rsidR="000209F4">
        <w:rPr>
          <w:rFonts w:cs="Arial"/>
          <w:szCs w:val="22"/>
          <w:lang w:val="en-US"/>
        </w:rPr>
        <w:t xml:space="preserve"> from the NSW EPA)</w:t>
      </w:r>
      <w:r w:rsidR="000209F4" w:rsidRPr="008C04FF">
        <w:rPr>
          <w:rFonts w:cs="Arial"/>
          <w:szCs w:val="22"/>
          <w:lang w:val="en-US"/>
        </w:rPr>
        <w:t xml:space="preserve">, and </w:t>
      </w:r>
      <w:r w:rsidR="000209F4">
        <w:rPr>
          <w:rFonts w:cs="Arial"/>
          <w:szCs w:val="22"/>
          <w:lang w:val="en-US"/>
        </w:rPr>
        <w:t xml:space="preserve">their terms </w:t>
      </w:r>
      <w:r w:rsidR="000209F4" w:rsidRPr="008C04FF">
        <w:rPr>
          <w:rFonts w:cs="Arial"/>
          <w:szCs w:val="22"/>
          <w:lang w:val="en-US"/>
        </w:rPr>
        <w:t xml:space="preserve">must be consistent with an </w:t>
      </w:r>
      <w:proofErr w:type="spellStart"/>
      <w:r w:rsidR="000209F4" w:rsidRPr="008C04FF">
        <w:rPr>
          <w:rFonts w:cs="Arial"/>
          <w:szCs w:val="22"/>
          <w:lang w:val="en-US"/>
        </w:rPr>
        <w:t>SSD</w:t>
      </w:r>
      <w:proofErr w:type="spellEnd"/>
      <w:r w:rsidR="000209F4" w:rsidRPr="008C04FF">
        <w:rPr>
          <w:rFonts w:cs="Arial"/>
          <w:szCs w:val="22"/>
          <w:lang w:val="en-US"/>
        </w:rPr>
        <w:t xml:space="preserve"> project approval.</w:t>
      </w:r>
      <w:r w:rsidR="000209F4" w:rsidRPr="008C04FF">
        <w:rPr>
          <w:rStyle w:val="FootnoteReference"/>
          <w:rFonts w:cs="Arial"/>
          <w:szCs w:val="22"/>
          <w:lang w:val="en-US"/>
        </w:rPr>
        <w:footnoteReference w:id="138"/>
      </w:r>
      <w:r w:rsidR="000209F4" w:rsidRPr="008C04FF">
        <w:rPr>
          <w:rFonts w:cs="Arial"/>
          <w:szCs w:val="22"/>
          <w:lang w:val="en-US"/>
        </w:rPr>
        <w:t xml:space="preserve"> </w:t>
      </w:r>
      <w:r w:rsidR="00A67BF7">
        <w:rPr>
          <w:rFonts w:cs="Arial"/>
          <w:szCs w:val="22"/>
          <w:lang w:val="en-US"/>
        </w:rPr>
        <w:t xml:space="preserve">These fast-track approaches reduce transparency, scrutiny and public trust. </w:t>
      </w:r>
    </w:p>
    <w:p w:rsidR="000209F4" w:rsidRDefault="000209F4" w:rsidP="000209F4">
      <w:pPr>
        <w:rPr>
          <w:rFonts w:cs="Arial"/>
        </w:rPr>
      </w:pPr>
    </w:p>
    <w:p w:rsidR="000209F4" w:rsidRDefault="00F019E5" w:rsidP="009C52E3">
      <w:pPr>
        <w:pStyle w:val="Heading2"/>
        <w:numPr>
          <w:ilvl w:val="0"/>
          <w:numId w:val="49"/>
        </w:numPr>
      </w:pPr>
      <w:bookmarkStart w:id="43" w:name="_Toc351985919"/>
      <w:r>
        <w:t>NSW Planning Green Paper:</w:t>
      </w:r>
      <w:r w:rsidR="000209F4">
        <w:t xml:space="preserve"> general comments </w:t>
      </w:r>
      <w:r>
        <w:t>&amp;</w:t>
      </w:r>
      <w:r w:rsidR="000209F4">
        <w:t xml:space="preserve"> recommendations</w:t>
      </w:r>
      <w:bookmarkEnd w:id="43"/>
    </w:p>
    <w:p w:rsidR="00A67BF7" w:rsidRDefault="000209F4" w:rsidP="000209F4">
      <w:pPr>
        <w:rPr>
          <w:rFonts w:cs="Arial"/>
        </w:rPr>
      </w:pPr>
      <w:r>
        <w:rPr>
          <w:rFonts w:cs="Arial"/>
        </w:rPr>
        <w:t>The wider review of the NSW planning system is still in progress,</w:t>
      </w:r>
      <w:r w:rsidRPr="00D41C58">
        <w:rPr>
          <w:rFonts w:cs="Arial"/>
        </w:rPr>
        <w:t xml:space="preserve"> </w:t>
      </w:r>
      <w:r w:rsidR="00CA00E6">
        <w:rPr>
          <w:rFonts w:cs="Arial"/>
        </w:rPr>
        <w:t>with a detailed policy White Paper</w:t>
      </w:r>
      <w:r>
        <w:rPr>
          <w:rFonts w:cs="Arial"/>
        </w:rPr>
        <w:t xml:space="preserve"> expected in </w:t>
      </w:r>
      <w:r w:rsidR="00A67BF7">
        <w:rPr>
          <w:rFonts w:cs="Arial"/>
        </w:rPr>
        <w:t>the first half of</w:t>
      </w:r>
      <w:r>
        <w:rPr>
          <w:rFonts w:cs="Arial"/>
        </w:rPr>
        <w:t xml:space="preserve"> 2013. The review should be a </w:t>
      </w:r>
      <w:r w:rsidR="00A67BF7">
        <w:rPr>
          <w:rFonts w:cs="Arial"/>
        </w:rPr>
        <w:t>once-in-a-generation</w:t>
      </w:r>
      <w:r>
        <w:rPr>
          <w:rFonts w:cs="Arial"/>
        </w:rPr>
        <w:t xml:space="preserve"> opportunity to implement leading practices, and reinvigorate the State’s planning, assessment and approval laws after 30 years of piecemeal amendments. However, initial signals are less encouraging. </w:t>
      </w:r>
    </w:p>
    <w:p w:rsidR="00A67BF7" w:rsidRDefault="00A67BF7" w:rsidP="000209F4">
      <w:pPr>
        <w:rPr>
          <w:rFonts w:cs="Arial"/>
        </w:rPr>
      </w:pPr>
    </w:p>
    <w:p w:rsidR="000209F4" w:rsidRDefault="000209F4" w:rsidP="00A67BF7">
      <w:pPr>
        <w:spacing w:after="120"/>
        <w:rPr>
          <w:rFonts w:cs="Arial"/>
        </w:rPr>
      </w:pPr>
      <w:r>
        <w:rPr>
          <w:rFonts w:cs="Arial"/>
        </w:rPr>
        <w:t>In May 2012, an independent review report by two former state ministers was delivered to the NSW Government</w:t>
      </w:r>
      <w:r w:rsidR="00A67BF7">
        <w:rPr>
          <w:rFonts w:cs="Arial"/>
        </w:rPr>
        <w:t>,</w:t>
      </w:r>
      <w:r>
        <w:rPr>
          <w:rFonts w:cs="Arial"/>
        </w:rPr>
        <w:t xml:space="preserve"> following public </w:t>
      </w:r>
      <w:r w:rsidR="00A67BF7">
        <w:rPr>
          <w:rFonts w:cs="Arial"/>
        </w:rPr>
        <w:t>meetings and submissions</w:t>
      </w:r>
      <w:r>
        <w:rPr>
          <w:rFonts w:cs="Arial"/>
        </w:rPr>
        <w:t xml:space="preserve">. In July 2012, the </w:t>
      </w:r>
      <w:r>
        <w:t xml:space="preserve">Government </w:t>
      </w:r>
      <w:r>
        <w:rPr>
          <w:rFonts w:cs="Arial"/>
        </w:rPr>
        <w:t xml:space="preserve">released its initial policy response, </w:t>
      </w:r>
      <w:r>
        <w:rPr>
          <w:i/>
        </w:rPr>
        <w:t xml:space="preserve">A New Planning System for NSW – Green Paper </w:t>
      </w:r>
      <w:r>
        <w:t>(</w:t>
      </w:r>
      <w:r>
        <w:rPr>
          <w:b/>
        </w:rPr>
        <w:t>Green Paper</w:t>
      </w:r>
      <w:r>
        <w:t>),</w:t>
      </w:r>
      <w:r w:rsidRPr="004A30B9">
        <w:rPr>
          <w:rFonts w:cs="Arial"/>
        </w:rPr>
        <w:t xml:space="preserve"> </w:t>
      </w:r>
      <w:r>
        <w:rPr>
          <w:rFonts w:cs="Arial"/>
        </w:rPr>
        <w:t xml:space="preserve">for further consultation. The Green Paper sets out </w:t>
      </w:r>
      <w:r w:rsidRPr="00EC110A">
        <w:rPr>
          <w:rFonts w:cs="Arial"/>
        </w:rPr>
        <w:t>five key concepts</w:t>
      </w:r>
      <w:r>
        <w:rPr>
          <w:rFonts w:cs="Arial"/>
        </w:rPr>
        <w:t xml:space="preserve"> for the </w:t>
      </w:r>
      <w:r w:rsidRPr="009B0116">
        <w:rPr>
          <w:rFonts w:cs="Arial"/>
        </w:rPr>
        <w:t>new planning system:</w:t>
      </w:r>
      <w:r w:rsidR="009B0116" w:rsidRPr="009B0116">
        <w:rPr>
          <w:rStyle w:val="FootnoteReference"/>
          <w:rFonts w:cs="Arial"/>
          <w:sz w:val="20"/>
          <w:szCs w:val="20"/>
        </w:rPr>
        <w:footnoteReference w:id="139"/>
      </w:r>
      <w:r>
        <w:rPr>
          <w:rFonts w:cs="Arial"/>
        </w:rPr>
        <w:t xml:space="preserve"> </w:t>
      </w:r>
    </w:p>
    <w:p w:rsidR="000209F4" w:rsidRPr="00AE005B" w:rsidRDefault="000209F4" w:rsidP="009C52E3">
      <w:pPr>
        <w:numPr>
          <w:ilvl w:val="0"/>
          <w:numId w:val="31"/>
        </w:numPr>
        <w:rPr>
          <w:rFonts w:cs="Arial"/>
          <w:b/>
          <w:i/>
          <w:sz w:val="20"/>
          <w:szCs w:val="20"/>
        </w:rPr>
      </w:pPr>
      <w:r w:rsidRPr="00AE005B">
        <w:rPr>
          <w:rFonts w:cs="Arial"/>
          <w:b/>
          <w:i/>
          <w:sz w:val="20"/>
          <w:szCs w:val="20"/>
        </w:rPr>
        <w:t>Community participation</w:t>
      </w:r>
      <w:r w:rsidR="00AE005B">
        <w:rPr>
          <w:rFonts w:cs="Arial"/>
          <w:b/>
          <w:i/>
          <w:sz w:val="20"/>
          <w:szCs w:val="20"/>
        </w:rPr>
        <w:t xml:space="preserve"> </w:t>
      </w:r>
      <w:r w:rsidR="00AE005B">
        <w:rPr>
          <w:rFonts w:cs="Arial"/>
          <w:b/>
          <w:sz w:val="20"/>
          <w:szCs w:val="20"/>
        </w:rPr>
        <w:t>–</w:t>
      </w:r>
      <w:r w:rsidRPr="00AE005B">
        <w:rPr>
          <w:rFonts w:cs="Arial"/>
          <w:b/>
          <w:i/>
          <w:sz w:val="20"/>
          <w:szCs w:val="20"/>
        </w:rPr>
        <w:t xml:space="preserve"> </w:t>
      </w:r>
      <w:r w:rsidR="00AE005B" w:rsidRPr="00AE005B">
        <w:rPr>
          <w:i/>
          <w:sz w:val="20"/>
          <w:szCs w:val="20"/>
        </w:rPr>
        <w:t>Involving the comm</w:t>
      </w:r>
      <w:r w:rsidR="00A67BF7">
        <w:rPr>
          <w:i/>
          <w:sz w:val="20"/>
          <w:szCs w:val="20"/>
        </w:rPr>
        <w:t xml:space="preserve">unity early on key </w:t>
      </w:r>
      <w:r w:rsidR="00AE005B" w:rsidRPr="00AE005B">
        <w:rPr>
          <w:i/>
          <w:sz w:val="20"/>
          <w:szCs w:val="20"/>
        </w:rPr>
        <w:t>decisions</w:t>
      </w:r>
      <w:r w:rsidR="00AE005B">
        <w:rPr>
          <w:i/>
          <w:sz w:val="20"/>
          <w:szCs w:val="20"/>
        </w:rPr>
        <w:t>;</w:t>
      </w:r>
    </w:p>
    <w:p w:rsidR="000209F4" w:rsidRPr="00AE005B" w:rsidRDefault="00AE005B" w:rsidP="009C52E3">
      <w:pPr>
        <w:numPr>
          <w:ilvl w:val="0"/>
          <w:numId w:val="31"/>
        </w:numPr>
        <w:rPr>
          <w:rFonts w:cs="Arial"/>
          <w:b/>
          <w:i/>
          <w:sz w:val="20"/>
          <w:szCs w:val="20"/>
        </w:rPr>
      </w:pPr>
      <w:r>
        <w:rPr>
          <w:rFonts w:cs="Arial"/>
          <w:b/>
          <w:i/>
          <w:sz w:val="20"/>
          <w:szCs w:val="20"/>
        </w:rPr>
        <w:t>Strategic focus –</w:t>
      </w:r>
      <w:r w:rsidR="000209F4" w:rsidRPr="00AE005B">
        <w:rPr>
          <w:rFonts w:cs="Arial"/>
          <w:b/>
          <w:i/>
          <w:sz w:val="20"/>
          <w:szCs w:val="20"/>
        </w:rPr>
        <w:t xml:space="preserve"> </w:t>
      </w:r>
      <w:r w:rsidRPr="00AE005B">
        <w:rPr>
          <w:i/>
          <w:sz w:val="20"/>
          <w:szCs w:val="20"/>
        </w:rPr>
        <w:t>Preparing good policies upfront to guide growth and development</w:t>
      </w:r>
      <w:r>
        <w:rPr>
          <w:i/>
          <w:sz w:val="20"/>
          <w:szCs w:val="20"/>
        </w:rPr>
        <w:t>;</w:t>
      </w:r>
    </w:p>
    <w:p w:rsidR="000209F4" w:rsidRPr="00AE005B" w:rsidRDefault="000209F4" w:rsidP="009C52E3">
      <w:pPr>
        <w:numPr>
          <w:ilvl w:val="0"/>
          <w:numId w:val="31"/>
        </w:numPr>
        <w:rPr>
          <w:rFonts w:cs="Arial"/>
          <w:b/>
          <w:i/>
          <w:sz w:val="20"/>
          <w:szCs w:val="20"/>
        </w:rPr>
      </w:pPr>
      <w:r w:rsidRPr="00AE005B">
        <w:rPr>
          <w:rFonts w:cs="Arial"/>
          <w:b/>
          <w:i/>
          <w:sz w:val="20"/>
          <w:szCs w:val="20"/>
        </w:rPr>
        <w:t>Streamlined approval</w:t>
      </w:r>
      <w:r w:rsidR="00AE005B" w:rsidRPr="00AE005B">
        <w:rPr>
          <w:rFonts w:cs="Arial"/>
          <w:b/>
          <w:i/>
          <w:sz w:val="20"/>
          <w:szCs w:val="20"/>
        </w:rPr>
        <w:t xml:space="preserve"> </w:t>
      </w:r>
      <w:r w:rsidR="00AE005B" w:rsidRPr="00AE005B">
        <w:rPr>
          <w:i/>
          <w:sz w:val="20"/>
          <w:szCs w:val="20"/>
        </w:rPr>
        <w:t xml:space="preserve">– Make proposal assessment faster </w:t>
      </w:r>
      <w:r w:rsidR="00AE005B">
        <w:rPr>
          <w:i/>
          <w:sz w:val="20"/>
          <w:szCs w:val="20"/>
        </w:rPr>
        <w:t>and</w:t>
      </w:r>
      <w:r w:rsidR="00AE005B" w:rsidRPr="00AE005B">
        <w:rPr>
          <w:i/>
          <w:sz w:val="20"/>
          <w:szCs w:val="20"/>
        </w:rPr>
        <w:t xml:space="preserve"> simpler by removing duplicatio</w:t>
      </w:r>
      <w:r w:rsidR="00AE005B">
        <w:rPr>
          <w:i/>
          <w:sz w:val="20"/>
          <w:szCs w:val="20"/>
        </w:rPr>
        <w:t>n;</w:t>
      </w:r>
      <w:r w:rsidRPr="00AE005B">
        <w:rPr>
          <w:rFonts w:cs="Arial"/>
          <w:b/>
          <w:i/>
          <w:sz w:val="20"/>
          <w:szCs w:val="20"/>
        </w:rPr>
        <w:t xml:space="preserve"> </w:t>
      </w:r>
    </w:p>
    <w:p w:rsidR="000209F4" w:rsidRPr="00AE005B" w:rsidRDefault="000209F4" w:rsidP="009C52E3">
      <w:pPr>
        <w:numPr>
          <w:ilvl w:val="0"/>
          <w:numId w:val="31"/>
        </w:numPr>
        <w:rPr>
          <w:rFonts w:cs="Arial"/>
          <w:b/>
          <w:i/>
          <w:sz w:val="20"/>
          <w:szCs w:val="20"/>
        </w:rPr>
      </w:pPr>
      <w:r w:rsidRPr="00AE005B">
        <w:rPr>
          <w:rFonts w:cs="Arial"/>
          <w:b/>
          <w:i/>
          <w:sz w:val="20"/>
          <w:szCs w:val="20"/>
        </w:rPr>
        <w:t>Infrastructure provision</w:t>
      </w:r>
      <w:r w:rsidR="00AE005B" w:rsidRPr="00AE005B">
        <w:rPr>
          <w:rFonts w:cs="Arial"/>
          <w:b/>
          <w:i/>
          <w:sz w:val="20"/>
          <w:szCs w:val="20"/>
        </w:rPr>
        <w:t xml:space="preserve"> </w:t>
      </w:r>
      <w:r w:rsidR="00AE005B" w:rsidRPr="00AE005B">
        <w:rPr>
          <w:rFonts w:cs="Arial"/>
          <w:i/>
          <w:sz w:val="20"/>
          <w:szCs w:val="20"/>
        </w:rPr>
        <w:t xml:space="preserve">– </w:t>
      </w:r>
      <w:r w:rsidR="00AE005B" w:rsidRPr="00AE005B">
        <w:rPr>
          <w:i/>
          <w:sz w:val="20"/>
          <w:szCs w:val="20"/>
        </w:rPr>
        <w:t>Ensuring it is planned and delivered to support new and existing communities</w:t>
      </w:r>
      <w:r w:rsidRPr="00AE005B">
        <w:rPr>
          <w:rFonts w:cs="Arial"/>
          <w:i/>
          <w:sz w:val="20"/>
          <w:szCs w:val="20"/>
        </w:rPr>
        <w:t>; and</w:t>
      </w:r>
      <w:r w:rsidRPr="00AE005B">
        <w:rPr>
          <w:rFonts w:cs="Arial"/>
          <w:b/>
          <w:i/>
          <w:sz w:val="20"/>
          <w:szCs w:val="20"/>
        </w:rPr>
        <w:t xml:space="preserve"> </w:t>
      </w:r>
    </w:p>
    <w:p w:rsidR="000209F4" w:rsidRPr="00AE005B" w:rsidRDefault="000209F4" w:rsidP="009C52E3">
      <w:pPr>
        <w:numPr>
          <w:ilvl w:val="0"/>
          <w:numId w:val="31"/>
        </w:numPr>
        <w:rPr>
          <w:rFonts w:cs="Arial"/>
          <w:i/>
          <w:sz w:val="20"/>
          <w:szCs w:val="20"/>
        </w:rPr>
      </w:pPr>
      <w:r w:rsidRPr="00AE005B">
        <w:rPr>
          <w:rFonts w:cs="Arial"/>
          <w:b/>
          <w:i/>
          <w:sz w:val="20"/>
          <w:szCs w:val="20"/>
        </w:rPr>
        <w:t>‘Delivery’ culture</w:t>
      </w:r>
      <w:r w:rsidR="00AE005B" w:rsidRPr="00AE005B">
        <w:rPr>
          <w:rFonts w:cs="Arial"/>
          <w:b/>
          <w:i/>
          <w:sz w:val="20"/>
          <w:szCs w:val="20"/>
        </w:rPr>
        <w:t xml:space="preserve"> </w:t>
      </w:r>
      <w:r w:rsidR="00AE005B">
        <w:rPr>
          <w:rFonts w:cs="Arial"/>
          <w:b/>
          <w:i/>
          <w:sz w:val="20"/>
          <w:szCs w:val="20"/>
        </w:rPr>
        <w:t xml:space="preserve">– </w:t>
      </w:r>
      <w:r w:rsidR="00AE005B" w:rsidRPr="00AE005B">
        <w:rPr>
          <w:i/>
          <w:sz w:val="20"/>
          <w:szCs w:val="20"/>
        </w:rPr>
        <w:t xml:space="preserve">Promote a can-do culture; government </w:t>
      </w:r>
      <w:r w:rsidR="00A67BF7">
        <w:rPr>
          <w:i/>
          <w:sz w:val="20"/>
          <w:szCs w:val="20"/>
        </w:rPr>
        <w:t>and</w:t>
      </w:r>
      <w:r w:rsidR="00AE005B" w:rsidRPr="00AE005B">
        <w:rPr>
          <w:i/>
          <w:sz w:val="20"/>
          <w:szCs w:val="20"/>
        </w:rPr>
        <w:t xml:space="preserve"> councils accountable for results.</w:t>
      </w:r>
      <w:r w:rsidRPr="00AE005B">
        <w:rPr>
          <w:rFonts w:cs="Arial"/>
          <w:i/>
          <w:sz w:val="20"/>
          <w:szCs w:val="20"/>
        </w:rPr>
        <w:t xml:space="preserve"> </w:t>
      </w:r>
    </w:p>
    <w:p w:rsidR="000209F4" w:rsidRDefault="000209F4" w:rsidP="000209F4">
      <w:pPr>
        <w:rPr>
          <w:rFonts w:cs="Arial"/>
        </w:rPr>
      </w:pPr>
    </w:p>
    <w:p w:rsidR="000209F4" w:rsidRDefault="000209F4" w:rsidP="000209F4">
      <w:pPr>
        <w:rPr>
          <w:rFonts w:cs="Arial"/>
        </w:rPr>
      </w:pPr>
      <w:r>
        <w:rPr>
          <w:rFonts w:cs="Arial"/>
        </w:rPr>
        <w:t xml:space="preserve">A ‘feedback summary’ released by the Government in December 2012 revealed a significant divergence of opinion on the Green Paper’s priorities. Broadly, development and industry groups were strongly supportive. Community groups and local councils were concerned at a lack of balance between economic, social and environmental issues (including public participation rights). Planners had mixed perspectives on various aspects; and public participation experts (and others) noted the significant resources and training needed to genuinely engage communities at the strategic planning stage. </w:t>
      </w:r>
    </w:p>
    <w:p w:rsidR="000209F4" w:rsidRDefault="000209F4" w:rsidP="000209F4">
      <w:pPr>
        <w:rPr>
          <w:rFonts w:cs="Arial"/>
        </w:rPr>
      </w:pPr>
    </w:p>
    <w:p w:rsidR="00122E8F" w:rsidRPr="007D47B5" w:rsidRDefault="000209F4" w:rsidP="00CA00E6">
      <w:pPr>
        <w:spacing w:after="120"/>
        <w:rPr>
          <w:rFonts w:cs="Arial"/>
          <w:b/>
        </w:rPr>
      </w:pPr>
      <w:r w:rsidRPr="007D47B5">
        <w:rPr>
          <w:rFonts w:cs="Arial"/>
          <w:b/>
        </w:rPr>
        <w:t>EDO NSW made a detailed submission with 40 broad recommendations for a best practice planning system</w:t>
      </w:r>
      <w:r w:rsidR="00A67BF7" w:rsidRPr="007D47B5">
        <w:rPr>
          <w:rFonts w:cs="Arial"/>
          <w:b/>
        </w:rPr>
        <w:t xml:space="preserve"> –</w:t>
      </w:r>
      <w:r w:rsidRPr="007D47B5">
        <w:rPr>
          <w:rFonts w:cs="Arial"/>
          <w:b/>
        </w:rPr>
        <w:t xml:space="preserve"> highlighting ‘</w:t>
      </w:r>
      <w:proofErr w:type="spellStart"/>
      <w:r w:rsidRPr="007D47B5">
        <w:rPr>
          <w:rFonts w:cs="Arial"/>
          <w:b/>
        </w:rPr>
        <w:t>ESD</w:t>
      </w:r>
      <w:proofErr w:type="spellEnd"/>
      <w:r w:rsidRPr="007D47B5">
        <w:rPr>
          <w:rFonts w:cs="Arial"/>
          <w:b/>
        </w:rPr>
        <w:t>’, community participation and environmental protection as essential factors.</w:t>
      </w:r>
      <w:r w:rsidRPr="007D47B5">
        <w:rPr>
          <w:rStyle w:val="FootnoteReference"/>
          <w:rFonts w:cs="Arial"/>
          <w:b/>
        </w:rPr>
        <w:footnoteReference w:id="140"/>
      </w:r>
      <w:r w:rsidRPr="007D47B5">
        <w:rPr>
          <w:rFonts w:cs="Arial"/>
          <w:b/>
        </w:rPr>
        <w:t xml:space="preserve">  </w:t>
      </w:r>
      <w:r w:rsidR="00122E8F" w:rsidRPr="007D47B5">
        <w:rPr>
          <w:rFonts w:cs="Arial"/>
          <w:b/>
        </w:rPr>
        <w:t>Key recommendations include:</w:t>
      </w:r>
      <w:r w:rsidR="00122E8F" w:rsidRPr="007D47B5">
        <w:rPr>
          <w:rStyle w:val="FootnoteReference"/>
          <w:rFonts w:cs="Arial"/>
          <w:b/>
        </w:rPr>
        <w:footnoteReference w:id="141"/>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Adopt ecologically sustainable development (</w:t>
      </w:r>
      <w:proofErr w:type="spellStart"/>
      <w:r w:rsidRPr="00CA00E6">
        <w:rPr>
          <w:rFonts w:ascii="Arial" w:hAnsi="Arial" w:cs="Arial"/>
        </w:rPr>
        <w:t>ESD</w:t>
      </w:r>
      <w:proofErr w:type="spellEnd"/>
      <w:r w:rsidRPr="00CA00E6">
        <w:rPr>
          <w:rFonts w:ascii="Arial" w:hAnsi="Arial" w:cs="Arial"/>
        </w:rPr>
        <w:t>) as the overarching aim, and reflect this in decision-making requirements and assessment processes</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Objective decision criteria (such as ‘maintain or improve’ environmental outcomes)</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Mandatory public participation at all stages, led by a statutory ‘charter’</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Legal framework for strategic planning that includes cumulative impact assessment</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Make planning laws climate change-ready (assessment, mitigation and adaptation)</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 xml:space="preserve">Integrate planning laws with environment protection and </w:t>
      </w:r>
      <w:proofErr w:type="spellStart"/>
      <w:r w:rsidRPr="00CA00E6">
        <w:rPr>
          <w:rFonts w:ascii="Arial" w:hAnsi="Arial" w:cs="Arial"/>
        </w:rPr>
        <w:t>NRM</w:t>
      </w:r>
      <w:proofErr w:type="spellEnd"/>
      <w:r w:rsidRPr="00CA00E6">
        <w:rPr>
          <w:rFonts w:ascii="Arial" w:hAnsi="Arial" w:cs="Arial"/>
        </w:rPr>
        <w:t xml:space="preserve"> laws and targets </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lastRenderedPageBreak/>
        <w:t xml:space="preserve">Independent, quality-assured, science-based environmental impact assessment </w:t>
      </w:r>
    </w:p>
    <w:p w:rsidR="00122E8F" w:rsidRPr="00CA00E6" w:rsidRDefault="00122E8F" w:rsidP="00CA00E6">
      <w:pPr>
        <w:pStyle w:val="ListParagraph"/>
        <w:numPr>
          <w:ilvl w:val="0"/>
          <w:numId w:val="4"/>
        </w:numPr>
        <w:spacing w:after="0" w:line="240" w:lineRule="auto"/>
        <w:rPr>
          <w:rFonts w:ascii="Arial" w:hAnsi="Arial" w:cs="Arial"/>
        </w:rPr>
      </w:pPr>
      <w:r w:rsidRPr="00CA00E6">
        <w:rPr>
          <w:rFonts w:ascii="Arial" w:hAnsi="Arial" w:cs="Arial"/>
        </w:rPr>
        <w:t>Accountability – third party appeal rights, open standing, enforcement and reporting</w:t>
      </w:r>
    </w:p>
    <w:p w:rsidR="00122E8F" w:rsidRPr="00CA00E6" w:rsidRDefault="00122E8F" w:rsidP="00CA00E6">
      <w:pPr>
        <w:pStyle w:val="ListParagraph"/>
        <w:numPr>
          <w:ilvl w:val="0"/>
          <w:numId w:val="4"/>
        </w:numPr>
        <w:spacing w:after="0" w:line="240" w:lineRule="auto"/>
        <w:ind w:left="357" w:hanging="357"/>
        <w:contextualSpacing w:val="0"/>
        <w:rPr>
          <w:rFonts w:ascii="Arial" w:hAnsi="Arial" w:cs="Arial"/>
        </w:rPr>
      </w:pPr>
      <w:r w:rsidRPr="00CA00E6">
        <w:rPr>
          <w:rFonts w:ascii="Arial" w:hAnsi="Arial" w:cs="Arial"/>
        </w:rPr>
        <w:t>Fast-track green development for sustainable and socially responsible projects.</w:t>
      </w:r>
      <w:r w:rsidRPr="00CA00E6">
        <w:rPr>
          <w:rStyle w:val="FootnoteReference"/>
          <w:rFonts w:ascii="Arial" w:hAnsi="Arial" w:cs="Arial"/>
        </w:rPr>
        <w:footnoteReference w:id="142"/>
      </w:r>
      <w:r w:rsidRPr="00CA00E6">
        <w:rPr>
          <w:rFonts w:ascii="Arial" w:hAnsi="Arial" w:cs="Arial"/>
        </w:rPr>
        <w:t xml:space="preserve"> </w:t>
      </w:r>
    </w:p>
    <w:p w:rsidR="00122E8F" w:rsidRDefault="00122E8F" w:rsidP="000209F4">
      <w:pPr>
        <w:rPr>
          <w:rFonts w:cs="Arial"/>
        </w:rPr>
      </w:pPr>
    </w:p>
    <w:p w:rsidR="000209F4" w:rsidRDefault="000209F4" w:rsidP="000209F4">
      <w:pPr>
        <w:rPr>
          <w:rFonts w:cs="Arial"/>
        </w:rPr>
      </w:pPr>
      <w:r>
        <w:rPr>
          <w:rFonts w:cs="Arial"/>
        </w:rPr>
        <w:t xml:space="preserve">A range of proposals in the NSW Green Paper are of concern regarding environmental protection, sustainability and equitable rights for the community. For example, the trade-off </w:t>
      </w:r>
      <w:r w:rsidR="00122E8F">
        <w:rPr>
          <w:rFonts w:cs="Arial"/>
        </w:rPr>
        <w:t>for</w:t>
      </w:r>
      <w:r>
        <w:rPr>
          <w:rFonts w:cs="Arial"/>
        </w:rPr>
        <w:t xml:space="preserve"> </w:t>
      </w:r>
      <w:r w:rsidR="00122E8F">
        <w:rPr>
          <w:rFonts w:cs="Arial"/>
        </w:rPr>
        <w:t>‘</w:t>
      </w:r>
      <w:r>
        <w:rPr>
          <w:rFonts w:cs="Arial"/>
        </w:rPr>
        <w:t>early community participation</w:t>
      </w:r>
      <w:r w:rsidR="00122E8F">
        <w:rPr>
          <w:rFonts w:cs="Arial"/>
        </w:rPr>
        <w:t>’</w:t>
      </w:r>
      <w:r>
        <w:rPr>
          <w:rFonts w:cs="Arial"/>
        </w:rPr>
        <w:t xml:space="preserve"> </w:t>
      </w:r>
      <w:r w:rsidR="00122E8F">
        <w:rPr>
          <w:rFonts w:cs="Arial"/>
        </w:rPr>
        <w:t xml:space="preserve">at the strategic level </w:t>
      </w:r>
      <w:r>
        <w:rPr>
          <w:rFonts w:cs="Arial"/>
        </w:rPr>
        <w:t xml:space="preserve">is </w:t>
      </w:r>
      <w:r w:rsidR="00A67BF7">
        <w:rPr>
          <w:rFonts w:cs="Arial"/>
        </w:rPr>
        <w:t>that</w:t>
      </w:r>
      <w:r>
        <w:rPr>
          <w:rFonts w:cs="Arial"/>
        </w:rPr>
        <w:t xml:space="preserve"> </w:t>
      </w:r>
      <w:r w:rsidR="00A67BF7">
        <w:rPr>
          <w:rFonts w:cs="Arial"/>
        </w:rPr>
        <w:t>project-level input would be limited</w:t>
      </w:r>
      <w:r w:rsidR="00122E8F">
        <w:rPr>
          <w:rFonts w:cs="Arial"/>
        </w:rPr>
        <w:t>, and code-based assessment ‘maximised’</w:t>
      </w:r>
      <w:r w:rsidR="00A67BF7">
        <w:rPr>
          <w:rFonts w:cs="Arial"/>
        </w:rPr>
        <w:t>.</w:t>
      </w:r>
      <w:r w:rsidR="00122E8F">
        <w:rPr>
          <w:rFonts w:cs="Arial"/>
        </w:rPr>
        <w:t xml:space="preserve"> D</w:t>
      </w:r>
      <w:r>
        <w:rPr>
          <w:rFonts w:cs="Arial"/>
        </w:rPr>
        <w:t xml:space="preserve">evelopers </w:t>
      </w:r>
      <w:r w:rsidR="00A67BF7">
        <w:rPr>
          <w:rFonts w:cs="Arial"/>
        </w:rPr>
        <w:t xml:space="preserve">would be given </w:t>
      </w:r>
      <w:r>
        <w:rPr>
          <w:rFonts w:cs="Arial"/>
        </w:rPr>
        <w:t>greater certainty (and in some ways, more flexibility) to have development approved once local and regional strategies are set</w:t>
      </w:r>
      <w:r w:rsidR="00122E8F">
        <w:rPr>
          <w:rFonts w:cs="Arial"/>
        </w:rPr>
        <w:t>; and disproportionate rights to challenge unfavourable decisions</w:t>
      </w:r>
      <w:r>
        <w:rPr>
          <w:rFonts w:cs="Arial"/>
        </w:rPr>
        <w:t>. The Green Paper is also light on practical measures to ensure ‘triple bottom line’ integration of the environment</w:t>
      </w:r>
      <w:r w:rsidR="00122E8F">
        <w:rPr>
          <w:rFonts w:cs="Arial"/>
        </w:rPr>
        <w:t xml:space="preserve">, despite references to cumulative impacts and </w:t>
      </w:r>
      <w:proofErr w:type="spellStart"/>
      <w:r w:rsidR="00122E8F">
        <w:rPr>
          <w:rFonts w:cs="Arial"/>
        </w:rPr>
        <w:t>NRM</w:t>
      </w:r>
      <w:proofErr w:type="spellEnd"/>
      <w:r>
        <w:rPr>
          <w:rFonts w:cs="Arial"/>
        </w:rPr>
        <w:t xml:space="preserve">. </w:t>
      </w:r>
    </w:p>
    <w:p w:rsidR="000209F4" w:rsidRDefault="000209F4" w:rsidP="000209F4">
      <w:pPr>
        <w:rPr>
          <w:rFonts w:cs="Arial"/>
        </w:rPr>
      </w:pPr>
    </w:p>
    <w:p w:rsidR="000209F4" w:rsidRPr="007D47B5" w:rsidRDefault="000209F4" w:rsidP="000209F4">
      <w:pPr>
        <w:rPr>
          <w:rFonts w:cs="Arial"/>
          <w:b/>
        </w:rPr>
      </w:pPr>
      <w:r w:rsidRPr="007D47B5">
        <w:rPr>
          <w:rFonts w:cs="Arial"/>
          <w:b/>
        </w:rPr>
        <w:t>If the NSW Government is to restore public trust and integrity to the planning system, the forthcoming White Paper will need to ensure a more equitable balance of rights and safeguards for the community and environment. The White Paper will also need to move beyond the Green Paper’s economic growth focus, demonstrat</w:t>
      </w:r>
      <w:r w:rsidR="00122E8F" w:rsidRPr="007D47B5">
        <w:rPr>
          <w:rFonts w:cs="Arial"/>
          <w:b/>
        </w:rPr>
        <w:t>ing</w:t>
      </w:r>
      <w:r w:rsidRPr="007D47B5">
        <w:rPr>
          <w:rFonts w:cs="Arial"/>
          <w:b/>
        </w:rPr>
        <w:t xml:space="preserve"> </w:t>
      </w:r>
      <w:r w:rsidR="00122E8F" w:rsidRPr="007D47B5">
        <w:rPr>
          <w:rFonts w:cs="Arial"/>
          <w:b/>
        </w:rPr>
        <w:t xml:space="preserve">a </w:t>
      </w:r>
      <w:r w:rsidRPr="007D47B5">
        <w:rPr>
          <w:rFonts w:cs="Arial"/>
          <w:b/>
        </w:rPr>
        <w:t xml:space="preserve">commitment to </w:t>
      </w:r>
      <w:proofErr w:type="spellStart"/>
      <w:r w:rsidRPr="007D47B5">
        <w:rPr>
          <w:rFonts w:cs="Arial"/>
          <w:b/>
        </w:rPr>
        <w:t>ESD</w:t>
      </w:r>
      <w:proofErr w:type="spellEnd"/>
      <w:r w:rsidRPr="007D47B5">
        <w:rPr>
          <w:rFonts w:cs="Arial"/>
          <w:b/>
        </w:rPr>
        <w:t>.</w:t>
      </w:r>
    </w:p>
    <w:p w:rsidR="000209F4" w:rsidRDefault="000209F4" w:rsidP="000209F4">
      <w:pPr>
        <w:pStyle w:val="ListParagraph"/>
        <w:ind w:left="0"/>
      </w:pPr>
    </w:p>
    <w:p w:rsidR="000209F4" w:rsidRDefault="000209F4" w:rsidP="009C52E3">
      <w:pPr>
        <w:pStyle w:val="Heading2"/>
        <w:numPr>
          <w:ilvl w:val="0"/>
          <w:numId w:val="49"/>
        </w:numPr>
      </w:pPr>
      <w:bookmarkStart w:id="44" w:name="_Toc351985920"/>
      <w:r>
        <w:t>NSW Planning Green Paper</w:t>
      </w:r>
      <w:r w:rsidR="00F019E5">
        <w:t>:</w:t>
      </w:r>
      <w:r>
        <w:t xml:space="preserve"> </w:t>
      </w:r>
      <w:r w:rsidR="00B64265">
        <w:t xml:space="preserve">proposals to </w:t>
      </w:r>
      <w:r w:rsidR="00122E8F">
        <w:t>streamlin</w:t>
      </w:r>
      <w:r w:rsidR="00B64265">
        <w:t>e</w:t>
      </w:r>
      <w:r w:rsidR="00122E8F">
        <w:t xml:space="preserve"> </w:t>
      </w:r>
      <w:r w:rsidR="00F019E5">
        <w:t xml:space="preserve">major projects </w:t>
      </w:r>
      <w:r w:rsidR="00122E8F">
        <w:t>approval</w:t>
      </w:r>
      <w:bookmarkEnd w:id="44"/>
      <w:r w:rsidR="00122E8F">
        <w:t xml:space="preserve"> </w:t>
      </w:r>
    </w:p>
    <w:p w:rsidR="000209F4" w:rsidRDefault="000209F4" w:rsidP="000209F4">
      <w:pPr>
        <w:spacing w:after="120"/>
        <w:rPr>
          <w:lang w:val="en-US"/>
        </w:rPr>
      </w:pPr>
      <w:r w:rsidRPr="006755FB">
        <w:rPr>
          <w:lang w:val="en-US"/>
        </w:rPr>
        <w:t xml:space="preserve">The NSW Green Paper </w:t>
      </w:r>
      <w:r>
        <w:rPr>
          <w:lang w:val="en-US"/>
        </w:rPr>
        <w:t>included a range of proposals relevant to major projects, including ‘</w:t>
      </w:r>
      <w:r w:rsidRPr="001629E8">
        <w:rPr>
          <w:lang w:val="en-US"/>
        </w:rPr>
        <w:t>a suite of reforms to streamline assessment of state significant development</w:t>
      </w:r>
      <w:r>
        <w:rPr>
          <w:lang w:val="en-US"/>
        </w:rPr>
        <w:t>’.</w:t>
      </w:r>
      <w:r>
        <w:rPr>
          <w:rStyle w:val="FootnoteReference"/>
          <w:lang w:val="en-US"/>
        </w:rPr>
        <w:footnoteReference w:id="143"/>
      </w:r>
      <w:r>
        <w:rPr>
          <w:lang w:val="en-US"/>
        </w:rPr>
        <w:t xml:space="preserve"> Proposals include: </w:t>
      </w:r>
    </w:p>
    <w:p w:rsidR="000209F4" w:rsidRDefault="000209F4" w:rsidP="009C52E3">
      <w:pPr>
        <w:numPr>
          <w:ilvl w:val="0"/>
          <w:numId w:val="27"/>
        </w:numPr>
        <w:rPr>
          <w:lang w:val="en-US"/>
        </w:rPr>
      </w:pPr>
      <w:r>
        <w:rPr>
          <w:lang w:val="en-US"/>
        </w:rPr>
        <w:t xml:space="preserve">‘strategic compatibility certificates’ to be issued for </w:t>
      </w:r>
      <w:r w:rsidR="00674F30">
        <w:rPr>
          <w:lang w:val="en-US"/>
        </w:rPr>
        <w:t xml:space="preserve">significant </w:t>
      </w:r>
      <w:r>
        <w:rPr>
          <w:lang w:val="en-US"/>
        </w:rPr>
        <w:t>projects before local plans</w:t>
      </w:r>
      <w:r w:rsidRPr="00655558">
        <w:rPr>
          <w:lang w:val="en-US"/>
        </w:rPr>
        <w:t xml:space="preserve"> </w:t>
      </w:r>
      <w:r>
        <w:rPr>
          <w:lang w:val="en-US"/>
        </w:rPr>
        <w:t xml:space="preserve">are </w:t>
      </w:r>
      <w:proofErr w:type="spellStart"/>
      <w:r>
        <w:rPr>
          <w:lang w:val="en-US"/>
        </w:rPr>
        <w:t>finalised</w:t>
      </w:r>
      <w:proofErr w:type="spellEnd"/>
      <w:r>
        <w:rPr>
          <w:lang w:val="en-US"/>
        </w:rPr>
        <w:t>;</w:t>
      </w:r>
    </w:p>
    <w:p w:rsidR="000209F4" w:rsidRDefault="000209F4" w:rsidP="009C52E3">
      <w:pPr>
        <w:numPr>
          <w:ilvl w:val="0"/>
          <w:numId w:val="27"/>
        </w:numPr>
        <w:rPr>
          <w:lang w:val="en-US"/>
        </w:rPr>
      </w:pPr>
      <w:r>
        <w:rPr>
          <w:lang w:val="en-US"/>
        </w:rPr>
        <w:t xml:space="preserve">reintroducing ‘concept plan’ approvals for major projects (see also </w:t>
      </w:r>
      <w:r w:rsidRPr="009C52E3">
        <w:rPr>
          <w:b/>
          <w:lang w:val="en-US"/>
        </w:rPr>
        <w:t xml:space="preserve">Attachment </w:t>
      </w:r>
      <w:r w:rsidR="00674F30" w:rsidRPr="009C52E3">
        <w:rPr>
          <w:b/>
          <w:lang w:val="en-US"/>
        </w:rPr>
        <w:t>B</w:t>
      </w:r>
      <w:r>
        <w:rPr>
          <w:lang w:val="en-US"/>
        </w:rPr>
        <w:t>);</w:t>
      </w:r>
    </w:p>
    <w:p w:rsidR="000209F4" w:rsidRDefault="00674F30" w:rsidP="009C52E3">
      <w:pPr>
        <w:numPr>
          <w:ilvl w:val="0"/>
          <w:numId w:val="27"/>
        </w:numPr>
        <w:rPr>
          <w:lang w:val="en-US"/>
        </w:rPr>
      </w:pPr>
      <w:r>
        <w:rPr>
          <w:lang w:val="en-US"/>
        </w:rPr>
        <w:t>‘</w:t>
      </w:r>
      <w:r w:rsidR="000209F4" w:rsidRPr="00DD6504">
        <w:rPr>
          <w:lang w:val="en-US"/>
        </w:rPr>
        <w:t>streamlining concurrence requirements</w:t>
      </w:r>
      <w:r w:rsidR="000209F4">
        <w:rPr>
          <w:lang w:val="en-US"/>
        </w:rPr>
        <w:t>’</w:t>
      </w:r>
      <w:r w:rsidR="000209F4" w:rsidRPr="00DD6504">
        <w:rPr>
          <w:lang w:val="en-US"/>
        </w:rPr>
        <w:t xml:space="preserve"> </w:t>
      </w:r>
      <w:r w:rsidR="000209F4">
        <w:rPr>
          <w:lang w:val="en-US"/>
        </w:rPr>
        <w:t xml:space="preserve">by </w:t>
      </w:r>
      <w:r>
        <w:rPr>
          <w:lang w:val="en-US"/>
        </w:rPr>
        <w:t>seeking out</w:t>
      </w:r>
      <w:r w:rsidR="000209F4">
        <w:rPr>
          <w:lang w:val="en-US"/>
        </w:rPr>
        <w:t xml:space="preserve"> ‘additional opportunities to integrate other relevant State agency approvals’ (</w:t>
      </w:r>
      <w:r w:rsidR="000209F4" w:rsidRPr="009D369F">
        <w:rPr>
          <w:lang w:val="en-US"/>
        </w:rPr>
        <w:t>such as for ‘aquifer interference</w:t>
      </w:r>
      <w:r w:rsidR="000209F4">
        <w:rPr>
          <w:lang w:val="en-US"/>
        </w:rPr>
        <w:t>’);</w:t>
      </w:r>
    </w:p>
    <w:p w:rsidR="000209F4" w:rsidRDefault="00674F30" w:rsidP="009C52E3">
      <w:pPr>
        <w:numPr>
          <w:ilvl w:val="0"/>
          <w:numId w:val="27"/>
        </w:numPr>
        <w:rPr>
          <w:lang w:val="en-US"/>
        </w:rPr>
      </w:pPr>
      <w:r>
        <w:rPr>
          <w:lang w:val="en-US"/>
        </w:rPr>
        <w:t>reducing</w:t>
      </w:r>
      <w:r w:rsidR="000209F4">
        <w:rPr>
          <w:lang w:val="en-US"/>
        </w:rPr>
        <w:t xml:space="preserve"> </w:t>
      </w:r>
      <w:r w:rsidR="000209F4" w:rsidRPr="00DD6504">
        <w:rPr>
          <w:lang w:val="en-US"/>
        </w:rPr>
        <w:t xml:space="preserve">the </w:t>
      </w:r>
      <w:r>
        <w:rPr>
          <w:lang w:val="en-US"/>
        </w:rPr>
        <w:t>amount</w:t>
      </w:r>
      <w:r w:rsidR="000209F4" w:rsidRPr="00DD6504">
        <w:rPr>
          <w:lang w:val="en-US"/>
        </w:rPr>
        <w:t xml:space="preserve"> of project information </w:t>
      </w:r>
      <w:r w:rsidRPr="00DD6504">
        <w:rPr>
          <w:lang w:val="en-US"/>
        </w:rPr>
        <w:t xml:space="preserve">proponents </w:t>
      </w:r>
      <w:r>
        <w:rPr>
          <w:lang w:val="en-US"/>
        </w:rPr>
        <w:t>must provide</w:t>
      </w:r>
      <w:r w:rsidR="00B042A3">
        <w:rPr>
          <w:lang w:val="en-US"/>
        </w:rPr>
        <w:t xml:space="preserve"> (see concerns about this in the Canadian context, above)</w:t>
      </w:r>
      <w:r w:rsidR="000209F4" w:rsidRPr="00DD6504">
        <w:rPr>
          <w:lang w:val="en-US"/>
        </w:rPr>
        <w:t xml:space="preserve">, and </w:t>
      </w:r>
    </w:p>
    <w:p w:rsidR="000209F4" w:rsidRPr="00DD6504" w:rsidRDefault="000209F4" w:rsidP="009C52E3">
      <w:pPr>
        <w:numPr>
          <w:ilvl w:val="0"/>
          <w:numId w:val="27"/>
        </w:numPr>
        <w:rPr>
          <w:lang w:val="en-US"/>
        </w:rPr>
      </w:pPr>
      <w:r>
        <w:rPr>
          <w:lang w:val="en-US"/>
        </w:rPr>
        <w:t>codify</w:t>
      </w:r>
      <w:r w:rsidR="00674F30">
        <w:rPr>
          <w:lang w:val="en-US"/>
        </w:rPr>
        <w:t>ing</w:t>
      </w:r>
      <w:r w:rsidR="00DC01A3">
        <w:rPr>
          <w:lang w:val="en-US"/>
        </w:rPr>
        <w:t>/</w:t>
      </w:r>
      <w:r w:rsidR="00674F30">
        <w:rPr>
          <w:lang w:val="en-US"/>
        </w:rPr>
        <w:t>streamlining</w:t>
      </w:r>
      <w:r>
        <w:rPr>
          <w:lang w:val="en-US"/>
        </w:rPr>
        <w:t xml:space="preserve"> </w:t>
      </w:r>
      <w:r w:rsidRPr="00DD6504">
        <w:rPr>
          <w:lang w:val="en-US"/>
        </w:rPr>
        <w:t>environmental assessment requirements (</w:t>
      </w:r>
      <w:proofErr w:type="spellStart"/>
      <w:r w:rsidRPr="00DD6504">
        <w:rPr>
          <w:b/>
          <w:lang w:val="en-US"/>
        </w:rPr>
        <w:t>EARs</w:t>
      </w:r>
      <w:proofErr w:type="spellEnd"/>
      <w:r w:rsidRPr="00DD6504">
        <w:rPr>
          <w:b/>
          <w:lang w:val="en-US"/>
        </w:rPr>
        <w:t>/</w:t>
      </w:r>
      <w:proofErr w:type="spellStart"/>
      <w:r w:rsidRPr="00DD6504">
        <w:rPr>
          <w:b/>
          <w:lang w:val="en-US"/>
        </w:rPr>
        <w:t>DGRs</w:t>
      </w:r>
      <w:proofErr w:type="spellEnd"/>
      <w:r w:rsidRPr="00DD6504">
        <w:rPr>
          <w:lang w:val="en-US"/>
        </w:rPr>
        <w:t>)</w:t>
      </w:r>
      <w:r>
        <w:rPr>
          <w:lang w:val="en-US"/>
        </w:rPr>
        <w:t>.</w:t>
      </w:r>
      <w:r>
        <w:rPr>
          <w:rStyle w:val="FootnoteReference"/>
          <w:lang w:val="en-US"/>
        </w:rPr>
        <w:footnoteReference w:id="144"/>
      </w:r>
      <w:r w:rsidRPr="00DD6504">
        <w:rPr>
          <w:lang w:val="en-US"/>
        </w:rPr>
        <w:t xml:space="preserve"> </w:t>
      </w:r>
    </w:p>
    <w:p w:rsidR="000209F4" w:rsidRDefault="000209F4" w:rsidP="000209F4">
      <w:pPr>
        <w:rPr>
          <w:lang w:val="en-US"/>
        </w:rPr>
      </w:pPr>
    </w:p>
    <w:p w:rsidR="000209F4" w:rsidRDefault="000209F4" w:rsidP="000209F4">
      <w:pPr>
        <w:rPr>
          <w:lang w:val="en-US"/>
        </w:rPr>
      </w:pPr>
      <w:r>
        <w:rPr>
          <w:lang w:val="en-US"/>
        </w:rPr>
        <w:t xml:space="preserve">Perhaps the most striking feature of these proposals is the similarity in intent – and in some </w:t>
      </w:r>
      <w:r w:rsidRPr="00DD6504">
        <w:rPr>
          <w:lang w:val="en-US"/>
        </w:rPr>
        <w:t xml:space="preserve">cases the </w:t>
      </w:r>
      <w:r w:rsidR="00674F30">
        <w:rPr>
          <w:lang w:val="en-US"/>
        </w:rPr>
        <w:t xml:space="preserve">same </w:t>
      </w:r>
      <w:r w:rsidRPr="00DD6504">
        <w:rPr>
          <w:lang w:val="en-US"/>
        </w:rPr>
        <w:t xml:space="preserve">mechanisms – as the widely-condemned Part </w:t>
      </w:r>
      <w:proofErr w:type="spellStart"/>
      <w:r w:rsidRPr="00DD6504">
        <w:rPr>
          <w:lang w:val="en-US"/>
        </w:rPr>
        <w:t>3A</w:t>
      </w:r>
      <w:proofErr w:type="spellEnd"/>
      <w:r w:rsidRPr="00DD6504">
        <w:rPr>
          <w:lang w:val="en-US"/>
        </w:rPr>
        <w:t xml:space="preserve"> regime. This is surprising given the erosion of public confidence under Part </w:t>
      </w:r>
      <w:proofErr w:type="spellStart"/>
      <w:r w:rsidRPr="00DD6504">
        <w:rPr>
          <w:lang w:val="en-US"/>
        </w:rPr>
        <w:t>3A</w:t>
      </w:r>
      <w:proofErr w:type="spellEnd"/>
      <w:r w:rsidRPr="00DD6504">
        <w:rPr>
          <w:lang w:val="en-US"/>
        </w:rPr>
        <w:t>; the ‘bipartisan’ agreement that the pendulum had swung too far towards fast-tracking; and the ensuing repeal</w:t>
      </w:r>
      <w:r>
        <w:rPr>
          <w:lang w:val="en-US"/>
        </w:rPr>
        <w:t xml:space="preserve"> of </w:t>
      </w:r>
      <w:r w:rsidR="00B042A3">
        <w:rPr>
          <w:lang w:val="en-US"/>
        </w:rPr>
        <w:t xml:space="preserve">Part </w:t>
      </w:r>
      <w:proofErr w:type="spellStart"/>
      <w:r w:rsidR="00B042A3">
        <w:rPr>
          <w:lang w:val="en-US"/>
        </w:rPr>
        <w:t>3A</w:t>
      </w:r>
      <w:proofErr w:type="spellEnd"/>
      <w:r w:rsidRPr="00DD6504">
        <w:rPr>
          <w:lang w:val="en-US"/>
        </w:rPr>
        <w:t xml:space="preserve">. </w:t>
      </w:r>
      <w:r w:rsidR="00B042A3">
        <w:rPr>
          <w:lang w:val="en-US"/>
        </w:rPr>
        <w:t xml:space="preserve">Not surprisingly, the official Green Paper Feedback Summary reported a lack of consensus on the above proposals. The plans </w:t>
      </w:r>
      <w:r>
        <w:rPr>
          <w:lang w:val="en-US"/>
        </w:rPr>
        <w:t>to reintroduce major project fast</w:t>
      </w:r>
      <w:r w:rsidR="00B042A3">
        <w:rPr>
          <w:lang w:val="en-US"/>
        </w:rPr>
        <w:noBreakHyphen/>
      </w:r>
      <w:r>
        <w:rPr>
          <w:lang w:val="en-US"/>
        </w:rPr>
        <w:t xml:space="preserve">tracking also raise questions about achieving the </w:t>
      </w:r>
      <w:r w:rsidR="00B042A3">
        <w:rPr>
          <w:lang w:val="en-US"/>
        </w:rPr>
        <w:t xml:space="preserve">NSW </w:t>
      </w:r>
      <w:r>
        <w:rPr>
          <w:lang w:val="en-US"/>
        </w:rPr>
        <w:t xml:space="preserve">Government’s State Plan commitments </w:t>
      </w:r>
      <w:r w:rsidR="00674F30">
        <w:rPr>
          <w:lang w:val="en-US"/>
        </w:rPr>
        <w:t>to ‘Restore</w:t>
      </w:r>
      <w:r w:rsidR="00B042A3">
        <w:rPr>
          <w:lang w:val="en-US"/>
        </w:rPr>
        <w:t xml:space="preserve"> </w:t>
      </w:r>
      <w:r>
        <w:rPr>
          <w:lang w:val="en-US"/>
        </w:rPr>
        <w:t>accountability to government’, ‘Return planning powers to local communities’</w:t>
      </w:r>
      <w:r w:rsidR="00674F30">
        <w:rPr>
          <w:lang w:val="en-US"/>
        </w:rPr>
        <w:t>,</w:t>
      </w:r>
      <w:r>
        <w:rPr>
          <w:lang w:val="en-US"/>
        </w:rPr>
        <w:t xml:space="preserve"> and ‘Restore confidence and integrity in the planning system’.</w:t>
      </w:r>
      <w:r>
        <w:rPr>
          <w:rStyle w:val="FootnoteReference"/>
          <w:lang w:val="en-US"/>
        </w:rPr>
        <w:footnoteReference w:id="145"/>
      </w:r>
      <w:r w:rsidRPr="005E4444">
        <w:rPr>
          <w:lang w:val="en-US"/>
        </w:rPr>
        <w:t xml:space="preserve"> </w:t>
      </w:r>
    </w:p>
    <w:p w:rsidR="000209F4" w:rsidRDefault="000209F4" w:rsidP="000209F4">
      <w:pPr>
        <w:rPr>
          <w:lang w:val="en-US"/>
        </w:rPr>
      </w:pPr>
    </w:p>
    <w:p w:rsidR="000209F4" w:rsidRDefault="000209F4" w:rsidP="000209F4">
      <w:pPr>
        <w:rPr>
          <w:lang w:val="en-US"/>
        </w:rPr>
      </w:pPr>
      <w:r>
        <w:rPr>
          <w:lang w:val="en-US"/>
        </w:rPr>
        <w:lastRenderedPageBreak/>
        <w:t xml:space="preserve">The Green Paper included one encouraging accountability proposal for major projects. It proposed to require </w:t>
      </w:r>
      <w:proofErr w:type="spellStart"/>
      <w:r>
        <w:rPr>
          <w:lang w:val="en-US"/>
        </w:rPr>
        <w:t>EIA</w:t>
      </w:r>
      <w:proofErr w:type="spellEnd"/>
      <w:r>
        <w:rPr>
          <w:lang w:val="en-US"/>
        </w:rPr>
        <w:t xml:space="preserve"> consultants to be ‘chosen from an accredited panel’ and required to ‘meet certain standards regarding… impartiality and quality’.</w:t>
      </w:r>
      <w:r>
        <w:rPr>
          <w:rStyle w:val="FootnoteReference"/>
          <w:lang w:val="en-US"/>
        </w:rPr>
        <w:footnoteReference w:id="146"/>
      </w:r>
      <w:r>
        <w:rPr>
          <w:lang w:val="en-US"/>
        </w:rPr>
        <w:t xml:space="preserve">  EDO NSW</w:t>
      </w:r>
      <w:r w:rsidR="00DC01A3">
        <w:rPr>
          <w:lang w:val="en-US"/>
        </w:rPr>
        <w:t>, community groups</w:t>
      </w:r>
      <w:r>
        <w:rPr>
          <w:lang w:val="en-US"/>
        </w:rPr>
        <w:t xml:space="preserve"> and other</w:t>
      </w:r>
      <w:r w:rsidR="00DC01A3">
        <w:rPr>
          <w:lang w:val="en-US"/>
        </w:rPr>
        <w:t xml:space="preserve"> stakeholder</w:t>
      </w:r>
      <w:r>
        <w:rPr>
          <w:lang w:val="en-US"/>
        </w:rPr>
        <w:t xml:space="preserve">s strongly supported measures to </w:t>
      </w:r>
      <w:r w:rsidR="00DC01A3">
        <w:rPr>
          <w:lang w:val="en-US"/>
        </w:rPr>
        <w:t xml:space="preserve">accredit </w:t>
      </w:r>
      <w:proofErr w:type="spellStart"/>
      <w:r w:rsidR="00DC01A3">
        <w:rPr>
          <w:lang w:val="en-US"/>
        </w:rPr>
        <w:t>EIA</w:t>
      </w:r>
      <w:proofErr w:type="spellEnd"/>
      <w:r w:rsidR="00DC01A3">
        <w:rPr>
          <w:lang w:val="en-US"/>
        </w:rPr>
        <w:t xml:space="preserve"> consultants, and </w:t>
      </w:r>
      <w:r w:rsidR="00B52A06">
        <w:rPr>
          <w:lang w:val="en-US"/>
        </w:rPr>
        <w:t xml:space="preserve">options to </w:t>
      </w:r>
      <w:r>
        <w:rPr>
          <w:lang w:val="en-US"/>
        </w:rPr>
        <w:t xml:space="preserve">break the nexus between consultants and </w:t>
      </w:r>
      <w:r w:rsidR="00DC01A3">
        <w:rPr>
          <w:lang w:val="en-US"/>
        </w:rPr>
        <w:t xml:space="preserve">direct </w:t>
      </w:r>
      <w:r>
        <w:rPr>
          <w:lang w:val="en-US"/>
        </w:rPr>
        <w:t>payment by proponents. However, a number of industry submissions argued against this</w:t>
      </w:r>
      <w:r w:rsidR="00B52A06">
        <w:rPr>
          <w:lang w:val="en-US"/>
        </w:rPr>
        <w:t xml:space="preserve"> proposal</w:t>
      </w:r>
      <w:r>
        <w:rPr>
          <w:lang w:val="en-US"/>
        </w:rPr>
        <w:t>.</w:t>
      </w:r>
      <w:r>
        <w:rPr>
          <w:rStyle w:val="FootnoteReference"/>
          <w:lang w:val="en-US"/>
        </w:rPr>
        <w:footnoteReference w:id="147"/>
      </w:r>
      <w:r>
        <w:rPr>
          <w:lang w:val="en-US"/>
        </w:rPr>
        <w:t xml:space="preserve"> </w:t>
      </w:r>
    </w:p>
    <w:p w:rsidR="000209F4" w:rsidRDefault="000209F4" w:rsidP="000209F4">
      <w:pPr>
        <w:rPr>
          <w:lang w:val="en-US"/>
        </w:rPr>
      </w:pPr>
    </w:p>
    <w:p w:rsidR="0026156A" w:rsidRPr="00EA041C" w:rsidRDefault="0026156A" w:rsidP="0026156A">
      <w:pPr>
        <w:rPr>
          <w:szCs w:val="22"/>
        </w:rPr>
      </w:pPr>
    </w:p>
    <w:p w:rsidR="0026156A" w:rsidRDefault="0026156A" w:rsidP="004D6F76">
      <w:pPr>
        <w:pStyle w:val="Heading1"/>
        <w:keepNext/>
      </w:pPr>
      <w:bookmarkStart w:id="45" w:name="_Toc351985921"/>
      <w:r w:rsidRPr="00B042A3">
        <w:t xml:space="preserve">Major </w:t>
      </w:r>
      <w:r w:rsidR="00131FD9" w:rsidRPr="00B042A3">
        <w:t xml:space="preserve">projects and the Victorian </w:t>
      </w:r>
      <w:r w:rsidR="00B64265" w:rsidRPr="004D6F76">
        <w:t>‘Environmental Effects Statement’</w:t>
      </w:r>
      <w:r w:rsidR="00131FD9" w:rsidRPr="00B042A3">
        <w:t xml:space="preserve"> Process</w:t>
      </w:r>
      <w:bookmarkEnd w:id="45"/>
      <w:r w:rsidRPr="006755FB">
        <w:t xml:space="preserve"> </w:t>
      </w:r>
    </w:p>
    <w:p w:rsidR="0026156A" w:rsidRDefault="0026156A" w:rsidP="004D6F76">
      <w:pPr>
        <w:keepNext/>
      </w:pPr>
    </w:p>
    <w:p w:rsidR="0080463E" w:rsidRDefault="0080463E" w:rsidP="00AE0F41">
      <w:r w:rsidRPr="007D47B5">
        <w:t>Further to the NSW example above, the Productivity Commission should have regard to the status of development assessment processes in Victoria.</w:t>
      </w:r>
      <w:r>
        <w:t xml:space="preserve"> </w:t>
      </w:r>
      <w:r w:rsidRPr="0080463E">
        <w:t xml:space="preserve">This final part </w:t>
      </w:r>
      <w:r>
        <w:t>of this submission considers</w:t>
      </w:r>
      <w:r w:rsidRPr="0080463E">
        <w:t xml:space="preserve"> </w:t>
      </w:r>
      <w:r>
        <w:t xml:space="preserve">aspects of the Victoria </w:t>
      </w:r>
      <w:proofErr w:type="spellStart"/>
      <w:r>
        <w:t>EIA</w:t>
      </w:r>
      <w:proofErr w:type="spellEnd"/>
      <w:r>
        <w:t xml:space="preserve"> system and how reform of this system could </w:t>
      </w:r>
      <w:r w:rsidRPr="0080463E">
        <w:t>significantly</w:t>
      </w:r>
      <w:r>
        <w:t xml:space="preserve"> improve the regulatory environment for communities and all proponents, without the need for special treatment of major</w:t>
      </w:r>
      <w:r w:rsidRPr="0080463E">
        <w:t xml:space="preserve"> projects.</w:t>
      </w:r>
    </w:p>
    <w:p w:rsidR="006A3C69" w:rsidRDefault="006A3C69" w:rsidP="00126BBD"/>
    <w:p w:rsidR="00E30A11" w:rsidRDefault="00E30A11" w:rsidP="00126BBD">
      <w:proofErr w:type="spellStart"/>
      <w:r>
        <w:t>EIA</w:t>
      </w:r>
      <w:proofErr w:type="spellEnd"/>
      <w:r>
        <w:t xml:space="preserve"> for major projects in Victoria is captured </w:t>
      </w:r>
      <w:r w:rsidR="00A23DC6">
        <w:t>predominantly</w:t>
      </w:r>
      <w:r>
        <w:t xml:space="preserve"> by </w:t>
      </w:r>
      <w:r w:rsidRPr="00E30A11">
        <w:t>the environmental effects statement (</w:t>
      </w:r>
      <w:proofErr w:type="spellStart"/>
      <w:r w:rsidRPr="004D6F76">
        <w:rPr>
          <w:b/>
        </w:rPr>
        <w:t>EES</w:t>
      </w:r>
      <w:proofErr w:type="spellEnd"/>
      <w:r w:rsidRPr="00E30A11">
        <w:t xml:space="preserve">) </w:t>
      </w:r>
      <w:r>
        <w:t>process</w:t>
      </w:r>
      <w:r w:rsidRPr="00E30A11">
        <w:t xml:space="preserve">, </w:t>
      </w:r>
      <w:r>
        <w:t xml:space="preserve">under </w:t>
      </w:r>
      <w:r w:rsidRPr="00E30A11">
        <w:t xml:space="preserve">the </w:t>
      </w:r>
      <w:r w:rsidRPr="00E30A11">
        <w:rPr>
          <w:i/>
        </w:rPr>
        <w:t>Environment Effects Act 1978</w:t>
      </w:r>
      <w:r w:rsidRPr="00E30A11">
        <w:t xml:space="preserve"> </w:t>
      </w:r>
      <w:r w:rsidR="006A3C69">
        <w:t xml:space="preserve">(Vic) </w:t>
      </w:r>
      <w:r w:rsidRPr="00E30A11">
        <w:t>(</w:t>
      </w:r>
      <w:r w:rsidRPr="004D6F76">
        <w:rPr>
          <w:b/>
        </w:rPr>
        <w:t>EE Act</w:t>
      </w:r>
      <w:r w:rsidRPr="00E30A11">
        <w:t>)</w:t>
      </w:r>
      <w:r>
        <w:t>.</w:t>
      </w:r>
      <w:r w:rsidR="00601367">
        <w:rPr>
          <w:rStyle w:val="FootnoteReference"/>
          <w:rFonts w:ascii="Verdana" w:hAnsi="Verdana"/>
          <w:spacing w:val="-6"/>
          <w:sz w:val="18"/>
          <w:szCs w:val="18"/>
        </w:rPr>
        <w:footnoteReference w:id="148"/>
      </w:r>
    </w:p>
    <w:p w:rsidR="007F6140" w:rsidRPr="007F6140" w:rsidRDefault="007F6140" w:rsidP="00126BBD">
      <w:r w:rsidRPr="007F6140">
        <w:t xml:space="preserve">The </w:t>
      </w:r>
      <w:proofErr w:type="spellStart"/>
      <w:r>
        <w:t>EES</w:t>
      </w:r>
      <w:proofErr w:type="spellEnd"/>
      <w:r>
        <w:t xml:space="preserve"> process</w:t>
      </w:r>
      <w:r w:rsidRPr="007F6140">
        <w:t xml:space="preserve"> has been widely criticised</w:t>
      </w:r>
      <w:r w:rsidR="006A3C69">
        <w:t>.</w:t>
      </w:r>
      <w:r w:rsidRPr="007F6140">
        <w:rPr>
          <w:vertAlign w:val="superscript"/>
        </w:rPr>
        <w:footnoteReference w:id="149"/>
      </w:r>
      <w:r w:rsidRPr="007F6140">
        <w:t xml:space="preserve">  EDO </w:t>
      </w:r>
      <w:r>
        <w:t xml:space="preserve">Victoria </w:t>
      </w:r>
      <w:r w:rsidRPr="007F6140">
        <w:t>has previously outlined some of the fundamental deficiencies in the current system</w:t>
      </w:r>
      <w:r w:rsidR="006A3C69">
        <w:t>,</w:t>
      </w:r>
      <w:r w:rsidRPr="007F6140">
        <w:t xml:space="preserve"> and has suggested improvements to Victoria’s </w:t>
      </w:r>
      <w:proofErr w:type="spellStart"/>
      <w:r w:rsidR="006A3C69">
        <w:t>EIA</w:t>
      </w:r>
      <w:proofErr w:type="spellEnd"/>
      <w:r w:rsidRPr="007F6140">
        <w:t xml:space="preserve"> process so that it reflects leading practice. We do not propose to reiterate those in detail here and refer the Commission to EDO</w:t>
      </w:r>
      <w:r>
        <w:t xml:space="preserve"> Victoria’s</w:t>
      </w:r>
      <w:r w:rsidRPr="007F6140">
        <w:t xml:space="preserve"> submission to the Environment and Natural Resources Committee (</w:t>
      </w:r>
      <w:proofErr w:type="spellStart"/>
      <w:r w:rsidRPr="007F6140">
        <w:rPr>
          <w:b/>
        </w:rPr>
        <w:t>ENRC</w:t>
      </w:r>
      <w:proofErr w:type="spellEnd"/>
      <w:r w:rsidRPr="007F6140">
        <w:t>) Inquiry into the Environment Effects Statement Process in Victoria.</w:t>
      </w:r>
      <w:r w:rsidRPr="007F6140">
        <w:rPr>
          <w:vertAlign w:val="superscript"/>
        </w:rPr>
        <w:footnoteReference w:id="150"/>
      </w:r>
      <w:r w:rsidR="00A123FB">
        <w:t xml:space="preserve"> </w:t>
      </w:r>
    </w:p>
    <w:p w:rsidR="00126BBD" w:rsidRDefault="00126BBD" w:rsidP="00126BBD"/>
    <w:p w:rsidR="007F6140" w:rsidRDefault="007F6140" w:rsidP="00126BBD">
      <w:r>
        <w:t>While the EE Act is not referred to a</w:t>
      </w:r>
      <w:r w:rsidR="00CC119D">
        <w:t>s</w:t>
      </w:r>
      <w:r>
        <w:t xml:space="preserve"> ‘major project legislation’, in practice t</w:t>
      </w:r>
      <w:r w:rsidRPr="00957034">
        <w:t>he processes provide</w:t>
      </w:r>
      <w:r>
        <w:t>s</w:t>
      </w:r>
      <w:r w:rsidRPr="00957034">
        <w:t xml:space="preserve"> for the assessment of major project proposals</w:t>
      </w:r>
      <w:r>
        <w:t xml:space="preserve"> only (it </w:t>
      </w:r>
      <w:r w:rsidRPr="00957034">
        <w:t>do not cater for smaller projects or projects with a moderate or limited level of environmental effects</w:t>
      </w:r>
      <w:r>
        <w:t xml:space="preserve">). </w:t>
      </w:r>
      <w:r w:rsidRPr="00E30A11">
        <w:t xml:space="preserve">Furthermore, the high degree of discretion has allowed the Victorian government to interpret </w:t>
      </w:r>
      <w:r>
        <w:t>the EE Act</w:t>
      </w:r>
      <w:r w:rsidRPr="00E30A11">
        <w:t xml:space="preserve"> in the context of its own development agenda, which has led to a number of </w:t>
      </w:r>
      <w:r>
        <w:t xml:space="preserve">‘fast tracked’ major project assessments and resulting </w:t>
      </w:r>
      <w:r w:rsidRPr="00E30A11">
        <w:t>poor environmental decisions.</w:t>
      </w:r>
      <w:r>
        <w:t xml:space="preserve"> </w:t>
      </w:r>
      <w:r w:rsidR="00CC119D">
        <w:t xml:space="preserve">The best example of this is the </w:t>
      </w:r>
      <w:proofErr w:type="spellStart"/>
      <w:r w:rsidR="00CC119D">
        <w:t>EES</w:t>
      </w:r>
      <w:proofErr w:type="spellEnd"/>
      <w:r w:rsidR="00CC119D">
        <w:t xml:space="preserve"> done for the Victorian Desalination Plant Project</w:t>
      </w:r>
      <w:r w:rsidR="006A3C69">
        <w:t xml:space="preserve"> (see </w:t>
      </w:r>
      <w:r w:rsidR="00372A13">
        <w:t>case study</w:t>
      </w:r>
      <w:r w:rsidR="006A3C69">
        <w:t xml:space="preserve"> above)</w:t>
      </w:r>
      <w:r w:rsidR="00372A13">
        <w:t xml:space="preserve">. </w:t>
      </w:r>
    </w:p>
    <w:p w:rsidR="00126BBD" w:rsidRDefault="00126BBD" w:rsidP="00126BBD"/>
    <w:p w:rsidR="007F6140" w:rsidRPr="007F6140" w:rsidRDefault="00D347DD" w:rsidP="00126BBD">
      <w:r>
        <w:t>Additionally</w:t>
      </w:r>
      <w:r w:rsidR="007F6140" w:rsidRPr="007F6140">
        <w:t xml:space="preserve">, the system lacks the fundamental attributes of transparency, accountability, certainty and rigour essential for best practice.  This has resulted in a number of </w:t>
      </w:r>
      <w:r w:rsidR="007F6140" w:rsidRPr="007F6140">
        <w:lastRenderedPageBreak/>
        <w:t>unsatisfactory assessments that have left the community with serious concerns about the projects and their potential impacts on the environment</w:t>
      </w:r>
      <w:r w:rsidR="006A3C69">
        <w:t>;</w:t>
      </w:r>
      <w:r w:rsidR="007F6140" w:rsidRPr="007F6140">
        <w:t xml:space="preserve"> and</w:t>
      </w:r>
      <w:r w:rsidR="006A3C69">
        <w:t xml:space="preserve"> left</w:t>
      </w:r>
      <w:r w:rsidR="007F6140" w:rsidRPr="007F6140">
        <w:t xml:space="preserve"> </w:t>
      </w:r>
      <w:r w:rsidR="00B9277E" w:rsidRPr="007F6140">
        <w:t xml:space="preserve">proponents frustrated with the uncertainty </w:t>
      </w:r>
      <w:r w:rsidR="00B9277E">
        <w:t>in the process (and in some case</w:t>
      </w:r>
      <w:r w:rsidR="006A3C69">
        <w:t>s,</w:t>
      </w:r>
      <w:r w:rsidR="00B9277E">
        <w:t xml:space="preserve"> </w:t>
      </w:r>
      <w:r>
        <w:t xml:space="preserve">the </w:t>
      </w:r>
      <w:r w:rsidRPr="007F6140">
        <w:t xml:space="preserve">length </w:t>
      </w:r>
      <w:r>
        <w:t xml:space="preserve">of and </w:t>
      </w:r>
      <w:r w:rsidR="007F6140" w:rsidRPr="007F6140">
        <w:t>costs associated with the process</w:t>
      </w:r>
      <w:r>
        <w:t>)</w:t>
      </w:r>
      <w:r w:rsidR="007F6140" w:rsidRPr="007F6140">
        <w:t xml:space="preserve">. </w:t>
      </w:r>
    </w:p>
    <w:p w:rsidR="00126BBD" w:rsidRDefault="00126BBD" w:rsidP="00126BBD"/>
    <w:p w:rsidR="006448D6" w:rsidRPr="006448D6" w:rsidRDefault="007F6140" w:rsidP="00126BBD">
      <w:r w:rsidRPr="007F6140">
        <w:t xml:space="preserve">It is these latter inadequacies in the system that has resulted in the push for major project facilitation, the subject of </w:t>
      </w:r>
      <w:r w:rsidR="006448D6">
        <w:t xml:space="preserve">a recent inquiry by the </w:t>
      </w:r>
      <w:r w:rsidR="006448D6" w:rsidRPr="006448D6">
        <w:t xml:space="preserve">Victorian Competition </w:t>
      </w:r>
      <w:r w:rsidR="006A3C69">
        <w:t>and</w:t>
      </w:r>
      <w:r w:rsidR="006448D6" w:rsidRPr="006448D6">
        <w:t xml:space="preserve"> Efficiency Commission</w:t>
      </w:r>
      <w:r w:rsidR="006448D6">
        <w:t xml:space="preserve">, titled </w:t>
      </w:r>
      <w:r w:rsidR="006448D6" w:rsidRPr="004D6F76">
        <w:rPr>
          <w:i/>
        </w:rPr>
        <w:t>Securing Victoria’s Future Prosperity: A Reform Agenda</w:t>
      </w:r>
      <w:r w:rsidR="006448D6">
        <w:t>.</w:t>
      </w:r>
      <w:r w:rsidR="00E8565D">
        <w:rPr>
          <w:rStyle w:val="FootnoteReference"/>
          <w:rFonts w:ascii="Verdana" w:hAnsi="Verdana"/>
          <w:spacing w:val="-6"/>
          <w:sz w:val="18"/>
          <w:szCs w:val="18"/>
        </w:rPr>
        <w:footnoteReference w:id="151"/>
      </w:r>
      <w:r w:rsidR="006448D6">
        <w:t xml:space="preserve"> One element of this was an investigation into major projects facilitation, detailed in an information paper provided to select stakeholders (of which EDO Victoria was one).  </w:t>
      </w:r>
    </w:p>
    <w:p w:rsidR="006A3C69" w:rsidRDefault="006A3C69" w:rsidP="00126BBD"/>
    <w:p w:rsidR="007F6140" w:rsidRPr="007F6140" w:rsidRDefault="006A3C69" w:rsidP="00126BBD">
      <w:r>
        <w:t>T</w:t>
      </w:r>
      <w:r w:rsidR="007F6140" w:rsidRPr="007F6140">
        <w:t>he Major projects facilitation information paper (</w:t>
      </w:r>
      <w:r w:rsidR="007F6140" w:rsidRPr="007F6140">
        <w:rPr>
          <w:b/>
        </w:rPr>
        <w:t>information paper</w:t>
      </w:r>
      <w:r w:rsidR="007F6140" w:rsidRPr="007F6140">
        <w:t xml:space="preserve">) </w:t>
      </w:r>
      <w:r>
        <w:t xml:space="preserve">noted </w:t>
      </w:r>
      <w:r w:rsidR="007F6140" w:rsidRPr="007F6140">
        <w:t>that ‘there is continuing concern that project approvals in Victoria are complex, uncoordinated and unnecessarily costly and time-consuming’.</w:t>
      </w:r>
      <w:r w:rsidR="007F6140" w:rsidRPr="007F6140">
        <w:rPr>
          <w:vertAlign w:val="superscript"/>
        </w:rPr>
        <w:footnoteReference w:id="152"/>
      </w:r>
      <w:r w:rsidR="007F6140" w:rsidRPr="007F6140">
        <w:t xml:space="preserve"> </w:t>
      </w:r>
      <w:proofErr w:type="spellStart"/>
      <w:r>
        <w:t>AN</w:t>
      </w:r>
      <w:r w:rsidR="007F6140" w:rsidRPr="007F6140">
        <w:t>EDO</w:t>
      </w:r>
      <w:proofErr w:type="spellEnd"/>
      <w:r w:rsidR="007F6140" w:rsidRPr="007F6140">
        <w:t xml:space="preserve"> agrees with this proposition. However</w:t>
      </w:r>
      <w:r>
        <w:t>, as</w:t>
      </w:r>
      <w:r w:rsidR="007F6140" w:rsidRPr="007F6140">
        <w:t xml:space="preserve"> EDO</w:t>
      </w:r>
      <w:r>
        <w:t xml:space="preserve"> Victoria has argued, </w:t>
      </w:r>
      <w:r w:rsidR="007F6140" w:rsidRPr="007F6140">
        <w:t xml:space="preserve">the whole </w:t>
      </w:r>
      <w:proofErr w:type="spellStart"/>
      <w:r w:rsidR="007F6140" w:rsidRPr="007F6140">
        <w:t>EIA</w:t>
      </w:r>
      <w:proofErr w:type="spellEnd"/>
      <w:r w:rsidR="007F6140" w:rsidRPr="007F6140">
        <w:t xml:space="preserve"> system in Victoria desperately needs reform, and if this is achieved, it will significantly reduce the regulatory burden on all proponents, not just those of major projects. </w:t>
      </w:r>
      <w:r w:rsidR="007A6726">
        <w:t xml:space="preserve">Additionally it will reduce the ability of the Minister to ‘take or leave’ requirements of the </w:t>
      </w:r>
      <w:proofErr w:type="spellStart"/>
      <w:r w:rsidR="007A6726">
        <w:t>EES</w:t>
      </w:r>
      <w:proofErr w:type="spellEnd"/>
      <w:r w:rsidR="007A6726">
        <w:t xml:space="preserve"> process, </w:t>
      </w:r>
      <w:r>
        <w:t xml:space="preserve">which will </w:t>
      </w:r>
      <w:r w:rsidR="000C05E9">
        <w:t>increas</w:t>
      </w:r>
      <w:r>
        <w:t>e</w:t>
      </w:r>
      <w:r w:rsidR="000C05E9">
        <w:t xml:space="preserve"> certainty.</w:t>
      </w:r>
    </w:p>
    <w:p w:rsidR="006A3C69" w:rsidRDefault="006A3C69" w:rsidP="00126BBD"/>
    <w:p w:rsidR="00CC119D" w:rsidRDefault="006A3C69" w:rsidP="00126BBD">
      <w:r>
        <w:t>In</w:t>
      </w:r>
      <w:r w:rsidR="00CC119D" w:rsidRPr="00CC119D">
        <w:t xml:space="preserve"> September 2011, </w:t>
      </w:r>
      <w:r>
        <w:t xml:space="preserve">the </w:t>
      </w:r>
      <w:proofErr w:type="spellStart"/>
      <w:r w:rsidR="00CC119D" w:rsidRPr="00CC119D">
        <w:t>ENRC</w:t>
      </w:r>
      <w:proofErr w:type="spellEnd"/>
      <w:r w:rsidR="00CC119D" w:rsidRPr="00CC119D">
        <w:t xml:space="preserve"> released its report of recommendations to the Victorian </w:t>
      </w:r>
      <w:r>
        <w:t>G</w:t>
      </w:r>
      <w:r w:rsidR="00CC119D" w:rsidRPr="00CC119D">
        <w:t xml:space="preserve">overnment, titled </w:t>
      </w:r>
      <w:r w:rsidR="00CC119D" w:rsidRPr="00CC119D">
        <w:rPr>
          <w:i/>
        </w:rPr>
        <w:t>Inquiry into the Environment Effects Statement Process in Victoria</w:t>
      </w:r>
      <w:r w:rsidR="00CC119D" w:rsidRPr="00CC119D">
        <w:rPr>
          <w:i/>
          <w:vertAlign w:val="superscript"/>
        </w:rPr>
        <w:footnoteReference w:id="153"/>
      </w:r>
      <w:r w:rsidR="00CC119D" w:rsidRPr="00CC119D">
        <w:rPr>
          <w:i/>
        </w:rPr>
        <w:t xml:space="preserve"> </w:t>
      </w:r>
      <w:r w:rsidR="00CC119D" w:rsidRPr="00CC119D">
        <w:t>(</w:t>
      </w:r>
      <w:proofErr w:type="spellStart"/>
      <w:r w:rsidR="00CC119D" w:rsidRPr="00CC119D">
        <w:rPr>
          <w:b/>
        </w:rPr>
        <w:t>ENRC</w:t>
      </w:r>
      <w:proofErr w:type="spellEnd"/>
      <w:r w:rsidR="00CC119D" w:rsidRPr="00CC119D">
        <w:rPr>
          <w:b/>
        </w:rPr>
        <w:t xml:space="preserve"> report</w:t>
      </w:r>
      <w:r w:rsidR="00CC119D" w:rsidRPr="00CC119D">
        <w:t xml:space="preserve">). The </w:t>
      </w:r>
      <w:proofErr w:type="spellStart"/>
      <w:r w:rsidR="00CC119D" w:rsidRPr="00CC119D">
        <w:t>EIA</w:t>
      </w:r>
      <w:proofErr w:type="spellEnd"/>
      <w:r w:rsidR="00CC119D" w:rsidRPr="00CC119D">
        <w:t xml:space="preserve"> system proposed in this report will create certainty and bring clarity through a legislative rather than guideline-based regime.  EDO </w:t>
      </w:r>
      <w:r>
        <w:t xml:space="preserve">Victoria has given </w:t>
      </w:r>
      <w:r w:rsidR="00CC119D" w:rsidRPr="00CC119D">
        <w:t>in</w:t>
      </w:r>
      <w:r>
        <w:t>-</w:t>
      </w:r>
      <w:r w:rsidR="00CC119D" w:rsidRPr="00CC119D">
        <w:t>principle support</w:t>
      </w:r>
      <w:r>
        <w:t xml:space="preserve"> for</w:t>
      </w:r>
      <w:r w:rsidR="00CC119D" w:rsidRPr="00CC119D">
        <w:t xml:space="preserve"> these recommendations</w:t>
      </w:r>
      <w:r>
        <w:t>,</w:t>
      </w:r>
      <w:r w:rsidR="00CC119D" w:rsidRPr="00CC119D">
        <w:t xml:space="preserve"> and </w:t>
      </w:r>
      <w:r w:rsidR="00B64265">
        <w:t>believes</w:t>
      </w:r>
      <w:r w:rsidR="00CC119D" w:rsidRPr="00CC119D">
        <w:t xml:space="preserve"> that</w:t>
      </w:r>
      <w:r w:rsidR="00B64265">
        <w:t>,</w:t>
      </w:r>
      <w:r w:rsidR="00CC119D" w:rsidRPr="00CC119D">
        <w:t xml:space="preserve"> if implemented by government, there will be better assessments in shorter time frames for all projects in Victoria. The imperative to facilitate major projects through the project approval process in Victoria thus falls away. It does not make sense to continue with an inadequate </w:t>
      </w:r>
      <w:proofErr w:type="spellStart"/>
      <w:r w:rsidR="00B64265">
        <w:t>EIA</w:t>
      </w:r>
      <w:proofErr w:type="spellEnd"/>
      <w:r w:rsidR="00CC119D" w:rsidRPr="00CC119D">
        <w:t xml:space="preserve"> system, and get around it by designing a ‘fast-track’ for certain projects. The evidence from comparable jurisdictions interstate and abroad is that a well</w:t>
      </w:r>
      <w:r w:rsidR="00B64265">
        <w:t>-</w:t>
      </w:r>
      <w:r w:rsidR="00CC119D" w:rsidRPr="00CC119D">
        <w:t xml:space="preserve">designed </w:t>
      </w:r>
      <w:proofErr w:type="spellStart"/>
      <w:r w:rsidR="00CC119D" w:rsidRPr="00CC119D">
        <w:t>EIA</w:t>
      </w:r>
      <w:proofErr w:type="spellEnd"/>
      <w:r w:rsidR="00CC119D" w:rsidRPr="00CC119D">
        <w:t xml:space="preserve"> system can cope with projects of all sizes without the necessity of provision for exemptions.</w:t>
      </w:r>
      <w:r w:rsidR="00CC119D" w:rsidRPr="00CC119D">
        <w:rPr>
          <w:vertAlign w:val="superscript"/>
        </w:rPr>
        <w:footnoteReference w:id="154"/>
      </w:r>
    </w:p>
    <w:p w:rsidR="006A3C69" w:rsidRDefault="006A3C69" w:rsidP="006A3C69">
      <w:pPr>
        <w:rPr>
          <w:lang w:val="en-US"/>
        </w:rPr>
      </w:pPr>
    </w:p>
    <w:p w:rsidR="00CC119D" w:rsidRPr="007D47B5" w:rsidRDefault="00DB13E2" w:rsidP="004D6F76">
      <w:pPr>
        <w:rPr>
          <w:b/>
          <w:lang w:val="en-US"/>
        </w:rPr>
      </w:pPr>
      <w:r w:rsidRPr="007D47B5">
        <w:rPr>
          <w:b/>
          <w:lang w:val="en-US"/>
        </w:rPr>
        <w:t>Accordingly, n</w:t>
      </w:r>
      <w:r w:rsidR="00CC119D" w:rsidRPr="007D47B5">
        <w:rPr>
          <w:b/>
          <w:lang w:val="en-US"/>
        </w:rPr>
        <w:t xml:space="preserve">ew </w:t>
      </w:r>
      <w:proofErr w:type="spellStart"/>
      <w:r w:rsidR="00B64265" w:rsidRPr="007D47B5">
        <w:rPr>
          <w:b/>
          <w:lang w:val="en-US"/>
        </w:rPr>
        <w:t>EIA</w:t>
      </w:r>
      <w:proofErr w:type="spellEnd"/>
      <w:r w:rsidR="00CC119D" w:rsidRPr="007D47B5">
        <w:rPr>
          <w:b/>
          <w:lang w:val="en-US"/>
        </w:rPr>
        <w:t xml:space="preserve"> legislation should be drafted by the Victorian government incorporating the recommendations in the </w:t>
      </w:r>
      <w:proofErr w:type="spellStart"/>
      <w:r w:rsidR="008E6F71" w:rsidRPr="007D47B5">
        <w:rPr>
          <w:b/>
        </w:rPr>
        <w:t>ENRC</w:t>
      </w:r>
      <w:proofErr w:type="spellEnd"/>
      <w:r w:rsidR="008E6F71" w:rsidRPr="007D47B5">
        <w:rPr>
          <w:b/>
        </w:rPr>
        <w:t xml:space="preserve"> inquiry</w:t>
      </w:r>
      <w:r w:rsidR="00CC119D" w:rsidRPr="007D47B5">
        <w:rPr>
          <w:b/>
        </w:rPr>
        <w:t>.</w:t>
      </w:r>
      <w:r w:rsidRPr="007D47B5">
        <w:rPr>
          <w:b/>
        </w:rPr>
        <w:t xml:space="preserve"> </w:t>
      </w:r>
      <w:r w:rsidR="00CC119D" w:rsidRPr="007D47B5">
        <w:rPr>
          <w:b/>
          <w:lang w:val="en-US"/>
        </w:rPr>
        <w:t xml:space="preserve">The new </w:t>
      </w:r>
      <w:proofErr w:type="spellStart"/>
      <w:r w:rsidR="00CC119D" w:rsidRPr="007D47B5">
        <w:rPr>
          <w:b/>
          <w:lang w:val="en-US"/>
        </w:rPr>
        <w:t>EIA</w:t>
      </w:r>
      <w:proofErr w:type="spellEnd"/>
      <w:r w:rsidR="00CC119D" w:rsidRPr="007D47B5">
        <w:rPr>
          <w:b/>
          <w:lang w:val="en-US"/>
        </w:rPr>
        <w:t xml:space="preserve"> legislative scheme should not contain provisions for speci</w:t>
      </w:r>
      <w:r w:rsidRPr="007D47B5">
        <w:rPr>
          <w:b/>
          <w:lang w:val="en-US"/>
        </w:rPr>
        <w:t>al treatment of major projects, and s</w:t>
      </w:r>
      <w:r w:rsidR="00CC119D" w:rsidRPr="007D47B5">
        <w:rPr>
          <w:b/>
          <w:lang w:val="en-US"/>
        </w:rPr>
        <w:t xml:space="preserve">pecific ‘major project’ legislation should not be developed. </w:t>
      </w:r>
    </w:p>
    <w:p w:rsidR="00B64265" w:rsidRDefault="00B64265" w:rsidP="004D6F76"/>
    <w:p w:rsidR="00DB13E2" w:rsidRPr="004D6F76" w:rsidRDefault="0088660E" w:rsidP="004D6F76">
      <w:r>
        <w:t xml:space="preserve">We note that the </w:t>
      </w:r>
      <w:r w:rsidR="00B64265">
        <w:t xml:space="preserve">Victorian </w:t>
      </w:r>
      <w:r>
        <w:t xml:space="preserve">Government’s response to the </w:t>
      </w:r>
      <w:proofErr w:type="spellStart"/>
      <w:r>
        <w:t>ENRC</w:t>
      </w:r>
      <w:proofErr w:type="spellEnd"/>
      <w:r>
        <w:t xml:space="preserve"> inquiry indicated that having</w:t>
      </w:r>
      <w:r w:rsidRPr="0088660E">
        <w:t xml:space="preserve"> regard to </w:t>
      </w:r>
      <w:proofErr w:type="spellStart"/>
      <w:r w:rsidRPr="0088660E">
        <w:t>ENRC’s</w:t>
      </w:r>
      <w:proofErr w:type="spellEnd"/>
      <w:r w:rsidRPr="0088660E">
        <w:t xml:space="preserve"> recommendation</w:t>
      </w:r>
      <w:r>
        <w:t xml:space="preserve">s, </w:t>
      </w:r>
      <w:r w:rsidRPr="0088660E">
        <w:t xml:space="preserve">the Government will proceed with reform of Victoria’s </w:t>
      </w:r>
      <w:proofErr w:type="spellStart"/>
      <w:r w:rsidRPr="0088660E">
        <w:t>EIA</w:t>
      </w:r>
      <w:proofErr w:type="spellEnd"/>
      <w:r w:rsidRPr="0088660E">
        <w:t xml:space="preserve"> framework</w:t>
      </w:r>
      <w:r>
        <w:t>.</w:t>
      </w:r>
      <w:r>
        <w:rPr>
          <w:rStyle w:val="FootnoteReference"/>
          <w:rFonts w:ascii="Verdana" w:hAnsi="Verdana"/>
          <w:spacing w:val="-6"/>
          <w:sz w:val="18"/>
          <w:szCs w:val="18"/>
        </w:rPr>
        <w:footnoteReference w:id="155"/>
      </w:r>
    </w:p>
    <w:p w:rsidR="006A3C69" w:rsidRDefault="006A3C69" w:rsidP="00126BBD">
      <w:pPr>
        <w:rPr>
          <w:lang w:val="en-US"/>
        </w:rPr>
      </w:pPr>
    </w:p>
    <w:p w:rsidR="0086602C" w:rsidRDefault="00B64265" w:rsidP="00126BBD">
      <w:pPr>
        <w:rPr>
          <w:lang w:val="en-US"/>
        </w:rPr>
      </w:pPr>
      <w:r>
        <w:rPr>
          <w:lang w:val="en-US"/>
        </w:rPr>
        <w:t>In</w:t>
      </w:r>
      <w:r w:rsidR="0086602C">
        <w:rPr>
          <w:lang w:val="en-US"/>
        </w:rPr>
        <w:t xml:space="preserve"> </w:t>
      </w:r>
      <w:proofErr w:type="spellStart"/>
      <w:r w:rsidR="0086602C">
        <w:rPr>
          <w:lang w:val="en-US"/>
        </w:rPr>
        <w:t>ANEDO</w:t>
      </w:r>
      <w:r>
        <w:rPr>
          <w:lang w:val="en-US"/>
        </w:rPr>
        <w:t>’</w:t>
      </w:r>
      <w:r w:rsidR="0086602C">
        <w:rPr>
          <w:lang w:val="en-US"/>
        </w:rPr>
        <w:t>s</w:t>
      </w:r>
      <w:proofErr w:type="spellEnd"/>
      <w:r w:rsidR="0086602C">
        <w:rPr>
          <w:lang w:val="en-US"/>
        </w:rPr>
        <w:t xml:space="preserve"> view</w:t>
      </w:r>
      <w:r>
        <w:rPr>
          <w:lang w:val="en-US"/>
        </w:rPr>
        <w:t>,</w:t>
      </w:r>
      <w:r w:rsidR="0086602C">
        <w:rPr>
          <w:lang w:val="en-US"/>
        </w:rPr>
        <w:t xml:space="preserve"> this reform </w:t>
      </w:r>
      <w:r>
        <w:rPr>
          <w:lang w:val="en-US"/>
        </w:rPr>
        <w:t>would result in</w:t>
      </w:r>
      <w:r w:rsidR="0086602C">
        <w:rPr>
          <w:lang w:val="en-US"/>
        </w:rPr>
        <w:t xml:space="preserve"> significant reductions in regulatory burden </w:t>
      </w:r>
      <w:r w:rsidR="00B11890">
        <w:rPr>
          <w:lang w:val="en-US"/>
        </w:rPr>
        <w:t>across the board</w:t>
      </w:r>
      <w:r w:rsidR="0086602C">
        <w:rPr>
          <w:lang w:val="en-US"/>
        </w:rPr>
        <w:t xml:space="preserve">, negating the need for specific major project legislation in Victoria. </w:t>
      </w:r>
    </w:p>
    <w:p w:rsidR="006B4903" w:rsidRPr="006B4903" w:rsidRDefault="00674F30" w:rsidP="006B4903">
      <w:pPr>
        <w:pStyle w:val="Heading1"/>
        <w:pageBreakBefore/>
      </w:pPr>
      <w:bookmarkStart w:id="47" w:name="_Toc335137794"/>
      <w:bookmarkStart w:id="48" w:name="_Toc351985922"/>
      <w:r>
        <w:lastRenderedPageBreak/>
        <w:t>Attachment A</w:t>
      </w:r>
      <w:r w:rsidR="006B4903">
        <w:t xml:space="preserve"> –</w:t>
      </w:r>
      <w:r w:rsidR="006B4903" w:rsidRPr="006B4903">
        <w:t xml:space="preserve"> </w:t>
      </w:r>
      <w:proofErr w:type="spellStart"/>
      <w:r w:rsidR="006B4903">
        <w:t>ANEDO</w:t>
      </w:r>
      <w:proofErr w:type="spellEnd"/>
      <w:r w:rsidR="006B4903">
        <w:t xml:space="preserve">, </w:t>
      </w:r>
      <w:r w:rsidR="006B4903" w:rsidRPr="006B4903">
        <w:rPr>
          <w:i/>
        </w:rPr>
        <w:t>Best practice standards for planning and environmental regulation</w:t>
      </w:r>
      <w:bookmarkEnd w:id="47"/>
      <w:r w:rsidR="006B4903" w:rsidRPr="006B4903">
        <w:rPr>
          <w:i/>
        </w:rPr>
        <w:t xml:space="preserve"> </w:t>
      </w:r>
      <w:r w:rsidR="006B4903">
        <w:t>(June 2012)</w:t>
      </w:r>
      <w:bookmarkEnd w:id="48"/>
    </w:p>
    <w:p w:rsidR="006B4903" w:rsidRDefault="006B4903" w:rsidP="006B4903">
      <w:pPr>
        <w:rPr>
          <w:highlight w:val="magenta"/>
          <w:lang w:val="en-US"/>
        </w:rPr>
      </w:pPr>
    </w:p>
    <w:p w:rsidR="006B4903" w:rsidRPr="00201F44" w:rsidRDefault="006B4903" w:rsidP="006B4903">
      <w:pPr>
        <w:pBdr>
          <w:top w:val="single" w:sz="4" w:space="1" w:color="auto"/>
          <w:left w:val="single" w:sz="4" w:space="4" w:color="auto"/>
          <w:bottom w:val="single" w:sz="4" w:space="1" w:color="auto"/>
          <w:right w:val="single" w:sz="4" w:space="4" w:color="auto"/>
        </w:pBdr>
        <w:rPr>
          <w:rFonts w:cs="Arial"/>
        </w:rPr>
      </w:pPr>
      <w:r w:rsidRPr="00201F44">
        <w:rPr>
          <w:rFonts w:cs="Arial"/>
        </w:rPr>
        <w:t xml:space="preserve">Following COAG announcements in April 2012 to streamline environmental assessment and approvals at the federal and state levels, </w:t>
      </w:r>
      <w:proofErr w:type="spellStart"/>
      <w:r w:rsidRPr="00201F44">
        <w:rPr>
          <w:rFonts w:cs="Arial"/>
        </w:rPr>
        <w:t>ANEDO</w:t>
      </w:r>
      <w:proofErr w:type="spellEnd"/>
      <w:r w:rsidRPr="00201F44">
        <w:rPr>
          <w:rFonts w:cs="Arial"/>
        </w:rPr>
        <w:t xml:space="preserve"> released a briefing paper on </w:t>
      </w:r>
      <w:r w:rsidRPr="00201F44">
        <w:rPr>
          <w:rFonts w:cs="Arial"/>
          <w:i/>
          <w:lang w:val="en-US"/>
        </w:rPr>
        <w:t>Best practice standards for environmental regulation</w:t>
      </w:r>
      <w:r>
        <w:rPr>
          <w:rFonts w:cs="Arial"/>
          <w:lang w:val="en-US"/>
        </w:rPr>
        <w:t xml:space="preserve"> (June </w:t>
      </w:r>
      <w:r w:rsidRPr="00201F44">
        <w:rPr>
          <w:rFonts w:cs="Arial"/>
          <w:lang w:val="en-US"/>
        </w:rPr>
        <w:t>2012)</w:t>
      </w:r>
      <w:r w:rsidRPr="00201F44">
        <w:rPr>
          <w:rFonts w:cs="Arial"/>
          <w:i/>
          <w:lang w:val="en-US"/>
        </w:rPr>
        <w:t>.</w:t>
      </w:r>
      <w:r w:rsidRPr="00201F44">
        <w:rPr>
          <w:rStyle w:val="FootnoteReference"/>
          <w:rFonts w:cs="Arial"/>
        </w:rPr>
        <w:footnoteReference w:id="156"/>
      </w:r>
      <w:r w:rsidRPr="00201F44">
        <w:rPr>
          <w:rFonts w:cs="Arial"/>
        </w:rPr>
        <w:t xml:space="preserve"> Below is an excerpt of this paper.</w:t>
      </w:r>
    </w:p>
    <w:p w:rsidR="006B4903" w:rsidRPr="00201F44" w:rsidRDefault="006B4903" w:rsidP="006B4903">
      <w:pPr>
        <w:jc w:val="both"/>
        <w:rPr>
          <w:rFonts w:cs="Arial"/>
          <w:sz w:val="20"/>
          <w:szCs w:val="20"/>
        </w:rPr>
      </w:pPr>
    </w:p>
    <w:p w:rsidR="006B4903" w:rsidRPr="00201F44" w:rsidRDefault="006B4903" w:rsidP="00BB0C85">
      <w:pPr>
        <w:rPr>
          <w:rFonts w:cs="Arial"/>
          <w:szCs w:val="22"/>
        </w:rPr>
      </w:pPr>
      <w:r w:rsidRPr="00201F44">
        <w:rPr>
          <w:rFonts w:cs="Arial"/>
          <w:szCs w:val="22"/>
        </w:rPr>
        <w:t xml:space="preserve">For the purposes of this paper, “best practice standards” is taken to mean those elements/provisions that must be clearly articulated in legislation (both state and federal) to enshrine best practice environmental planning and assessment processes. </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 xml:space="preserve">This section sets out 10 high-level elements that should form the basis for effective environmental and planning laws, state and federal: </w:t>
      </w:r>
    </w:p>
    <w:p w:rsidR="006B4903" w:rsidRPr="00201F44" w:rsidRDefault="006B4903" w:rsidP="00BB0C85">
      <w:pPr>
        <w:rPr>
          <w:rFonts w:cs="Arial"/>
          <w:szCs w:val="22"/>
        </w:rPr>
      </w:pP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Clear objects that prioritise ecologically sustainable development (</w:t>
      </w:r>
      <w:proofErr w:type="spellStart"/>
      <w:r w:rsidRPr="006B4903">
        <w:rPr>
          <w:rFonts w:ascii="Arial" w:eastAsia="Times New Roman" w:hAnsi="Arial" w:cs="Arial"/>
          <w:b/>
          <w:bCs/>
          <w:i/>
          <w:color w:val="4F81BD"/>
        </w:rPr>
        <w:t>ESD</w:t>
      </w:r>
      <w:proofErr w:type="spellEnd"/>
      <w:r w:rsidRPr="006B4903">
        <w:rPr>
          <w:rFonts w:ascii="Arial" w:eastAsia="Times New Roman" w:hAnsi="Arial" w:cs="Arial"/>
          <w:b/>
          <w:bCs/>
          <w:i/>
          <w:color w:val="4F81BD"/>
        </w:rPr>
        <w:t>)</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Objective test for good environmental outcomes</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Independent assessment</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Comprehensive assessment based on best information available</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Projects must minimise environmental impacts (impact hierarchy)</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Best practice standards for strategic environmental assessment processes</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Oversight and review</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Public participation</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Compliance and enforcement</w:t>
      </w:r>
    </w:p>
    <w:p w:rsidR="006B4903" w:rsidRPr="006B4903" w:rsidRDefault="006B4903" w:rsidP="009C52E3">
      <w:pPr>
        <w:pStyle w:val="ListParagraph"/>
        <w:numPr>
          <w:ilvl w:val="0"/>
          <w:numId w:val="21"/>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Monitoring and review</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 xml:space="preserve">These principles aim to ensure that our natural capital is sustained for the benefit and appreciation of present and future Australians. In giving effect to these elements, governments and communities will also protect the social and economic benefits of a healthy environment, which all of us rely upon. </w:t>
      </w:r>
    </w:p>
    <w:p w:rsidR="006B4903" w:rsidRPr="00201F44" w:rsidRDefault="006B4903" w:rsidP="00BB0C85">
      <w:pPr>
        <w:rPr>
          <w:rFonts w:cs="Arial"/>
          <w:b/>
          <w:szCs w:val="22"/>
        </w:rPr>
      </w:pPr>
    </w:p>
    <w:p w:rsidR="006B4903" w:rsidRPr="006B4903" w:rsidRDefault="006B4903" w:rsidP="009C52E3">
      <w:pPr>
        <w:pStyle w:val="ListParagraph"/>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Clear objects that prioritise ecologically sustainable development (</w:t>
      </w:r>
      <w:proofErr w:type="spellStart"/>
      <w:r w:rsidRPr="006B4903">
        <w:rPr>
          <w:rFonts w:ascii="Arial" w:eastAsia="Times New Roman" w:hAnsi="Arial" w:cs="Arial"/>
          <w:b/>
          <w:bCs/>
          <w:i/>
          <w:color w:val="4F81BD"/>
        </w:rPr>
        <w:t>ESD</w:t>
      </w:r>
      <w:proofErr w:type="spellEnd"/>
      <w:r w:rsidRPr="006B4903">
        <w:rPr>
          <w:rFonts w:ascii="Arial" w:eastAsia="Times New Roman" w:hAnsi="Arial" w:cs="Arial"/>
          <w:b/>
          <w:bCs/>
          <w:i/>
          <w:color w:val="4F81BD"/>
        </w:rPr>
        <w:t>)</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Environment protection and planning legislation must set out clear objectives, which prioritise ecologically sustainable development (</w:t>
      </w:r>
      <w:proofErr w:type="spellStart"/>
      <w:r w:rsidRPr="00201F44">
        <w:rPr>
          <w:rFonts w:cs="Arial"/>
          <w:szCs w:val="22"/>
        </w:rPr>
        <w:t>ESD</w:t>
      </w:r>
      <w:proofErr w:type="spellEnd"/>
      <w:r w:rsidRPr="00201F44">
        <w:rPr>
          <w:rFonts w:cs="Arial"/>
          <w:szCs w:val="22"/>
        </w:rPr>
        <w:t>) as the overarching aim.</w:t>
      </w:r>
      <w:r w:rsidRPr="00201F44">
        <w:rPr>
          <w:rStyle w:val="FootnoteReference"/>
          <w:rFonts w:cs="Arial"/>
          <w:szCs w:val="22"/>
        </w:rPr>
        <w:footnoteReference w:id="157"/>
      </w:r>
      <w:r w:rsidRPr="00201F44">
        <w:rPr>
          <w:rFonts w:cs="Arial"/>
          <w:szCs w:val="22"/>
        </w:rPr>
        <w:t xml:space="preserve"> These objectives must then be consistently and rigorously applied to all decisions and actions to implement the legislation. </w:t>
      </w:r>
    </w:p>
    <w:p w:rsidR="006B4903" w:rsidRPr="00201F44" w:rsidRDefault="006B4903" w:rsidP="00BB0C85">
      <w:pPr>
        <w:rPr>
          <w:rFonts w:cs="Arial"/>
          <w:szCs w:val="22"/>
        </w:rPr>
      </w:pPr>
    </w:p>
    <w:p w:rsidR="006B4903" w:rsidRPr="006B4903" w:rsidRDefault="006B4903" w:rsidP="009C52E3">
      <w:pPr>
        <w:pStyle w:val="ListParagraph"/>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Objective test for good environmental outcomes</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All projects must be assessed against an objective and consistent test, su</w:t>
      </w:r>
      <w:r>
        <w:rPr>
          <w:rFonts w:cs="Arial"/>
          <w:szCs w:val="22"/>
        </w:rPr>
        <w:t>ch as whether the project will ‘</w:t>
      </w:r>
      <w:r w:rsidRPr="00201F44">
        <w:rPr>
          <w:rFonts w:cs="Arial"/>
          <w:szCs w:val="22"/>
        </w:rPr>
        <w:t>maintain or improve environmental outcomes</w:t>
      </w:r>
      <w:r>
        <w:rPr>
          <w:rFonts w:cs="Arial"/>
          <w:szCs w:val="22"/>
        </w:rPr>
        <w:t>’</w:t>
      </w:r>
      <w:r w:rsidRPr="00201F44">
        <w:rPr>
          <w:rFonts w:cs="Arial"/>
          <w:szCs w:val="22"/>
        </w:rPr>
        <w:t>.</w:t>
      </w:r>
      <w:r w:rsidRPr="00201F44">
        <w:rPr>
          <w:rStyle w:val="FootnoteReference"/>
          <w:rFonts w:cs="Arial"/>
          <w:szCs w:val="22"/>
        </w:rPr>
        <w:footnoteReference w:id="158"/>
      </w:r>
      <w:r w:rsidRPr="00201F44">
        <w:rPr>
          <w:rFonts w:cs="Arial"/>
          <w:szCs w:val="22"/>
        </w:rPr>
        <w:t xml:space="preserve"> Robust, science-based </w:t>
      </w:r>
      <w:r w:rsidRPr="00201F44">
        <w:rPr>
          <w:rFonts w:cs="Arial"/>
          <w:szCs w:val="22"/>
        </w:rPr>
        <w:lastRenderedPageBreak/>
        <w:t>methodologies and assessment tools should be developed to objectively and consistently apply the test to development proposals. Such a test will help ensure Australia develops in an ecologically sustainable way.</w:t>
      </w:r>
    </w:p>
    <w:p w:rsidR="006B4903" w:rsidRPr="00201F44" w:rsidRDefault="006B4903" w:rsidP="00BB0C85">
      <w:pPr>
        <w:rPr>
          <w:rFonts w:cs="Arial"/>
          <w:szCs w:val="22"/>
        </w:rPr>
      </w:pPr>
    </w:p>
    <w:p w:rsidR="006B4903" w:rsidRPr="006B4903" w:rsidRDefault="006B4903" w:rsidP="009C52E3">
      <w:pPr>
        <w:pStyle w:val="ListParagraph"/>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Independent assessment</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Environmental assessment must be done by independent accredited experts, rather than by someone appointed and paid by the proponent. To increase transparency and remove any perceptions of bias, the experts should be assigned to a project by an independent body.</w:t>
      </w:r>
    </w:p>
    <w:p w:rsidR="006B4903" w:rsidRPr="00201F44" w:rsidRDefault="006B4903" w:rsidP="00BB0C85">
      <w:pPr>
        <w:rPr>
          <w:rFonts w:cs="Arial"/>
          <w:szCs w:val="22"/>
        </w:rPr>
      </w:pPr>
    </w:p>
    <w:p w:rsidR="006B4903" w:rsidRPr="006B4903" w:rsidRDefault="006B4903" w:rsidP="009C52E3">
      <w:pPr>
        <w:pStyle w:val="ListParagraph"/>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Comprehensive assessment based on best information available</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 xml:space="preserve">Projects with the largest potential impacts should attract the greatest scrutiny. In addition to assessing the direct environmental impacts of a proposal, environmental assessment must be expanded to include: </w:t>
      </w:r>
    </w:p>
    <w:p w:rsidR="006B4903" w:rsidRPr="00201F44" w:rsidRDefault="006B4903" w:rsidP="009C52E3">
      <w:pPr>
        <w:pStyle w:val="ListParagraph"/>
        <w:numPr>
          <w:ilvl w:val="0"/>
          <w:numId w:val="17"/>
        </w:numPr>
        <w:spacing w:after="0" w:line="240" w:lineRule="auto"/>
        <w:rPr>
          <w:rFonts w:ascii="Arial" w:hAnsi="Arial" w:cs="Arial"/>
        </w:rPr>
      </w:pPr>
      <w:r w:rsidRPr="00201F44">
        <w:rPr>
          <w:rFonts w:ascii="Arial" w:hAnsi="Arial" w:cs="Arial"/>
        </w:rPr>
        <w:t xml:space="preserve">assessment of cumulative impacts of multiple projects </w:t>
      </w:r>
    </w:p>
    <w:p w:rsidR="006B4903" w:rsidRPr="00201F44" w:rsidRDefault="006B4903" w:rsidP="009C52E3">
      <w:pPr>
        <w:pStyle w:val="ListParagraph"/>
        <w:numPr>
          <w:ilvl w:val="0"/>
          <w:numId w:val="17"/>
        </w:numPr>
        <w:spacing w:after="0" w:line="240" w:lineRule="auto"/>
        <w:rPr>
          <w:rFonts w:ascii="Arial" w:hAnsi="Arial" w:cs="Arial"/>
        </w:rPr>
      </w:pPr>
      <w:r w:rsidRPr="00201F44">
        <w:rPr>
          <w:rFonts w:ascii="Arial" w:hAnsi="Arial" w:cs="Arial"/>
        </w:rPr>
        <w:t xml:space="preserve">assessment of climate change impacts (including mitigation and adaptation requirements), and </w:t>
      </w:r>
    </w:p>
    <w:p w:rsidR="006B4903" w:rsidRPr="00201F44" w:rsidRDefault="006B4903" w:rsidP="009C52E3">
      <w:pPr>
        <w:pStyle w:val="ListParagraph"/>
        <w:numPr>
          <w:ilvl w:val="0"/>
          <w:numId w:val="17"/>
        </w:numPr>
        <w:spacing w:after="0" w:line="240" w:lineRule="auto"/>
        <w:ind w:left="714" w:hanging="357"/>
        <w:contextualSpacing w:val="0"/>
        <w:rPr>
          <w:rFonts w:ascii="Arial" w:hAnsi="Arial" w:cs="Arial"/>
        </w:rPr>
      </w:pPr>
      <w:r w:rsidRPr="00201F44">
        <w:rPr>
          <w:rFonts w:ascii="Arial" w:hAnsi="Arial" w:cs="Arial"/>
        </w:rPr>
        <w:t xml:space="preserve">assessment of the potential impacts of feasible alternatives. </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Independent assessors and decision-makers must be provided with the best information available. Best practice assessment must therefore by underpinned by comprehensive baseline data and current environmental accounts, with resource and time allowances to address data gaps.</w:t>
      </w:r>
    </w:p>
    <w:p w:rsidR="006B4903" w:rsidRPr="00201F44" w:rsidRDefault="006B4903" w:rsidP="00BB0C85">
      <w:pPr>
        <w:rPr>
          <w:rFonts w:cs="Arial"/>
          <w:szCs w:val="22"/>
        </w:rPr>
      </w:pPr>
    </w:p>
    <w:p w:rsidR="006B4903" w:rsidRPr="006B4903" w:rsidRDefault="006B4903" w:rsidP="009C52E3">
      <w:pPr>
        <w:pStyle w:val="ListParagraph"/>
        <w:keepNext/>
        <w:numPr>
          <w:ilvl w:val="0"/>
          <w:numId w:val="20"/>
        </w:numPr>
        <w:spacing w:after="0" w:line="240" w:lineRule="auto"/>
        <w:ind w:left="714" w:hanging="357"/>
        <w:rPr>
          <w:rFonts w:ascii="Arial" w:eastAsia="Times New Roman" w:hAnsi="Arial" w:cs="Arial"/>
          <w:b/>
          <w:bCs/>
          <w:i/>
          <w:color w:val="4F81BD"/>
        </w:rPr>
      </w:pPr>
      <w:r w:rsidRPr="006B4903">
        <w:rPr>
          <w:rFonts w:ascii="Arial" w:eastAsia="Times New Roman" w:hAnsi="Arial" w:cs="Arial"/>
          <w:b/>
          <w:bCs/>
          <w:i/>
          <w:color w:val="4F81BD"/>
        </w:rPr>
        <w:t>Projects must minimise environmental impacts (impact hierarchy)</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Development proposals must demonstrate that they comply with an ‘impact hierarchy’:</w:t>
      </w:r>
    </w:p>
    <w:p w:rsidR="006B4903" w:rsidRPr="00201F44" w:rsidRDefault="006B4903" w:rsidP="009C52E3">
      <w:pPr>
        <w:pStyle w:val="ListParagraph"/>
        <w:numPr>
          <w:ilvl w:val="0"/>
          <w:numId w:val="18"/>
        </w:numPr>
        <w:spacing w:after="0" w:line="240" w:lineRule="auto"/>
        <w:rPr>
          <w:rFonts w:ascii="Arial" w:hAnsi="Arial" w:cs="Arial"/>
        </w:rPr>
      </w:pPr>
      <w:r w:rsidRPr="00201F44">
        <w:rPr>
          <w:rFonts w:ascii="Arial" w:hAnsi="Arial" w:cs="Arial"/>
        </w:rPr>
        <w:t xml:space="preserve">first that environmental impacts have been avoided wherever practicable </w:t>
      </w:r>
    </w:p>
    <w:p w:rsidR="006B4903" w:rsidRPr="00201F44" w:rsidRDefault="006B4903" w:rsidP="009C52E3">
      <w:pPr>
        <w:pStyle w:val="ListParagraph"/>
        <w:numPr>
          <w:ilvl w:val="0"/>
          <w:numId w:val="18"/>
        </w:numPr>
        <w:spacing w:after="0" w:line="240" w:lineRule="auto"/>
        <w:rPr>
          <w:rFonts w:ascii="Arial" w:hAnsi="Arial" w:cs="Arial"/>
        </w:rPr>
      </w:pPr>
      <w:r w:rsidRPr="00201F44">
        <w:rPr>
          <w:rFonts w:ascii="Arial" w:hAnsi="Arial" w:cs="Arial"/>
        </w:rPr>
        <w:t xml:space="preserve">second, that unavoidable impacts been mitigated to the extent practicable, and </w:t>
      </w:r>
    </w:p>
    <w:p w:rsidR="006B4903" w:rsidRPr="00201F44" w:rsidRDefault="006B4903" w:rsidP="009C52E3">
      <w:pPr>
        <w:pStyle w:val="ListParagraph"/>
        <w:numPr>
          <w:ilvl w:val="0"/>
          <w:numId w:val="18"/>
        </w:numPr>
        <w:spacing w:after="0" w:line="240" w:lineRule="auto"/>
        <w:ind w:left="714" w:hanging="357"/>
        <w:contextualSpacing w:val="0"/>
        <w:rPr>
          <w:rFonts w:ascii="Arial" w:hAnsi="Arial" w:cs="Arial"/>
        </w:rPr>
      </w:pPr>
      <w:r w:rsidRPr="00201F44">
        <w:rPr>
          <w:rFonts w:ascii="Arial" w:hAnsi="Arial" w:cs="Arial"/>
        </w:rPr>
        <w:t xml:space="preserve">third, if necessary, how offsetting may be used to offset eligible impacts. </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 xml:space="preserve">Any proposed biodiversity offsetting must comply with clear legal requirements including: </w:t>
      </w:r>
    </w:p>
    <w:p w:rsidR="006B4903" w:rsidRPr="00201F44" w:rsidRDefault="006B4903" w:rsidP="009C52E3">
      <w:pPr>
        <w:pStyle w:val="ListParagraph"/>
        <w:numPr>
          <w:ilvl w:val="0"/>
          <w:numId w:val="19"/>
        </w:numPr>
        <w:spacing w:after="0" w:line="240" w:lineRule="auto"/>
        <w:rPr>
          <w:rFonts w:ascii="Arial" w:hAnsi="Arial" w:cs="Arial"/>
        </w:rPr>
      </w:pPr>
      <w:r w:rsidRPr="00201F44">
        <w:rPr>
          <w:rFonts w:ascii="Arial" w:hAnsi="Arial" w:cs="Arial"/>
        </w:rPr>
        <w:t xml:space="preserve">avoidance of ‘red-flag’ environmental values that cannot be offset </w:t>
      </w:r>
    </w:p>
    <w:p w:rsidR="006B4903" w:rsidRPr="00201F44" w:rsidRDefault="006B4903" w:rsidP="009C52E3">
      <w:pPr>
        <w:pStyle w:val="ListParagraph"/>
        <w:numPr>
          <w:ilvl w:val="0"/>
          <w:numId w:val="19"/>
        </w:numPr>
        <w:spacing w:after="0" w:line="240" w:lineRule="auto"/>
        <w:rPr>
          <w:rFonts w:ascii="Arial" w:hAnsi="Arial" w:cs="Arial"/>
        </w:rPr>
      </w:pPr>
      <w:r w:rsidRPr="00201F44">
        <w:rPr>
          <w:rFonts w:ascii="Arial" w:hAnsi="Arial" w:cs="Arial"/>
        </w:rPr>
        <w:t xml:space="preserve">equivalency of values that may be offset (‘like for like’), and </w:t>
      </w:r>
    </w:p>
    <w:p w:rsidR="006B4903" w:rsidRPr="00201F44" w:rsidRDefault="006B4903" w:rsidP="009C52E3">
      <w:pPr>
        <w:pStyle w:val="ListParagraph"/>
        <w:numPr>
          <w:ilvl w:val="0"/>
          <w:numId w:val="19"/>
        </w:numPr>
        <w:spacing w:after="0" w:line="240" w:lineRule="auto"/>
        <w:ind w:left="714" w:hanging="357"/>
        <w:contextualSpacing w:val="0"/>
        <w:rPr>
          <w:rFonts w:ascii="Arial" w:hAnsi="Arial" w:cs="Arial"/>
        </w:rPr>
      </w:pPr>
      <w:r w:rsidRPr="00201F44">
        <w:rPr>
          <w:rFonts w:ascii="Arial" w:hAnsi="Arial" w:cs="Arial"/>
        </w:rPr>
        <w:t xml:space="preserve">ensuring that any offsets are protected in perpetuity (including from future development). </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Offsetting schemes that do not meet these criteria must not be accredited.</w:t>
      </w:r>
    </w:p>
    <w:p w:rsidR="006B4903" w:rsidRPr="00201F44" w:rsidRDefault="006B4903" w:rsidP="00BB0C85">
      <w:pPr>
        <w:rPr>
          <w:rFonts w:cs="Arial"/>
          <w:szCs w:val="22"/>
        </w:rPr>
      </w:pPr>
    </w:p>
    <w:p w:rsidR="006B4903" w:rsidRPr="006B4903" w:rsidRDefault="006B4903" w:rsidP="009C52E3">
      <w:pPr>
        <w:pStyle w:val="ListParagraph"/>
        <w:keepNext/>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Best practice standards for strategic environmental assessment processes</w:t>
      </w:r>
    </w:p>
    <w:p w:rsidR="006B4903" w:rsidRPr="00201F44" w:rsidRDefault="006B4903" w:rsidP="00BB0C85">
      <w:pPr>
        <w:keepNext/>
        <w:rPr>
          <w:rFonts w:cs="Arial"/>
          <w:szCs w:val="22"/>
        </w:rPr>
      </w:pPr>
    </w:p>
    <w:p w:rsidR="006B4903" w:rsidRPr="00201F44" w:rsidRDefault="006B4903" w:rsidP="00BB0C85">
      <w:pPr>
        <w:rPr>
          <w:rFonts w:cs="Arial"/>
          <w:szCs w:val="22"/>
        </w:rPr>
      </w:pPr>
      <w:r w:rsidRPr="00201F44">
        <w:rPr>
          <w:rFonts w:cs="Arial"/>
          <w:szCs w:val="22"/>
        </w:rPr>
        <w:t>Strategic assessment of larger areas and multiple projects must be undertaken according to rigorous, objective and transparent legislative requirements</w:t>
      </w:r>
      <w:r>
        <w:rPr>
          <w:rFonts w:cs="Arial"/>
          <w:szCs w:val="22"/>
        </w:rPr>
        <w:t>[…]. Strategic </w:t>
      </w:r>
      <w:r w:rsidRPr="00201F44">
        <w:rPr>
          <w:rFonts w:cs="Arial"/>
          <w:szCs w:val="22"/>
        </w:rPr>
        <w:t>assessment must:</w:t>
      </w:r>
    </w:p>
    <w:p w:rsidR="006B4903" w:rsidRPr="00201F44" w:rsidRDefault="006B4903" w:rsidP="009C52E3">
      <w:pPr>
        <w:pStyle w:val="ListParagraph"/>
        <w:numPr>
          <w:ilvl w:val="0"/>
          <w:numId w:val="16"/>
        </w:numPr>
        <w:spacing w:after="0" w:line="240" w:lineRule="auto"/>
        <w:rPr>
          <w:rFonts w:ascii="Arial" w:hAnsi="Arial" w:cs="Arial"/>
        </w:rPr>
      </w:pPr>
      <w:r w:rsidRPr="00201F44">
        <w:rPr>
          <w:rFonts w:ascii="Arial" w:hAnsi="Arial" w:cs="Arial"/>
        </w:rPr>
        <w:t xml:space="preserve">be based on comprehensive and accurate mapping and data </w:t>
      </w:r>
    </w:p>
    <w:p w:rsidR="006B4903" w:rsidRPr="00201F44" w:rsidRDefault="006B4903" w:rsidP="009C52E3">
      <w:pPr>
        <w:pStyle w:val="ListParagraph"/>
        <w:numPr>
          <w:ilvl w:val="0"/>
          <w:numId w:val="16"/>
        </w:numPr>
        <w:spacing w:after="0" w:line="240" w:lineRule="auto"/>
        <w:rPr>
          <w:rFonts w:ascii="Arial" w:hAnsi="Arial" w:cs="Arial"/>
        </w:rPr>
      </w:pPr>
      <w:r w:rsidRPr="00201F44">
        <w:rPr>
          <w:rFonts w:ascii="Arial" w:hAnsi="Arial" w:cs="Arial"/>
        </w:rPr>
        <w:lastRenderedPageBreak/>
        <w:t>be undertaken at the earliest possible stage</w:t>
      </w:r>
    </w:p>
    <w:p w:rsidR="006B4903" w:rsidRPr="00201F44" w:rsidRDefault="006B4903" w:rsidP="009C52E3">
      <w:pPr>
        <w:pStyle w:val="ListParagraph"/>
        <w:numPr>
          <w:ilvl w:val="0"/>
          <w:numId w:val="16"/>
        </w:numPr>
        <w:spacing w:after="0" w:line="240" w:lineRule="auto"/>
        <w:rPr>
          <w:rFonts w:ascii="Arial" w:hAnsi="Arial" w:cs="Arial"/>
        </w:rPr>
      </w:pPr>
      <w:r w:rsidRPr="00201F44">
        <w:rPr>
          <w:rFonts w:ascii="Arial" w:hAnsi="Arial" w:cs="Arial"/>
        </w:rPr>
        <w:t xml:space="preserve">assess alternative scenarios and cumulative impacts </w:t>
      </w:r>
    </w:p>
    <w:p w:rsidR="006B4903" w:rsidRPr="00201F44" w:rsidRDefault="006B4903" w:rsidP="009C52E3">
      <w:pPr>
        <w:pStyle w:val="ListParagraph"/>
        <w:numPr>
          <w:ilvl w:val="0"/>
          <w:numId w:val="16"/>
        </w:numPr>
        <w:spacing w:after="0" w:line="240" w:lineRule="auto"/>
        <w:rPr>
          <w:rFonts w:ascii="Arial" w:hAnsi="Arial" w:cs="Arial"/>
        </w:rPr>
      </w:pPr>
      <w:r w:rsidRPr="00201F44">
        <w:rPr>
          <w:rFonts w:ascii="Arial" w:hAnsi="Arial" w:cs="Arial"/>
        </w:rPr>
        <w:t>involve ground-</w:t>
      </w:r>
      <w:proofErr w:type="spellStart"/>
      <w:r w:rsidRPr="00201F44">
        <w:rPr>
          <w:rFonts w:ascii="Arial" w:hAnsi="Arial" w:cs="Arial"/>
        </w:rPr>
        <w:t>truthing</w:t>
      </w:r>
      <w:proofErr w:type="spellEnd"/>
      <w:r w:rsidRPr="00201F44">
        <w:rPr>
          <w:rFonts w:ascii="Arial" w:hAnsi="Arial" w:cs="Arial"/>
        </w:rPr>
        <w:t xml:space="preserve"> of impact assessment </w:t>
      </w:r>
    </w:p>
    <w:p w:rsidR="006B4903" w:rsidRPr="00201F44" w:rsidRDefault="006B4903" w:rsidP="009C52E3">
      <w:pPr>
        <w:pStyle w:val="ListParagraph"/>
        <w:numPr>
          <w:ilvl w:val="0"/>
          <w:numId w:val="16"/>
        </w:numPr>
        <w:spacing w:after="0" w:line="240" w:lineRule="auto"/>
        <w:ind w:left="714" w:hanging="357"/>
        <w:contextualSpacing w:val="0"/>
        <w:rPr>
          <w:rFonts w:ascii="Arial" w:hAnsi="Arial" w:cs="Arial"/>
        </w:rPr>
      </w:pPr>
      <w:r w:rsidRPr="00201F44">
        <w:rPr>
          <w:rFonts w:ascii="Arial" w:hAnsi="Arial" w:cs="Arial"/>
        </w:rPr>
        <w:t>involve extensive public consultation, and</w:t>
      </w:r>
    </w:p>
    <w:p w:rsidR="006B4903" w:rsidRPr="00201F44" w:rsidRDefault="006B4903" w:rsidP="009C52E3">
      <w:pPr>
        <w:pStyle w:val="ListParagraph"/>
        <w:numPr>
          <w:ilvl w:val="0"/>
          <w:numId w:val="16"/>
        </w:numPr>
        <w:spacing w:after="0" w:line="240" w:lineRule="auto"/>
        <w:ind w:left="714" w:hanging="357"/>
        <w:contextualSpacing w:val="0"/>
        <w:rPr>
          <w:rFonts w:ascii="Arial" w:hAnsi="Arial" w:cs="Arial"/>
        </w:rPr>
      </w:pPr>
      <w:r w:rsidRPr="00201F44">
        <w:rPr>
          <w:rFonts w:ascii="Arial" w:hAnsi="Arial" w:cs="Arial"/>
        </w:rPr>
        <w:t xml:space="preserve">complement, but not replace, site-level impact assessment. </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Any Commonwealth accreditation framework must ensure that the relevant strategic assessment meets strict, best practice criteria in terms of process, outcome and ongoing implementation. Accreditation can only occur when all criteria are met and it is demonstrated that the assessment will ensure ongoing maintenance or improvement of environmental values.</w:t>
      </w:r>
    </w:p>
    <w:p w:rsidR="006B4903" w:rsidRPr="00201F44" w:rsidRDefault="006B4903" w:rsidP="00BB0C85">
      <w:pPr>
        <w:rPr>
          <w:rFonts w:cs="Arial"/>
          <w:szCs w:val="22"/>
        </w:rPr>
      </w:pPr>
    </w:p>
    <w:p w:rsidR="006B4903" w:rsidRPr="006B4903" w:rsidRDefault="006B4903" w:rsidP="009C52E3">
      <w:pPr>
        <w:pStyle w:val="ListParagraph"/>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Oversight and review</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Consistent with Australia’s international obligations, and in order to accommodate new and emerging information, the Australian Gove</w:t>
      </w:r>
      <w:r>
        <w:rPr>
          <w:rFonts w:cs="Arial"/>
          <w:szCs w:val="22"/>
        </w:rPr>
        <w:t>rnment must retain a review or ‘</w:t>
      </w:r>
      <w:r w:rsidRPr="00201F44">
        <w:rPr>
          <w:rFonts w:cs="Arial"/>
          <w:szCs w:val="22"/>
        </w:rPr>
        <w:t>call-in</w:t>
      </w:r>
      <w:r>
        <w:rPr>
          <w:rFonts w:cs="Arial"/>
          <w:szCs w:val="22"/>
        </w:rPr>
        <w:t>’</w:t>
      </w:r>
      <w:r w:rsidRPr="00201F44">
        <w:rPr>
          <w:rFonts w:cs="Arial"/>
          <w:szCs w:val="22"/>
        </w:rPr>
        <w:t xml:space="preserve"> power over state-based projects, including those done under a strategic assessment or bilateral agreement. An expert ‘Environment Commission’ should be established to undertake an independent review role</w:t>
      </w:r>
      <w:r>
        <w:rPr>
          <w:rFonts w:cs="Arial"/>
          <w:szCs w:val="22"/>
        </w:rPr>
        <w:t>[…]</w:t>
      </w:r>
      <w:r w:rsidRPr="00201F44">
        <w:rPr>
          <w:rFonts w:cs="Arial"/>
          <w:szCs w:val="22"/>
        </w:rPr>
        <w:t>.</w:t>
      </w:r>
    </w:p>
    <w:p w:rsidR="006B4903" w:rsidRPr="00201F44" w:rsidRDefault="006B4903" w:rsidP="00BB0C85">
      <w:pPr>
        <w:rPr>
          <w:rFonts w:cs="Arial"/>
          <w:szCs w:val="22"/>
        </w:rPr>
      </w:pPr>
    </w:p>
    <w:p w:rsidR="006B4903" w:rsidRPr="006B4903" w:rsidRDefault="006B4903" w:rsidP="009C52E3">
      <w:pPr>
        <w:pStyle w:val="ListParagraph"/>
        <w:numPr>
          <w:ilvl w:val="0"/>
          <w:numId w:val="20"/>
        </w:numPr>
        <w:spacing w:after="0" w:line="240" w:lineRule="auto"/>
        <w:rPr>
          <w:rFonts w:ascii="Arial" w:eastAsia="Times New Roman" w:hAnsi="Arial" w:cs="Arial"/>
          <w:b/>
          <w:bCs/>
          <w:i/>
          <w:color w:val="4F81BD"/>
        </w:rPr>
      </w:pPr>
      <w:r w:rsidRPr="006B4903">
        <w:rPr>
          <w:rFonts w:ascii="Arial" w:eastAsia="Times New Roman" w:hAnsi="Arial" w:cs="Arial"/>
          <w:b/>
          <w:bCs/>
          <w:i/>
          <w:color w:val="4F81BD"/>
        </w:rPr>
        <w:t>Public participation</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Environmental assessment and planning laws must clearly prescribe mandatory public participation at each stage – in relation to strategic planning, strategic assessment and individual development assessment. All information relating to environmental assessment and decision-making must be publicly available. Sufficient timeframes must be set out in legislation to allow active, iterative, and considered participation from local communities. Involving the community should go beyond traditional ‘inform and consult’ models, and encourage best practice engagement that delivers more widely acceptable outcomes. Specific requirements must be made for consultation with Indigenous Australians wherever a proposal or assessment involves cultural heritage.</w:t>
      </w:r>
    </w:p>
    <w:p w:rsidR="006B4903" w:rsidRPr="00201F44" w:rsidRDefault="006B4903" w:rsidP="00BB0C85">
      <w:pPr>
        <w:rPr>
          <w:rFonts w:cs="Arial"/>
          <w:szCs w:val="22"/>
        </w:rPr>
      </w:pPr>
    </w:p>
    <w:p w:rsidR="006B4903" w:rsidRPr="00107910" w:rsidRDefault="006B4903" w:rsidP="009C52E3">
      <w:pPr>
        <w:pStyle w:val="ListParagraph"/>
        <w:keepNext/>
        <w:numPr>
          <w:ilvl w:val="0"/>
          <w:numId w:val="20"/>
        </w:numPr>
        <w:spacing w:after="0" w:line="240" w:lineRule="auto"/>
        <w:ind w:left="714" w:hanging="357"/>
        <w:rPr>
          <w:rFonts w:ascii="Arial" w:eastAsia="Times New Roman" w:hAnsi="Arial" w:cs="Arial"/>
          <w:b/>
          <w:bCs/>
          <w:i/>
          <w:color w:val="4F81BD"/>
        </w:rPr>
      </w:pPr>
      <w:r w:rsidRPr="00107910">
        <w:rPr>
          <w:rFonts w:ascii="Arial" w:eastAsia="Times New Roman" w:hAnsi="Arial" w:cs="Arial"/>
          <w:b/>
          <w:bCs/>
          <w:i/>
          <w:color w:val="4F81BD"/>
        </w:rPr>
        <w:t>Compliance and enforcement</w:t>
      </w:r>
    </w:p>
    <w:p w:rsidR="006B4903" w:rsidRPr="00201F44" w:rsidRDefault="006B4903" w:rsidP="00BB0C85">
      <w:pPr>
        <w:rPr>
          <w:rFonts w:cs="Arial"/>
          <w:szCs w:val="22"/>
        </w:rPr>
      </w:pPr>
    </w:p>
    <w:p w:rsidR="006B4903" w:rsidRPr="00201F44" w:rsidRDefault="006B4903" w:rsidP="00BB0C85">
      <w:pPr>
        <w:rPr>
          <w:rFonts w:cs="Arial"/>
          <w:szCs w:val="22"/>
        </w:rPr>
      </w:pPr>
      <w:r w:rsidRPr="00201F44">
        <w:rPr>
          <w:rFonts w:cs="Arial"/>
          <w:szCs w:val="22"/>
        </w:rPr>
        <w:t>A range of regulatory tools and penalties should be available to address breaches of legislation. To ensure transparency and accountability, all legislation should include ‘open standing’ to bring proceedings for breaches. Statistics on compliance and enforcement should be published regularly, in a consistent and comparable form.</w:t>
      </w:r>
    </w:p>
    <w:p w:rsidR="006B4903" w:rsidRPr="00201F44" w:rsidRDefault="006B4903" w:rsidP="00BB0C85">
      <w:pPr>
        <w:rPr>
          <w:rFonts w:cs="Arial"/>
          <w:szCs w:val="22"/>
        </w:rPr>
      </w:pPr>
    </w:p>
    <w:p w:rsidR="006B4903" w:rsidRPr="00107910" w:rsidRDefault="006B4903" w:rsidP="009C52E3">
      <w:pPr>
        <w:pStyle w:val="ListParagraph"/>
        <w:keepNext/>
        <w:numPr>
          <w:ilvl w:val="0"/>
          <w:numId w:val="20"/>
        </w:numPr>
        <w:spacing w:after="0" w:line="240" w:lineRule="auto"/>
        <w:ind w:left="714" w:hanging="357"/>
        <w:rPr>
          <w:rFonts w:ascii="Arial" w:eastAsia="Times New Roman" w:hAnsi="Arial" w:cs="Arial"/>
          <w:b/>
          <w:bCs/>
          <w:i/>
          <w:color w:val="4F81BD"/>
        </w:rPr>
      </w:pPr>
      <w:r w:rsidRPr="00107910">
        <w:rPr>
          <w:rFonts w:ascii="Arial" w:eastAsia="Times New Roman" w:hAnsi="Arial" w:cs="Arial"/>
          <w:b/>
          <w:bCs/>
          <w:i/>
          <w:color w:val="4F81BD"/>
        </w:rPr>
        <w:t>Monitoring and review</w:t>
      </w:r>
    </w:p>
    <w:p w:rsidR="006B4903" w:rsidRPr="00201F44" w:rsidRDefault="006B4903" w:rsidP="00BB0C85">
      <w:pPr>
        <w:rPr>
          <w:rFonts w:cs="Arial"/>
          <w:szCs w:val="22"/>
        </w:rPr>
      </w:pPr>
    </w:p>
    <w:p w:rsidR="006B4903" w:rsidRPr="006B4903" w:rsidRDefault="006B4903" w:rsidP="00BB0C85">
      <w:pPr>
        <w:rPr>
          <w:highlight w:val="magenta"/>
          <w:lang w:val="en-US"/>
        </w:rPr>
      </w:pPr>
      <w:r w:rsidRPr="00201F44">
        <w:rPr>
          <w:rFonts w:cs="Arial"/>
          <w:szCs w:val="22"/>
        </w:rPr>
        <w:t>The efficacy of all environmental assessment and planning laws must be periodically and independently reviewed – to assess whether the relevant processes, implementation and decision-making are improving or maintaining environmental values, and whether the legislation is achieving ecologically sustainable development. There must also be specific legislative requirements for regular review of any accredited plan or policy.</w:t>
      </w:r>
    </w:p>
    <w:p w:rsidR="00B7348D" w:rsidRDefault="009B0116" w:rsidP="00A73B17">
      <w:pPr>
        <w:pStyle w:val="Heading1"/>
        <w:pageBreakBefore/>
        <w:rPr>
          <w:lang w:val="en-US"/>
        </w:rPr>
      </w:pPr>
      <w:bookmarkStart w:id="49" w:name="_Toc351985923"/>
      <w:r>
        <w:rPr>
          <w:lang w:val="en-US"/>
        </w:rPr>
        <w:lastRenderedPageBreak/>
        <w:t xml:space="preserve">Attachment </w:t>
      </w:r>
      <w:r w:rsidR="00674F30">
        <w:rPr>
          <w:lang w:val="en-US"/>
        </w:rPr>
        <w:t>B</w:t>
      </w:r>
      <w:r w:rsidR="008A18C4" w:rsidRPr="009B0116">
        <w:rPr>
          <w:i/>
        </w:rPr>
        <w:t xml:space="preserve"> –</w:t>
      </w:r>
      <w:r w:rsidR="008A18C4">
        <w:rPr>
          <w:i/>
        </w:rPr>
        <w:t xml:space="preserve"> </w:t>
      </w:r>
      <w:r w:rsidR="00F23644" w:rsidRPr="007B4AD8">
        <w:rPr>
          <w:i/>
        </w:rPr>
        <w:t>Excerpts from</w:t>
      </w:r>
      <w:r w:rsidR="008A18C4" w:rsidRPr="007B4AD8">
        <w:rPr>
          <w:i/>
        </w:rPr>
        <w:t xml:space="preserve"> EDO NSW </w:t>
      </w:r>
      <w:r w:rsidR="00F23644" w:rsidRPr="007B4AD8">
        <w:rPr>
          <w:i/>
        </w:rPr>
        <w:t>Submission (Sept 2012) on the NSW Government’s Planning System Green Paper</w:t>
      </w:r>
      <w:r w:rsidR="008A18C4" w:rsidRPr="007B4AD8">
        <w:rPr>
          <w:rStyle w:val="FootnoteReference"/>
          <w:i/>
        </w:rPr>
        <w:footnoteReference w:id="159"/>
      </w:r>
      <w:bookmarkEnd w:id="49"/>
    </w:p>
    <w:p w:rsidR="00A73B17" w:rsidRDefault="00A73B17" w:rsidP="00A73B17">
      <w:pPr>
        <w:rPr>
          <w:lang w:val="en-US"/>
        </w:rPr>
      </w:pPr>
    </w:p>
    <w:p w:rsidR="007B4AD8" w:rsidRPr="00B30260" w:rsidRDefault="007B4AD8" w:rsidP="00A73B17">
      <w:pPr>
        <w:rPr>
          <w:i/>
          <w:sz w:val="20"/>
          <w:szCs w:val="20"/>
          <w:lang w:val="en-US"/>
        </w:rPr>
      </w:pPr>
      <w:r w:rsidRPr="00B30260">
        <w:rPr>
          <w:i/>
          <w:sz w:val="20"/>
          <w:szCs w:val="20"/>
          <w:lang w:val="en-US"/>
        </w:rPr>
        <w:t>This Attachment contains excerpts relevant to major pr</w:t>
      </w:r>
      <w:r w:rsidR="009B0116" w:rsidRPr="00B30260">
        <w:rPr>
          <w:i/>
          <w:sz w:val="20"/>
          <w:szCs w:val="20"/>
          <w:lang w:val="en-US"/>
        </w:rPr>
        <w:t>ojects from a comprehensive EDO </w:t>
      </w:r>
      <w:r w:rsidRPr="00B30260">
        <w:rPr>
          <w:i/>
          <w:sz w:val="20"/>
          <w:szCs w:val="20"/>
          <w:lang w:val="en-US"/>
        </w:rPr>
        <w:t>NSW submission on the NSW Planning Review Green Paper. The</w:t>
      </w:r>
      <w:r w:rsidR="009B0116" w:rsidRPr="00B30260">
        <w:rPr>
          <w:i/>
          <w:sz w:val="20"/>
          <w:szCs w:val="20"/>
          <w:lang w:val="en-US"/>
        </w:rPr>
        <w:t>se</w:t>
      </w:r>
      <w:r w:rsidRPr="00B30260">
        <w:rPr>
          <w:i/>
          <w:sz w:val="20"/>
          <w:szCs w:val="20"/>
          <w:lang w:val="en-US"/>
        </w:rPr>
        <w:t xml:space="preserve"> excerpt</w:t>
      </w:r>
      <w:r w:rsidR="009B0116" w:rsidRPr="00B30260">
        <w:rPr>
          <w:i/>
          <w:sz w:val="20"/>
          <w:szCs w:val="20"/>
          <w:lang w:val="en-US"/>
        </w:rPr>
        <w:t xml:space="preserve">s have been </w:t>
      </w:r>
      <w:r w:rsidRPr="00B30260">
        <w:rPr>
          <w:i/>
          <w:sz w:val="20"/>
          <w:szCs w:val="20"/>
          <w:lang w:val="en-US"/>
        </w:rPr>
        <w:t>re-numbered</w:t>
      </w:r>
      <w:r w:rsidR="00BB0C85" w:rsidRPr="00B30260">
        <w:rPr>
          <w:i/>
          <w:sz w:val="20"/>
          <w:szCs w:val="20"/>
          <w:lang w:val="en-US"/>
        </w:rPr>
        <w:t xml:space="preserve"> </w:t>
      </w:r>
      <w:r w:rsidR="009B0116" w:rsidRPr="00B30260">
        <w:rPr>
          <w:i/>
          <w:sz w:val="20"/>
          <w:szCs w:val="20"/>
          <w:lang w:val="en-US"/>
        </w:rPr>
        <w:t>for clarity</w:t>
      </w:r>
      <w:r w:rsidR="00CD6E96" w:rsidRPr="00B30260">
        <w:rPr>
          <w:i/>
          <w:sz w:val="20"/>
          <w:szCs w:val="20"/>
          <w:lang w:val="en-US"/>
        </w:rPr>
        <w:t>.</w:t>
      </w:r>
      <w:r w:rsidR="002D15BD" w:rsidRPr="00B30260">
        <w:rPr>
          <w:rStyle w:val="FootnoteReference"/>
          <w:i/>
          <w:sz w:val="20"/>
          <w:szCs w:val="20"/>
          <w:lang w:val="en-US"/>
        </w:rPr>
        <w:footnoteReference w:id="160"/>
      </w:r>
      <w:r w:rsidR="00CD6E96" w:rsidRPr="00B30260">
        <w:rPr>
          <w:i/>
          <w:sz w:val="20"/>
          <w:szCs w:val="20"/>
          <w:lang w:val="en-US"/>
        </w:rPr>
        <w:t xml:space="preserve"> </w:t>
      </w:r>
    </w:p>
    <w:p w:rsidR="008A18C4" w:rsidRPr="00120066" w:rsidRDefault="008A18C4" w:rsidP="009C52E3">
      <w:pPr>
        <w:pStyle w:val="Heading2"/>
        <w:numPr>
          <w:ilvl w:val="0"/>
          <w:numId w:val="30"/>
        </w:numPr>
      </w:pPr>
      <w:bookmarkStart w:id="50" w:name="_Toc335137775"/>
      <w:bookmarkStart w:id="51" w:name="_Toc350780867"/>
      <w:bookmarkStart w:id="52" w:name="_Toc351985924"/>
      <w:bookmarkStart w:id="53" w:name="_Toc349832059"/>
      <w:bookmarkStart w:id="54" w:name="_Toc349913785"/>
      <w:bookmarkStart w:id="55" w:name="_Toc350251423"/>
      <w:bookmarkStart w:id="56" w:name="_Toc350412754"/>
      <w:r w:rsidRPr="00120066">
        <w:t>State significant development – greatest impacts need greatest scrutiny</w:t>
      </w:r>
      <w:bookmarkEnd w:id="50"/>
      <w:bookmarkEnd w:id="51"/>
      <w:bookmarkEnd w:id="52"/>
      <w:r w:rsidRPr="00120066">
        <w:t xml:space="preserve"> </w:t>
      </w:r>
      <w:bookmarkEnd w:id="53"/>
      <w:bookmarkEnd w:id="54"/>
      <w:bookmarkEnd w:id="55"/>
      <w:bookmarkEnd w:id="56"/>
    </w:p>
    <w:p w:rsidR="008A18C4" w:rsidRPr="00F3241E" w:rsidRDefault="008A18C4" w:rsidP="00A03A28">
      <w:pPr>
        <w:spacing w:after="120"/>
        <w:rPr>
          <w:rFonts w:cs="Arial"/>
        </w:rPr>
      </w:pPr>
      <w:r w:rsidRPr="00F3241E">
        <w:rPr>
          <w:rFonts w:cs="Arial"/>
        </w:rPr>
        <w:t>The initial proposals for major project assessment in t</w:t>
      </w:r>
      <w:r>
        <w:rPr>
          <w:rFonts w:cs="Arial"/>
        </w:rPr>
        <w:t>he Green Paper pose</w:t>
      </w:r>
      <w:r w:rsidRPr="00F3241E">
        <w:rPr>
          <w:rFonts w:cs="Arial"/>
        </w:rPr>
        <w:t xml:space="preserve"> significant risks to the Government’s intent to restore public trust, transparency and accountability to the planning system; and are cause for significant community concern.</w:t>
      </w:r>
      <w:r w:rsidRPr="00F3241E">
        <w:rPr>
          <w:rStyle w:val="FootnoteReference"/>
          <w:rFonts w:cs="Arial"/>
        </w:rPr>
        <w:footnoteReference w:id="161"/>
      </w:r>
      <w:r w:rsidRPr="00F3241E">
        <w:rPr>
          <w:rFonts w:cs="Arial"/>
        </w:rPr>
        <w:t xml:space="preserve">  </w:t>
      </w:r>
      <w:r>
        <w:rPr>
          <w:rFonts w:cs="Arial"/>
        </w:rPr>
        <w:t xml:space="preserve">As noted, a consistent concern raised by EDO NSW seminar participants was the fear that the new system in practice will simply reinstate some of the worst aspects of Part </w:t>
      </w:r>
      <w:proofErr w:type="spellStart"/>
      <w:r>
        <w:rPr>
          <w:rFonts w:cs="Arial"/>
        </w:rPr>
        <w:t>3A</w:t>
      </w:r>
      <w:proofErr w:type="spellEnd"/>
      <w:r>
        <w:rPr>
          <w:rFonts w:cs="Arial"/>
        </w:rPr>
        <w:t xml:space="preserve">. </w:t>
      </w:r>
      <w:r w:rsidR="00A03A28">
        <w:rPr>
          <w:rFonts w:cs="Arial"/>
        </w:rPr>
        <w:t>In </w:t>
      </w:r>
      <w:r w:rsidRPr="00F3241E">
        <w:rPr>
          <w:rFonts w:cs="Arial"/>
        </w:rPr>
        <w:t>particular:</w:t>
      </w:r>
    </w:p>
    <w:p w:rsidR="008A18C4" w:rsidRPr="00F3241E" w:rsidRDefault="008A18C4" w:rsidP="00437F5D">
      <w:pPr>
        <w:pStyle w:val="ListParagraph"/>
        <w:keepNext/>
        <w:keepLines/>
        <w:numPr>
          <w:ilvl w:val="0"/>
          <w:numId w:val="12"/>
        </w:numPr>
        <w:spacing w:after="0" w:line="240" w:lineRule="auto"/>
        <w:contextualSpacing w:val="0"/>
        <w:rPr>
          <w:rFonts w:ascii="Arial" w:hAnsi="Arial" w:cs="Arial"/>
        </w:rPr>
      </w:pPr>
      <w:r w:rsidRPr="00F3241E">
        <w:rPr>
          <w:rFonts w:ascii="Arial" w:hAnsi="Arial" w:cs="Arial"/>
        </w:rPr>
        <w:t>strategic level ‘concept plan’ approvals</w:t>
      </w:r>
      <w:r>
        <w:rPr>
          <w:rFonts w:ascii="Arial" w:hAnsi="Arial" w:cs="Arial"/>
        </w:rPr>
        <w:t>;</w:t>
      </w:r>
    </w:p>
    <w:p w:rsidR="008A18C4" w:rsidRPr="00F3241E" w:rsidRDefault="008A18C4" w:rsidP="00437F5D">
      <w:pPr>
        <w:pStyle w:val="ListParagraph"/>
        <w:keepNext/>
        <w:keepLines/>
        <w:numPr>
          <w:ilvl w:val="0"/>
          <w:numId w:val="12"/>
        </w:numPr>
        <w:spacing w:after="0" w:line="240" w:lineRule="auto"/>
        <w:contextualSpacing w:val="0"/>
        <w:rPr>
          <w:rFonts w:ascii="Arial" w:hAnsi="Arial" w:cs="Arial"/>
        </w:rPr>
      </w:pPr>
      <w:r w:rsidRPr="00F3241E">
        <w:rPr>
          <w:rFonts w:ascii="Arial" w:hAnsi="Arial" w:cs="Arial"/>
        </w:rPr>
        <w:t>‘public priority infrastructure’</w:t>
      </w:r>
      <w:r>
        <w:rPr>
          <w:rFonts w:ascii="Arial" w:hAnsi="Arial" w:cs="Arial"/>
        </w:rPr>
        <w:t>; and</w:t>
      </w:r>
      <w:r w:rsidRPr="00F3241E">
        <w:rPr>
          <w:rFonts w:ascii="Arial" w:hAnsi="Arial" w:cs="Arial"/>
        </w:rPr>
        <w:t xml:space="preserve"> </w:t>
      </w:r>
    </w:p>
    <w:p w:rsidR="008A18C4" w:rsidRPr="00F3241E" w:rsidRDefault="008A18C4" w:rsidP="00437F5D">
      <w:pPr>
        <w:pStyle w:val="ListParagraph"/>
        <w:keepNext/>
        <w:keepLines/>
        <w:numPr>
          <w:ilvl w:val="0"/>
          <w:numId w:val="12"/>
        </w:numPr>
        <w:spacing w:after="0" w:line="240" w:lineRule="auto"/>
        <w:contextualSpacing w:val="0"/>
        <w:rPr>
          <w:rFonts w:ascii="Arial" w:hAnsi="Arial" w:cs="Arial"/>
        </w:rPr>
      </w:pPr>
      <w:r w:rsidRPr="00F3241E">
        <w:rPr>
          <w:rFonts w:ascii="Arial" w:hAnsi="Arial" w:cs="Arial"/>
        </w:rPr>
        <w:t xml:space="preserve">‘streamlining Director General Requirements’ including ‘reducing the 28 day consultation period if not required’ </w:t>
      </w:r>
    </w:p>
    <w:p w:rsidR="008A18C4" w:rsidRPr="00F3241E" w:rsidRDefault="008A18C4" w:rsidP="008A18C4">
      <w:pPr>
        <w:keepNext/>
        <w:keepLines/>
        <w:rPr>
          <w:rFonts w:cs="Arial"/>
        </w:rPr>
      </w:pPr>
    </w:p>
    <w:p w:rsidR="008A18C4" w:rsidRPr="00977C3B" w:rsidRDefault="008A18C4" w:rsidP="008A18C4">
      <w:pPr>
        <w:rPr>
          <w:rFonts w:cs="Arial"/>
        </w:rPr>
      </w:pPr>
      <w:r w:rsidRPr="00977C3B">
        <w:rPr>
          <w:rFonts w:cs="Arial"/>
        </w:rPr>
        <w:t xml:space="preserve">These proposals appear to replicate several inequities and governance risks of the former Part </w:t>
      </w:r>
      <w:proofErr w:type="spellStart"/>
      <w:r w:rsidRPr="00977C3B">
        <w:rPr>
          <w:rFonts w:cs="Arial"/>
        </w:rPr>
        <w:t>3A</w:t>
      </w:r>
      <w:proofErr w:type="spellEnd"/>
      <w:r w:rsidRPr="00977C3B">
        <w:rPr>
          <w:rFonts w:cs="Arial"/>
        </w:rPr>
        <w:t>. For example, as noted in this submission, there are a range of problems with exempting major projects from environmental concurrences.</w:t>
      </w:r>
    </w:p>
    <w:p w:rsidR="008A18C4" w:rsidRPr="00977C3B" w:rsidRDefault="008A18C4" w:rsidP="008A18C4">
      <w:pPr>
        <w:rPr>
          <w:rFonts w:cs="Arial"/>
        </w:rPr>
      </w:pPr>
    </w:p>
    <w:p w:rsidR="008A18C4" w:rsidRDefault="008A18C4" w:rsidP="008A18C4">
      <w:pPr>
        <w:rPr>
          <w:rFonts w:cs="Arial"/>
        </w:rPr>
      </w:pPr>
      <w:r w:rsidRPr="00977C3B">
        <w:rPr>
          <w:rFonts w:cs="Arial"/>
        </w:rPr>
        <w:t>The White Paper will need to demonstrate to the community that the Government, in its desire for ‘streamlining’, does not tip the balance too far by removing important checks and balances. The onus is</w:t>
      </w:r>
      <w:r>
        <w:rPr>
          <w:rFonts w:cs="Arial"/>
        </w:rPr>
        <w:t xml:space="preserve"> on the NSW Government to prove to the community that the new system will not repeat mistakes of the past. Arbitrary rezoning for state significant development projects has the potential to completely un</w:t>
      </w:r>
      <w:r w:rsidR="00A03A28">
        <w:rPr>
          <w:rFonts w:cs="Arial"/>
        </w:rPr>
        <w:t>dermine strategic planning. The </w:t>
      </w:r>
      <w:r>
        <w:rPr>
          <w:rFonts w:cs="Arial"/>
        </w:rPr>
        <w:t>only way to do this is to include detail of the necessary safeguards and best practice procedural standards in the White paper, Exposure Bill and new Act.</w:t>
      </w:r>
    </w:p>
    <w:p w:rsidR="008A18C4" w:rsidRDefault="008A18C4" w:rsidP="008A18C4">
      <w:pPr>
        <w:pStyle w:val="CommentText"/>
      </w:pPr>
    </w:p>
    <w:p w:rsidR="008A18C4" w:rsidRPr="00B320EB" w:rsidRDefault="008A18C4" w:rsidP="00A03A28">
      <w:pPr>
        <w:keepNext/>
        <w:keepLines/>
        <w:pBdr>
          <w:top w:val="single" w:sz="4" w:space="1" w:color="auto"/>
          <w:left w:val="single" w:sz="4" w:space="4" w:color="auto"/>
          <w:bottom w:val="single" w:sz="4" w:space="1" w:color="auto"/>
          <w:right w:val="single" w:sz="4" w:space="4" w:color="auto"/>
        </w:pBdr>
        <w:spacing w:after="120"/>
        <w:rPr>
          <w:rFonts w:cs="Arial"/>
          <w:b/>
          <w:u w:val="single"/>
        </w:rPr>
      </w:pPr>
      <w:r w:rsidRPr="00B320EB">
        <w:rPr>
          <w:rFonts w:cs="Arial"/>
          <w:b/>
          <w:u w:val="single"/>
        </w:rPr>
        <w:t>Problems with concept plans</w:t>
      </w:r>
    </w:p>
    <w:p w:rsidR="008A18C4" w:rsidRPr="0061314A" w:rsidRDefault="008A18C4" w:rsidP="008A18C4">
      <w:pPr>
        <w:pBdr>
          <w:top w:val="single" w:sz="4" w:space="1" w:color="auto"/>
          <w:left w:val="single" w:sz="4" w:space="4" w:color="auto"/>
          <w:bottom w:val="single" w:sz="4" w:space="1" w:color="auto"/>
          <w:right w:val="single" w:sz="4" w:space="4" w:color="auto"/>
        </w:pBdr>
        <w:autoSpaceDE w:val="0"/>
        <w:autoSpaceDN w:val="0"/>
        <w:adjustRightInd w:val="0"/>
        <w:rPr>
          <w:rFonts w:cs="Arial"/>
          <w:sz w:val="14"/>
          <w:szCs w:val="14"/>
        </w:rPr>
      </w:pPr>
      <w:r w:rsidRPr="00F3241E">
        <w:rPr>
          <w:rFonts w:cs="Arial"/>
        </w:rPr>
        <w:t xml:space="preserve">The concept plan process was one of the significant problems with former Part </w:t>
      </w:r>
      <w:proofErr w:type="spellStart"/>
      <w:r w:rsidRPr="00F3241E">
        <w:rPr>
          <w:rFonts w:cs="Arial"/>
        </w:rPr>
        <w:t>3A</w:t>
      </w:r>
      <w:proofErr w:type="spellEnd"/>
      <w:r w:rsidRPr="00F3241E">
        <w:rPr>
          <w:rFonts w:cs="Arial"/>
        </w:rPr>
        <w:t xml:space="preserve">. It allowed projects </w:t>
      </w:r>
      <w:r w:rsidRPr="0061314A">
        <w:rPr>
          <w:rFonts w:cs="Arial"/>
        </w:rPr>
        <w:t xml:space="preserve">to be approved as concept plans with only a ‘broad brush’ description of the development. Detailed information about the development was not needed, and there was no formal opportunity for public participation, and no opportunity to challenge the Director-General's </w:t>
      </w:r>
      <w:proofErr w:type="spellStart"/>
      <w:r w:rsidRPr="0061314A">
        <w:rPr>
          <w:rFonts w:cs="Arial"/>
        </w:rPr>
        <w:t>EARs</w:t>
      </w:r>
      <w:proofErr w:type="spellEnd"/>
      <w:r w:rsidRPr="0061314A">
        <w:rPr>
          <w:rFonts w:cs="Arial"/>
        </w:rPr>
        <w:t>.</w:t>
      </w:r>
      <w:r w:rsidRPr="0061314A">
        <w:rPr>
          <w:rStyle w:val="FootnoteReference"/>
          <w:rFonts w:cs="Arial"/>
        </w:rPr>
        <w:footnoteReference w:id="162"/>
      </w:r>
    </w:p>
    <w:p w:rsidR="008A18C4" w:rsidRPr="0061314A" w:rsidRDefault="008A18C4" w:rsidP="008A18C4">
      <w:pPr>
        <w:pBdr>
          <w:top w:val="single" w:sz="4" w:space="1" w:color="auto"/>
          <w:left w:val="single" w:sz="4" w:space="4" w:color="auto"/>
          <w:bottom w:val="single" w:sz="4" w:space="1" w:color="auto"/>
          <w:right w:val="single" w:sz="4" w:space="4" w:color="auto"/>
        </w:pBdr>
        <w:autoSpaceDE w:val="0"/>
        <w:autoSpaceDN w:val="0"/>
        <w:adjustRightInd w:val="0"/>
        <w:rPr>
          <w:rFonts w:cs="Arial"/>
          <w:sz w:val="14"/>
          <w:szCs w:val="14"/>
        </w:rPr>
      </w:pPr>
    </w:p>
    <w:p w:rsidR="008A18C4" w:rsidRPr="00A03A28" w:rsidRDefault="008A18C4" w:rsidP="008A18C4">
      <w:pPr>
        <w:pBdr>
          <w:top w:val="single" w:sz="4" w:space="1" w:color="auto"/>
          <w:left w:val="single" w:sz="4" w:space="4" w:color="auto"/>
          <w:bottom w:val="single" w:sz="4" w:space="1" w:color="auto"/>
          <w:right w:val="single" w:sz="4" w:space="4" w:color="auto"/>
        </w:pBdr>
        <w:autoSpaceDE w:val="0"/>
        <w:autoSpaceDN w:val="0"/>
        <w:adjustRightInd w:val="0"/>
        <w:rPr>
          <w:rFonts w:cs="Arial"/>
        </w:rPr>
      </w:pPr>
      <w:r w:rsidRPr="0061314A">
        <w:rPr>
          <w:rFonts w:cs="Arial"/>
        </w:rPr>
        <w:t>A concept plan approval was taken to indicate ‘in principle’ approval of a proposed project, deferring further</w:t>
      </w:r>
      <w:r w:rsidRPr="00F3241E">
        <w:rPr>
          <w:rFonts w:cs="Arial"/>
        </w:rPr>
        <w:t xml:space="preserve"> detail to later.</w:t>
      </w:r>
      <w:r w:rsidRPr="00F3241E">
        <w:rPr>
          <w:rStyle w:val="FootnoteReference"/>
          <w:rFonts w:cs="Arial"/>
        </w:rPr>
        <w:footnoteReference w:id="163"/>
      </w:r>
      <w:r w:rsidRPr="00F3241E">
        <w:rPr>
          <w:rFonts w:cs="Arial"/>
        </w:rPr>
        <w:t xml:space="preserve"> Fu</w:t>
      </w:r>
      <w:r>
        <w:rPr>
          <w:rFonts w:cs="Arial"/>
        </w:rPr>
        <w:t>r</w:t>
      </w:r>
      <w:r w:rsidRPr="00F3241E">
        <w:rPr>
          <w:rFonts w:cs="Arial"/>
        </w:rPr>
        <w:t>thermore, it was possible to make a single application for approval of a concept plan and approval to carry out the project.</w:t>
      </w:r>
      <w:r w:rsidRPr="00F3241E">
        <w:rPr>
          <w:rStyle w:val="FootnoteReference"/>
          <w:rFonts w:cs="Arial"/>
        </w:rPr>
        <w:footnoteReference w:id="164"/>
      </w:r>
      <w:r w:rsidRPr="00F3241E">
        <w:rPr>
          <w:rFonts w:cs="Arial"/>
        </w:rPr>
        <w:t xml:space="preserve"> This meant that projects could be approved on the basis of concept plans without the need for further assessment. This made it difficult, or even impossible, to assess these projects effectively, since the breadth of the specific impacts of the proposal remained unclear. </w:t>
      </w:r>
      <w:r w:rsidRPr="00F3241E">
        <w:rPr>
          <w:rFonts w:cs="Arial"/>
        </w:rPr>
        <w:lastRenderedPageBreak/>
        <w:t xml:space="preserve">Further, once concept approval was obtained, there was no opportunity for third party merits appeal for subsequent approvals. </w:t>
      </w:r>
    </w:p>
    <w:p w:rsidR="008A18C4" w:rsidRDefault="008A18C4" w:rsidP="008A18C4">
      <w:pPr>
        <w:rPr>
          <w:rFonts w:eastAsia="Helvetica" w:cs="Arial"/>
        </w:rPr>
      </w:pPr>
    </w:p>
    <w:p w:rsidR="008A18C4" w:rsidRDefault="008A18C4" w:rsidP="008A18C4">
      <w:pPr>
        <w:rPr>
          <w:rFonts w:cs="Arial"/>
        </w:rPr>
      </w:pPr>
      <w:r w:rsidRPr="00F3241E">
        <w:rPr>
          <w:rFonts w:eastAsia="Helvetica" w:cs="Arial"/>
        </w:rPr>
        <w:t xml:space="preserve">If concept approvals are to be used in the new planning system then these key concerns would need to </w:t>
      </w:r>
      <w:r w:rsidRPr="00977C3B">
        <w:rPr>
          <w:rFonts w:eastAsia="Helvetica" w:cs="Arial"/>
        </w:rPr>
        <w:t>be resolved.</w:t>
      </w:r>
      <w:r w:rsidRPr="00977C3B">
        <w:rPr>
          <w:rFonts w:cs="Arial"/>
        </w:rPr>
        <w:t xml:space="preserve"> The process for concept planning in the new system must be more robust. Authorities should be able to consider a range of options and be presented with objective evidence on impacts of the proposals </w:t>
      </w:r>
      <w:r w:rsidRPr="00977C3B">
        <w:rPr>
          <w:rFonts w:cs="Arial"/>
          <w:i/>
        </w:rPr>
        <w:t>as well as</w:t>
      </w:r>
      <w:r w:rsidRPr="00977C3B">
        <w:rPr>
          <w:rFonts w:cs="Arial"/>
        </w:rPr>
        <w:t xml:space="preserve"> impacts if the proposal did not go ahead. There should be a clear option for decision-makers to refuse concept plans at an early stage. This reduces costs for developers and provides up front certainty.</w:t>
      </w:r>
    </w:p>
    <w:p w:rsidR="008A18C4" w:rsidRPr="00776D01" w:rsidRDefault="008A18C4" w:rsidP="008A18C4"/>
    <w:p w:rsidR="008A18C4" w:rsidRPr="00776D01" w:rsidRDefault="008A18C4" w:rsidP="00B320EB">
      <w:pPr>
        <w:pStyle w:val="Heading3"/>
      </w:pPr>
      <w:bookmarkStart w:id="57" w:name="_Toc349832060"/>
      <w:bookmarkStart w:id="58" w:name="_Toc349913786"/>
      <w:bookmarkStart w:id="59" w:name="_Toc350251424"/>
      <w:bookmarkStart w:id="60" w:name="_Toc350412755"/>
      <w:bookmarkStart w:id="61" w:name="_Toc350780868"/>
      <w:r w:rsidRPr="00776D01">
        <w:t>Clear legal framework and decision-making criteria needed</w:t>
      </w:r>
      <w:bookmarkEnd w:id="57"/>
      <w:bookmarkEnd w:id="58"/>
      <w:bookmarkEnd w:id="59"/>
      <w:bookmarkEnd w:id="60"/>
      <w:bookmarkEnd w:id="61"/>
      <w:r w:rsidRPr="00776D01">
        <w:t xml:space="preserve"> </w:t>
      </w:r>
    </w:p>
    <w:p w:rsidR="008A18C4" w:rsidRDefault="008A18C4" w:rsidP="00B320EB">
      <w:pPr>
        <w:spacing w:after="120"/>
        <w:rPr>
          <w:rFonts w:cs="Arial"/>
          <w:color w:val="221E1F"/>
        </w:rPr>
      </w:pPr>
      <w:r w:rsidRPr="00F3241E">
        <w:rPr>
          <w:rFonts w:cs="Arial"/>
          <w:color w:val="221E1F"/>
        </w:rPr>
        <w:t xml:space="preserve">EDO NSW has consistently proposed that all decision making, whether at local, regional or State level, must happen within the scope of a clear and prescriptive legislative framework that seeks to achieve </w:t>
      </w:r>
      <w:proofErr w:type="spellStart"/>
      <w:r w:rsidRPr="00F3241E">
        <w:rPr>
          <w:rFonts w:cs="Arial"/>
          <w:color w:val="221E1F"/>
        </w:rPr>
        <w:t>ESD</w:t>
      </w:r>
      <w:proofErr w:type="spellEnd"/>
      <w:r w:rsidRPr="00F3241E">
        <w:rPr>
          <w:rFonts w:cs="Arial"/>
          <w:color w:val="221E1F"/>
        </w:rPr>
        <w:t>. In particular, a new planning system must foster better decision making for development proposals by:</w:t>
      </w:r>
    </w:p>
    <w:p w:rsidR="008A18C4" w:rsidRPr="00F3241E" w:rsidRDefault="008A18C4" w:rsidP="00437F5D">
      <w:pPr>
        <w:numPr>
          <w:ilvl w:val="1"/>
          <w:numId w:val="11"/>
        </w:numPr>
        <w:tabs>
          <w:tab w:val="num" w:pos="720"/>
        </w:tabs>
        <w:ind w:left="720"/>
        <w:rPr>
          <w:rFonts w:cs="Arial"/>
          <w:color w:val="221E1F"/>
        </w:rPr>
      </w:pPr>
      <w:r w:rsidRPr="00F3241E">
        <w:rPr>
          <w:rFonts w:cs="Arial"/>
          <w:color w:val="221E1F"/>
        </w:rPr>
        <w:t>placing clear limits on discretionary decision making</w:t>
      </w:r>
      <w:r>
        <w:rPr>
          <w:rFonts w:cs="Arial"/>
          <w:color w:val="221E1F"/>
        </w:rPr>
        <w:t>;</w:t>
      </w:r>
    </w:p>
    <w:p w:rsidR="008A18C4" w:rsidRPr="00F3241E" w:rsidRDefault="008A18C4" w:rsidP="00437F5D">
      <w:pPr>
        <w:numPr>
          <w:ilvl w:val="1"/>
          <w:numId w:val="11"/>
        </w:numPr>
        <w:tabs>
          <w:tab w:val="num" w:pos="720"/>
        </w:tabs>
        <w:ind w:left="720"/>
        <w:rPr>
          <w:rFonts w:cs="Arial"/>
          <w:color w:val="221E1F"/>
        </w:rPr>
      </w:pPr>
      <w:r w:rsidRPr="00F3241E">
        <w:rPr>
          <w:rFonts w:cs="Arial"/>
          <w:color w:val="221E1F"/>
        </w:rPr>
        <w:t>incorporating objective decision making tools (such as a ‘maintain or improve environmental outcomes’ test)</w:t>
      </w:r>
      <w:r>
        <w:rPr>
          <w:rFonts w:cs="Arial"/>
          <w:color w:val="221E1F"/>
        </w:rPr>
        <w:t>;</w:t>
      </w:r>
    </w:p>
    <w:p w:rsidR="008A18C4" w:rsidRPr="00F3241E" w:rsidRDefault="008A18C4" w:rsidP="00437F5D">
      <w:pPr>
        <w:numPr>
          <w:ilvl w:val="1"/>
          <w:numId w:val="11"/>
        </w:numPr>
        <w:tabs>
          <w:tab w:val="num" w:pos="720"/>
        </w:tabs>
        <w:ind w:left="720"/>
        <w:rPr>
          <w:rFonts w:cs="Arial"/>
          <w:color w:val="221E1F"/>
        </w:rPr>
      </w:pPr>
      <w:r w:rsidRPr="00F3241E">
        <w:rPr>
          <w:rFonts w:cs="Arial"/>
          <w:color w:val="221E1F"/>
        </w:rPr>
        <w:t>requiring information to be made publicly available prior to decision-making</w:t>
      </w:r>
      <w:r>
        <w:rPr>
          <w:rFonts w:cs="Arial"/>
          <w:color w:val="221E1F"/>
        </w:rPr>
        <w:t>;</w:t>
      </w:r>
    </w:p>
    <w:p w:rsidR="008A18C4" w:rsidRPr="00F3241E" w:rsidRDefault="008A18C4" w:rsidP="00437F5D">
      <w:pPr>
        <w:numPr>
          <w:ilvl w:val="1"/>
          <w:numId w:val="11"/>
        </w:numPr>
        <w:tabs>
          <w:tab w:val="num" w:pos="720"/>
        </w:tabs>
        <w:ind w:left="720"/>
        <w:rPr>
          <w:rFonts w:cs="Arial"/>
          <w:color w:val="221E1F"/>
        </w:rPr>
      </w:pPr>
      <w:r w:rsidRPr="00F3241E">
        <w:rPr>
          <w:rFonts w:cs="Arial"/>
          <w:color w:val="221E1F"/>
        </w:rPr>
        <w:t>mandating genuine and iterative public participation</w:t>
      </w:r>
      <w:r>
        <w:rPr>
          <w:rFonts w:cs="Arial"/>
          <w:color w:val="221E1F"/>
        </w:rPr>
        <w:t>;</w:t>
      </w:r>
    </w:p>
    <w:p w:rsidR="008A18C4" w:rsidRPr="00F3241E" w:rsidRDefault="008A18C4" w:rsidP="00437F5D">
      <w:pPr>
        <w:numPr>
          <w:ilvl w:val="1"/>
          <w:numId w:val="11"/>
        </w:numPr>
        <w:tabs>
          <w:tab w:val="num" w:pos="720"/>
        </w:tabs>
        <w:ind w:left="720"/>
        <w:rPr>
          <w:rFonts w:cs="Arial"/>
          <w:color w:val="221E1F"/>
        </w:rPr>
      </w:pPr>
      <w:r w:rsidRPr="00F3241E">
        <w:rPr>
          <w:rFonts w:cs="Arial"/>
          <w:color w:val="221E1F"/>
        </w:rPr>
        <w:t>requiring decision makers to provide reasons for decisions, and</w:t>
      </w:r>
    </w:p>
    <w:p w:rsidR="008A18C4" w:rsidRPr="00F3241E" w:rsidRDefault="008A18C4" w:rsidP="00437F5D">
      <w:pPr>
        <w:numPr>
          <w:ilvl w:val="1"/>
          <w:numId w:val="11"/>
        </w:numPr>
        <w:tabs>
          <w:tab w:val="num" w:pos="720"/>
        </w:tabs>
        <w:spacing w:after="120"/>
        <w:ind w:left="714" w:hanging="357"/>
        <w:rPr>
          <w:rFonts w:cs="Arial"/>
          <w:color w:val="221E1F"/>
        </w:rPr>
      </w:pPr>
      <w:r w:rsidRPr="00F3241E">
        <w:rPr>
          <w:rFonts w:cs="Arial"/>
          <w:color w:val="221E1F"/>
        </w:rPr>
        <w:t>ensuring equitable merit appeal rights for decisions.</w:t>
      </w:r>
      <w:r w:rsidRPr="00F3241E">
        <w:rPr>
          <w:rStyle w:val="FootnoteReference"/>
          <w:rFonts w:cs="Arial"/>
          <w:color w:val="221E1F"/>
        </w:rPr>
        <w:footnoteReference w:id="165"/>
      </w:r>
    </w:p>
    <w:p w:rsidR="008A18C4" w:rsidRPr="00F3241E" w:rsidRDefault="008A18C4" w:rsidP="008A18C4">
      <w:pPr>
        <w:rPr>
          <w:rFonts w:cs="Arial"/>
        </w:rPr>
      </w:pPr>
      <w:r w:rsidRPr="00F3241E">
        <w:rPr>
          <w:rFonts w:cs="Arial"/>
        </w:rPr>
        <w:t>Any framework for assessing State significant development must include these key features.</w:t>
      </w:r>
      <w:r w:rsidRPr="00F3241E">
        <w:t xml:space="preserve">  </w:t>
      </w:r>
    </w:p>
    <w:p w:rsidR="008A18C4" w:rsidRPr="00F3241E" w:rsidRDefault="008A18C4" w:rsidP="008A18C4">
      <w:pPr>
        <w:rPr>
          <w:rFonts w:cs="Arial"/>
          <w:color w:val="221E1F"/>
        </w:rPr>
      </w:pPr>
    </w:p>
    <w:p w:rsidR="008A18C4" w:rsidRDefault="008A18C4" w:rsidP="008A18C4">
      <w:pPr>
        <w:rPr>
          <w:rFonts w:cs="Arial"/>
          <w:color w:val="221E1F"/>
        </w:rPr>
      </w:pPr>
      <w:r w:rsidRPr="00F3241E">
        <w:rPr>
          <w:rFonts w:cs="Arial"/>
          <w:color w:val="221E1F"/>
        </w:rPr>
        <w:t xml:space="preserve">Within this framework for achieving </w:t>
      </w:r>
      <w:proofErr w:type="spellStart"/>
      <w:r w:rsidRPr="00F3241E">
        <w:rPr>
          <w:rFonts w:cs="Arial"/>
          <w:color w:val="221E1F"/>
        </w:rPr>
        <w:t>ESD</w:t>
      </w:r>
      <w:proofErr w:type="spellEnd"/>
      <w:r w:rsidRPr="00F3241E">
        <w:rPr>
          <w:rFonts w:cs="Arial"/>
          <w:color w:val="221E1F"/>
        </w:rPr>
        <w:t>, it may be appropriate for State significant proposals to be assessed under additional criteria to those for local development,</w:t>
      </w:r>
      <w:r w:rsidRPr="00F3241E">
        <w:rPr>
          <w:rStyle w:val="FootnoteReference"/>
          <w:rFonts w:cs="Arial"/>
          <w:color w:val="221E1F"/>
        </w:rPr>
        <w:footnoteReference w:id="166"/>
      </w:r>
      <w:r w:rsidRPr="00F3241E">
        <w:rPr>
          <w:rFonts w:cs="Arial"/>
          <w:color w:val="221E1F"/>
        </w:rPr>
        <w:t xml:space="preserve"> provided assessment remains proportionate to potential impacts.</w:t>
      </w:r>
      <w:r w:rsidRPr="00F3241E">
        <w:rPr>
          <w:rStyle w:val="FootnoteReference"/>
          <w:rFonts w:cs="Arial"/>
          <w:color w:val="221E1F"/>
        </w:rPr>
        <w:footnoteReference w:id="167"/>
      </w:r>
      <w:r w:rsidRPr="00F3241E">
        <w:rPr>
          <w:rFonts w:cs="Arial"/>
          <w:color w:val="221E1F"/>
        </w:rPr>
        <w:t xml:space="preserve"> </w:t>
      </w:r>
      <w:r>
        <w:rPr>
          <w:rFonts w:cs="Arial"/>
          <w:color w:val="221E1F"/>
        </w:rPr>
        <w:t>Clarity is needed as to how ‘state planning principles’ will be developed, how they will be applied, and how they relate to state planning policies?</w:t>
      </w:r>
    </w:p>
    <w:p w:rsidR="008A18C4" w:rsidRDefault="008A18C4" w:rsidP="008A18C4">
      <w:pPr>
        <w:rPr>
          <w:rFonts w:cs="Arial"/>
          <w:color w:val="221E1F"/>
        </w:rPr>
      </w:pPr>
    </w:p>
    <w:p w:rsidR="008A18C4" w:rsidRDefault="008A18C4" w:rsidP="008A18C4">
      <w:pPr>
        <w:rPr>
          <w:rFonts w:cs="Arial"/>
          <w:color w:val="221E1F"/>
        </w:rPr>
      </w:pPr>
      <w:r>
        <w:rPr>
          <w:rFonts w:cs="Arial"/>
          <w:color w:val="221E1F"/>
        </w:rPr>
        <w:t xml:space="preserve">EDO NSW has consistently submitted that the largest projects require the most comprehensive assessment requirements. </w:t>
      </w:r>
      <w:r w:rsidRPr="00F3241E">
        <w:rPr>
          <w:rFonts w:cs="Arial"/>
          <w:color w:val="221E1F"/>
        </w:rPr>
        <w:t xml:space="preserve">Full carbon accounting is one example.  </w:t>
      </w:r>
    </w:p>
    <w:p w:rsidR="008A18C4" w:rsidRDefault="008A18C4" w:rsidP="008A18C4">
      <w:pPr>
        <w:rPr>
          <w:rFonts w:cs="Arial"/>
          <w:color w:val="221E1F"/>
        </w:rPr>
      </w:pPr>
    </w:p>
    <w:p w:rsidR="008A18C4" w:rsidRPr="00B320EB" w:rsidRDefault="008A18C4" w:rsidP="006755FB">
      <w:pPr>
        <w:pBdr>
          <w:top w:val="single" w:sz="4" w:space="1" w:color="auto"/>
          <w:left w:val="single" w:sz="4" w:space="0" w:color="auto"/>
          <w:bottom w:val="single" w:sz="4" w:space="1" w:color="auto"/>
          <w:right w:val="single" w:sz="4" w:space="1" w:color="auto"/>
        </w:pBdr>
        <w:spacing w:after="120"/>
        <w:rPr>
          <w:rFonts w:cs="Arial"/>
          <w:b/>
          <w:color w:val="221E1F"/>
          <w:szCs w:val="22"/>
          <w:u w:val="single"/>
        </w:rPr>
      </w:pPr>
      <w:r w:rsidRPr="00B320EB">
        <w:rPr>
          <w:rFonts w:cs="Arial"/>
          <w:b/>
          <w:color w:val="221E1F"/>
          <w:szCs w:val="22"/>
          <w:u w:val="single"/>
        </w:rPr>
        <w:t>Full carbon accounting for major projects</w:t>
      </w:r>
    </w:p>
    <w:p w:rsidR="008A18C4" w:rsidRPr="00977C3B" w:rsidRDefault="008A18C4" w:rsidP="006755FB">
      <w:pPr>
        <w:pBdr>
          <w:top w:val="single" w:sz="4" w:space="1" w:color="auto"/>
          <w:left w:val="single" w:sz="4" w:space="0" w:color="auto"/>
          <w:bottom w:val="single" w:sz="4" w:space="1" w:color="auto"/>
          <w:right w:val="single" w:sz="4" w:space="1" w:color="auto"/>
        </w:pBdr>
        <w:spacing w:after="120"/>
        <w:rPr>
          <w:rFonts w:cs="Arial"/>
          <w:sz w:val="20"/>
          <w:szCs w:val="20"/>
        </w:rPr>
      </w:pPr>
      <w:r w:rsidRPr="00977C3B">
        <w:rPr>
          <w:rFonts w:cs="Arial"/>
          <w:color w:val="221E1F"/>
          <w:sz w:val="20"/>
          <w:szCs w:val="20"/>
        </w:rPr>
        <w:t xml:space="preserve">EDO NSW believes </w:t>
      </w:r>
      <w:r w:rsidRPr="00977C3B">
        <w:rPr>
          <w:rFonts w:cs="Arial"/>
          <w:sz w:val="20"/>
          <w:szCs w:val="20"/>
        </w:rPr>
        <w:t>full greenhouse gas (</w:t>
      </w:r>
      <w:proofErr w:type="spellStart"/>
      <w:r w:rsidRPr="00977C3B">
        <w:rPr>
          <w:rFonts w:cs="Arial"/>
          <w:sz w:val="20"/>
          <w:szCs w:val="20"/>
        </w:rPr>
        <w:t>GHG</w:t>
      </w:r>
      <w:proofErr w:type="spellEnd"/>
      <w:r w:rsidRPr="00977C3B">
        <w:rPr>
          <w:rFonts w:cs="Arial"/>
          <w:sz w:val="20"/>
          <w:szCs w:val="20"/>
        </w:rPr>
        <w:t xml:space="preserve">) emissions accounting should be mandatory for State and regionally significant development and infrastructure under the new planning system. Carbon accounting should be one aspect of integrating climate change mitigation and adaptation into planning laws. </w:t>
      </w:r>
    </w:p>
    <w:p w:rsidR="008A18C4" w:rsidRDefault="008A18C4" w:rsidP="006755FB">
      <w:pPr>
        <w:pBdr>
          <w:top w:val="single" w:sz="4" w:space="1" w:color="auto"/>
          <w:left w:val="single" w:sz="4" w:space="0" w:color="auto"/>
          <w:bottom w:val="single" w:sz="4" w:space="1" w:color="auto"/>
          <w:right w:val="single" w:sz="4" w:space="1" w:color="auto"/>
        </w:pBdr>
        <w:spacing w:after="120"/>
        <w:rPr>
          <w:rFonts w:cs="Arial"/>
          <w:sz w:val="20"/>
          <w:szCs w:val="20"/>
        </w:rPr>
      </w:pPr>
      <w:r w:rsidRPr="00977C3B">
        <w:rPr>
          <w:rFonts w:cs="Arial"/>
          <w:sz w:val="20"/>
          <w:szCs w:val="20"/>
        </w:rPr>
        <w:t xml:space="preserve">This would help to ensure that the true environmental costs of projects are taken into account in the assessment process (consistent with </w:t>
      </w:r>
      <w:proofErr w:type="spellStart"/>
      <w:r w:rsidRPr="00977C3B">
        <w:rPr>
          <w:rFonts w:cs="Arial"/>
          <w:sz w:val="20"/>
          <w:szCs w:val="20"/>
        </w:rPr>
        <w:t>ESD</w:t>
      </w:r>
      <w:proofErr w:type="spellEnd"/>
      <w:r w:rsidRPr="00977C3B">
        <w:rPr>
          <w:rFonts w:cs="Arial"/>
          <w:sz w:val="20"/>
          <w:szCs w:val="20"/>
        </w:rPr>
        <w:t xml:space="preserve"> principles). This should flow through from planning into other relevant areas of the law such as mining and petroleum legislation. Where other state or federal schemes already require </w:t>
      </w:r>
      <w:proofErr w:type="spellStart"/>
      <w:r w:rsidRPr="00977C3B">
        <w:rPr>
          <w:rFonts w:cs="Arial"/>
          <w:sz w:val="20"/>
          <w:szCs w:val="20"/>
        </w:rPr>
        <w:t>GHG</w:t>
      </w:r>
      <w:proofErr w:type="spellEnd"/>
      <w:r w:rsidRPr="00977C3B">
        <w:rPr>
          <w:rFonts w:cs="Arial"/>
          <w:sz w:val="20"/>
          <w:szCs w:val="20"/>
        </w:rPr>
        <w:t xml:space="preserve"> monitoring and reporting, the planning system could </w:t>
      </w:r>
      <w:r w:rsidRPr="00977C3B">
        <w:rPr>
          <w:rFonts w:cs="Arial"/>
          <w:sz w:val="20"/>
          <w:szCs w:val="20"/>
        </w:rPr>
        <w:lastRenderedPageBreak/>
        <w:t>integrate these schemes’ findings. We explore integrating carbon accounting and considerations in more detail elsewhere.</w:t>
      </w:r>
      <w:r w:rsidRPr="00977C3B">
        <w:rPr>
          <w:rStyle w:val="FootnoteReference"/>
          <w:rFonts w:cs="Arial"/>
          <w:sz w:val="20"/>
          <w:szCs w:val="20"/>
        </w:rPr>
        <w:footnoteReference w:id="168"/>
      </w:r>
    </w:p>
    <w:p w:rsidR="008A18C4" w:rsidRPr="00BB0C85" w:rsidRDefault="00BB0C85" w:rsidP="008A18C4">
      <w:pPr>
        <w:rPr>
          <w:rFonts w:cs="Arial"/>
          <w:b/>
          <w:color w:val="221E1F"/>
        </w:rPr>
      </w:pPr>
      <w:r w:rsidRPr="00BB0C85">
        <w:rPr>
          <w:rFonts w:cs="Arial"/>
          <w:b/>
          <w:color w:val="221E1F"/>
        </w:rPr>
        <w:t>…</w:t>
      </w:r>
    </w:p>
    <w:p w:rsidR="00120066" w:rsidRDefault="00120066" w:rsidP="008A18C4">
      <w:pPr>
        <w:rPr>
          <w:rFonts w:cs="Arial"/>
          <w:color w:val="221E1F"/>
        </w:rPr>
      </w:pPr>
    </w:p>
    <w:p w:rsidR="00120066" w:rsidRPr="009A056E" w:rsidRDefault="00120066" w:rsidP="009C52E3">
      <w:pPr>
        <w:pStyle w:val="Heading2"/>
        <w:keepLines/>
        <w:numPr>
          <w:ilvl w:val="0"/>
          <w:numId w:val="30"/>
        </w:numPr>
        <w:spacing w:before="0" w:after="0"/>
      </w:pPr>
      <w:bookmarkStart w:id="62" w:name="_Toc335137770"/>
      <w:bookmarkStart w:id="63" w:name="_Toc350780869"/>
      <w:bookmarkStart w:id="64" w:name="_Toc351985925"/>
      <w:bookmarkStart w:id="65" w:name="_Toc349832061"/>
      <w:bookmarkStart w:id="66" w:name="_Toc349913787"/>
      <w:bookmarkStart w:id="67" w:name="_Toc350251425"/>
      <w:bookmarkStart w:id="68" w:name="_Toc350412756"/>
      <w:r w:rsidRPr="009A056E">
        <w:t>‘Strategic compliance’ and removal of concurrences</w:t>
      </w:r>
      <w:bookmarkEnd w:id="62"/>
      <w:bookmarkEnd w:id="63"/>
      <w:bookmarkEnd w:id="64"/>
      <w:r>
        <w:t xml:space="preserve"> </w:t>
      </w:r>
      <w:bookmarkEnd w:id="65"/>
      <w:bookmarkEnd w:id="66"/>
      <w:bookmarkEnd w:id="67"/>
      <w:bookmarkEnd w:id="68"/>
    </w:p>
    <w:p w:rsidR="00120066" w:rsidRDefault="00120066" w:rsidP="00120066">
      <w:pPr>
        <w:keepNext/>
        <w:keepLines/>
        <w:jc w:val="both"/>
        <w:rPr>
          <w:rFonts w:cs="Arial"/>
        </w:rPr>
      </w:pPr>
    </w:p>
    <w:p w:rsidR="00120066" w:rsidRDefault="00120066" w:rsidP="00120066">
      <w:pPr>
        <w:keepNext/>
        <w:keepLines/>
        <w:jc w:val="both"/>
        <w:rPr>
          <w:rFonts w:cs="Arial"/>
        </w:rPr>
      </w:pPr>
      <w:r w:rsidRPr="00F3241E">
        <w:rPr>
          <w:rFonts w:cs="Arial"/>
        </w:rPr>
        <w:t>EDO NSW is concerned that the direction of several proposals to ‘streamline’ development assessment will weaken environmental impact assessment requir</w:t>
      </w:r>
      <w:r>
        <w:rPr>
          <w:rFonts w:cs="Arial"/>
        </w:rPr>
        <w:t>ements and accountability. Areas of concern</w:t>
      </w:r>
      <w:r w:rsidRPr="00F3241E">
        <w:rPr>
          <w:rFonts w:cs="Arial"/>
        </w:rPr>
        <w:t xml:space="preserve"> include:</w:t>
      </w:r>
      <w:r>
        <w:rPr>
          <w:rFonts w:cs="Arial"/>
        </w:rPr>
        <w:t xml:space="preserve"> strategic compatibility certificates, fettering the ability of authorities to refuse projects, and removal of concurrences.</w:t>
      </w:r>
    </w:p>
    <w:p w:rsidR="00120066" w:rsidRDefault="00120066" w:rsidP="00120066">
      <w:pPr>
        <w:keepNext/>
        <w:keepLines/>
        <w:jc w:val="both"/>
        <w:rPr>
          <w:rFonts w:cs="Arial"/>
        </w:rPr>
      </w:pPr>
    </w:p>
    <w:p w:rsidR="00071F84" w:rsidRPr="009A056E" w:rsidRDefault="00071F84" w:rsidP="00120066">
      <w:pPr>
        <w:pStyle w:val="Heading3"/>
      </w:pPr>
      <w:bookmarkStart w:id="69" w:name="_Toc335137771"/>
      <w:bookmarkStart w:id="70" w:name="_Toc349832062"/>
      <w:bookmarkStart w:id="71" w:name="_Toc349913788"/>
      <w:bookmarkStart w:id="72" w:name="_Toc350251426"/>
      <w:bookmarkStart w:id="73" w:name="_Toc350412757"/>
      <w:bookmarkStart w:id="74" w:name="_Toc350780870"/>
      <w:r w:rsidRPr="00120066">
        <w:t>‘Strategic compatibility certificates’</w:t>
      </w:r>
      <w:bookmarkEnd w:id="69"/>
      <w:bookmarkEnd w:id="70"/>
      <w:bookmarkEnd w:id="71"/>
      <w:bookmarkEnd w:id="72"/>
      <w:bookmarkEnd w:id="73"/>
      <w:bookmarkEnd w:id="74"/>
    </w:p>
    <w:p w:rsidR="00071F84" w:rsidRPr="00071F84" w:rsidRDefault="00071F84" w:rsidP="00071F84">
      <w:pPr>
        <w:rPr>
          <w:rFonts w:cs="Arial"/>
        </w:rPr>
      </w:pPr>
      <w:r w:rsidRPr="00F3241E">
        <w:t>EDO NSW opposes the Green Paper’s suggestion that ‘any development proposal that conforms to the parameters set out in the strategic plan should be allowed to proceed’, in advance of local plan updates, via a departmental ‘strategic compatibility certificate’.</w:t>
      </w:r>
      <w:r w:rsidRPr="00F3241E">
        <w:rPr>
          <w:rStyle w:val="FootnoteReference"/>
        </w:rPr>
        <w:footnoteReference w:id="169"/>
      </w:r>
      <w:r w:rsidRPr="00F3241E">
        <w:t xml:space="preserve"> We </w:t>
      </w:r>
      <w:r w:rsidRPr="00071F84">
        <w:rPr>
          <w:rFonts w:cs="Arial"/>
        </w:rPr>
        <w:t>would also oppose review rights for proponents whose strategic compatibility applications are rejected,</w:t>
      </w:r>
      <w:r w:rsidRPr="00071F84">
        <w:rPr>
          <w:rStyle w:val="FootnoteReference"/>
          <w:rFonts w:cs="Arial"/>
        </w:rPr>
        <w:footnoteReference w:id="170"/>
      </w:r>
      <w:r w:rsidRPr="00071F84">
        <w:rPr>
          <w:rFonts w:cs="Arial"/>
        </w:rPr>
        <w:t xml:space="preserve"> particularly without corresponding third party objector rights.</w:t>
      </w:r>
    </w:p>
    <w:p w:rsidR="00071F84" w:rsidRPr="00071F84" w:rsidRDefault="00071F84" w:rsidP="00071F84">
      <w:pPr>
        <w:rPr>
          <w:rFonts w:cs="Arial"/>
        </w:rPr>
      </w:pPr>
    </w:p>
    <w:p w:rsidR="00071F84" w:rsidRPr="00071F84" w:rsidRDefault="00071F84" w:rsidP="00120066">
      <w:pPr>
        <w:spacing w:after="120"/>
        <w:rPr>
          <w:rFonts w:cs="Arial"/>
        </w:rPr>
      </w:pPr>
      <w:r w:rsidRPr="00071F84">
        <w:rPr>
          <w:rFonts w:cs="Arial"/>
        </w:rPr>
        <w:t>Our reasons for opposing the strategic compatibility concept are as follows:</w:t>
      </w:r>
    </w:p>
    <w:p w:rsidR="00071F84" w:rsidRPr="00071F84" w:rsidRDefault="00071F84" w:rsidP="009C52E3">
      <w:pPr>
        <w:pStyle w:val="ListParagraph"/>
        <w:numPr>
          <w:ilvl w:val="0"/>
          <w:numId w:val="26"/>
        </w:numPr>
        <w:spacing w:after="0" w:line="240" w:lineRule="auto"/>
        <w:contextualSpacing w:val="0"/>
        <w:rPr>
          <w:rFonts w:ascii="Arial" w:hAnsi="Arial" w:cs="Arial"/>
          <w:i/>
        </w:rPr>
      </w:pPr>
      <w:r w:rsidRPr="00071F84">
        <w:rPr>
          <w:rFonts w:ascii="Arial" w:hAnsi="Arial" w:cs="Arial"/>
        </w:rPr>
        <w:t>such approval would pre-empt local community input on subregional or local plans;</w:t>
      </w:r>
    </w:p>
    <w:p w:rsidR="00071F84" w:rsidRPr="00071F84" w:rsidRDefault="00071F84" w:rsidP="009C52E3">
      <w:pPr>
        <w:pStyle w:val="ListParagraph"/>
        <w:numPr>
          <w:ilvl w:val="0"/>
          <w:numId w:val="26"/>
        </w:numPr>
        <w:spacing w:after="0" w:line="240" w:lineRule="auto"/>
        <w:contextualSpacing w:val="0"/>
        <w:rPr>
          <w:rFonts w:ascii="Arial" w:hAnsi="Arial" w:cs="Arial"/>
        </w:rPr>
      </w:pPr>
      <w:r w:rsidRPr="00071F84">
        <w:rPr>
          <w:rFonts w:ascii="Arial" w:hAnsi="Arial" w:cs="Arial"/>
        </w:rPr>
        <w:t>it reduces clarity and rule certainty, by bypassing conditions in existing local plans;</w:t>
      </w:r>
    </w:p>
    <w:p w:rsidR="00120066" w:rsidRDefault="00071F84" w:rsidP="009C52E3">
      <w:pPr>
        <w:pStyle w:val="ListParagraph"/>
        <w:numPr>
          <w:ilvl w:val="0"/>
          <w:numId w:val="26"/>
        </w:numPr>
        <w:spacing w:after="0" w:line="240" w:lineRule="auto"/>
        <w:contextualSpacing w:val="0"/>
        <w:rPr>
          <w:rFonts w:ascii="Arial" w:hAnsi="Arial" w:cs="Arial"/>
          <w:i/>
        </w:rPr>
      </w:pPr>
      <w:r w:rsidRPr="00071F84">
        <w:rPr>
          <w:rFonts w:ascii="Arial" w:hAnsi="Arial" w:cs="Arial"/>
        </w:rPr>
        <w:t>regional and subregional plans (and certainly State-level plans</w:t>
      </w:r>
      <w:r w:rsidRPr="00071F84">
        <w:rPr>
          <w:rStyle w:val="FootnoteReference"/>
          <w:rFonts w:ascii="Arial" w:hAnsi="Arial" w:cs="Arial"/>
        </w:rPr>
        <w:footnoteReference w:id="171"/>
      </w:r>
      <w:r w:rsidRPr="00071F84">
        <w:rPr>
          <w:rFonts w:ascii="Arial" w:hAnsi="Arial" w:cs="Arial"/>
        </w:rPr>
        <w:t xml:space="preserve">) would likely be too high-level to allow meaningful application to the details of individual developments; </w:t>
      </w:r>
    </w:p>
    <w:p w:rsidR="00071F84" w:rsidRPr="00120066" w:rsidRDefault="00071F84" w:rsidP="009C52E3">
      <w:pPr>
        <w:pStyle w:val="ListParagraph"/>
        <w:numPr>
          <w:ilvl w:val="0"/>
          <w:numId w:val="26"/>
        </w:numPr>
        <w:spacing w:after="0" w:line="240" w:lineRule="auto"/>
        <w:contextualSpacing w:val="0"/>
        <w:rPr>
          <w:rFonts w:ascii="Arial" w:hAnsi="Arial" w:cs="Arial"/>
          <w:i/>
        </w:rPr>
      </w:pPr>
      <w:r w:rsidRPr="00120066">
        <w:rPr>
          <w:rFonts w:ascii="Arial" w:hAnsi="Arial" w:cs="Arial"/>
        </w:rPr>
        <w:t>the proposed mechanism lacks important safeguards to protect local social and environmental values (for example, where strategic data and principles do not account for site-specific values); and</w:t>
      </w:r>
    </w:p>
    <w:p w:rsidR="00071F84" w:rsidRPr="00071F84" w:rsidRDefault="00071F84" w:rsidP="009C52E3">
      <w:pPr>
        <w:pStyle w:val="ListParagraph"/>
        <w:numPr>
          <w:ilvl w:val="0"/>
          <w:numId w:val="26"/>
        </w:numPr>
        <w:spacing w:after="0" w:line="240" w:lineRule="auto"/>
        <w:rPr>
          <w:rFonts w:ascii="Arial" w:hAnsi="Arial" w:cs="Arial"/>
        </w:rPr>
      </w:pPr>
      <w:r w:rsidRPr="00071F84">
        <w:rPr>
          <w:rFonts w:ascii="Arial" w:hAnsi="Arial" w:cs="Arial"/>
        </w:rPr>
        <w:t xml:space="preserve">upfront ‘strategic compliance’ approvals risk repeating mistakes of the former Part </w:t>
      </w:r>
      <w:proofErr w:type="spellStart"/>
      <w:r w:rsidRPr="00071F84">
        <w:rPr>
          <w:rFonts w:ascii="Arial" w:hAnsi="Arial" w:cs="Arial"/>
        </w:rPr>
        <w:t>3A</w:t>
      </w:r>
      <w:proofErr w:type="spellEnd"/>
      <w:r w:rsidRPr="00071F84">
        <w:rPr>
          <w:rFonts w:ascii="Arial" w:hAnsi="Arial" w:cs="Arial"/>
        </w:rPr>
        <w:t xml:space="preserve"> regime, across a broad range of development, for example, by fettering subsequent discretion, engagement and review.  </w:t>
      </w:r>
    </w:p>
    <w:p w:rsidR="00071F84" w:rsidRPr="00071F84" w:rsidRDefault="00071F84" w:rsidP="00071F84">
      <w:pPr>
        <w:rPr>
          <w:rFonts w:cs="Arial"/>
        </w:rPr>
      </w:pPr>
    </w:p>
    <w:p w:rsidR="00071F84" w:rsidRPr="00F3241E" w:rsidRDefault="00071F84" w:rsidP="00071F84">
      <w:r w:rsidRPr="00071F84">
        <w:rPr>
          <w:rFonts w:cs="Arial"/>
        </w:rPr>
        <w:t>The White Paper</w:t>
      </w:r>
      <w:r w:rsidRPr="00F3241E">
        <w:t xml:space="preserve"> should instead canvass other measures that maintain environmental rigour, community engagement and accountability; as well as incentives for the timely but considered implementation of subregional and local land use plans.</w:t>
      </w:r>
      <w:r w:rsidRPr="00F3241E">
        <w:rPr>
          <w:rStyle w:val="FootnoteReference"/>
        </w:rPr>
        <w:footnoteReference w:id="172"/>
      </w:r>
      <w:r w:rsidRPr="00F3241E">
        <w:t xml:space="preserve">  </w:t>
      </w:r>
    </w:p>
    <w:p w:rsidR="00071F84" w:rsidRDefault="00071F84" w:rsidP="00071F84"/>
    <w:p w:rsidR="00071F84" w:rsidRPr="00322935" w:rsidRDefault="00071F84" w:rsidP="00120066">
      <w:pPr>
        <w:pStyle w:val="Heading3"/>
      </w:pPr>
      <w:bookmarkStart w:id="75" w:name="_Toc335137772"/>
      <w:bookmarkStart w:id="76" w:name="_Toc349832063"/>
      <w:bookmarkStart w:id="77" w:name="_Toc349913789"/>
      <w:bookmarkStart w:id="78" w:name="_Toc350251427"/>
      <w:bookmarkStart w:id="79" w:name="_Toc350412758"/>
      <w:bookmarkStart w:id="80" w:name="_Toc350780871"/>
      <w:r w:rsidRPr="00322935">
        <w:t>Consent authorities cannot refuse proposals that comply with subregional standards</w:t>
      </w:r>
      <w:bookmarkEnd w:id="75"/>
      <w:bookmarkEnd w:id="76"/>
      <w:bookmarkEnd w:id="77"/>
      <w:bookmarkEnd w:id="78"/>
      <w:bookmarkEnd w:id="79"/>
      <w:bookmarkEnd w:id="80"/>
    </w:p>
    <w:p w:rsidR="00071F84" w:rsidRPr="00322935" w:rsidRDefault="00071F84" w:rsidP="00071F84">
      <w:pPr>
        <w:rPr>
          <w:rFonts w:cs="Arial"/>
        </w:rPr>
      </w:pPr>
      <w:r w:rsidRPr="00322935">
        <w:t>The Green Paper proposes that ‘councils and other consent authorities cannot refuse a proposal that complies with detailed building envelopes and standards developed through subregional planning…’.</w:t>
      </w:r>
      <w:r w:rsidRPr="00322935">
        <w:rPr>
          <w:rStyle w:val="FootnoteReference"/>
        </w:rPr>
        <w:footnoteReference w:id="173"/>
      </w:r>
      <w:r w:rsidRPr="00322935">
        <w:t xml:space="preserve">  We oppose </w:t>
      </w:r>
      <w:r w:rsidRPr="00322935">
        <w:rPr>
          <w:rFonts w:cs="Arial"/>
        </w:rPr>
        <w:t xml:space="preserve">this policy position. </w:t>
      </w:r>
    </w:p>
    <w:p w:rsidR="00071F84" w:rsidRPr="00322935" w:rsidRDefault="00071F84" w:rsidP="00071F84"/>
    <w:p w:rsidR="00071F84" w:rsidRPr="00322935" w:rsidRDefault="00071F84" w:rsidP="00071F84">
      <w:pPr>
        <w:rPr>
          <w:rFonts w:cs="Arial"/>
        </w:rPr>
      </w:pPr>
      <w:r w:rsidRPr="00322935">
        <w:t>D</w:t>
      </w:r>
      <w:r w:rsidRPr="00322935">
        <w:rPr>
          <w:rFonts w:cs="Arial"/>
        </w:rPr>
        <w:t>evelopment assessment and approval processes should lead to well-planned, sustainable cities</w:t>
      </w:r>
      <w:r w:rsidRPr="00322935">
        <w:t xml:space="preserve"> and neighbourhoods. It is not clear how a presumed ‘right to develop’ </w:t>
      </w:r>
      <w:r w:rsidRPr="00322935">
        <w:lastRenderedPageBreak/>
        <w:t>is better public policy than allowing the consent authority, with community input, to decide whether a proposed project is the best design and use of a site in the particular circumstances.</w:t>
      </w:r>
      <w:r w:rsidRPr="00322935">
        <w:rPr>
          <w:rStyle w:val="FootnoteReference"/>
        </w:rPr>
        <w:footnoteReference w:id="174"/>
      </w:r>
      <w:r w:rsidRPr="00322935">
        <w:rPr>
          <w:rFonts w:cs="Arial"/>
        </w:rPr>
        <w:t xml:space="preserve"> </w:t>
      </w:r>
    </w:p>
    <w:p w:rsidR="00071F84" w:rsidRPr="00322935" w:rsidRDefault="00071F84" w:rsidP="00071F84">
      <w:pPr>
        <w:rPr>
          <w:rFonts w:eastAsia="Helvetica" w:cs="Arial"/>
        </w:rPr>
      </w:pPr>
    </w:p>
    <w:p w:rsidR="00071F84" w:rsidRPr="00322935" w:rsidRDefault="00071F84" w:rsidP="00071F84">
      <w:pPr>
        <w:rPr>
          <w:rFonts w:cs="Arial"/>
        </w:rPr>
      </w:pPr>
      <w:r w:rsidRPr="00322935">
        <w:rPr>
          <w:rFonts w:eastAsia="Helvetica" w:cs="Arial"/>
        </w:rPr>
        <w:t>The Land and Environment Court has recognised that it may not always be appropriate to develop a site to the maximum standards allowed, for example, at the interface of zones where neighbours’ amenity may be adversely affected.</w:t>
      </w:r>
      <w:r w:rsidRPr="00322935">
        <w:rPr>
          <w:rStyle w:val="FootnoteReference"/>
          <w:rFonts w:eastAsia="Helvetica"/>
        </w:rPr>
        <w:footnoteReference w:id="175"/>
      </w:r>
      <w:r w:rsidRPr="00322935">
        <w:rPr>
          <w:rFonts w:cs="Arial"/>
        </w:rPr>
        <w:t xml:space="preserve"> </w:t>
      </w:r>
    </w:p>
    <w:p w:rsidR="00071F84" w:rsidRPr="00322935" w:rsidRDefault="00071F84" w:rsidP="00071F84"/>
    <w:p w:rsidR="00071F84" w:rsidRPr="00322935" w:rsidRDefault="00071F84" w:rsidP="00071F84">
      <w:pPr>
        <w:rPr>
          <w:rFonts w:cs="Arial"/>
        </w:rPr>
      </w:pPr>
      <w:r w:rsidRPr="00322935">
        <w:t>While ‘rule certainty’ could be one possible justification for removing authorities’ discretion to refuse compliant projects, this is undercut by the Green Paper’s further proposals that proponents could seek to vary standards and requirements set out in subregional plans.</w:t>
      </w:r>
      <w:r w:rsidRPr="00322935">
        <w:rPr>
          <w:rStyle w:val="FootnoteReference"/>
        </w:rPr>
        <w:footnoteReference w:id="176"/>
      </w:r>
    </w:p>
    <w:p w:rsidR="00071F84" w:rsidRPr="00322935" w:rsidRDefault="00071F84" w:rsidP="00071F84"/>
    <w:p w:rsidR="00071F84" w:rsidRPr="00322935" w:rsidRDefault="00071F84" w:rsidP="00071F84">
      <w:r w:rsidRPr="00322935">
        <w:t>Furthermore, we note the proposal for part code-based, part merit assessment risks ‘compartmentalising’ decisions.</w:t>
      </w:r>
      <w:r w:rsidRPr="00322935">
        <w:rPr>
          <w:rStyle w:val="FootnoteReference"/>
        </w:rPr>
        <w:footnoteReference w:id="177"/>
      </w:r>
      <w:r w:rsidRPr="00322935">
        <w:t xml:space="preserve"> If such proposals are to be assessed, consent authority should consider the impacts of the project as a whole.</w:t>
      </w:r>
    </w:p>
    <w:p w:rsidR="00071F84" w:rsidRPr="00322935" w:rsidRDefault="00071F84" w:rsidP="00071F84">
      <w:pPr>
        <w:keepNext/>
        <w:keepLines/>
        <w:jc w:val="both"/>
      </w:pPr>
    </w:p>
    <w:p w:rsidR="00071F84" w:rsidRDefault="00071F84" w:rsidP="00071F84">
      <w:pPr>
        <w:rPr>
          <w:rFonts w:cs="Arial"/>
          <w:color w:val="221E1F"/>
        </w:rPr>
      </w:pPr>
      <w:r w:rsidRPr="00322935">
        <w:t>The argument for a ‘right to develop’ has not been adequately made out in the context of the Government’s commitment to triple bottom line outcomes.</w:t>
      </w:r>
      <w:r w:rsidRPr="00322935">
        <w:rPr>
          <w:rStyle w:val="FootnoteReference"/>
        </w:rPr>
        <w:footnoteReference w:id="178"/>
      </w:r>
      <w:r w:rsidRPr="00322935">
        <w:t xml:space="preserve"> </w:t>
      </w:r>
      <w:r w:rsidRPr="00322935">
        <w:rPr>
          <w:rFonts w:cs="Arial"/>
        </w:rPr>
        <w:t xml:space="preserve"> As noted, courts have recognised that developing to the maximum scope of controls may not always be appropriate. </w:t>
      </w:r>
      <w:r w:rsidRPr="00322935">
        <w:t xml:space="preserve">It may be appropriate, for example, to give clearer statements via provisions or departmental policies, on when development </w:t>
      </w:r>
      <w:r w:rsidRPr="00322935">
        <w:rPr>
          <w:i/>
        </w:rPr>
        <w:t>can</w:t>
      </w:r>
      <w:r w:rsidRPr="00322935">
        <w:t xml:space="preserve"> be refused despite meeting standards.</w:t>
      </w:r>
      <w:r w:rsidRPr="00322935">
        <w:rPr>
          <w:rStyle w:val="FootnoteReference"/>
        </w:rPr>
        <w:footnoteReference w:id="179"/>
      </w:r>
    </w:p>
    <w:p w:rsidR="00071F84" w:rsidRDefault="00071F84" w:rsidP="008A18C4">
      <w:pPr>
        <w:rPr>
          <w:rFonts w:cs="Arial"/>
          <w:color w:val="221E1F"/>
        </w:rPr>
      </w:pPr>
    </w:p>
    <w:p w:rsidR="008A18C4" w:rsidRPr="00977C3B" w:rsidRDefault="008A18C4" w:rsidP="00120066">
      <w:pPr>
        <w:pStyle w:val="Heading3"/>
      </w:pPr>
      <w:bookmarkStart w:id="81" w:name="_Toc349832064"/>
      <w:bookmarkStart w:id="82" w:name="_Toc349913790"/>
      <w:bookmarkStart w:id="83" w:name="_Toc350251428"/>
      <w:bookmarkStart w:id="84" w:name="_Toc350412759"/>
      <w:bookmarkStart w:id="85" w:name="_Toc350780872"/>
      <w:r w:rsidRPr="00B56D67">
        <w:t>Removing legal concurrence requirements throu</w:t>
      </w:r>
      <w:r w:rsidR="00120066" w:rsidRPr="00B56D67">
        <w:t>gh strategic planning</w:t>
      </w:r>
      <w:bookmarkEnd w:id="81"/>
      <w:bookmarkEnd w:id="82"/>
      <w:bookmarkEnd w:id="83"/>
      <w:bookmarkEnd w:id="84"/>
      <w:bookmarkEnd w:id="85"/>
    </w:p>
    <w:p w:rsidR="008A18C4" w:rsidRPr="00F3241E" w:rsidRDefault="008A18C4" w:rsidP="004E1510">
      <w:pPr>
        <w:autoSpaceDE w:val="0"/>
        <w:autoSpaceDN w:val="0"/>
        <w:adjustRightInd w:val="0"/>
        <w:spacing w:after="120"/>
        <w:rPr>
          <w:rFonts w:cs="Arial"/>
        </w:rPr>
      </w:pPr>
      <w:r w:rsidRPr="00F3241E">
        <w:rPr>
          <w:rFonts w:cs="Arial"/>
        </w:rPr>
        <w:t>The Green Paper proposes the removal of agency concurrence and approvals for individual projects, on the basis that these will be dealt with upfront in strategic plans.</w:t>
      </w:r>
      <w:r w:rsidRPr="00F3241E">
        <w:rPr>
          <w:rStyle w:val="FootnoteReference"/>
          <w:rFonts w:cs="Arial"/>
        </w:rPr>
        <w:footnoteReference w:id="180"/>
      </w:r>
      <w:r w:rsidRPr="00F3241E">
        <w:rPr>
          <w:rFonts w:cs="Arial"/>
        </w:rPr>
        <w:t xml:space="preserve"> EDO NSW has strong concerns about the local environmental impacts of this proposal. Instead, a full and transparent consideration of concurrence requirements is needed to determine:</w:t>
      </w:r>
    </w:p>
    <w:p w:rsidR="008A18C4" w:rsidRPr="00F3241E" w:rsidRDefault="008A18C4" w:rsidP="00437F5D">
      <w:pPr>
        <w:pStyle w:val="ListParagraph"/>
        <w:numPr>
          <w:ilvl w:val="0"/>
          <w:numId w:val="7"/>
        </w:numPr>
        <w:autoSpaceDE w:val="0"/>
        <w:autoSpaceDN w:val="0"/>
        <w:adjustRightInd w:val="0"/>
        <w:spacing w:after="0" w:line="240" w:lineRule="auto"/>
        <w:rPr>
          <w:rFonts w:ascii="Arial" w:hAnsi="Arial" w:cs="Arial"/>
        </w:rPr>
      </w:pPr>
      <w:r w:rsidRPr="00F3241E">
        <w:rPr>
          <w:rFonts w:ascii="Arial" w:hAnsi="Arial" w:cs="Arial"/>
        </w:rPr>
        <w:t xml:space="preserve">the </w:t>
      </w:r>
      <w:r>
        <w:rPr>
          <w:rFonts w:ascii="Arial" w:hAnsi="Arial" w:cs="Arial"/>
        </w:rPr>
        <w:t xml:space="preserve">various </w:t>
      </w:r>
      <w:r w:rsidRPr="00F3241E">
        <w:rPr>
          <w:rFonts w:ascii="Arial" w:hAnsi="Arial" w:cs="Arial"/>
        </w:rPr>
        <w:t>causes of delay (including, for example, inadequate project information</w:t>
      </w:r>
      <w:r>
        <w:rPr>
          <w:rFonts w:ascii="Arial" w:hAnsi="Arial" w:cs="Arial"/>
        </w:rPr>
        <w:t xml:space="preserve"> provided by the proponent</w:t>
      </w:r>
      <w:r w:rsidRPr="00F3241E">
        <w:rPr>
          <w:rFonts w:ascii="Arial" w:hAnsi="Arial" w:cs="Arial"/>
        </w:rPr>
        <w:t xml:space="preserve">); </w:t>
      </w:r>
    </w:p>
    <w:p w:rsidR="008A18C4" w:rsidRPr="00F3241E" w:rsidRDefault="008A18C4" w:rsidP="00437F5D">
      <w:pPr>
        <w:pStyle w:val="ListParagraph"/>
        <w:numPr>
          <w:ilvl w:val="0"/>
          <w:numId w:val="7"/>
        </w:numPr>
        <w:autoSpaceDE w:val="0"/>
        <w:autoSpaceDN w:val="0"/>
        <w:adjustRightInd w:val="0"/>
        <w:spacing w:after="0" w:line="240" w:lineRule="auto"/>
        <w:rPr>
          <w:rFonts w:ascii="Arial" w:hAnsi="Arial" w:cs="Arial"/>
        </w:rPr>
      </w:pPr>
      <w:r w:rsidRPr="00F3241E">
        <w:rPr>
          <w:rFonts w:ascii="Arial" w:hAnsi="Arial" w:cs="Arial"/>
        </w:rPr>
        <w:t xml:space="preserve">which requirements can be dealt with strategically; and </w:t>
      </w:r>
    </w:p>
    <w:p w:rsidR="008A18C4" w:rsidRPr="00F3241E" w:rsidRDefault="008A18C4" w:rsidP="00437F5D">
      <w:pPr>
        <w:pStyle w:val="ListParagraph"/>
        <w:numPr>
          <w:ilvl w:val="0"/>
          <w:numId w:val="7"/>
        </w:numPr>
        <w:autoSpaceDE w:val="0"/>
        <w:autoSpaceDN w:val="0"/>
        <w:adjustRightInd w:val="0"/>
        <w:spacing w:after="0" w:line="240" w:lineRule="auto"/>
        <w:rPr>
          <w:rFonts w:ascii="Arial" w:hAnsi="Arial" w:cs="Arial"/>
        </w:rPr>
      </w:pPr>
      <w:r w:rsidRPr="00F3241E">
        <w:rPr>
          <w:rFonts w:ascii="Arial" w:hAnsi="Arial" w:cs="Arial"/>
        </w:rPr>
        <w:t>which need to be retained at project level</w:t>
      </w:r>
      <w:r>
        <w:rPr>
          <w:rFonts w:ascii="Arial" w:hAnsi="Arial" w:cs="Arial"/>
        </w:rPr>
        <w:t xml:space="preserve"> </w:t>
      </w:r>
      <w:r w:rsidRPr="006E5FB4">
        <w:rPr>
          <w:rFonts w:ascii="Arial" w:hAnsi="Arial" w:cs="Arial"/>
        </w:rPr>
        <w:t>(such as threatened species, pollution licensing, Aboriginal cultural heritage and non-Aboriginal heritage considerations).</w:t>
      </w:r>
      <w:r w:rsidRPr="00F3241E">
        <w:rPr>
          <w:rFonts w:ascii="Arial" w:hAnsi="Arial" w:cs="Arial"/>
        </w:rPr>
        <w:t xml:space="preserve"> </w:t>
      </w:r>
    </w:p>
    <w:p w:rsidR="008A18C4" w:rsidRDefault="008A18C4" w:rsidP="008A18C4">
      <w:pPr>
        <w:autoSpaceDE w:val="0"/>
        <w:autoSpaceDN w:val="0"/>
        <w:adjustRightInd w:val="0"/>
        <w:rPr>
          <w:rFonts w:cs="Arial"/>
        </w:rPr>
      </w:pPr>
    </w:p>
    <w:p w:rsidR="008A18C4" w:rsidRPr="009A056E" w:rsidRDefault="008A18C4" w:rsidP="008A18C4">
      <w:pPr>
        <w:autoSpaceDE w:val="0"/>
        <w:autoSpaceDN w:val="0"/>
        <w:adjustRightInd w:val="0"/>
        <w:rPr>
          <w:rFonts w:cs="Arial"/>
        </w:rPr>
      </w:pPr>
      <w:r>
        <w:rPr>
          <w:rFonts w:cs="Arial"/>
        </w:rPr>
        <w:t>Dealing with</w:t>
      </w:r>
      <w:r w:rsidRPr="009A056E">
        <w:rPr>
          <w:rFonts w:cs="Arial"/>
        </w:rPr>
        <w:t xml:space="preserve"> some concurrences </w:t>
      </w:r>
      <w:r>
        <w:rPr>
          <w:rFonts w:cs="Arial"/>
        </w:rPr>
        <w:t xml:space="preserve">upfront, </w:t>
      </w:r>
      <w:r w:rsidRPr="009A056E">
        <w:rPr>
          <w:rFonts w:cs="Arial"/>
        </w:rPr>
        <w:t>while retaining other important, site-sp</w:t>
      </w:r>
      <w:r>
        <w:rPr>
          <w:rFonts w:cs="Arial"/>
        </w:rPr>
        <w:t xml:space="preserve">ecific environmental safeguards </w:t>
      </w:r>
      <w:r w:rsidRPr="009A056E">
        <w:rPr>
          <w:rFonts w:cs="Arial"/>
        </w:rPr>
        <w:t xml:space="preserve">will promote efficiency and robust assessment. </w:t>
      </w:r>
    </w:p>
    <w:p w:rsidR="008A18C4" w:rsidRDefault="008A18C4" w:rsidP="008A18C4">
      <w:pPr>
        <w:autoSpaceDE w:val="0"/>
        <w:autoSpaceDN w:val="0"/>
        <w:adjustRightInd w:val="0"/>
        <w:rPr>
          <w:rFonts w:cs="Arial"/>
        </w:rPr>
      </w:pPr>
    </w:p>
    <w:p w:rsidR="008A18C4" w:rsidRDefault="008A18C4" w:rsidP="008A18C4">
      <w:pPr>
        <w:autoSpaceDE w:val="0"/>
        <w:autoSpaceDN w:val="0"/>
        <w:adjustRightInd w:val="0"/>
        <w:rPr>
          <w:rFonts w:cs="Arial"/>
        </w:rPr>
      </w:pPr>
      <w:r>
        <w:rPr>
          <w:rFonts w:cs="Arial"/>
        </w:rPr>
        <w:lastRenderedPageBreak/>
        <w:t>M</w:t>
      </w:r>
      <w:r w:rsidRPr="00F3241E">
        <w:rPr>
          <w:rFonts w:cs="Arial"/>
        </w:rPr>
        <w:t>ajor projects should be subject to integrated decision making – not concurrence exemptions or mandatory approvals.</w:t>
      </w:r>
      <w:r>
        <w:rPr>
          <w:rFonts w:cs="Arial"/>
        </w:rPr>
        <w:t xml:space="preserve"> </w:t>
      </w:r>
    </w:p>
    <w:p w:rsidR="008A18C4" w:rsidRPr="00F3241E" w:rsidRDefault="008A18C4" w:rsidP="008A18C4">
      <w:pPr>
        <w:autoSpaceDE w:val="0"/>
        <w:autoSpaceDN w:val="0"/>
        <w:adjustRightInd w:val="0"/>
        <w:rPr>
          <w:rFonts w:cs="Arial"/>
        </w:rPr>
      </w:pPr>
    </w:p>
    <w:p w:rsidR="008A18C4" w:rsidRPr="00F3241E" w:rsidRDefault="008A18C4" w:rsidP="008A18C4">
      <w:pPr>
        <w:rPr>
          <w:rFonts w:cs="Arial"/>
        </w:rPr>
      </w:pPr>
      <w:r w:rsidRPr="00F3241E">
        <w:rPr>
          <w:rFonts w:cs="Arial"/>
        </w:rPr>
        <w:t>The Independent Review Panel report recommends an ‘Assessment Facilitation Unit’ for dealing with concurrences – including for major projects.</w:t>
      </w:r>
      <w:r w:rsidRPr="00F3241E">
        <w:rPr>
          <w:rStyle w:val="FootnoteReference"/>
          <w:rFonts w:cs="Arial"/>
        </w:rPr>
        <w:footnoteReference w:id="181"/>
      </w:r>
      <w:r w:rsidRPr="00F3241E">
        <w:rPr>
          <w:rFonts w:cs="Arial"/>
        </w:rPr>
        <w:t xml:space="preserve"> We believe this is a more transparent and orderly alternative to a general removal of concurrences as proposed in the Green Paper.</w:t>
      </w:r>
    </w:p>
    <w:p w:rsidR="008A18C4" w:rsidRDefault="008A18C4" w:rsidP="008A18C4">
      <w:pPr>
        <w:rPr>
          <w:rFonts w:cs="Arial"/>
        </w:rPr>
      </w:pPr>
    </w:p>
    <w:p w:rsidR="008A18C4" w:rsidRDefault="008A18C4" w:rsidP="00120066">
      <w:pPr>
        <w:spacing w:after="120"/>
        <w:rPr>
          <w:rFonts w:cs="Arial"/>
        </w:rPr>
      </w:pPr>
      <w:r>
        <w:rPr>
          <w:rFonts w:cs="Arial"/>
        </w:rPr>
        <w:t>Concurrence requ</w:t>
      </w:r>
      <w:r w:rsidR="00120066">
        <w:rPr>
          <w:rFonts w:cs="Arial"/>
        </w:rPr>
        <w:t>irements are important because:</w:t>
      </w:r>
    </w:p>
    <w:p w:rsidR="008A18C4" w:rsidRPr="006E5FB4" w:rsidRDefault="008A18C4" w:rsidP="00437F5D">
      <w:pPr>
        <w:pStyle w:val="ListParagraph"/>
        <w:numPr>
          <w:ilvl w:val="0"/>
          <w:numId w:val="10"/>
        </w:numPr>
        <w:spacing w:after="0" w:line="240" w:lineRule="auto"/>
        <w:rPr>
          <w:rFonts w:ascii="Arial" w:hAnsi="Arial" w:cs="Arial"/>
        </w:rPr>
      </w:pPr>
      <w:r w:rsidRPr="006E5FB4">
        <w:rPr>
          <w:rFonts w:ascii="Arial" w:hAnsi="Arial" w:cs="Arial"/>
        </w:rPr>
        <w:t>they ensure expert government departments have a say about how projects proceed</w:t>
      </w:r>
      <w:r>
        <w:rPr>
          <w:rFonts w:ascii="Arial" w:hAnsi="Arial" w:cs="Arial"/>
        </w:rPr>
        <w:t>;</w:t>
      </w:r>
      <w:r w:rsidRPr="006E5FB4">
        <w:rPr>
          <w:rFonts w:ascii="Arial" w:hAnsi="Arial" w:cs="Arial"/>
        </w:rPr>
        <w:t xml:space="preserve"> </w:t>
      </w:r>
    </w:p>
    <w:p w:rsidR="008A18C4" w:rsidRPr="006E5FB4" w:rsidRDefault="008A18C4" w:rsidP="00437F5D">
      <w:pPr>
        <w:pStyle w:val="ListParagraph"/>
        <w:numPr>
          <w:ilvl w:val="0"/>
          <w:numId w:val="10"/>
        </w:numPr>
        <w:spacing w:after="0" w:line="240" w:lineRule="auto"/>
        <w:rPr>
          <w:rFonts w:ascii="Arial" w:hAnsi="Arial" w:cs="Arial"/>
        </w:rPr>
      </w:pPr>
      <w:r w:rsidRPr="006E5FB4">
        <w:rPr>
          <w:rFonts w:ascii="Arial" w:hAnsi="Arial" w:cs="Arial"/>
        </w:rPr>
        <w:t>they ensure that the objects of other environmental laws are met</w:t>
      </w:r>
      <w:r>
        <w:rPr>
          <w:rFonts w:ascii="Arial" w:hAnsi="Arial" w:cs="Arial"/>
        </w:rPr>
        <w:t>;</w:t>
      </w:r>
    </w:p>
    <w:p w:rsidR="008A18C4" w:rsidRPr="006E5FB4" w:rsidRDefault="008A18C4" w:rsidP="00437F5D">
      <w:pPr>
        <w:pStyle w:val="ListParagraph"/>
        <w:numPr>
          <w:ilvl w:val="0"/>
          <w:numId w:val="10"/>
        </w:numPr>
        <w:spacing w:after="0" w:line="240" w:lineRule="auto"/>
        <w:rPr>
          <w:rFonts w:ascii="Arial" w:hAnsi="Arial" w:cs="Arial"/>
        </w:rPr>
      </w:pPr>
      <w:r w:rsidRPr="006E5FB4">
        <w:rPr>
          <w:rFonts w:ascii="Arial" w:hAnsi="Arial" w:cs="Arial"/>
        </w:rPr>
        <w:t>they improve the level of scrutiny to the assessment and approval process</w:t>
      </w:r>
      <w:r>
        <w:rPr>
          <w:rFonts w:ascii="Arial" w:hAnsi="Arial" w:cs="Arial"/>
        </w:rPr>
        <w:t>, so that a project’s particular environmental impacts are accounted for, and fully considered.</w:t>
      </w:r>
      <w:r>
        <w:rPr>
          <w:rStyle w:val="FootnoteReference"/>
          <w:rFonts w:ascii="Arial" w:hAnsi="Arial" w:cs="Arial"/>
        </w:rPr>
        <w:footnoteReference w:id="182"/>
      </w:r>
    </w:p>
    <w:p w:rsidR="008A18C4" w:rsidRPr="00F3241E" w:rsidRDefault="008A18C4" w:rsidP="008A18C4">
      <w:pPr>
        <w:rPr>
          <w:rFonts w:cs="Arial"/>
        </w:rPr>
      </w:pPr>
      <w:r w:rsidRPr="00F3241E">
        <w:rPr>
          <w:rFonts w:cs="Arial"/>
        </w:rPr>
        <w:t xml:space="preserve"> </w:t>
      </w:r>
    </w:p>
    <w:p w:rsidR="008A18C4" w:rsidRDefault="008A18C4" w:rsidP="008A18C4">
      <w:pPr>
        <w:autoSpaceDE w:val="0"/>
        <w:autoSpaceDN w:val="0"/>
        <w:adjustRightInd w:val="0"/>
        <w:rPr>
          <w:rFonts w:cs="Arial"/>
        </w:rPr>
      </w:pPr>
      <w:r w:rsidRPr="00F3241E">
        <w:rPr>
          <w:rFonts w:cs="Arial"/>
        </w:rPr>
        <w:t>EDO NSW agrees that some concurrences such as bushfire risk can be handled upfront,</w:t>
      </w:r>
      <w:r w:rsidRPr="00F3241E">
        <w:rPr>
          <w:rStyle w:val="FootnoteReference"/>
          <w:rFonts w:cs="Arial"/>
        </w:rPr>
        <w:footnoteReference w:id="183"/>
      </w:r>
      <w:r w:rsidRPr="00F3241E">
        <w:rPr>
          <w:rFonts w:cs="Arial"/>
        </w:rPr>
        <w:t xml:space="preserve"> and that baseline ‘template conditions’ could speed up assessment</w:t>
      </w:r>
      <w:r w:rsidRPr="00F3241E">
        <w:rPr>
          <w:rStyle w:val="FootnoteReference"/>
          <w:rFonts w:cs="Arial"/>
        </w:rPr>
        <w:footnoteReference w:id="184"/>
      </w:r>
      <w:r w:rsidRPr="00F3241E">
        <w:rPr>
          <w:rFonts w:cs="Arial"/>
        </w:rPr>
        <w:t xml:space="preserve"> subject to local conditions. However, we </w:t>
      </w:r>
      <w:r>
        <w:rPr>
          <w:rFonts w:cs="Arial"/>
        </w:rPr>
        <w:t>oppose</w:t>
      </w:r>
      <w:r w:rsidRPr="00F3241E">
        <w:rPr>
          <w:rFonts w:cs="Arial"/>
        </w:rPr>
        <w:t xml:space="preserve"> a ‘blanket’ approach to removing concurrences </w:t>
      </w:r>
      <w:r>
        <w:rPr>
          <w:rFonts w:cs="Arial"/>
        </w:rPr>
        <w:t>due to environmental risk</w:t>
      </w:r>
      <w:r w:rsidRPr="00F3241E">
        <w:rPr>
          <w:rFonts w:cs="Arial"/>
        </w:rPr>
        <w:t>.  Any new approach to concurren</w:t>
      </w:r>
      <w:r>
        <w:rPr>
          <w:rFonts w:cs="Arial"/>
        </w:rPr>
        <w:t>ce would need to deal with the following</w:t>
      </w:r>
      <w:r w:rsidRPr="00F3241E">
        <w:rPr>
          <w:rFonts w:cs="Arial"/>
        </w:rPr>
        <w:t xml:space="preserve"> issues.</w:t>
      </w:r>
    </w:p>
    <w:p w:rsidR="008A18C4" w:rsidRPr="00F3241E" w:rsidRDefault="008A18C4" w:rsidP="008A18C4">
      <w:pPr>
        <w:autoSpaceDE w:val="0"/>
        <w:autoSpaceDN w:val="0"/>
        <w:adjustRightInd w:val="0"/>
        <w:rPr>
          <w:rFonts w:cs="Arial"/>
        </w:rPr>
      </w:pPr>
    </w:p>
    <w:p w:rsidR="008A18C4" w:rsidRDefault="008A18C4" w:rsidP="00437F5D">
      <w:pPr>
        <w:pStyle w:val="ListParagraph"/>
        <w:numPr>
          <w:ilvl w:val="0"/>
          <w:numId w:val="6"/>
        </w:numPr>
        <w:autoSpaceDE w:val="0"/>
        <w:autoSpaceDN w:val="0"/>
        <w:adjustRightInd w:val="0"/>
        <w:spacing w:after="0" w:line="240" w:lineRule="auto"/>
        <w:ind w:left="714" w:hanging="357"/>
        <w:contextualSpacing w:val="0"/>
        <w:rPr>
          <w:rFonts w:ascii="Arial" w:hAnsi="Arial" w:cs="Arial"/>
        </w:rPr>
      </w:pPr>
      <w:r w:rsidRPr="006E5FB4">
        <w:rPr>
          <w:rFonts w:ascii="Arial" w:hAnsi="Arial" w:cs="Arial"/>
          <w:b/>
          <w:i/>
        </w:rPr>
        <w:t>Transparency and environmental protections</w:t>
      </w:r>
      <w:r w:rsidRPr="00F3241E">
        <w:rPr>
          <w:rFonts w:ascii="Arial" w:hAnsi="Arial" w:cs="Arial"/>
          <w:i/>
        </w:rPr>
        <w:t xml:space="preserve">  </w:t>
      </w:r>
      <w:r w:rsidRPr="00F3241E">
        <w:rPr>
          <w:rFonts w:ascii="Arial" w:hAnsi="Arial" w:cs="Arial"/>
        </w:rPr>
        <w:t>– While existing concurrences are clear and legally required, upfront ‘negotiation’ between agencies leaves scop</w:t>
      </w:r>
      <w:r>
        <w:rPr>
          <w:rFonts w:ascii="Arial" w:hAnsi="Arial" w:cs="Arial"/>
        </w:rPr>
        <w:t>e for closed-door discretion (for example</w:t>
      </w:r>
      <w:r w:rsidRPr="00F3241E">
        <w:rPr>
          <w:rFonts w:ascii="Arial" w:hAnsi="Arial" w:cs="Arial"/>
        </w:rPr>
        <w:t xml:space="preserve">, on strategic approaches to Aboriginal heritage, threatened species and native vegetation protection or pollution licensing). There is no guarantee that existing environmental checks and balances </w:t>
      </w:r>
      <w:r>
        <w:rPr>
          <w:rFonts w:ascii="Arial" w:hAnsi="Arial" w:cs="Arial"/>
        </w:rPr>
        <w:t>will not</w:t>
      </w:r>
      <w:r w:rsidRPr="00F3241E">
        <w:rPr>
          <w:rFonts w:ascii="Arial" w:hAnsi="Arial" w:cs="Arial"/>
        </w:rPr>
        <w:t xml:space="preserve"> be compromised.</w:t>
      </w:r>
    </w:p>
    <w:p w:rsidR="008A18C4" w:rsidRPr="00F3241E" w:rsidRDefault="008A18C4" w:rsidP="008A18C4">
      <w:pPr>
        <w:pStyle w:val="ListParagraph"/>
        <w:autoSpaceDE w:val="0"/>
        <w:autoSpaceDN w:val="0"/>
        <w:adjustRightInd w:val="0"/>
        <w:spacing w:after="0" w:line="240" w:lineRule="auto"/>
        <w:ind w:left="714"/>
        <w:contextualSpacing w:val="0"/>
        <w:rPr>
          <w:rFonts w:ascii="Arial" w:hAnsi="Arial" w:cs="Arial"/>
        </w:rPr>
      </w:pPr>
    </w:p>
    <w:p w:rsidR="008A18C4" w:rsidRDefault="008A18C4" w:rsidP="00437F5D">
      <w:pPr>
        <w:pStyle w:val="ListParagraph"/>
        <w:numPr>
          <w:ilvl w:val="0"/>
          <w:numId w:val="6"/>
        </w:numPr>
        <w:autoSpaceDE w:val="0"/>
        <w:autoSpaceDN w:val="0"/>
        <w:adjustRightInd w:val="0"/>
        <w:spacing w:after="0" w:line="240" w:lineRule="auto"/>
        <w:ind w:left="714" w:hanging="357"/>
        <w:contextualSpacing w:val="0"/>
        <w:rPr>
          <w:rFonts w:ascii="Arial" w:hAnsi="Arial" w:cs="Arial"/>
        </w:rPr>
      </w:pPr>
      <w:r w:rsidRPr="006E5FB4">
        <w:rPr>
          <w:rFonts w:ascii="Arial" w:hAnsi="Arial" w:cs="Arial"/>
          <w:b/>
          <w:i/>
        </w:rPr>
        <w:t>Proportionality</w:t>
      </w:r>
      <w:r w:rsidRPr="00F3241E">
        <w:rPr>
          <w:rStyle w:val="FootnoteReference"/>
          <w:rFonts w:ascii="Arial" w:hAnsi="Arial" w:cs="Arial"/>
          <w:i/>
        </w:rPr>
        <w:footnoteReference w:id="185"/>
      </w:r>
      <w:r w:rsidRPr="00F3241E">
        <w:rPr>
          <w:rFonts w:ascii="Arial" w:hAnsi="Arial" w:cs="Arial"/>
        </w:rPr>
        <w:t xml:space="preserve"> – One reason for inter-agency concurrences is to ensure project scrutiny matches potential impacts.</w:t>
      </w:r>
      <w:r w:rsidRPr="00F3241E">
        <w:rPr>
          <w:rStyle w:val="FootnoteReference"/>
          <w:rFonts w:ascii="Arial" w:hAnsi="Arial" w:cs="Arial"/>
        </w:rPr>
        <w:footnoteReference w:id="186"/>
      </w:r>
      <w:r w:rsidRPr="00F3241E">
        <w:rPr>
          <w:rFonts w:ascii="Arial" w:hAnsi="Arial" w:cs="Arial"/>
        </w:rPr>
        <w:t xml:space="preserve"> Removing requirements for project-level agency agreement reduces tailored solutions; and increases the risk that important site-level qualities</w:t>
      </w:r>
      <w:r>
        <w:rPr>
          <w:rFonts w:ascii="Arial" w:hAnsi="Arial" w:cs="Arial"/>
        </w:rPr>
        <w:t>,</w:t>
      </w:r>
      <w:r w:rsidRPr="00F3241E">
        <w:rPr>
          <w:rFonts w:ascii="Arial" w:hAnsi="Arial" w:cs="Arial"/>
        </w:rPr>
        <w:t xml:space="preserve"> or new information</w:t>
      </w:r>
      <w:r>
        <w:rPr>
          <w:rFonts w:ascii="Arial" w:hAnsi="Arial" w:cs="Arial"/>
        </w:rPr>
        <w:t>,</w:t>
      </w:r>
      <w:r w:rsidRPr="00F3241E">
        <w:rPr>
          <w:rFonts w:ascii="Arial" w:hAnsi="Arial" w:cs="Arial"/>
        </w:rPr>
        <w:t xml:space="preserve"> will be overlooked or ignored.</w:t>
      </w:r>
    </w:p>
    <w:p w:rsidR="008A18C4" w:rsidRPr="00197E13" w:rsidRDefault="008A18C4" w:rsidP="008A18C4">
      <w:pPr>
        <w:autoSpaceDE w:val="0"/>
        <w:autoSpaceDN w:val="0"/>
        <w:adjustRightInd w:val="0"/>
        <w:rPr>
          <w:rFonts w:cs="Arial"/>
        </w:rPr>
      </w:pPr>
    </w:p>
    <w:p w:rsidR="008A18C4" w:rsidRDefault="008A18C4" w:rsidP="00437F5D">
      <w:pPr>
        <w:pStyle w:val="ListParagraph"/>
        <w:numPr>
          <w:ilvl w:val="0"/>
          <w:numId w:val="6"/>
        </w:numPr>
        <w:autoSpaceDE w:val="0"/>
        <w:autoSpaceDN w:val="0"/>
        <w:adjustRightInd w:val="0"/>
        <w:spacing w:after="0" w:line="240" w:lineRule="auto"/>
        <w:ind w:left="714" w:hanging="357"/>
        <w:contextualSpacing w:val="0"/>
        <w:rPr>
          <w:rFonts w:ascii="Arial" w:hAnsi="Arial" w:cs="Arial"/>
        </w:rPr>
      </w:pPr>
      <w:r w:rsidRPr="00120066">
        <w:rPr>
          <w:rFonts w:ascii="Arial" w:hAnsi="Arial" w:cs="Arial"/>
          <w:b/>
          <w:i/>
        </w:rPr>
        <w:t>Major projects ‘override’</w:t>
      </w:r>
      <w:r w:rsidRPr="00F3241E">
        <w:rPr>
          <w:rFonts w:ascii="Arial" w:hAnsi="Arial" w:cs="Arial"/>
          <w:i/>
        </w:rPr>
        <w:t xml:space="preserve"> – </w:t>
      </w:r>
      <w:r w:rsidRPr="00F3241E">
        <w:rPr>
          <w:rFonts w:ascii="Arial" w:hAnsi="Arial" w:cs="Arial"/>
        </w:rPr>
        <w:t xml:space="preserve">State significant development and infrastructure </w:t>
      </w:r>
      <w:r>
        <w:rPr>
          <w:rFonts w:ascii="Arial" w:hAnsi="Arial" w:cs="Arial"/>
        </w:rPr>
        <w:t xml:space="preserve">projects continue to be </w:t>
      </w:r>
      <w:r w:rsidRPr="00F3241E">
        <w:rPr>
          <w:rFonts w:ascii="Arial" w:hAnsi="Arial" w:cs="Arial"/>
          <w:i/>
        </w:rPr>
        <w:t>exempt</w:t>
      </w:r>
      <w:r w:rsidRPr="00F3241E">
        <w:rPr>
          <w:rFonts w:ascii="Arial" w:hAnsi="Arial" w:cs="Arial"/>
        </w:rPr>
        <w:t xml:space="preserve"> from a wide </w:t>
      </w:r>
      <w:r w:rsidR="00B56D67">
        <w:rPr>
          <w:rFonts w:ascii="Arial" w:hAnsi="Arial" w:cs="Arial"/>
        </w:rPr>
        <w:t xml:space="preserve">[range] </w:t>
      </w:r>
      <w:r w:rsidRPr="00F3241E">
        <w:rPr>
          <w:rFonts w:ascii="Arial" w:hAnsi="Arial" w:cs="Arial"/>
        </w:rPr>
        <w:t xml:space="preserve">of concurrences, as </w:t>
      </w:r>
      <w:r>
        <w:rPr>
          <w:rFonts w:ascii="Arial" w:hAnsi="Arial" w:cs="Arial"/>
        </w:rPr>
        <w:t>under</w:t>
      </w:r>
      <w:r w:rsidRPr="00F3241E">
        <w:rPr>
          <w:rFonts w:ascii="Arial" w:hAnsi="Arial" w:cs="Arial"/>
        </w:rPr>
        <w:t xml:space="preserve"> former Part </w:t>
      </w:r>
      <w:proofErr w:type="spellStart"/>
      <w:r w:rsidRPr="00F3241E">
        <w:rPr>
          <w:rFonts w:ascii="Arial" w:hAnsi="Arial" w:cs="Arial"/>
        </w:rPr>
        <w:t>3A</w:t>
      </w:r>
      <w:proofErr w:type="spellEnd"/>
      <w:r w:rsidRPr="00F3241E">
        <w:rPr>
          <w:rFonts w:ascii="Arial" w:hAnsi="Arial" w:cs="Arial"/>
        </w:rPr>
        <w:t>.</w:t>
      </w:r>
      <w:r w:rsidRPr="00F3241E">
        <w:rPr>
          <w:rStyle w:val="FootnoteReference"/>
        </w:rPr>
        <w:footnoteReference w:id="187"/>
      </w:r>
      <w:r w:rsidRPr="00F3241E">
        <w:rPr>
          <w:rFonts w:ascii="Arial" w:hAnsi="Arial" w:cs="Arial"/>
        </w:rPr>
        <w:t xml:space="preserve"> These </w:t>
      </w:r>
      <w:r w:rsidRPr="006E5FB4">
        <w:rPr>
          <w:rFonts w:ascii="Arial" w:hAnsi="Arial" w:cs="Arial"/>
        </w:rPr>
        <w:t>exemptions</w:t>
      </w:r>
      <w:r w:rsidRPr="00F3241E">
        <w:rPr>
          <w:rFonts w:ascii="Arial" w:hAnsi="Arial" w:cs="Arial"/>
        </w:rPr>
        <w:t xml:space="preserve"> undermine the Government’s commitment </w:t>
      </w:r>
      <w:r w:rsidRPr="00F3241E">
        <w:rPr>
          <w:rFonts w:ascii="Arial" w:hAnsi="Arial" w:cs="Arial"/>
        </w:rPr>
        <w:lastRenderedPageBreak/>
        <w:t xml:space="preserve">to proportional assessment, and integrating infrastructure, environment and </w:t>
      </w:r>
      <w:proofErr w:type="spellStart"/>
      <w:r w:rsidRPr="00F3241E">
        <w:rPr>
          <w:rFonts w:ascii="Arial" w:hAnsi="Arial" w:cs="Arial"/>
        </w:rPr>
        <w:t>NRM</w:t>
      </w:r>
      <w:proofErr w:type="spellEnd"/>
      <w:r w:rsidRPr="00F3241E">
        <w:rPr>
          <w:rFonts w:ascii="Arial" w:hAnsi="Arial" w:cs="Arial"/>
        </w:rPr>
        <w:t xml:space="preserve"> consi</w:t>
      </w:r>
      <w:r>
        <w:rPr>
          <w:rFonts w:ascii="Arial" w:hAnsi="Arial" w:cs="Arial"/>
        </w:rPr>
        <w:t>derations in land use planning. Indeed,</w:t>
      </w:r>
      <w:r w:rsidRPr="00F3241E">
        <w:rPr>
          <w:rFonts w:ascii="Arial" w:hAnsi="Arial" w:cs="Arial"/>
        </w:rPr>
        <w:t xml:space="preserve"> the Green Paper suggests </w:t>
      </w:r>
      <w:r>
        <w:rPr>
          <w:rFonts w:ascii="Arial" w:hAnsi="Arial" w:cs="Arial"/>
        </w:rPr>
        <w:t xml:space="preserve">such exemptions </w:t>
      </w:r>
      <w:r w:rsidRPr="00F3241E">
        <w:rPr>
          <w:rFonts w:ascii="Arial" w:hAnsi="Arial" w:cs="Arial"/>
        </w:rPr>
        <w:t>could expand to projects</w:t>
      </w:r>
      <w:r>
        <w:rPr>
          <w:rFonts w:ascii="Arial" w:hAnsi="Arial" w:cs="Arial"/>
        </w:rPr>
        <w:t xml:space="preserve"> considered by Joint Regional Planning Panels (</w:t>
      </w:r>
      <w:proofErr w:type="spellStart"/>
      <w:r w:rsidRPr="00441EAF">
        <w:rPr>
          <w:rFonts w:ascii="Arial" w:hAnsi="Arial" w:cs="Arial"/>
          <w:b/>
        </w:rPr>
        <w:t>JRPPs</w:t>
      </w:r>
      <w:proofErr w:type="spellEnd"/>
      <w:r>
        <w:rPr>
          <w:rFonts w:ascii="Arial" w:hAnsi="Arial" w:cs="Arial"/>
        </w:rPr>
        <w:t>).</w:t>
      </w:r>
      <w:r>
        <w:rPr>
          <w:rStyle w:val="FootnoteReference"/>
          <w:rFonts w:ascii="Arial" w:hAnsi="Arial" w:cs="Arial"/>
        </w:rPr>
        <w:footnoteReference w:id="188"/>
      </w:r>
      <w:r w:rsidRPr="00F3241E">
        <w:rPr>
          <w:rFonts w:ascii="Arial" w:hAnsi="Arial" w:cs="Arial"/>
        </w:rPr>
        <w:t xml:space="preserve"> </w:t>
      </w:r>
      <w:r>
        <w:rPr>
          <w:rFonts w:ascii="Arial" w:hAnsi="Arial" w:cs="Arial"/>
        </w:rPr>
        <w:t xml:space="preserve">Participants in the recent EDO NSW seminars expressed a high level of scepticism as to how the proposed changes will actually differ in practice from Part </w:t>
      </w:r>
      <w:proofErr w:type="spellStart"/>
      <w:r>
        <w:rPr>
          <w:rFonts w:ascii="Arial" w:hAnsi="Arial" w:cs="Arial"/>
        </w:rPr>
        <w:t>3A</w:t>
      </w:r>
      <w:proofErr w:type="spellEnd"/>
      <w:r>
        <w:rPr>
          <w:rFonts w:ascii="Arial" w:hAnsi="Arial" w:cs="Arial"/>
        </w:rPr>
        <w:t xml:space="preserve">. There is a genuine fear that some of the Green Paper’s proposals for state significant development and infrastructure projects will simply reinstate Part </w:t>
      </w:r>
      <w:proofErr w:type="spellStart"/>
      <w:r>
        <w:rPr>
          <w:rFonts w:ascii="Arial" w:hAnsi="Arial" w:cs="Arial"/>
        </w:rPr>
        <w:t>3A</w:t>
      </w:r>
      <w:proofErr w:type="spellEnd"/>
      <w:r>
        <w:rPr>
          <w:rFonts w:ascii="Arial" w:hAnsi="Arial" w:cs="Arial"/>
        </w:rPr>
        <w:t>, to the exclusion of local communities.</w:t>
      </w:r>
      <w:r w:rsidRPr="00F3241E">
        <w:rPr>
          <w:rFonts w:ascii="Arial" w:hAnsi="Arial" w:cs="Arial"/>
        </w:rPr>
        <w:t xml:space="preserve"> </w:t>
      </w:r>
    </w:p>
    <w:p w:rsidR="008A18C4" w:rsidRPr="00197E13" w:rsidRDefault="008A18C4" w:rsidP="008A18C4">
      <w:pPr>
        <w:autoSpaceDE w:val="0"/>
        <w:autoSpaceDN w:val="0"/>
        <w:adjustRightInd w:val="0"/>
        <w:rPr>
          <w:rFonts w:cs="Arial"/>
        </w:rPr>
      </w:pPr>
    </w:p>
    <w:p w:rsidR="008A18C4" w:rsidRDefault="008A18C4" w:rsidP="00437F5D">
      <w:pPr>
        <w:pStyle w:val="ListParagraph"/>
        <w:numPr>
          <w:ilvl w:val="0"/>
          <w:numId w:val="6"/>
        </w:numPr>
        <w:autoSpaceDE w:val="0"/>
        <w:autoSpaceDN w:val="0"/>
        <w:adjustRightInd w:val="0"/>
        <w:spacing w:after="0" w:line="240" w:lineRule="auto"/>
        <w:ind w:left="714" w:hanging="357"/>
        <w:contextualSpacing w:val="0"/>
        <w:rPr>
          <w:rFonts w:ascii="Arial" w:hAnsi="Arial" w:cs="Arial"/>
        </w:rPr>
      </w:pPr>
      <w:r>
        <w:rPr>
          <w:rFonts w:ascii="Arial" w:hAnsi="Arial" w:cs="Arial"/>
          <w:b/>
          <w:i/>
        </w:rPr>
        <w:t>Strength</w:t>
      </w:r>
      <w:r w:rsidRPr="00441EAF">
        <w:rPr>
          <w:rFonts w:ascii="Arial" w:hAnsi="Arial" w:cs="Arial"/>
          <w:b/>
          <w:i/>
        </w:rPr>
        <w:t xml:space="preserve"> of conditions</w:t>
      </w:r>
      <w:r w:rsidRPr="00F3241E">
        <w:rPr>
          <w:rFonts w:ascii="Arial" w:hAnsi="Arial" w:cs="Arial"/>
        </w:rPr>
        <w:t xml:space="preserve"> – Removing concurrences </w:t>
      </w:r>
      <w:r>
        <w:rPr>
          <w:rFonts w:ascii="Arial" w:hAnsi="Arial" w:cs="Arial"/>
        </w:rPr>
        <w:t xml:space="preserve">would </w:t>
      </w:r>
      <w:r w:rsidRPr="00F3241E">
        <w:rPr>
          <w:rFonts w:ascii="Arial" w:hAnsi="Arial" w:cs="Arial"/>
        </w:rPr>
        <w:t xml:space="preserve">reduce </w:t>
      </w:r>
      <w:r>
        <w:rPr>
          <w:rFonts w:ascii="Arial" w:hAnsi="Arial" w:cs="Arial"/>
        </w:rPr>
        <w:t xml:space="preserve">on-the-ground </w:t>
      </w:r>
      <w:r w:rsidRPr="00F3241E">
        <w:rPr>
          <w:rFonts w:ascii="Arial" w:hAnsi="Arial" w:cs="Arial"/>
        </w:rPr>
        <w:t xml:space="preserve">expert scrutiny and threaten the adequacy of development approval conditions, as regulators </w:t>
      </w:r>
      <w:r>
        <w:rPr>
          <w:rFonts w:ascii="Arial" w:hAnsi="Arial" w:cs="Arial"/>
        </w:rPr>
        <w:t>(for example,</w:t>
      </w:r>
      <w:r w:rsidRPr="00F3241E">
        <w:rPr>
          <w:rFonts w:ascii="Arial" w:hAnsi="Arial" w:cs="Arial"/>
        </w:rPr>
        <w:t xml:space="preserve"> </w:t>
      </w:r>
      <w:r>
        <w:rPr>
          <w:rFonts w:ascii="Arial" w:hAnsi="Arial" w:cs="Arial"/>
        </w:rPr>
        <w:t xml:space="preserve">the </w:t>
      </w:r>
      <w:r w:rsidRPr="00F3241E">
        <w:rPr>
          <w:rFonts w:ascii="Arial" w:hAnsi="Arial" w:cs="Arial"/>
        </w:rPr>
        <w:t>E</w:t>
      </w:r>
      <w:r>
        <w:rPr>
          <w:rFonts w:ascii="Arial" w:hAnsi="Arial" w:cs="Arial"/>
        </w:rPr>
        <w:t xml:space="preserve">nvironment </w:t>
      </w:r>
      <w:r w:rsidRPr="00F3241E">
        <w:rPr>
          <w:rFonts w:ascii="Arial" w:hAnsi="Arial" w:cs="Arial"/>
        </w:rPr>
        <w:t>P</w:t>
      </w:r>
      <w:r>
        <w:rPr>
          <w:rFonts w:ascii="Arial" w:hAnsi="Arial" w:cs="Arial"/>
        </w:rPr>
        <w:t xml:space="preserve">rotection </w:t>
      </w:r>
      <w:r w:rsidRPr="00F3241E">
        <w:rPr>
          <w:rFonts w:ascii="Arial" w:hAnsi="Arial" w:cs="Arial"/>
        </w:rPr>
        <w:t>A</w:t>
      </w:r>
      <w:r>
        <w:rPr>
          <w:rFonts w:ascii="Arial" w:hAnsi="Arial" w:cs="Arial"/>
        </w:rPr>
        <w:t>uthority</w:t>
      </w:r>
      <w:r w:rsidRPr="00F3241E">
        <w:rPr>
          <w:rFonts w:ascii="Arial" w:hAnsi="Arial" w:cs="Arial"/>
        </w:rPr>
        <w:t>) can no longer make independent decisions based on particular circumstances.</w:t>
      </w:r>
    </w:p>
    <w:p w:rsidR="004E1510" w:rsidRPr="004E1510" w:rsidRDefault="004E1510" w:rsidP="004E1510">
      <w:pPr>
        <w:pStyle w:val="ListParagraph"/>
        <w:ind w:left="0"/>
        <w:rPr>
          <w:rFonts w:ascii="Arial" w:hAnsi="Arial" w:cs="Arial"/>
          <w:b/>
        </w:rPr>
      </w:pPr>
      <w:r w:rsidRPr="004E1510">
        <w:rPr>
          <w:rFonts w:ascii="Arial" w:hAnsi="Arial" w:cs="Arial"/>
          <w:b/>
        </w:rPr>
        <w:t>…</w:t>
      </w:r>
    </w:p>
    <w:p w:rsidR="004E1510" w:rsidRPr="008E0F48" w:rsidRDefault="004E1510" w:rsidP="009C52E3">
      <w:pPr>
        <w:pStyle w:val="Heading2"/>
        <w:keepLines/>
        <w:numPr>
          <w:ilvl w:val="0"/>
          <w:numId w:val="30"/>
        </w:numPr>
        <w:spacing w:before="0" w:after="0"/>
      </w:pPr>
      <w:bookmarkStart w:id="86" w:name="_Toc335137778"/>
      <w:bookmarkStart w:id="87" w:name="_Toc350780873"/>
      <w:bookmarkStart w:id="88" w:name="_Toc351985926"/>
      <w:bookmarkStart w:id="89" w:name="_Toc349832065"/>
      <w:bookmarkStart w:id="90" w:name="_Toc349913791"/>
      <w:bookmarkStart w:id="91" w:name="_Toc350251429"/>
      <w:bookmarkStart w:id="92" w:name="_Toc350412760"/>
      <w:r w:rsidRPr="00B56D67">
        <w:t>Development assessment criteria – Objective tests needed for environmental outcomes</w:t>
      </w:r>
      <w:bookmarkEnd w:id="86"/>
      <w:bookmarkEnd w:id="87"/>
      <w:bookmarkEnd w:id="88"/>
      <w:r w:rsidRPr="00B56D67">
        <w:t xml:space="preserve"> </w:t>
      </w:r>
      <w:bookmarkEnd w:id="89"/>
      <w:bookmarkEnd w:id="90"/>
      <w:bookmarkEnd w:id="91"/>
      <w:bookmarkEnd w:id="92"/>
    </w:p>
    <w:p w:rsidR="004E1510" w:rsidRDefault="004E1510" w:rsidP="004E1510"/>
    <w:p w:rsidR="004E1510" w:rsidRDefault="004E1510" w:rsidP="004E1510">
      <w:r w:rsidRPr="00F3241E">
        <w:t xml:space="preserve">The Green Paper does not </w:t>
      </w:r>
      <w:r>
        <w:t xml:space="preserve">propose </w:t>
      </w:r>
      <w:r w:rsidRPr="00F3241E">
        <w:t>statutory assessment criteria that decision makers must comply with in determining development applications. This will be one of the most significant parts of t</w:t>
      </w:r>
      <w:r>
        <w:t xml:space="preserve">he new planning system, as </w:t>
      </w:r>
      <w:r w:rsidRPr="00F3241E">
        <w:t xml:space="preserve">s </w:t>
      </w:r>
      <w:proofErr w:type="spellStart"/>
      <w:r w:rsidRPr="00F3241E">
        <w:t>79C</w:t>
      </w:r>
      <w:proofErr w:type="spellEnd"/>
      <w:r w:rsidRPr="00F3241E">
        <w:t xml:space="preserve"> of the </w:t>
      </w:r>
      <w:proofErr w:type="spellStart"/>
      <w:r w:rsidRPr="00F3241E">
        <w:t>EP&amp;A</w:t>
      </w:r>
      <w:proofErr w:type="spellEnd"/>
      <w:r w:rsidRPr="00F3241E">
        <w:t xml:space="preserve"> Act</w:t>
      </w:r>
      <w:r>
        <w:t xml:space="preserve"> is currently</w:t>
      </w:r>
      <w:r w:rsidRPr="00F3241E">
        <w:t xml:space="preserve">. </w:t>
      </w:r>
    </w:p>
    <w:p w:rsidR="004E1510" w:rsidRPr="00F3241E" w:rsidRDefault="004E1510" w:rsidP="004E1510"/>
    <w:p w:rsidR="004E1510" w:rsidRDefault="004E1510" w:rsidP="004E1510">
      <w:r w:rsidRPr="00F3241E">
        <w:t xml:space="preserve">The Independent Review Panel sets out a model for statutory assessment criteria, with some reference to s </w:t>
      </w:r>
      <w:proofErr w:type="spellStart"/>
      <w:r w:rsidRPr="00F3241E">
        <w:t>79C</w:t>
      </w:r>
      <w:proofErr w:type="spellEnd"/>
      <w:r w:rsidRPr="00F3241E">
        <w:t>.</w:t>
      </w:r>
      <w:r w:rsidRPr="00F3241E">
        <w:rPr>
          <w:rStyle w:val="FootnoteReference"/>
        </w:rPr>
        <w:footnoteReference w:id="189"/>
      </w:r>
      <w:r w:rsidRPr="00F3241E">
        <w:t xml:space="preserve"> The Panel included a range of important factors including climate change projections, human health and liveability; important natural resource and heritage considerations; as well as cumulative impacts (at least for ‘merit’ and ‘impact’ assessable development</w:t>
      </w:r>
      <w:r w:rsidRPr="00F3241E">
        <w:rPr>
          <w:rStyle w:val="FootnoteReference"/>
        </w:rPr>
        <w:footnoteReference w:id="190"/>
      </w:r>
      <w:r w:rsidRPr="00F3241E">
        <w:t xml:space="preserve">). While we support retaining consideration of the ‘public interest’, we are concerned about the potential for a proposed ‘public </w:t>
      </w:r>
      <w:r w:rsidRPr="00F3241E">
        <w:rPr>
          <w:i/>
        </w:rPr>
        <w:t>benefit</w:t>
      </w:r>
      <w:r w:rsidRPr="00F3241E">
        <w:t>’ test to distort decision-making and override consideration of significant adverse impacts.</w:t>
      </w:r>
      <w:r w:rsidRPr="00F3241E">
        <w:rPr>
          <w:rStyle w:val="FootnoteReference"/>
        </w:rPr>
        <w:footnoteReference w:id="191"/>
      </w:r>
      <w:r w:rsidRPr="00F3241E">
        <w:t xml:space="preserve"> The main problem with the Review Panel’s model is that, by listing factors to be ‘taken into account’, the relative weight of these factors remains open to discretion. There is no requirement that baseline environmental standards be met, but only factors considered. </w:t>
      </w:r>
    </w:p>
    <w:p w:rsidR="004E1510" w:rsidRDefault="004E1510" w:rsidP="004E1510"/>
    <w:p w:rsidR="004E1510" w:rsidRPr="00F3241E" w:rsidRDefault="004E1510" w:rsidP="004E1510">
      <w:r w:rsidRPr="00F3241E">
        <w:t>Finally, there are no requirements to consider or apply the principles of ecologically sustainable development (</w:t>
      </w:r>
      <w:proofErr w:type="spellStart"/>
      <w:r w:rsidRPr="00B56D67">
        <w:rPr>
          <w:b/>
        </w:rPr>
        <w:t>ESD</w:t>
      </w:r>
      <w:proofErr w:type="spellEnd"/>
      <w:r w:rsidRPr="00F3241E">
        <w:t xml:space="preserve">); or an overarching requirement that decision makers exercise their functions </w:t>
      </w:r>
      <w:r>
        <w:t xml:space="preserve">consistent with </w:t>
      </w:r>
      <w:proofErr w:type="spellStart"/>
      <w:r w:rsidRPr="00F3241E">
        <w:t>ESD</w:t>
      </w:r>
      <w:proofErr w:type="spellEnd"/>
      <w:r w:rsidRPr="00F3241E">
        <w:t xml:space="preserve">. Overall, the proposed approach does not </w:t>
      </w:r>
      <w:r w:rsidRPr="00F3241E">
        <w:lastRenderedPageBreak/>
        <w:t xml:space="preserve">address several existing inadequacies in integrating environmental protection, natural resource management and </w:t>
      </w:r>
      <w:proofErr w:type="spellStart"/>
      <w:r w:rsidRPr="00F3241E">
        <w:t>ESD</w:t>
      </w:r>
      <w:proofErr w:type="spellEnd"/>
      <w:r w:rsidRPr="00F3241E">
        <w:t xml:space="preserve"> considerations into NSW land use planning. </w:t>
      </w:r>
    </w:p>
    <w:p w:rsidR="004E1510" w:rsidRPr="007B4AD8" w:rsidRDefault="007B4AD8" w:rsidP="004E1510">
      <w:pPr>
        <w:pStyle w:val="Heading3"/>
        <w:spacing w:before="0"/>
        <w:rPr>
          <w:u w:val="none"/>
        </w:rPr>
      </w:pPr>
      <w:bookmarkStart w:id="93" w:name="_Toc349832066"/>
      <w:bookmarkStart w:id="94" w:name="_Toc349913792"/>
      <w:bookmarkStart w:id="95" w:name="_Toc350251430"/>
      <w:bookmarkStart w:id="96" w:name="_Toc350412761"/>
      <w:bookmarkStart w:id="97" w:name="_Toc350780874"/>
      <w:r w:rsidRPr="007B4AD8">
        <w:rPr>
          <w:u w:val="none"/>
        </w:rPr>
        <w:t>…</w:t>
      </w:r>
      <w:bookmarkEnd w:id="93"/>
      <w:bookmarkEnd w:id="94"/>
      <w:bookmarkEnd w:id="95"/>
      <w:bookmarkEnd w:id="96"/>
      <w:bookmarkEnd w:id="97"/>
    </w:p>
    <w:p w:rsidR="004E1510" w:rsidRPr="00F3241E" w:rsidRDefault="004E1510" w:rsidP="004E1510">
      <w:pPr>
        <w:rPr>
          <w:rFonts w:cs="Arial"/>
        </w:rPr>
      </w:pPr>
    </w:p>
    <w:p w:rsidR="004E1510" w:rsidRPr="008F2F30" w:rsidRDefault="004E1510" w:rsidP="009C52E3">
      <w:pPr>
        <w:pStyle w:val="Heading2"/>
        <w:keepLines/>
        <w:numPr>
          <w:ilvl w:val="0"/>
          <w:numId w:val="30"/>
        </w:numPr>
        <w:spacing w:before="0" w:after="0"/>
      </w:pPr>
      <w:bookmarkStart w:id="98" w:name="_Toc335137780"/>
      <w:bookmarkStart w:id="99" w:name="_Toc350780875"/>
      <w:bookmarkStart w:id="100" w:name="_Toc351985927"/>
      <w:bookmarkStart w:id="101" w:name="_Toc349832067"/>
      <w:bookmarkStart w:id="102" w:name="_Toc349913793"/>
      <w:bookmarkStart w:id="103" w:name="_Toc350251431"/>
      <w:bookmarkStart w:id="104" w:name="_Toc350412762"/>
      <w:r w:rsidRPr="007B4AD8">
        <w:t>Independent and comprehensive environmental impact assessment</w:t>
      </w:r>
      <w:bookmarkEnd w:id="98"/>
      <w:bookmarkEnd w:id="99"/>
      <w:bookmarkEnd w:id="100"/>
      <w:r w:rsidRPr="007B4AD8">
        <w:t xml:space="preserve"> </w:t>
      </w:r>
      <w:bookmarkEnd w:id="101"/>
      <w:bookmarkEnd w:id="102"/>
      <w:bookmarkEnd w:id="103"/>
      <w:bookmarkEnd w:id="104"/>
    </w:p>
    <w:p w:rsidR="004E1510" w:rsidRDefault="004E1510" w:rsidP="007B4AD8">
      <w:pPr>
        <w:keepNext/>
        <w:keepLines/>
      </w:pPr>
    </w:p>
    <w:p w:rsidR="004E1510" w:rsidRDefault="004E1510" w:rsidP="007B4AD8">
      <w:pPr>
        <w:spacing w:after="120"/>
      </w:pPr>
      <w:r w:rsidRPr="00F3241E">
        <w:t>The Green Paper takes some encouraging first steps for improving environmental impact assessment (</w:t>
      </w:r>
      <w:proofErr w:type="spellStart"/>
      <w:r w:rsidRPr="003B7063">
        <w:rPr>
          <w:b/>
        </w:rPr>
        <w:t>EIA</w:t>
      </w:r>
      <w:proofErr w:type="spellEnd"/>
      <w:r w:rsidRPr="00F3241E">
        <w:t>). It proposes that (at least for State significant projects) ‘consultants that provide Environmental Impact Statements should be’:</w:t>
      </w:r>
    </w:p>
    <w:p w:rsidR="004E1510" w:rsidRPr="00F3241E" w:rsidRDefault="004E1510" w:rsidP="009C52E3">
      <w:pPr>
        <w:numPr>
          <w:ilvl w:val="0"/>
          <w:numId w:val="28"/>
        </w:numPr>
      </w:pPr>
      <w:r w:rsidRPr="00F3241E">
        <w:t xml:space="preserve">‘chosen from an accredited panel’, and </w:t>
      </w:r>
    </w:p>
    <w:p w:rsidR="004E1510" w:rsidRPr="004E1510" w:rsidRDefault="004E1510" w:rsidP="009C52E3">
      <w:pPr>
        <w:numPr>
          <w:ilvl w:val="0"/>
          <w:numId w:val="28"/>
        </w:numPr>
        <w:ind w:left="714" w:hanging="357"/>
        <w:rPr>
          <w:rFonts w:cs="Calibri"/>
        </w:rPr>
      </w:pPr>
      <w:r w:rsidRPr="004E1510">
        <w:rPr>
          <w:rFonts w:cs="Calibri"/>
        </w:rPr>
        <w:t>‘required to meet certain standards regarding the impartiality and quality of their work.’</w:t>
      </w:r>
      <w:r w:rsidRPr="004E1510">
        <w:rPr>
          <w:rFonts w:cs="Calibri"/>
          <w:vertAlign w:val="superscript"/>
        </w:rPr>
        <w:footnoteReference w:id="192"/>
      </w:r>
    </w:p>
    <w:p w:rsidR="004E1510" w:rsidRPr="004E1510" w:rsidRDefault="004E1510" w:rsidP="004E1510">
      <w:pPr>
        <w:rPr>
          <w:rFonts w:cs="Calibri"/>
        </w:rPr>
      </w:pPr>
    </w:p>
    <w:p w:rsidR="004E1510" w:rsidRPr="004E1510" w:rsidRDefault="004E1510" w:rsidP="004E1510">
      <w:pPr>
        <w:rPr>
          <w:rFonts w:cs="Calibri"/>
        </w:rPr>
      </w:pPr>
      <w:r w:rsidRPr="004E1510">
        <w:rPr>
          <w:rFonts w:cs="Calibri"/>
        </w:rPr>
        <w:t xml:space="preserve">We strongly support these proposals, set out under the Green Paper’s proposals for State significant projects. We submit that such safeguards are warranted for all types of </w:t>
      </w:r>
      <w:proofErr w:type="spellStart"/>
      <w:r w:rsidRPr="004E1510">
        <w:rPr>
          <w:rFonts w:cs="Calibri"/>
        </w:rPr>
        <w:t>EIA</w:t>
      </w:r>
      <w:proofErr w:type="spellEnd"/>
      <w:r w:rsidRPr="004E1510">
        <w:rPr>
          <w:rFonts w:cs="Calibri"/>
        </w:rPr>
        <w:t xml:space="preserve">. The White Paper must provide details of how the new Act will explicitly address the potential for real or perceived bias in the system, by ‘breaking the nexus’ of direct payment between proponent and assessor. </w:t>
      </w:r>
    </w:p>
    <w:p w:rsidR="004E1510" w:rsidRPr="004E1510" w:rsidRDefault="004E1510" w:rsidP="004E1510">
      <w:pPr>
        <w:rPr>
          <w:rFonts w:cs="Calibri"/>
        </w:rPr>
      </w:pPr>
    </w:p>
    <w:p w:rsidR="004E1510" w:rsidRPr="004E1510" w:rsidRDefault="004E1510" w:rsidP="003B7063">
      <w:pPr>
        <w:spacing w:after="120"/>
        <w:rPr>
          <w:rFonts w:cs="Calibri"/>
        </w:rPr>
      </w:pPr>
      <w:r w:rsidRPr="004E1510">
        <w:rPr>
          <w:rFonts w:cs="Calibri"/>
        </w:rPr>
        <w:t xml:space="preserve">Consistent with our previous submissions, we recommend a range of additional improvements to </w:t>
      </w:r>
      <w:proofErr w:type="spellStart"/>
      <w:r w:rsidRPr="004E1510">
        <w:rPr>
          <w:rFonts w:cs="Calibri"/>
        </w:rPr>
        <w:t>EIA</w:t>
      </w:r>
      <w:proofErr w:type="spellEnd"/>
      <w:r w:rsidRPr="004E1510">
        <w:rPr>
          <w:rFonts w:cs="Calibri"/>
        </w:rPr>
        <w:t xml:space="preserve"> processes to ensure that decision makers have the best information available. The new planning system must endeavour to:</w:t>
      </w:r>
    </w:p>
    <w:p w:rsidR="004E1510" w:rsidRPr="004E1510" w:rsidRDefault="004E1510" w:rsidP="009C52E3">
      <w:pPr>
        <w:numPr>
          <w:ilvl w:val="0"/>
          <w:numId w:val="29"/>
        </w:numPr>
        <w:spacing w:after="120"/>
        <w:ind w:left="714" w:hanging="357"/>
        <w:rPr>
          <w:rFonts w:cs="Calibri"/>
        </w:rPr>
      </w:pPr>
      <w:r w:rsidRPr="004E1510">
        <w:rPr>
          <w:rFonts w:cs="Calibri"/>
        </w:rPr>
        <w:t>introduce a framework for the independent appointment of environmental consultants;</w:t>
      </w:r>
    </w:p>
    <w:p w:rsidR="004E1510" w:rsidRPr="004E1510" w:rsidRDefault="004E1510" w:rsidP="009C52E3">
      <w:pPr>
        <w:numPr>
          <w:ilvl w:val="0"/>
          <w:numId w:val="29"/>
        </w:numPr>
        <w:spacing w:after="120"/>
        <w:ind w:hanging="357"/>
        <w:rPr>
          <w:rFonts w:cs="Calibri"/>
        </w:rPr>
      </w:pPr>
      <w:r w:rsidRPr="004E1510">
        <w:rPr>
          <w:rFonts w:cs="Calibri"/>
        </w:rPr>
        <w:t>introduce further measures to ensure the integrity of environmental impact statements including:</w:t>
      </w:r>
    </w:p>
    <w:p w:rsidR="004E1510" w:rsidRPr="004E1510" w:rsidRDefault="004E1510" w:rsidP="009C52E3">
      <w:pPr>
        <w:numPr>
          <w:ilvl w:val="1"/>
          <w:numId w:val="29"/>
        </w:numPr>
        <w:ind w:hanging="357"/>
        <w:rPr>
          <w:rFonts w:cs="Calibri"/>
        </w:rPr>
      </w:pPr>
      <w:r w:rsidRPr="004E1510">
        <w:rPr>
          <w:rFonts w:cs="Calibri"/>
        </w:rPr>
        <w:t>accreditation of environmental and planning consultants,</w:t>
      </w:r>
    </w:p>
    <w:p w:rsidR="004E1510" w:rsidRPr="004E1510" w:rsidRDefault="004E1510" w:rsidP="009C52E3">
      <w:pPr>
        <w:numPr>
          <w:ilvl w:val="1"/>
          <w:numId w:val="29"/>
        </w:numPr>
        <w:ind w:hanging="357"/>
        <w:rPr>
          <w:rFonts w:cs="Calibri"/>
        </w:rPr>
      </w:pPr>
      <w:r w:rsidRPr="004E1510">
        <w:rPr>
          <w:rFonts w:cs="Calibri"/>
        </w:rPr>
        <w:t>ensuring assessment and scrutiny is commensurate with potential impacts,</w:t>
      </w:r>
    </w:p>
    <w:p w:rsidR="004E1510" w:rsidRPr="004E1510" w:rsidRDefault="004E1510" w:rsidP="009C52E3">
      <w:pPr>
        <w:numPr>
          <w:ilvl w:val="1"/>
          <w:numId w:val="29"/>
        </w:numPr>
        <w:ind w:hanging="357"/>
        <w:rPr>
          <w:rFonts w:cs="Calibri"/>
        </w:rPr>
      </w:pPr>
      <w:r w:rsidRPr="004E1510">
        <w:rPr>
          <w:rFonts w:cs="Calibri"/>
        </w:rPr>
        <w:t>requiring or allowing decision makers to reject reports that are unsatisfactory,</w:t>
      </w:r>
    </w:p>
    <w:p w:rsidR="004E1510" w:rsidRPr="004E1510" w:rsidRDefault="004E1510" w:rsidP="009C52E3">
      <w:pPr>
        <w:numPr>
          <w:ilvl w:val="1"/>
          <w:numId w:val="29"/>
        </w:numPr>
        <w:ind w:hanging="357"/>
        <w:rPr>
          <w:rFonts w:cs="Calibri"/>
        </w:rPr>
      </w:pPr>
      <w:r w:rsidRPr="004E1510">
        <w:rPr>
          <w:rFonts w:cs="Calibri"/>
        </w:rPr>
        <w:t>replace public authority ‘self-assessment’ with a more accountable approach,</w:t>
      </w:r>
    </w:p>
    <w:p w:rsidR="004E1510" w:rsidRPr="004E1510" w:rsidRDefault="004E1510" w:rsidP="009C52E3">
      <w:pPr>
        <w:numPr>
          <w:ilvl w:val="1"/>
          <w:numId w:val="29"/>
        </w:numPr>
        <w:ind w:hanging="357"/>
        <w:rPr>
          <w:rFonts w:cs="Calibri"/>
        </w:rPr>
      </w:pPr>
      <w:r w:rsidRPr="004E1510">
        <w:rPr>
          <w:rFonts w:cs="Calibri"/>
        </w:rPr>
        <w:t xml:space="preserve">enhance transparency of </w:t>
      </w:r>
      <w:proofErr w:type="spellStart"/>
      <w:r w:rsidRPr="004E1510">
        <w:rPr>
          <w:rFonts w:cs="Calibri"/>
        </w:rPr>
        <w:t>EIA</w:t>
      </w:r>
      <w:proofErr w:type="spellEnd"/>
      <w:r w:rsidRPr="004E1510">
        <w:rPr>
          <w:rFonts w:cs="Calibri"/>
        </w:rPr>
        <w:t xml:space="preserve"> as part of renewed community engagement,</w:t>
      </w:r>
      <w:r w:rsidRPr="004E1510">
        <w:rPr>
          <w:rStyle w:val="FootnoteReference"/>
          <w:rFonts w:cs="Calibri"/>
        </w:rPr>
        <w:footnoteReference w:id="193"/>
      </w:r>
    </w:p>
    <w:p w:rsidR="004E1510" w:rsidRPr="004E1510" w:rsidRDefault="004E1510" w:rsidP="009C52E3">
      <w:pPr>
        <w:numPr>
          <w:ilvl w:val="1"/>
          <w:numId w:val="29"/>
        </w:numPr>
        <w:ind w:hanging="357"/>
        <w:rPr>
          <w:rFonts w:cs="Calibri"/>
        </w:rPr>
      </w:pPr>
      <w:r w:rsidRPr="004E1510">
        <w:rPr>
          <w:rFonts w:cs="Calibri"/>
        </w:rPr>
        <w:t>adopt best practice standards for strategic environmental assessment as noted,</w:t>
      </w:r>
    </w:p>
    <w:p w:rsidR="004E1510" w:rsidRPr="004E1510" w:rsidRDefault="004E1510" w:rsidP="009C52E3">
      <w:pPr>
        <w:numPr>
          <w:ilvl w:val="1"/>
          <w:numId w:val="29"/>
        </w:numPr>
        <w:ind w:hanging="357"/>
        <w:rPr>
          <w:rFonts w:cs="Calibri"/>
        </w:rPr>
      </w:pPr>
      <w:r w:rsidRPr="004E1510">
        <w:rPr>
          <w:rFonts w:cs="Calibri"/>
        </w:rPr>
        <w:t>external peer-review of environmental assessment reports, and auditing of subsequent operating outcomes, and</w:t>
      </w:r>
    </w:p>
    <w:p w:rsidR="004E1510" w:rsidRPr="003B7063" w:rsidRDefault="004E1510" w:rsidP="009C52E3">
      <w:pPr>
        <w:numPr>
          <w:ilvl w:val="1"/>
          <w:numId w:val="29"/>
        </w:numPr>
        <w:spacing w:after="120"/>
        <w:ind w:left="1434" w:hanging="357"/>
        <w:rPr>
          <w:rFonts w:cs="Arial"/>
        </w:rPr>
      </w:pPr>
      <w:r w:rsidRPr="004E1510">
        <w:rPr>
          <w:rFonts w:cs="Calibri"/>
        </w:rPr>
        <w:t xml:space="preserve">requiring the </w:t>
      </w:r>
      <w:r w:rsidRPr="003B7063">
        <w:rPr>
          <w:rFonts w:cs="Arial"/>
        </w:rPr>
        <w:t xml:space="preserve">Planning Minister to report annually on the </w:t>
      </w:r>
      <w:proofErr w:type="spellStart"/>
      <w:r w:rsidRPr="003B7063">
        <w:rPr>
          <w:rFonts w:cs="Arial"/>
        </w:rPr>
        <w:t>EIA</w:t>
      </w:r>
      <w:proofErr w:type="spellEnd"/>
      <w:r w:rsidRPr="003B7063">
        <w:rPr>
          <w:rFonts w:cs="Arial"/>
        </w:rPr>
        <w:t xml:space="preserve"> system (trends, statistics, impacts and accuracy of predictions);</w:t>
      </w:r>
    </w:p>
    <w:p w:rsidR="004E1510" w:rsidRPr="003B7063" w:rsidRDefault="004E1510" w:rsidP="009C52E3">
      <w:pPr>
        <w:numPr>
          <w:ilvl w:val="0"/>
          <w:numId w:val="29"/>
        </w:numPr>
        <w:spacing w:after="120"/>
        <w:ind w:left="714" w:hanging="357"/>
        <w:rPr>
          <w:rFonts w:cs="Arial"/>
        </w:rPr>
      </w:pPr>
      <w:r w:rsidRPr="003B7063">
        <w:rPr>
          <w:rFonts w:cs="Arial"/>
        </w:rPr>
        <w:t xml:space="preserve">expand </w:t>
      </w:r>
      <w:proofErr w:type="spellStart"/>
      <w:r w:rsidRPr="003B7063">
        <w:rPr>
          <w:rFonts w:cs="Arial"/>
        </w:rPr>
        <w:t>EIA</w:t>
      </w:r>
      <w:proofErr w:type="spellEnd"/>
      <w:r w:rsidRPr="003B7063">
        <w:rPr>
          <w:rFonts w:cs="Arial"/>
        </w:rPr>
        <w:t xml:space="preserve"> provisions to require assessment of the cumulative impacts of multiple projects, the potential impacts of feasible alternatives, and climate change impacts (including mitigation and adaptation requirements); </w:t>
      </w:r>
    </w:p>
    <w:p w:rsidR="004E1510" w:rsidRPr="003B7063" w:rsidRDefault="004E1510" w:rsidP="009C52E3">
      <w:pPr>
        <w:pStyle w:val="ListParagraph"/>
        <w:numPr>
          <w:ilvl w:val="0"/>
          <w:numId w:val="29"/>
        </w:numPr>
        <w:spacing w:after="0" w:line="240" w:lineRule="auto"/>
        <w:ind w:left="714" w:hanging="357"/>
        <w:contextualSpacing w:val="0"/>
        <w:jc w:val="both"/>
        <w:rPr>
          <w:rFonts w:ascii="Arial" w:hAnsi="Arial" w:cs="Arial"/>
        </w:rPr>
      </w:pPr>
      <w:r w:rsidRPr="003B7063">
        <w:rPr>
          <w:rFonts w:ascii="Arial" w:hAnsi="Arial" w:cs="Arial"/>
        </w:rPr>
        <w:t>strengthen penalties for providing inaccurate information beyond false and misleading statements – to include negligent or reckless inaccuracies; and</w:t>
      </w:r>
    </w:p>
    <w:p w:rsidR="004E1510" w:rsidRPr="004E1510" w:rsidRDefault="004E1510" w:rsidP="009C52E3">
      <w:pPr>
        <w:numPr>
          <w:ilvl w:val="0"/>
          <w:numId w:val="29"/>
        </w:numPr>
        <w:rPr>
          <w:rFonts w:cs="Calibri"/>
        </w:rPr>
      </w:pPr>
      <w:r w:rsidRPr="004E1510">
        <w:rPr>
          <w:rFonts w:cs="Calibri"/>
        </w:rPr>
        <w:lastRenderedPageBreak/>
        <w:t>link in best practice assessment with comprehensive baseline data and current environmental accounts, with resource and time allowances to address data gaps.</w:t>
      </w:r>
    </w:p>
    <w:p w:rsidR="004E1510" w:rsidRPr="004E1510" w:rsidRDefault="004E1510" w:rsidP="004E1510">
      <w:pPr>
        <w:jc w:val="both"/>
        <w:rPr>
          <w:rFonts w:cs="Calibri"/>
          <w:color w:val="221E1F"/>
          <w:sz w:val="24"/>
        </w:rPr>
      </w:pPr>
    </w:p>
    <w:p w:rsidR="004E1510" w:rsidRPr="004E1510" w:rsidRDefault="004E1510" w:rsidP="004E1510">
      <w:pPr>
        <w:jc w:val="both"/>
        <w:rPr>
          <w:rFonts w:cs="Calibri"/>
          <w:color w:val="221E1F"/>
        </w:rPr>
      </w:pPr>
      <w:r w:rsidRPr="004E1510">
        <w:rPr>
          <w:rFonts w:cs="Calibri"/>
          <w:color w:val="221E1F"/>
        </w:rPr>
        <w:t xml:space="preserve">For more detailed information on improving </w:t>
      </w:r>
      <w:proofErr w:type="spellStart"/>
      <w:r w:rsidRPr="004E1510">
        <w:rPr>
          <w:rFonts w:cs="Calibri"/>
          <w:color w:val="221E1F"/>
        </w:rPr>
        <w:t>EIA</w:t>
      </w:r>
      <w:proofErr w:type="spellEnd"/>
      <w:r w:rsidRPr="004E1510">
        <w:rPr>
          <w:rFonts w:cs="Calibri"/>
          <w:color w:val="221E1F"/>
        </w:rPr>
        <w:t>, including a range of system-wide co</w:t>
      </w:r>
      <w:r w:rsidRPr="004E1510">
        <w:rPr>
          <w:rFonts w:cs="Calibri"/>
          <w:color w:val="221E1F"/>
        </w:rPr>
        <w:noBreakHyphen/>
        <w:t>benefits, please refer to Part 1 of our previous joint submission (March 2012).</w:t>
      </w:r>
      <w:r w:rsidRPr="004E1510">
        <w:rPr>
          <w:rStyle w:val="FootnoteReference"/>
          <w:rFonts w:cs="Calibri"/>
          <w:color w:val="221E1F"/>
        </w:rPr>
        <w:footnoteReference w:id="194"/>
      </w:r>
    </w:p>
    <w:p w:rsidR="004E1510" w:rsidRDefault="004E1510" w:rsidP="004E1510">
      <w:pPr>
        <w:pStyle w:val="ListParagraph"/>
        <w:ind w:left="0"/>
        <w:rPr>
          <w:rFonts w:ascii="Arial" w:hAnsi="Arial" w:cs="Arial"/>
        </w:rPr>
      </w:pPr>
    </w:p>
    <w:p w:rsidR="008A18C4" w:rsidRPr="00120066" w:rsidRDefault="008A18C4" w:rsidP="009C52E3">
      <w:pPr>
        <w:pStyle w:val="Heading2"/>
        <w:numPr>
          <w:ilvl w:val="0"/>
          <w:numId w:val="30"/>
        </w:numPr>
      </w:pPr>
      <w:bookmarkStart w:id="105" w:name="_Toc335137781"/>
      <w:bookmarkStart w:id="106" w:name="_Toc350780876"/>
      <w:bookmarkStart w:id="107" w:name="_Toc351985928"/>
      <w:bookmarkStart w:id="108" w:name="_Toc349832068"/>
      <w:bookmarkStart w:id="109" w:name="_Toc349913794"/>
      <w:bookmarkStart w:id="110" w:name="_Toc350251432"/>
      <w:bookmarkStart w:id="111" w:name="_Toc350412763"/>
      <w:r w:rsidRPr="007B4AD8">
        <w:t>Equitable third party review and appeal rights: for accountable decisions</w:t>
      </w:r>
      <w:bookmarkEnd w:id="105"/>
      <w:bookmarkEnd w:id="106"/>
      <w:bookmarkEnd w:id="107"/>
      <w:r w:rsidRPr="00120066">
        <w:t xml:space="preserve"> </w:t>
      </w:r>
      <w:bookmarkEnd w:id="108"/>
      <w:bookmarkEnd w:id="109"/>
      <w:bookmarkEnd w:id="110"/>
      <w:bookmarkEnd w:id="111"/>
    </w:p>
    <w:p w:rsidR="008A18C4" w:rsidRPr="00431FB7" w:rsidRDefault="008A18C4" w:rsidP="008A18C4">
      <w:pPr>
        <w:rPr>
          <w:rFonts w:cs="Arial"/>
        </w:rPr>
      </w:pPr>
      <w:r w:rsidRPr="00431FB7">
        <w:rPr>
          <w:rFonts w:cs="Arial"/>
        </w:rPr>
        <w:t xml:space="preserve">Appeal rights are a fundamental access to justice issue, and a source of community mistrust in the current system, as </w:t>
      </w:r>
      <w:proofErr w:type="spellStart"/>
      <w:r w:rsidRPr="00431FB7">
        <w:rPr>
          <w:rFonts w:cs="Arial"/>
        </w:rPr>
        <w:t>ICAC</w:t>
      </w:r>
      <w:proofErr w:type="spellEnd"/>
      <w:r w:rsidRPr="00431FB7">
        <w:rPr>
          <w:rFonts w:cs="Arial"/>
        </w:rPr>
        <w:t xml:space="preserve"> explains.</w:t>
      </w:r>
      <w:r w:rsidRPr="00431FB7">
        <w:rPr>
          <w:rStyle w:val="FootnoteReference"/>
          <w:rFonts w:cs="Arial"/>
        </w:rPr>
        <w:footnoteReference w:id="195"/>
      </w:r>
      <w:r w:rsidRPr="00431FB7">
        <w:rPr>
          <w:rFonts w:cs="Arial"/>
        </w:rPr>
        <w:t xml:space="preserve"> The Green Paper’s only reference to appeal rights is that ‘It is proposed that existing appeal rights under the Act be retained.’</w:t>
      </w:r>
      <w:r w:rsidRPr="00431FB7">
        <w:rPr>
          <w:rStyle w:val="FootnoteReference"/>
          <w:rFonts w:cs="Arial"/>
        </w:rPr>
        <w:footnoteReference w:id="196"/>
      </w:r>
      <w:r w:rsidRPr="00431FB7">
        <w:rPr>
          <w:rFonts w:cs="Arial"/>
        </w:rPr>
        <w:t xml:space="preserve"> We welcome this statement and look forward to further detail in the White Paper.</w:t>
      </w:r>
    </w:p>
    <w:p w:rsidR="008A18C4" w:rsidRPr="00431FB7" w:rsidRDefault="008A18C4" w:rsidP="008A18C4">
      <w:pPr>
        <w:rPr>
          <w:rFonts w:cs="Arial"/>
        </w:rPr>
      </w:pPr>
    </w:p>
    <w:p w:rsidR="008A18C4" w:rsidRPr="00431FB7" w:rsidRDefault="008A18C4" w:rsidP="00120066">
      <w:pPr>
        <w:spacing w:after="120"/>
        <w:rPr>
          <w:rFonts w:cs="Arial"/>
        </w:rPr>
      </w:pPr>
      <w:r w:rsidRPr="00431FB7">
        <w:rPr>
          <w:rFonts w:cs="Arial"/>
        </w:rPr>
        <w:t>As outlined comprehensively in previous submissions,</w:t>
      </w:r>
      <w:r w:rsidRPr="00431FB7">
        <w:rPr>
          <w:rStyle w:val="FootnoteReference"/>
          <w:rFonts w:cs="Arial"/>
        </w:rPr>
        <w:footnoteReference w:id="197"/>
      </w:r>
      <w:r w:rsidRPr="00431FB7">
        <w:rPr>
          <w:rFonts w:cs="Arial"/>
        </w:rPr>
        <w:t xml:space="preserve"> the new planning system should:</w:t>
      </w:r>
    </w:p>
    <w:p w:rsidR="008A18C4" w:rsidRPr="00431FB7" w:rsidRDefault="008A18C4" w:rsidP="00437F5D">
      <w:pPr>
        <w:pStyle w:val="ListParagraph"/>
        <w:widowControl w:val="0"/>
        <w:numPr>
          <w:ilvl w:val="0"/>
          <w:numId w:val="14"/>
        </w:numPr>
        <w:spacing w:after="0" w:line="240" w:lineRule="auto"/>
        <w:jc w:val="both"/>
        <w:rPr>
          <w:rFonts w:ascii="Arial" w:hAnsi="Arial" w:cs="Arial"/>
        </w:rPr>
      </w:pPr>
      <w:r w:rsidRPr="00431FB7">
        <w:rPr>
          <w:rFonts w:ascii="Arial" w:hAnsi="Arial" w:cs="Arial"/>
        </w:rPr>
        <w:t xml:space="preserve">ensure more equitable appeal rights for certain ordinary (non-‘designated’) development, especially where development controls are exceeded; </w:t>
      </w:r>
    </w:p>
    <w:p w:rsidR="008A18C4" w:rsidRPr="00431FB7" w:rsidRDefault="008A18C4" w:rsidP="00437F5D">
      <w:pPr>
        <w:pStyle w:val="ListParagraph"/>
        <w:widowControl w:val="0"/>
        <w:numPr>
          <w:ilvl w:val="0"/>
          <w:numId w:val="14"/>
        </w:numPr>
        <w:spacing w:after="0" w:line="240" w:lineRule="auto"/>
        <w:jc w:val="both"/>
        <w:rPr>
          <w:rFonts w:ascii="Arial" w:hAnsi="Arial" w:cs="Arial"/>
        </w:rPr>
      </w:pPr>
      <w:r w:rsidRPr="00431FB7">
        <w:rPr>
          <w:rFonts w:ascii="Arial" w:hAnsi="Arial" w:cs="Arial"/>
          <w:bCs/>
        </w:rPr>
        <w:t xml:space="preserve">expand third party merits appeal categories to reduce corruption risks and improve decision making (as per </w:t>
      </w:r>
      <w:proofErr w:type="spellStart"/>
      <w:r w:rsidRPr="00431FB7">
        <w:rPr>
          <w:rFonts w:ascii="Arial" w:hAnsi="Arial" w:cs="Arial"/>
          <w:bCs/>
        </w:rPr>
        <w:t>ICAC’s</w:t>
      </w:r>
      <w:proofErr w:type="spellEnd"/>
      <w:r w:rsidRPr="00431FB7">
        <w:rPr>
          <w:rFonts w:ascii="Arial" w:hAnsi="Arial" w:cs="Arial"/>
          <w:bCs/>
        </w:rPr>
        <w:t xml:space="preserve"> recommendations);</w:t>
      </w:r>
    </w:p>
    <w:p w:rsidR="008A18C4" w:rsidRPr="00431FB7" w:rsidRDefault="008A18C4" w:rsidP="00437F5D">
      <w:pPr>
        <w:pStyle w:val="ListParagraph"/>
        <w:widowControl w:val="0"/>
        <w:numPr>
          <w:ilvl w:val="0"/>
          <w:numId w:val="14"/>
        </w:numPr>
        <w:spacing w:after="0" w:line="240" w:lineRule="auto"/>
        <w:jc w:val="both"/>
        <w:rPr>
          <w:rFonts w:ascii="Arial" w:hAnsi="Arial" w:cs="Arial"/>
        </w:rPr>
      </w:pPr>
      <w:r w:rsidRPr="00431FB7">
        <w:rPr>
          <w:rFonts w:ascii="Arial" w:hAnsi="Arial" w:cs="Arial"/>
        </w:rPr>
        <w:t xml:space="preserve">expand appeal rights in relation to major projects, as the greatest impacts deserve the greatest scrutiny; </w:t>
      </w:r>
    </w:p>
    <w:p w:rsidR="008A18C4" w:rsidRPr="00431FB7" w:rsidRDefault="008A18C4" w:rsidP="00437F5D">
      <w:pPr>
        <w:pStyle w:val="ListParagraph"/>
        <w:widowControl w:val="0"/>
        <w:numPr>
          <w:ilvl w:val="0"/>
          <w:numId w:val="14"/>
        </w:numPr>
        <w:spacing w:after="0" w:line="240" w:lineRule="auto"/>
        <w:jc w:val="both"/>
        <w:rPr>
          <w:rFonts w:ascii="Arial" w:hAnsi="Arial" w:cs="Arial"/>
        </w:rPr>
      </w:pPr>
      <w:r w:rsidRPr="00431FB7">
        <w:rPr>
          <w:rFonts w:ascii="Arial" w:hAnsi="Arial" w:cs="Arial"/>
        </w:rPr>
        <w:t xml:space="preserve">ensure mandatory consultation on </w:t>
      </w:r>
      <w:proofErr w:type="spellStart"/>
      <w:r w:rsidRPr="00431FB7">
        <w:rPr>
          <w:rFonts w:ascii="Arial" w:hAnsi="Arial" w:cs="Arial"/>
        </w:rPr>
        <w:t>LEPs</w:t>
      </w:r>
      <w:proofErr w:type="spellEnd"/>
      <w:r w:rsidRPr="00431FB7">
        <w:rPr>
          <w:rFonts w:ascii="Arial" w:hAnsi="Arial" w:cs="Arial"/>
        </w:rPr>
        <w:t xml:space="preserve"> and rezoning rather than merits appeal rights; </w:t>
      </w:r>
    </w:p>
    <w:p w:rsidR="008A18C4" w:rsidRPr="00431FB7" w:rsidRDefault="008A18C4" w:rsidP="00437F5D">
      <w:pPr>
        <w:pStyle w:val="ListParagraph"/>
        <w:widowControl w:val="0"/>
        <w:numPr>
          <w:ilvl w:val="0"/>
          <w:numId w:val="14"/>
        </w:numPr>
        <w:spacing w:after="0" w:line="240" w:lineRule="auto"/>
        <w:jc w:val="both"/>
        <w:rPr>
          <w:rFonts w:ascii="Arial" w:hAnsi="Arial" w:cs="Arial"/>
        </w:rPr>
      </w:pPr>
      <w:r w:rsidRPr="00431FB7">
        <w:rPr>
          <w:rFonts w:ascii="Arial" w:hAnsi="Arial" w:cs="Arial"/>
        </w:rPr>
        <w:t xml:space="preserve">provide more equitable time periods for objectors to bring merits appeals; and </w:t>
      </w:r>
    </w:p>
    <w:p w:rsidR="008A18C4" w:rsidRPr="00431FB7" w:rsidRDefault="008A18C4" w:rsidP="00437F5D">
      <w:pPr>
        <w:pStyle w:val="ListParagraph"/>
        <w:widowControl w:val="0"/>
        <w:numPr>
          <w:ilvl w:val="0"/>
          <w:numId w:val="14"/>
        </w:numPr>
        <w:spacing w:after="0" w:line="240" w:lineRule="auto"/>
        <w:ind w:left="714" w:hanging="357"/>
        <w:contextualSpacing w:val="0"/>
        <w:jc w:val="both"/>
        <w:rPr>
          <w:rFonts w:ascii="Arial" w:hAnsi="Arial" w:cs="Arial"/>
        </w:rPr>
      </w:pPr>
      <w:r w:rsidRPr="00431FB7">
        <w:rPr>
          <w:rFonts w:ascii="Arial" w:hAnsi="Arial" w:cs="Arial"/>
        </w:rPr>
        <w:t>substantially increase third party participation in conciliation and related processes.</w:t>
      </w:r>
    </w:p>
    <w:p w:rsidR="008A18C4" w:rsidRPr="00431FB7" w:rsidRDefault="008A18C4" w:rsidP="008A18C4">
      <w:pPr>
        <w:rPr>
          <w:rFonts w:cs="Arial"/>
        </w:rPr>
      </w:pPr>
    </w:p>
    <w:p w:rsidR="008A18C4" w:rsidRPr="00431FB7" w:rsidRDefault="008A18C4" w:rsidP="008A18C4">
      <w:pPr>
        <w:rPr>
          <w:rFonts w:cs="Arial"/>
        </w:rPr>
      </w:pPr>
      <w:r w:rsidRPr="00431FB7">
        <w:rPr>
          <w:rFonts w:cs="Arial"/>
        </w:rPr>
        <w:t xml:space="preserve">As discussed above, we oppose rights for developers to apply for spot rezoning and new rights of review if rezoning applications are refused, given the new emphasis on upfront strategic planning. As noted, the Green Paper proposes these rights in addition to allowing greater flexibility of development standards. </w:t>
      </w:r>
    </w:p>
    <w:p w:rsidR="008A18C4" w:rsidRPr="00431FB7" w:rsidRDefault="008A18C4" w:rsidP="008A18C4">
      <w:pPr>
        <w:rPr>
          <w:rFonts w:cs="Arial"/>
        </w:rPr>
      </w:pPr>
    </w:p>
    <w:p w:rsidR="008A18C4" w:rsidRPr="00431FB7" w:rsidRDefault="008A18C4" w:rsidP="008A18C4">
      <w:pPr>
        <w:rPr>
          <w:rFonts w:cs="Arial"/>
        </w:rPr>
      </w:pPr>
      <w:r w:rsidRPr="00431FB7">
        <w:rPr>
          <w:rFonts w:cs="Arial"/>
        </w:rPr>
        <w:t xml:space="preserve">In proposing more flexible development standards, the Green Paper does not indicate a position on appeal rights for third party objectors. In such circumstances, appeal rights to challenge ‘exceeding’ proposals would be an essential safeguard to community rights. Both the Independent Review Panel and the </w:t>
      </w:r>
      <w:proofErr w:type="spellStart"/>
      <w:r w:rsidRPr="00431FB7">
        <w:rPr>
          <w:rFonts w:cs="Arial"/>
        </w:rPr>
        <w:t>ICAC</w:t>
      </w:r>
      <w:proofErr w:type="spellEnd"/>
      <w:r w:rsidRPr="00431FB7">
        <w:rPr>
          <w:rFonts w:cs="Arial"/>
        </w:rPr>
        <w:t xml:space="preserve"> have supported third party appeal rights in this regard. For example, it is critical that merit reviews of state significant development are not precluded by review hearings.</w:t>
      </w:r>
    </w:p>
    <w:p w:rsidR="008A18C4" w:rsidRPr="00431FB7" w:rsidRDefault="008A18C4" w:rsidP="008A18C4">
      <w:pPr>
        <w:rPr>
          <w:rFonts w:cs="Arial"/>
        </w:rPr>
      </w:pPr>
    </w:p>
    <w:p w:rsidR="008A18C4" w:rsidRPr="00431FB7" w:rsidRDefault="008A18C4" w:rsidP="00120066">
      <w:pPr>
        <w:spacing w:after="120"/>
        <w:rPr>
          <w:rFonts w:cs="Arial"/>
        </w:rPr>
      </w:pPr>
      <w:r w:rsidRPr="00431FB7">
        <w:rPr>
          <w:rFonts w:cs="Arial"/>
        </w:rPr>
        <w:t>The Independent Review Panel recommended that objectors should have (</w:t>
      </w:r>
      <w:proofErr w:type="spellStart"/>
      <w:r w:rsidRPr="00431FB7">
        <w:rPr>
          <w:rFonts w:cs="Arial"/>
        </w:rPr>
        <w:t>notifiable</w:t>
      </w:r>
      <w:proofErr w:type="spellEnd"/>
      <w:r w:rsidRPr="00431FB7">
        <w:rPr>
          <w:rFonts w:cs="Arial"/>
        </w:rPr>
        <w:t xml:space="preserve">) merit appeal rights where they are directly affected by a project that exceeds local </w:t>
      </w:r>
      <w:r w:rsidRPr="00431FB7">
        <w:rPr>
          <w:rFonts w:cs="Arial"/>
        </w:rPr>
        <w:lastRenderedPageBreak/>
        <w:t>standards.</w:t>
      </w:r>
      <w:r w:rsidRPr="00431FB7">
        <w:rPr>
          <w:rStyle w:val="FootnoteReference"/>
          <w:rFonts w:cs="Arial"/>
        </w:rPr>
        <w:footnoteReference w:id="198"/>
      </w:r>
      <w:r w:rsidRPr="00431FB7">
        <w:rPr>
          <w:rFonts w:cs="Arial"/>
        </w:rPr>
        <w:t xml:space="preserve"> Similarly, </w:t>
      </w:r>
      <w:proofErr w:type="spellStart"/>
      <w:r w:rsidRPr="00431FB7">
        <w:rPr>
          <w:rFonts w:cs="Arial"/>
        </w:rPr>
        <w:t>ICAC</w:t>
      </w:r>
      <w:proofErr w:type="spellEnd"/>
      <w:r w:rsidRPr="00431FB7">
        <w:rPr>
          <w:rFonts w:cs="Arial"/>
        </w:rPr>
        <w:t xml:space="preserve"> (2012) has suggested that additional third party merits appeal rights should apply to certain categories of private sector developme</w:t>
      </w:r>
      <w:r w:rsidR="00120066">
        <w:rPr>
          <w:rFonts w:cs="Arial"/>
        </w:rPr>
        <w:t>nt, including development that:</w:t>
      </w:r>
    </w:p>
    <w:p w:rsidR="008A18C4" w:rsidRPr="00431FB7" w:rsidRDefault="008A18C4" w:rsidP="00437F5D">
      <w:pPr>
        <w:widowControl w:val="0"/>
        <w:numPr>
          <w:ilvl w:val="0"/>
          <w:numId w:val="13"/>
        </w:numPr>
        <w:ind w:left="714" w:hanging="357"/>
        <w:rPr>
          <w:rFonts w:cs="Arial"/>
        </w:rPr>
      </w:pPr>
      <w:r w:rsidRPr="00431FB7">
        <w:rPr>
          <w:rFonts w:cs="Arial"/>
        </w:rPr>
        <w:t>is significant and controversial (for example, large residential flat developments);</w:t>
      </w:r>
    </w:p>
    <w:p w:rsidR="008A18C4" w:rsidRPr="00431FB7" w:rsidRDefault="008A18C4" w:rsidP="00437F5D">
      <w:pPr>
        <w:widowControl w:val="0"/>
        <w:numPr>
          <w:ilvl w:val="0"/>
          <w:numId w:val="13"/>
        </w:numPr>
        <w:ind w:left="714" w:hanging="357"/>
        <w:rPr>
          <w:rFonts w:cs="Arial"/>
        </w:rPr>
      </w:pPr>
      <w:r w:rsidRPr="00431FB7">
        <w:rPr>
          <w:rFonts w:cs="Arial"/>
        </w:rPr>
        <w:t>represents a significant departure from existing development standards; and</w:t>
      </w:r>
    </w:p>
    <w:p w:rsidR="008A18C4" w:rsidRPr="00431FB7" w:rsidRDefault="008A18C4" w:rsidP="00437F5D">
      <w:pPr>
        <w:widowControl w:val="0"/>
        <w:numPr>
          <w:ilvl w:val="0"/>
          <w:numId w:val="13"/>
        </w:numPr>
        <w:rPr>
          <w:rFonts w:cs="Arial"/>
        </w:rPr>
      </w:pPr>
      <w:r w:rsidRPr="00431FB7">
        <w:rPr>
          <w:rFonts w:cs="Arial"/>
        </w:rPr>
        <w:t>is the subject of voluntary planning agreements.</w:t>
      </w:r>
      <w:r w:rsidRPr="00431FB7">
        <w:rPr>
          <w:rStyle w:val="FootnoteReference"/>
          <w:rFonts w:cs="Arial"/>
        </w:rPr>
        <w:footnoteReference w:id="199"/>
      </w:r>
    </w:p>
    <w:p w:rsidR="008A18C4" w:rsidRPr="00431FB7" w:rsidRDefault="008A18C4" w:rsidP="008A18C4">
      <w:pPr>
        <w:widowControl w:val="0"/>
        <w:rPr>
          <w:rFonts w:cs="Arial"/>
        </w:rPr>
      </w:pPr>
    </w:p>
    <w:p w:rsidR="008A18C4" w:rsidRPr="00431FB7" w:rsidRDefault="008A18C4" w:rsidP="008A18C4">
      <w:pPr>
        <w:rPr>
          <w:rFonts w:cs="Arial"/>
        </w:rPr>
      </w:pPr>
      <w:r w:rsidRPr="00431FB7">
        <w:rPr>
          <w:rFonts w:cs="Arial"/>
        </w:rPr>
        <w:t xml:space="preserve">We strongly emphasise the need to retain existing third party merits appeal rights for the community, and improve these rights to be on a more equitable footing with developers. As extensively documented, third party review rights clearly do </w:t>
      </w:r>
      <w:r w:rsidRPr="00431FB7">
        <w:rPr>
          <w:rFonts w:cs="Arial"/>
          <w:i/>
        </w:rPr>
        <w:t>not</w:t>
      </w:r>
      <w:r w:rsidRPr="00431FB7">
        <w:rPr>
          <w:rFonts w:cs="Arial"/>
        </w:rPr>
        <w:t xml:space="preserve"> result in a deluge of unmeritorious cases coming before the court. While appeal rights on either side are exercised in very few cases,</w:t>
      </w:r>
      <w:r w:rsidRPr="00431FB7">
        <w:rPr>
          <w:rStyle w:val="FootnoteReference"/>
          <w:rFonts w:cs="Arial"/>
        </w:rPr>
        <w:footnoteReference w:id="200"/>
      </w:r>
      <w:r w:rsidRPr="00431FB7">
        <w:rPr>
          <w:rFonts w:cs="Arial"/>
        </w:rPr>
        <w:t xml:space="preserve"> developer appeals make up the vast majority of merit appeals to the </w:t>
      </w:r>
      <w:proofErr w:type="spellStart"/>
      <w:r w:rsidRPr="00431FB7">
        <w:rPr>
          <w:rFonts w:cs="Arial"/>
        </w:rPr>
        <w:t>LEC</w:t>
      </w:r>
      <w:proofErr w:type="spellEnd"/>
      <w:r w:rsidRPr="00431FB7">
        <w:rPr>
          <w:rFonts w:cs="Arial"/>
        </w:rPr>
        <w:t>. In 2010-11, there were 378 developer appeals and only four objector appeals.</w:t>
      </w:r>
      <w:r w:rsidRPr="00431FB7">
        <w:rPr>
          <w:rStyle w:val="FootnoteReference"/>
          <w:rFonts w:cs="Arial"/>
        </w:rPr>
        <w:footnoteReference w:id="201"/>
      </w:r>
      <w:r w:rsidRPr="00431FB7">
        <w:rPr>
          <w:rFonts w:cs="Arial"/>
        </w:rPr>
        <w:t xml:space="preserve"> In other words, less than 1% of development determinations are appealed overall, and only 1% </w:t>
      </w:r>
      <w:r w:rsidRPr="00431FB7">
        <w:rPr>
          <w:rFonts w:cs="Arial"/>
          <w:i/>
        </w:rPr>
        <w:t>of these appeals</w:t>
      </w:r>
      <w:r w:rsidRPr="00431FB7">
        <w:rPr>
          <w:rFonts w:cs="Arial"/>
        </w:rPr>
        <w:t xml:space="preserve"> are made by objectors. This in part reflects the additional resources available to developers, but also reflects the imbalance of when merit appeal rights are available.</w:t>
      </w:r>
      <w:r w:rsidRPr="00431FB7">
        <w:rPr>
          <w:rStyle w:val="FootnoteReference"/>
          <w:rFonts w:cs="Arial"/>
        </w:rPr>
        <w:footnoteReference w:id="202"/>
      </w:r>
      <w:r w:rsidRPr="00431FB7">
        <w:rPr>
          <w:rFonts w:cs="Arial"/>
        </w:rPr>
        <w:t xml:space="preserve"> </w:t>
      </w:r>
    </w:p>
    <w:p w:rsidR="008A18C4" w:rsidRPr="00431FB7" w:rsidRDefault="008A18C4" w:rsidP="008A18C4">
      <w:pPr>
        <w:rPr>
          <w:rFonts w:cs="Arial"/>
        </w:rPr>
      </w:pPr>
    </w:p>
    <w:p w:rsidR="008A18C4" w:rsidRPr="00431FB7" w:rsidRDefault="008A18C4" w:rsidP="008A18C4">
      <w:pPr>
        <w:rPr>
          <w:rFonts w:cs="Arial"/>
        </w:rPr>
      </w:pPr>
      <w:r w:rsidRPr="00431FB7">
        <w:rPr>
          <w:rFonts w:cs="Arial"/>
        </w:rPr>
        <w:t>Finally, we welcome the Independent Review Panel’s support for ‘open standing’ for civil enforcement proceedings.</w:t>
      </w:r>
      <w:r w:rsidRPr="00431FB7">
        <w:rPr>
          <w:rStyle w:val="FootnoteReference"/>
          <w:rFonts w:cs="Arial"/>
        </w:rPr>
        <w:footnoteReference w:id="203"/>
      </w:r>
      <w:r w:rsidRPr="00431FB7">
        <w:rPr>
          <w:rFonts w:cs="Arial"/>
        </w:rPr>
        <w:t xml:space="preserve"> We strongly recommend this be supported in the White Paper and expressly provided for in the new Act.</w:t>
      </w:r>
    </w:p>
    <w:p w:rsidR="00120066" w:rsidRPr="00F3241E" w:rsidRDefault="00120066" w:rsidP="008A18C4"/>
    <w:p w:rsidR="008A18C4" w:rsidRPr="00120066" w:rsidRDefault="008A18C4" w:rsidP="009C52E3">
      <w:pPr>
        <w:pStyle w:val="Heading2"/>
        <w:numPr>
          <w:ilvl w:val="0"/>
          <w:numId w:val="30"/>
        </w:numPr>
      </w:pPr>
      <w:bookmarkStart w:id="112" w:name="_Toc335137782"/>
      <w:bookmarkStart w:id="113" w:name="_Toc350780877"/>
      <w:bookmarkStart w:id="114" w:name="_Toc351985929"/>
      <w:bookmarkStart w:id="115" w:name="_Toc349832069"/>
      <w:bookmarkStart w:id="116" w:name="_Toc349913795"/>
      <w:bookmarkStart w:id="117" w:name="_Toc350251433"/>
      <w:bookmarkStart w:id="118" w:name="_Toc350412764"/>
      <w:r w:rsidRPr="007B4AD8">
        <w:t>Fast-tracking ‘environmentally friendly’ development for the mainstream</w:t>
      </w:r>
      <w:bookmarkEnd w:id="112"/>
      <w:bookmarkEnd w:id="113"/>
      <w:bookmarkEnd w:id="114"/>
      <w:r w:rsidRPr="00120066">
        <w:t xml:space="preserve"> </w:t>
      </w:r>
      <w:bookmarkEnd w:id="115"/>
      <w:bookmarkEnd w:id="116"/>
      <w:bookmarkEnd w:id="117"/>
      <w:bookmarkEnd w:id="118"/>
    </w:p>
    <w:p w:rsidR="008A18C4" w:rsidRPr="00F3241E" w:rsidRDefault="008A18C4" w:rsidP="008A18C4">
      <w:pPr>
        <w:rPr>
          <w:rFonts w:cs="Arial"/>
        </w:rPr>
      </w:pPr>
      <w:r w:rsidRPr="00F3241E">
        <w:rPr>
          <w:rFonts w:cs="Arial"/>
        </w:rPr>
        <w:t xml:space="preserve">The new </w:t>
      </w:r>
      <w:r w:rsidRPr="00F3241E">
        <w:rPr>
          <w:rFonts w:cs="Arial"/>
          <w:i/>
        </w:rPr>
        <w:t>Sustainable Planning Act</w:t>
      </w:r>
      <w:r w:rsidRPr="00F3241E">
        <w:rPr>
          <w:rFonts w:cs="Arial"/>
        </w:rPr>
        <w:t xml:space="preserve"> should adopt processes and standards that facilitate, encourage and reward green innovation.</w:t>
      </w:r>
      <w:r w:rsidRPr="00F3241E">
        <w:rPr>
          <w:rStyle w:val="FootnoteReference"/>
          <w:rFonts w:cs="Arial"/>
        </w:rPr>
        <w:footnoteReference w:id="204"/>
      </w:r>
      <w:r w:rsidRPr="00F3241E">
        <w:rPr>
          <w:rFonts w:cs="Arial"/>
        </w:rPr>
        <w:t xml:space="preserve">  Queensland’s ‘Green Door’ policy (2011) is one such positive initiative, although one designed to mesh with an existing planning </w:t>
      </w:r>
      <w:r w:rsidRPr="00F3241E">
        <w:rPr>
          <w:rFonts w:cs="Arial"/>
        </w:rPr>
        <w:lastRenderedPageBreak/>
        <w:t>system.</w:t>
      </w:r>
      <w:r w:rsidRPr="00F3241E">
        <w:rPr>
          <w:rStyle w:val="FootnoteReference"/>
          <w:rFonts w:cs="Arial"/>
        </w:rPr>
        <w:footnoteReference w:id="205"/>
      </w:r>
      <w:r w:rsidRPr="00F3241E">
        <w:rPr>
          <w:rFonts w:cs="Arial"/>
        </w:rPr>
        <w:t xml:space="preserve">  With the opportunity to build a new planning system, NSW should aim to go further, and ‘make NSW number 1’ in sustainability.</w:t>
      </w:r>
    </w:p>
    <w:p w:rsidR="008A18C4" w:rsidRPr="00F3241E" w:rsidRDefault="008A18C4" w:rsidP="008A18C4">
      <w:pPr>
        <w:rPr>
          <w:rFonts w:cs="Arial"/>
        </w:rPr>
      </w:pPr>
    </w:p>
    <w:p w:rsidR="008A18C4" w:rsidRPr="00F3241E" w:rsidRDefault="008A18C4" w:rsidP="008A18C4">
      <w:pPr>
        <w:rPr>
          <w:rFonts w:cs="Arial"/>
        </w:rPr>
      </w:pPr>
      <w:r w:rsidRPr="00F3241E">
        <w:rPr>
          <w:rFonts w:cs="Arial"/>
        </w:rPr>
        <w:t>There is growing industry awareness that sustainable development needs to become the mainstream.</w:t>
      </w:r>
      <w:r w:rsidRPr="00F3241E">
        <w:rPr>
          <w:rStyle w:val="FootnoteReference"/>
          <w:rFonts w:cs="Arial"/>
        </w:rPr>
        <w:footnoteReference w:id="206"/>
      </w:r>
      <w:r w:rsidRPr="00F3241E">
        <w:rPr>
          <w:rFonts w:cs="Arial"/>
        </w:rPr>
        <w:t xml:space="preserve"> However, in recent years, governments of all persuasions have focused on the idea of ‘cutting red tape’ as a means of fast-tracking development and economic productivity.</w:t>
      </w:r>
      <w:r w:rsidRPr="00F3241E">
        <w:rPr>
          <w:rStyle w:val="FootnoteReference"/>
          <w:rFonts w:cs="Arial"/>
        </w:rPr>
        <w:footnoteReference w:id="207"/>
      </w:r>
      <w:r w:rsidRPr="00F3241E">
        <w:rPr>
          <w:rFonts w:cs="Arial"/>
        </w:rPr>
        <w:t xml:space="preserve"> Rarely do ‘fast-tracking’ initiatives target projects on the basis of fulfilling best practice standards of sustainability or environmental sensitivity. </w:t>
      </w:r>
    </w:p>
    <w:p w:rsidR="008A18C4" w:rsidRPr="00F3241E" w:rsidRDefault="008A18C4" w:rsidP="008A18C4">
      <w:pPr>
        <w:rPr>
          <w:rFonts w:cs="Arial"/>
        </w:rPr>
      </w:pPr>
    </w:p>
    <w:p w:rsidR="008A18C4" w:rsidRPr="00F3241E" w:rsidRDefault="008A18C4" w:rsidP="008A18C4">
      <w:pPr>
        <w:rPr>
          <w:rFonts w:cs="Arial"/>
        </w:rPr>
      </w:pPr>
      <w:r w:rsidRPr="00F3241E">
        <w:rPr>
          <w:rFonts w:cs="Arial"/>
        </w:rPr>
        <w:t>In some cases the opposite is true.</w:t>
      </w:r>
      <w:r w:rsidRPr="00F3241E">
        <w:rPr>
          <w:rFonts w:cs="Arial"/>
          <w:i/>
        </w:rPr>
        <w:t xml:space="preserve"> </w:t>
      </w:r>
      <w:r w:rsidRPr="00F3241E">
        <w:rPr>
          <w:rFonts w:cs="Arial"/>
        </w:rPr>
        <w:t>Many eco-friendly retrofitting initiatives (for example, introducing residential renewable or low-emissions generation, building houses with recycled material) are currently hampered by planning laws and building regulations.</w:t>
      </w:r>
      <w:r w:rsidRPr="00F3241E">
        <w:rPr>
          <w:rStyle w:val="FootnoteReference"/>
          <w:rFonts w:cs="Arial"/>
        </w:rPr>
        <w:footnoteReference w:id="208"/>
      </w:r>
      <w:r w:rsidRPr="00F3241E">
        <w:rPr>
          <w:rFonts w:cs="Arial"/>
        </w:rPr>
        <w:t xml:space="preserve"> This imposes a regulatory barrier to green businesses, and impedes more efficient use of resources.</w:t>
      </w:r>
    </w:p>
    <w:p w:rsidR="008A18C4" w:rsidRPr="00F3241E" w:rsidRDefault="008A18C4" w:rsidP="008A18C4">
      <w:pPr>
        <w:rPr>
          <w:rFonts w:cs="Arial"/>
        </w:rPr>
      </w:pPr>
    </w:p>
    <w:p w:rsidR="008A18C4" w:rsidRPr="00F3241E" w:rsidRDefault="008A18C4" w:rsidP="008A18C4">
      <w:pPr>
        <w:rPr>
          <w:rFonts w:cs="Arial"/>
        </w:rPr>
      </w:pPr>
      <w:r w:rsidRPr="00F3241E">
        <w:rPr>
          <w:rFonts w:cs="Arial"/>
        </w:rPr>
        <w:t>To increase incentives for green development, EDO NSW would support measures to encourage proactive innovation in building and planning. For example, Queensland’s small-scale ‘Green Door’ initiative required projects to demonstrate exceptional performance across four principles that identify key sustainability outcomes, and required early community engagement prior to lodging a development application.</w:t>
      </w:r>
      <w:r w:rsidRPr="00F3241E">
        <w:rPr>
          <w:rStyle w:val="FootnoteReference"/>
          <w:rFonts w:cs="Arial"/>
        </w:rPr>
        <w:footnoteReference w:id="209"/>
      </w:r>
      <w:r w:rsidRPr="00F3241E">
        <w:rPr>
          <w:rFonts w:cs="Arial"/>
        </w:rPr>
        <w:t xml:space="preserve"> </w:t>
      </w:r>
    </w:p>
    <w:p w:rsidR="008A18C4" w:rsidRPr="00F3241E" w:rsidRDefault="008A18C4" w:rsidP="008A18C4">
      <w:pPr>
        <w:rPr>
          <w:rFonts w:cs="Arial"/>
        </w:rPr>
      </w:pPr>
    </w:p>
    <w:p w:rsidR="00FA0283" w:rsidRPr="00A73B17" w:rsidRDefault="008A18C4" w:rsidP="008A18C4">
      <w:pPr>
        <w:rPr>
          <w:lang w:val="en-US"/>
        </w:rPr>
      </w:pPr>
      <w:r w:rsidRPr="00F3241E">
        <w:rPr>
          <w:rFonts w:cs="Arial"/>
        </w:rPr>
        <w:t>NSW should develop similar incentives but on a broader scale – moving from showcase initiatives to the mainstream. Significant efficiency gains can be made through processes that streamline approvals for forward-looking, low-impact, efficient and climate-adapted planning proposals that suit the local community.</w:t>
      </w:r>
    </w:p>
    <w:sectPr w:rsidR="00FA0283" w:rsidRPr="00A73B17" w:rsidSect="00E32660">
      <w:footerReference w:type="even" r:id="rId18"/>
      <w:footerReference w:type="default" r:id="rId19"/>
      <w:headerReference w:type="first" r:id="rId20"/>
      <w:pgSz w:w="11907" w:h="16840" w:code="9"/>
      <w:pgMar w:top="1440" w:right="1440"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D6B" w:rsidRDefault="00946D6B">
      <w:r>
        <w:separator/>
      </w:r>
    </w:p>
  </w:endnote>
  <w:endnote w:type="continuationSeparator" w:id="0">
    <w:p w:rsidR="00946D6B" w:rsidRDefault="00946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6B" w:rsidRDefault="00946D6B" w:rsidP="00E52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D6B" w:rsidRDefault="00946D6B" w:rsidP="00D23D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6B" w:rsidRDefault="00946D6B" w:rsidP="00E521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744A">
      <w:rPr>
        <w:rStyle w:val="PageNumber"/>
        <w:noProof/>
      </w:rPr>
      <w:t>2</w:t>
    </w:r>
    <w:r>
      <w:rPr>
        <w:rStyle w:val="PageNumber"/>
      </w:rPr>
      <w:fldChar w:fldCharType="end"/>
    </w:r>
  </w:p>
  <w:p w:rsidR="00946D6B" w:rsidRDefault="00946D6B" w:rsidP="00D23D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D6B" w:rsidRDefault="00946D6B">
      <w:r>
        <w:separator/>
      </w:r>
    </w:p>
  </w:footnote>
  <w:footnote w:type="continuationSeparator" w:id="0">
    <w:p w:rsidR="00946D6B" w:rsidRDefault="00946D6B">
      <w:r>
        <w:continuationSeparator/>
      </w:r>
    </w:p>
  </w:footnote>
  <w:footnote w:id="1">
    <w:p w:rsidR="00946D6B" w:rsidRPr="008D7334" w:rsidRDefault="00946D6B" w:rsidP="00006551">
      <w:pPr>
        <w:pStyle w:val="FootnoteText"/>
        <w:rPr>
          <w:rFonts w:cs="Arial"/>
          <w:sz w:val="18"/>
          <w:szCs w:val="18"/>
        </w:rPr>
      </w:pPr>
      <w:r w:rsidRPr="00B52A06">
        <w:rPr>
          <w:rStyle w:val="FootnoteReference"/>
          <w:rFonts w:cs="Arial"/>
          <w:sz w:val="18"/>
          <w:szCs w:val="18"/>
        </w:rPr>
        <w:footnoteRef/>
      </w:r>
      <w:r w:rsidRPr="00B52A06">
        <w:rPr>
          <w:rFonts w:cs="Arial"/>
          <w:sz w:val="18"/>
          <w:szCs w:val="18"/>
        </w:rPr>
        <w:t xml:space="preserve"> February 2013, available at: </w:t>
      </w:r>
      <w:hyperlink r:id="rId1" w:history="1">
        <w:r w:rsidRPr="004D6F76">
          <w:rPr>
            <w:rStyle w:val="Hyperlink"/>
            <w:sz w:val="18"/>
            <w:szCs w:val="18"/>
          </w:rPr>
          <w:t>http://www.pc.gov.au/projects/study/major-projects</w:t>
        </w:r>
      </w:hyperlink>
      <w:r w:rsidRPr="008D7334">
        <w:rPr>
          <w:rFonts w:cs="Arial"/>
          <w:sz w:val="18"/>
          <w:szCs w:val="18"/>
        </w:rPr>
        <w:t xml:space="preserve">. </w:t>
      </w:r>
    </w:p>
  </w:footnote>
  <w:footnote w:id="2">
    <w:p w:rsidR="00946D6B" w:rsidRPr="004D6F76" w:rsidRDefault="00946D6B">
      <w:pPr>
        <w:pStyle w:val="FootnoteText"/>
        <w:rPr>
          <w:sz w:val="18"/>
          <w:szCs w:val="18"/>
        </w:rPr>
      </w:pPr>
      <w:r w:rsidRPr="004D6F76">
        <w:rPr>
          <w:rStyle w:val="FootnoteReference"/>
          <w:sz w:val="18"/>
          <w:szCs w:val="18"/>
        </w:rPr>
        <w:footnoteRef/>
      </w:r>
      <w:r w:rsidRPr="004D6F76">
        <w:rPr>
          <w:sz w:val="18"/>
          <w:szCs w:val="18"/>
        </w:rPr>
        <w:t xml:space="preserve"> See also, Submission to Productivity Commission Issues Paper and Inquiry on Mineral and Energy Resource Exploration, (March 2013) , available at </w:t>
      </w:r>
      <w:hyperlink r:id="rId2" w:history="1">
        <w:proofErr w:type="spellStart"/>
        <w:r w:rsidRPr="004D6F76">
          <w:rPr>
            <w:rStyle w:val="Hyperlink"/>
            <w:sz w:val="18"/>
            <w:szCs w:val="18"/>
          </w:rPr>
          <w:t>www.edo.org.au</w:t>
        </w:r>
        <w:proofErr w:type="spellEnd"/>
      </w:hyperlink>
      <w:r>
        <w:rPr>
          <w:sz w:val="18"/>
          <w:szCs w:val="18"/>
        </w:rPr>
        <w:t xml:space="preserve"> or </w:t>
      </w:r>
      <w:hyperlink r:id="rId3" w:history="1">
        <w:r w:rsidRPr="00CC6842">
          <w:rPr>
            <w:rStyle w:val="Hyperlink"/>
            <w:sz w:val="18"/>
            <w:szCs w:val="18"/>
          </w:rPr>
          <w:t>www.pc.gov.au</w:t>
        </w:r>
      </w:hyperlink>
      <w:r>
        <w:rPr>
          <w:sz w:val="18"/>
          <w:szCs w:val="18"/>
        </w:rPr>
        <w:t xml:space="preserve">. </w:t>
      </w:r>
    </w:p>
  </w:footnote>
  <w:footnote w:id="3">
    <w:p w:rsidR="00946D6B" w:rsidRPr="00150637" w:rsidRDefault="00946D6B" w:rsidP="00006551">
      <w:pPr>
        <w:pStyle w:val="FootnoteText"/>
        <w:rPr>
          <w:rFonts w:cs="Arial"/>
          <w:sz w:val="18"/>
          <w:szCs w:val="18"/>
        </w:rPr>
      </w:pPr>
      <w:r w:rsidRPr="00AE0F41">
        <w:rPr>
          <w:rStyle w:val="FootnoteReference"/>
          <w:rFonts w:cs="Arial"/>
          <w:sz w:val="18"/>
          <w:szCs w:val="18"/>
        </w:rPr>
        <w:footnoteRef/>
      </w:r>
      <w:r w:rsidRPr="00AE0F41">
        <w:rPr>
          <w:rFonts w:cs="Arial"/>
          <w:sz w:val="18"/>
          <w:szCs w:val="18"/>
        </w:rPr>
        <w:t xml:space="preserve"> Business Council</w:t>
      </w:r>
      <w:r w:rsidRPr="00150637">
        <w:rPr>
          <w:rFonts w:cs="Arial"/>
          <w:sz w:val="18"/>
          <w:szCs w:val="18"/>
        </w:rPr>
        <w:t xml:space="preserve"> of Australia, </w:t>
      </w:r>
      <w:r w:rsidRPr="00150637">
        <w:rPr>
          <w:rFonts w:cs="Arial"/>
          <w:i/>
          <w:sz w:val="18"/>
          <w:szCs w:val="18"/>
        </w:rPr>
        <w:t>Discussion Paper for the COAG Business Advisory Forum</w:t>
      </w:r>
      <w:r w:rsidRPr="00150637">
        <w:rPr>
          <w:rFonts w:cs="Arial"/>
          <w:sz w:val="18"/>
          <w:szCs w:val="18"/>
        </w:rPr>
        <w:t xml:space="preserve"> (2012).</w:t>
      </w:r>
    </w:p>
  </w:footnote>
  <w:footnote w:id="4">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EDO</w:t>
      </w:r>
      <w:r>
        <w:rPr>
          <w:rFonts w:cs="Arial"/>
          <w:sz w:val="18"/>
          <w:szCs w:val="18"/>
        </w:rPr>
        <w:t xml:space="preserve"> NSW Submission to the NSW Planning Review Issues Paper (joint with Nature Conservation Council of NSW and the </w:t>
      </w:r>
      <w:r w:rsidRPr="00150637">
        <w:rPr>
          <w:rFonts w:cs="Arial"/>
          <w:sz w:val="18"/>
          <w:szCs w:val="18"/>
        </w:rPr>
        <w:t>T</w:t>
      </w:r>
      <w:r>
        <w:rPr>
          <w:rFonts w:cs="Arial"/>
          <w:sz w:val="18"/>
          <w:szCs w:val="18"/>
        </w:rPr>
        <w:t xml:space="preserve">otal </w:t>
      </w:r>
      <w:r w:rsidRPr="00150637">
        <w:rPr>
          <w:rFonts w:cs="Arial"/>
          <w:sz w:val="18"/>
          <w:szCs w:val="18"/>
        </w:rPr>
        <w:t>E</w:t>
      </w:r>
      <w:r>
        <w:rPr>
          <w:rFonts w:cs="Arial"/>
          <w:sz w:val="18"/>
          <w:szCs w:val="18"/>
        </w:rPr>
        <w:t xml:space="preserve">nvironment </w:t>
      </w:r>
      <w:r w:rsidRPr="00150637">
        <w:rPr>
          <w:rFonts w:cs="Arial"/>
          <w:sz w:val="18"/>
          <w:szCs w:val="18"/>
        </w:rPr>
        <w:t>C</w:t>
      </w:r>
      <w:r>
        <w:rPr>
          <w:rFonts w:cs="Arial"/>
          <w:sz w:val="18"/>
          <w:szCs w:val="18"/>
        </w:rPr>
        <w:t>entre)</w:t>
      </w:r>
      <w:r w:rsidRPr="00150637">
        <w:rPr>
          <w:rFonts w:cs="Arial"/>
          <w:sz w:val="18"/>
          <w:szCs w:val="18"/>
        </w:rPr>
        <w:t xml:space="preserve"> </w:t>
      </w:r>
      <w:r>
        <w:rPr>
          <w:rFonts w:cs="Arial"/>
          <w:sz w:val="18"/>
          <w:szCs w:val="18"/>
        </w:rPr>
        <w:t xml:space="preserve">(March 2012), available at: </w:t>
      </w:r>
      <w:hyperlink r:id="rId4" w:history="1">
        <w:r w:rsidRPr="00CC6842">
          <w:rPr>
            <w:rStyle w:val="Hyperlink"/>
            <w:rFonts w:cs="Arial"/>
            <w:sz w:val="18"/>
            <w:szCs w:val="18"/>
          </w:rPr>
          <w:t>http://edo.org.au/edonsw/site/pdf/subs/120314ncc_edo_tec_joint_sub_planning_system_review_issues.pdf</w:t>
        </w:r>
      </w:hyperlink>
      <w:r>
        <w:rPr>
          <w:rFonts w:cs="Arial"/>
          <w:sz w:val="18"/>
          <w:szCs w:val="18"/>
        </w:rPr>
        <w:t xml:space="preserve">. </w:t>
      </w:r>
    </w:p>
  </w:footnote>
  <w:footnote w:id="5">
    <w:p w:rsidR="00946D6B" w:rsidRPr="00150637" w:rsidRDefault="00946D6B" w:rsidP="00006551">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ANEDO</w:t>
      </w:r>
      <w:proofErr w:type="spellEnd"/>
      <w:r w:rsidRPr="00150637">
        <w:rPr>
          <w:rFonts w:cs="Arial"/>
          <w:sz w:val="18"/>
          <w:szCs w:val="18"/>
        </w:rPr>
        <w:t xml:space="preserve">, ‘COAG environmental reform agenda: </w:t>
      </w:r>
      <w:proofErr w:type="spellStart"/>
      <w:r w:rsidRPr="00150637">
        <w:rPr>
          <w:rFonts w:cs="Arial"/>
          <w:sz w:val="18"/>
          <w:szCs w:val="18"/>
        </w:rPr>
        <w:t>ANEDO</w:t>
      </w:r>
      <w:proofErr w:type="spellEnd"/>
      <w:r w:rsidRPr="00150637">
        <w:rPr>
          <w:rFonts w:cs="Arial"/>
          <w:sz w:val="18"/>
          <w:szCs w:val="18"/>
        </w:rPr>
        <w:t xml:space="preserve"> response – in defence of environmental laws’ (May 2012), available here: </w:t>
      </w:r>
      <w:hyperlink r:id="rId5" w:history="1">
        <w:r w:rsidRPr="00150637">
          <w:rPr>
            <w:rFonts w:cs="Arial"/>
            <w:sz w:val="18"/>
            <w:szCs w:val="18"/>
          </w:rPr>
          <w:t>http://</w:t>
        </w:r>
        <w:proofErr w:type="spellStart"/>
        <w:r w:rsidRPr="00150637">
          <w:rPr>
            <w:rFonts w:cs="Arial"/>
            <w:sz w:val="18"/>
            <w:szCs w:val="18"/>
          </w:rPr>
          <w:t>www.edo.org.au</w:t>
        </w:r>
        <w:proofErr w:type="spellEnd"/>
        <w:r w:rsidRPr="00150637">
          <w:rPr>
            <w:rFonts w:cs="Arial"/>
            <w:sz w:val="18"/>
            <w:szCs w:val="18"/>
          </w:rPr>
          <w:t>/policy/</w:t>
        </w:r>
        <w:proofErr w:type="spellStart"/>
        <w:r w:rsidRPr="00150637">
          <w:rPr>
            <w:rFonts w:cs="Arial"/>
            <w:sz w:val="18"/>
            <w:szCs w:val="18"/>
          </w:rPr>
          <w:t>policy.html</w:t>
        </w:r>
        <w:proofErr w:type="spellEnd"/>
      </w:hyperlink>
      <w:r w:rsidRPr="00150637">
        <w:rPr>
          <w:rFonts w:cs="Arial"/>
          <w:sz w:val="18"/>
          <w:szCs w:val="18"/>
        </w:rPr>
        <w:t xml:space="preserve">. </w:t>
      </w:r>
    </w:p>
  </w:footnote>
  <w:footnote w:id="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ANEDO</w:t>
      </w:r>
      <w:proofErr w:type="spellEnd"/>
      <w:r w:rsidRPr="00150637">
        <w:rPr>
          <w:rFonts w:cs="Arial"/>
          <w:sz w:val="18"/>
          <w:szCs w:val="18"/>
        </w:rPr>
        <w:t xml:space="preserve">, </w:t>
      </w:r>
      <w:r w:rsidRPr="00150637">
        <w:rPr>
          <w:rFonts w:cs="Arial"/>
          <w:bCs/>
          <w:i/>
          <w:sz w:val="18"/>
          <w:szCs w:val="18"/>
        </w:rPr>
        <w:t xml:space="preserve">Submission on Draft Framework of Standards for Accreditation of Environmental Approvals under the </w:t>
      </w:r>
      <w:proofErr w:type="spellStart"/>
      <w:r w:rsidRPr="00150637">
        <w:rPr>
          <w:rFonts w:cs="Arial"/>
          <w:bCs/>
          <w:i/>
          <w:sz w:val="18"/>
          <w:szCs w:val="18"/>
        </w:rPr>
        <w:t>EPBC</w:t>
      </w:r>
      <w:proofErr w:type="spellEnd"/>
      <w:r w:rsidRPr="00150637">
        <w:rPr>
          <w:rFonts w:cs="Arial"/>
          <w:bCs/>
          <w:i/>
          <w:sz w:val="18"/>
          <w:szCs w:val="18"/>
        </w:rPr>
        <w:t xml:space="preserve"> Act 1999</w:t>
      </w:r>
      <w:r w:rsidRPr="00150637">
        <w:rPr>
          <w:rFonts w:cs="Arial"/>
          <w:bCs/>
          <w:sz w:val="18"/>
          <w:szCs w:val="18"/>
        </w:rPr>
        <w:t xml:space="preserve"> (November 2012), </w:t>
      </w:r>
      <w:hyperlink r:id="rId6" w:history="1">
        <w:r w:rsidRPr="00150637">
          <w:rPr>
            <w:rStyle w:val="Hyperlink"/>
            <w:rFonts w:cs="Arial"/>
            <w:bCs/>
            <w:color w:val="auto"/>
            <w:sz w:val="18"/>
            <w:szCs w:val="18"/>
          </w:rPr>
          <w:t>http://www.edo.org.au/policy/121123-COAG-Cth-accreditation-standards-ANEDO-submission.docx</w:t>
        </w:r>
      </w:hyperlink>
      <w:r w:rsidRPr="00150637">
        <w:rPr>
          <w:rFonts w:cs="Arial"/>
          <w:bCs/>
          <w:sz w:val="18"/>
          <w:szCs w:val="18"/>
        </w:rPr>
        <w:t xml:space="preserve">. </w:t>
      </w:r>
      <w:r w:rsidRPr="00150637">
        <w:rPr>
          <w:rFonts w:cs="Arial"/>
          <w:b/>
          <w:bCs/>
          <w:sz w:val="18"/>
          <w:szCs w:val="18"/>
        </w:rPr>
        <w:t xml:space="preserve"> </w:t>
      </w:r>
    </w:p>
  </w:footnote>
  <w:footnote w:id="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ANEDO</w:t>
      </w:r>
      <w:proofErr w:type="spellEnd"/>
      <w:r w:rsidRPr="00150637">
        <w:rPr>
          <w:rFonts w:cs="Arial"/>
          <w:sz w:val="18"/>
          <w:szCs w:val="18"/>
        </w:rPr>
        <w:t xml:space="preserve">, </w:t>
      </w:r>
      <w:r w:rsidRPr="00150637">
        <w:rPr>
          <w:rFonts w:cs="Arial"/>
          <w:i/>
          <w:sz w:val="18"/>
          <w:szCs w:val="18"/>
        </w:rPr>
        <w:t xml:space="preserve">Submission on </w:t>
      </w:r>
      <w:r w:rsidRPr="00150637">
        <w:rPr>
          <w:rFonts w:cs="Arial"/>
          <w:bCs/>
          <w:i/>
          <w:sz w:val="18"/>
          <w:szCs w:val="18"/>
          <w:lang w:eastAsia="en-AU"/>
        </w:rPr>
        <w:t>Environment Protection and Biodiversity Conservation Amendment (Retaining Federal Approval Powers) Bill 2012</w:t>
      </w:r>
      <w:r w:rsidRPr="00150637">
        <w:rPr>
          <w:rFonts w:cs="Arial"/>
          <w:bCs/>
          <w:sz w:val="18"/>
          <w:szCs w:val="18"/>
          <w:lang w:eastAsia="en-AU"/>
        </w:rPr>
        <w:t xml:space="preserve"> (January 2013) available at </w:t>
      </w:r>
      <w:hyperlink r:id="rId7" w:history="1">
        <w:proofErr w:type="spellStart"/>
        <w:r w:rsidRPr="00150637">
          <w:rPr>
            <w:rStyle w:val="Hyperlink"/>
            <w:rFonts w:cs="Arial"/>
            <w:bCs/>
            <w:color w:val="auto"/>
            <w:sz w:val="18"/>
            <w:szCs w:val="18"/>
            <w:lang w:eastAsia="en-AU"/>
          </w:rPr>
          <w:t>www.edo.org.au</w:t>
        </w:r>
        <w:proofErr w:type="spellEnd"/>
      </w:hyperlink>
      <w:r w:rsidRPr="00150637">
        <w:rPr>
          <w:rFonts w:cs="Arial"/>
          <w:bCs/>
          <w:sz w:val="18"/>
          <w:szCs w:val="18"/>
          <w:lang w:eastAsia="en-AU"/>
        </w:rPr>
        <w:t>.</w:t>
      </w:r>
    </w:p>
  </w:footnote>
  <w:footnote w:id="8">
    <w:p w:rsidR="00946D6B" w:rsidRPr="00150637" w:rsidRDefault="00946D6B" w:rsidP="00D93C7C">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‘Open letter to the Prime Minister on transferring Commonwealth environmental law responsibilities’, 5 December 2012, available at </w:t>
      </w:r>
      <w:hyperlink r:id="rId8" w:history="1">
        <w:proofErr w:type="spellStart"/>
        <w:r w:rsidRPr="00150637">
          <w:rPr>
            <w:rStyle w:val="Hyperlink"/>
            <w:rFonts w:cs="Arial"/>
            <w:color w:val="auto"/>
            <w:sz w:val="18"/>
            <w:szCs w:val="18"/>
          </w:rPr>
          <w:t>www.edovic.org.au</w:t>
        </w:r>
        <w:proofErr w:type="spellEnd"/>
      </w:hyperlink>
      <w:r w:rsidRPr="00150637">
        <w:rPr>
          <w:rFonts w:cs="Arial"/>
          <w:sz w:val="18"/>
          <w:szCs w:val="18"/>
        </w:rPr>
        <w:t xml:space="preserve">. Other organisations have critiqued the COAG reform proposals, including Economists at Large and the Wentworth Group of Concerned Scientists. This was also the conclusion of a recent inquiry of the Senate Environment and Communications Legislation Committee, see report at </w:t>
      </w:r>
      <w:r w:rsidRPr="00150637">
        <w:rPr>
          <w:rFonts w:cs="Arial"/>
          <w:bCs/>
          <w:sz w:val="18"/>
          <w:szCs w:val="18"/>
          <w:lang w:eastAsia="en-AU"/>
        </w:rPr>
        <w:t>http://www.aph.gov.au/Parliamentary_Business/Committees/Senate_Committees?url=ec_ctte/completed_inquiries/2010-13/epbc_federal_powers/report/index.htm.</w:t>
      </w:r>
    </w:p>
  </w:footnote>
  <w:footnote w:id="9">
    <w:p w:rsidR="00946D6B" w:rsidRPr="00150637" w:rsidRDefault="00946D6B" w:rsidP="00D93C7C">
      <w:pPr>
        <w:pStyle w:val="Default"/>
        <w:rPr>
          <w:color w:val="auto"/>
          <w:sz w:val="18"/>
          <w:szCs w:val="18"/>
          <w:lang w:val="en-AU" w:eastAsia="en-AU"/>
        </w:rPr>
      </w:pPr>
      <w:r w:rsidRPr="00150637">
        <w:rPr>
          <w:rStyle w:val="FootnoteReference"/>
          <w:color w:val="auto"/>
          <w:sz w:val="18"/>
          <w:szCs w:val="18"/>
        </w:rPr>
        <w:footnoteRef/>
      </w:r>
      <w:r w:rsidRPr="00150637">
        <w:rPr>
          <w:color w:val="auto"/>
          <w:sz w:val="18"/>
          <w:szCs w:val="18"/>
        </w:rPr>
        <w:t xml:space="preserve"> For example, see COAG Business Advisory Forum communique, 6 Dec. 2012, at </w:t>
      </w:r>
      <w:hyperlink r:id="rId9" w:history="1">
        <w:proofErr w:type="spellStart"/>
        <w:r w:rsidRPr="00150637">
          <w:rPr>
            <w:rStyle w:val="Hyperlink"/>
            <w:color w:val="auto"/>
            <w:sz w:val="18"/>
            <w:szCs w:val="18"/>
          </w:rPr>
          <w:t>www.dpmc.gov.au</w:t>
        </w:r>
        <w:proofErr w:type="spellEnd"/>
        <w:r w:rsidRPr="00150637">
          <w:rPr>
            <w:rStyle w:val="Hyperlink"/>
            <w:color w:val="auto"/>
            <w:sz w:val="18"/>
            <w:szCs w:val="18"/>
          </w:rPr>
          <w:t>/publications/</w:t>
        </w:r>
        <w:proofErr w:type="spellStart"/>
        <w:r w:rsidRPr="00150637">
          <w:rPr>
            <w:rStyle w:val="Hyperlink"/>
            <w:color w:val="auto"/>
            <w:sz w:val="18"/>
            <w:szCs w:val="18"/>
          </w:rPr>
          <w:t>baf</w:t>
        </w:r>
        <w:proofErr w:type="spellEnd"/>
        <w:r w:rsidRPr="00150637">
          <w:rPr>
            <w:rStyle w:val="Hyperlink"/>
            <w:color w:val="auto"/>
            <w:sz w:val="18"/>
            <w:szCs w:val="18"/>
          </w:rPr>
          <w:t>/</w:t>
        </w:r>
        <w:proofErr w:type="spellStart"/>
        <w:r w:rsidRPr="00150637">
          <w:rPr>
            <w:rStyle w:val="Hyperlink"/>
            <w:color w:val="auto"/>
            <w:sz w:val="18"/>
            <w:szCs w:val="18"/>
          </w:rPr>
          <w:t>index.cfm</w:t>
        </w:r>
        <w:proofErr w:type="spellEnd"/>
      </w:hyperlink>
      <w:r w:rsidRPr="00150637">
        <w:rPr>
          <w:color w:val="auto"/>
          <w:sz w:val="18"/>
          <w:szCs w:val="18"/>
        </w:rPr>
        <w:t>: ‘</w:t>
      </w:r>
      <w:r w:rsidRPr="00150637">
        <w:rPr>
          <w:color w:val="auto"/>
          <w:sz w:val="18"/>
          <w:szCs w:val="18"/>
          <w:lang w:eastAsia="en-AU"/>
        </w:rPr>
        <w:t>The Commonwealth noted the significant challenges that have emerged in developing accreditation arrangements that provide consistency for business and assurance to the community that high standards will be met and maintained.</w:t>
      </w:r>
      <w:r w:rsidRPr="00150637">
        <w:rPr>
          <w:color w:val="auto"/>
          <w:sz w:val="18"/>
          <w:szCs w:val="18"/>
        </w:rPr>
        <w:t xml:space="preserve">’ See also M. Grattan and T. Arup, ‘Environmental Powers to be kept by Canberra’, </w:t>
      </w:r>
      <w:r w:rsidRPr="00150637">
        <w:rPr>
          <w:i/>
          <w:color w:val="auto"/>
          <w:sz w:val="18"/>
          <w:szCs w:val="18"/>
        </w:rPr>
        <w:t>Sydney Morning Herald</w:t>
      </w:r>
      <w:r w:rsidRPr="00150637">
        <w:rPr>
          <w:color w:val="auto"/>
          <w:sz w:val="18"/>
          <w:szCs w:val="18"/>
        </w:rPr>
        <w:t>, 6 Dec. 2012.</w:t>
      </w:r>
    </w:p>
  </w:footnote>
  <w:footnote w:id="10">
    <w:p w:rsidR="00946D6B" w:rsidRPr="004D6F76" w:rsidRDefault="00946D6B">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In to the </w:t>
      </w:r>
      <w:r w:rsidRPr="00150637">
        <w:rPr>
          <w:rFonts w:cs="Arial"/>
          <w:bCs/>
          <w:i/>
          <w:sz w:val="18"/>
          <w:szCs w:val="18"/>
          <w:lang w:eastAsia="en-AU"/>
        </w:rPr>
        <w:t>Environment Protection and Biodiversity Conservation Amendment (Retaining Federal Approval Powers) Bill 2012</w:t>
      </w:r>
      <w:r w:rsidRPr="00150637">
        <w:rPr>
          <w:rFonts w:cs="Arial"/>
          <w:bCs/>
          <w:sz w:val="18"/>
          <w:szCs w:val="18"/>
          <w:lang w:eastAsia="en-AU"/>
        </w:rPr>
        <w:t xml:space="preserve"> (March 2013), a private members bill proposed by Senator Larissa Waters at the end of 2012 </w:t>
      </w:r>
    </w:p>
  </w:footnote>
  <w:footnote w:id="11">
    <w:p w:rsidR="00946D6B" w:rsidRPr="00150637" w:rsidRDefault="00946D6B" w:rsidP="007232CC">
      <w:pPr>
        <w:pStyle w:val="Default"/>
        <w:rPr>
          <w:color w:val="auto"/>
          <w:sz w:val="18"/>
          <w:szCs w:val="18"/>
          <w:lang w:val="en-AU" w:eastAsia="en-AU"/>
        </w:rPr>
      </w:pPr>
      <w:r w:rsidRPr="00150637">
        <w:rPr>
          <w:rStyle w:val="FootnoteReference"/>
          <w:sz w:val="18"/>
          <w:szCs w:val="18"/>
        </w:rPr>
        <w:footnoteRef/>
      </w:r>
      <w:r w:rsidRPr="00150637">
        <w:rPr>
          <w:sz w:val="18"/>
          <w:szCs w:val="18"/>
        </w:rPr>
        <w:t xml:space="preserve"> </w:t>
      </w:r>
      <w:r w:rsidRPr="00150637">
        <w:rPr>
          <w:bCs/>
          <w:color w:val="auto"/>
          <w:sz w:val="18"/>
          <w:szCs w:val="18"/>
          <w:lang w:eastAsia="en-AU"/>
        </w:rPr>
        <w:t xml:space="preserve">The Senate Environment and Communications Legislation Committee, </w:t>
      </w:r>
      <w:r w:rsidRPr="00150637">
        <w:rPr>
          <w:bCs/>
          <w:i/>
          <w:color w:val="auto"/>
          <w:sz w:val="18"/>
          <w:szCs w:val="18"/>
          <w:lang w:eastAsia="en-AU"/>
        </w:rPr>
        <w:t>Report on Inquiry in to Environment Protection and Biodiversity Conservation Amendment (Retaining Federal Approval Powers) Bill 2012</w:t>
      </w:r>
      <w:r w:rsidRPr="00150637">
        <w:rPr>
          <w:bCs/>
          <w:color w:val="auto"/>
          <w:sz w:val="18"/>
          <w:szCs w:val="18"/>
          <w:lang w:eastAsia="en-AU"/>
        </w:rPr>
        <w:t xml:space="preserve"> (March 2013). (available at: http://www.aph.gov.au/Parliamentary_Business/Committees/Senate_Committees?url=ec_ctte/completed_inquiries/2010-13/epbc_federal_powers/report/index.htm)</w:t>
      </w:r>
    </w:p>
  </w:footnote>
  <w:footnote w:id="12">
    <w:p w:rsidR="00946D6B" w:rsidRPr="00150637" w:rsidRDefault="00946D6B" w:rsidP="00006551">
      <w:pPr>
        <w:autoSpaceDE w:val="0"/>
        <w:autoSpaceDN w:val="0"/>
        <w:adjustRightInd w:val="0"/>
        <w:rPr>
          <w:rFonts w:cs="Arial"/>
          <w:sz w:val="18"/>
          <w:szCs w:val="18"/>
          <w:lang w:eastAsia="en-AU"/>
        </w:rPr>
      </w:pPr>
      <w:r w:rsidRPr="00150637">
        <w:rPr>
          <w:rStyle w:val="FootnoteReference"/>
          <w:rFonts w:cs="Arial"/>
          <w:sz w:val="18"/>
          <w:szCs w:val="18"/>
        </w:rPr>
        <w:footnoteRef/>
      </w:r>
      <w:r w:rsidRPr="00150637">
        <w:rPr>
          <w:rFonts w:cs="Arial"/>
          <w:sz w:val="18"/>
          <w:szCs w:val="18"/>
        </w:rPr>
        <w:t xml:space="preserve"> </w:t>
      </w:r>
      <w:r w:rsidRPr="00150637">
        <w:rPr>
          <w:rFonts w:cs="Arial"/>
          <w:i/>
          <w:sz w:val="18"/>
          <w:szCs w:val="18"/>
        </w:rPr>
        <w:t xml:space="preserve">Government Response to the Independent Review of the </w:t>
      </w:r>
      <w:proofErr w:type="spellStart"/>
      <w:r w:rsidRPr="00150637">
        <w:rPr>
          <w:rFonts w:cs="Arial"/>
          <w:i/>
          <w:sz w:val="18"/>
          <w:szCs w:val="18"/>
        </w:rPr>
        <w:t>EPBC</w:t>
      </w:r>
      <w:proofErr w:type="spellEnd"/>
      <w:r w:rsidRPr="00150637">
        <w:rPr>
          <w:rFonts w:cs="Arial"/>
          <w:i/>
          <w:sz w:val="18"/>
          <w:szCs w:val="18"/>
        </w:rPr>
        <w:t xml:space="preserve"> Act</w:t>
      </w:r>
      <w:r w:rsidRPr="00150637">
        <w:rPr>
          <w:rFonts w:cs="Arial"/>
          <w:sz w:val="18"/>
          <w:szCs w:val="18"/>
        </w:rPr>
        <w:t xml:space="preserve"> (August 2011), Preamble, p 3. The response cites a 2010 UN Environment Program report which estimates</w:t>
      </w:r>
      <w:r w:rsidRPr="00150637">
        <w:rPr>
          <w:rFonts w:cs="Arial"/>
          <w:sz w:val="18"/>
          <w:szCs w:val="18"/>
          <w:lang w:eastAsia="en-AU"/>
        </w:rPr>
        <w:t xml:space="preserve"> that ecosystems deliver essential services worth </w:t>
      </w:r>
      <w:proofErr w:type="spellStart"/>
      <w:r w:rsidRPr="00150637">
        <w:rPr>
          <w:rFonts w:cs="Arial"/>
          <w:sz w:val="18"/>
          <w:szCs w:val="18"/>
          <w:lang w:eastAsia="en-AU"/>
        </w:rPr>
        <w:t>US$21</w:t>
      </w:r>
      <w:proofErr w:type="spellEnd"/>
      <w:r w:rsidRPr="00150637">
        <w:rPr>
          <w:rFonts w:cs="Arial"/>
          <w:sz w:val="18"/>
          <w:szCs w:val="18"/>
          <w:lang w:eastAsia="en-AU"/>
        </w:rPr>
        <w:t xml:space="preserve"> trillion to </w:t>
      </w:r>
      <w:proofErr w:type="spellStart"/>
      <w:r w:rsidRPr="00150637">
        <w:rPr>
          <w:rFonts w:cs="Arial"/>
          <w:sz w:val="18"/>
          <w:szCs w:val="18"/>
          <w:lang w:eastAsia="en-AU"/>
        </w:rPr>
        <w:t>US$72</w:t>
      </w:r>
      <w:proofErr w:type="spellEnd"/>
      <w:r w:rsidRPr="00150637">
        <w:rPr>
          <w:rFonts w:cs="Arial"/>
          <w:sz w:val="18"/>
          <w:szCs w:val="18"/>
          <w:lang w:eastAsia="en-AU"/>
        </w:rPr>
        <w:t xml:space="preserve"> trillion a year, comparable with the 2008 World Gross National Income of </w:t>
      </w:r>
      <w:proofErr w:type="spellStart"/>
      <w:r w:rsidRPr="00150637">
        <w:rPr>
          <w:rFonts w:cs="Arial"/>
          <w:sz w:val="18"/>
          <w:szCs w:val="18"/>
          <w:lang w:eastAsia="en-AU"/>
        </w:rPr>
        <w:t>US$58</w:t>
      </w:r>
      <w:proofErr w:type="spellEnd"/>
      <w:r w:rsidRPr="00150637">
        <w:rPr>
          <w:rFonts w:cs="Arial"/>
          <w:sz w:val="18"/>
          <w:szCs w:val="18"/>
          <w:lang w:eastAsia="en-AU"/>
        </w:rPr>
        <w:t xml:space="preserve"> trillion.</w:t>
      </w:r>
    </w:p>
  </w:footnote>
  <w:footnote w:id="13">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in a 2012 survey of over 2000 people in NSW on behalf of Office of Environment &amp; Heritage:</w:t>
      </w:r>
    </w:p>
    <w:p w:rsidR="00946D6B" w:rsidRPr="00150637" w:rsidRDefault="00946D6B" w:rsidP="00B71548">
      <w:pPr>
        <w:pStyle w:val="ListParagraph"/>
        <w:numPr>
          <w:ilvl w:val="0"/>
          <w:numId w:val="76"/>
        </w:numPr>
        <w:spacing w:after="0" w:line="240" w:lineRule="auto"/>
        <w:rPr>
          <w:rFonts w:ascii="Arial" w:hAnsi="Arial" w:cs="Arial"/>
          <w:i/>
          <w:sz w:val="18"/>
          <w:szCs w:val="18"/>
        </w:rPr>
      </w:pPr>
      <w:r w:rsidRPr="00150637">
        <w:rPr>
          <w:rFonts w:ascii="Arial" w:hAnsi="Arial" w:cs="Arial"/>
          <w:i/>
          <w:sz w:val="18"/>
          <w:szCs w:val="18"/>
        </w:rPr>
        <w:t>almost half the community believes we do not place enough emphasis on the protection of natural habitats in competition with other land use needs [the most common response, at 45%]</w:t>
      </w:r>
    </w:p>
    <w:p w:rsidR="00946D6B" w:rsidRPr="00150637" w:rsidRDefault="00946D6B" w:rsidP="00D168F2">
      <w:pPr>
        <w:pStyle w:val="ListParagraph"/>
        <w:numPr>
          <w:ilvl w:val="0"/>
          <w:numId w:val="76"/>
        </w:numPr>
        <w:spacing w:after="0" w:line="240" w:lineRule="auto"/>
        <w:ind w:left="714" w:hanging="357"/>
        <w:contextualSpacing w:val="0"/>
        <w:rPr>
          <w:rFonts w:ascii="Arial" w:hAnsi="Arial" w:cs="Arial"/>
          <w:i/>
          <w:sz w:val="18"/>
          <w:szCs w:val="18"/>
        </w:rPr>
      </w:pPr>
      <w:r w:rsidRPr="00150637">
        <w:rPr>
          <w:rFonts w:ascii="Arial" w:hAnsi="Arial" w:cs="Arial"/>
          <w:i/>
          <w:sz w:val="18"/>
          <w:szCs w:val="18"/>
        </w:rPr>
        <w:t xml:space="preserve">almost half believe environmental regulation of two sectors, mining  and property development/construction, is too lax, despite an increasingly positive view of environmental regulation of other sectors over successive surveys. </w:t>
      </w:r>
    </w:p>
    <w:p w:rsidR="00946D6B" w:rsidRPr="00150637" w:rsidRDefault="00946D6B" w:rsidP="00632827">
      <w:pPr>
        <w:rPr>
          <w:rFonts w:cs="Arial"/>
          <w:i/>
          <w:sz w:val="18"/>
          <w:szCs w:val="18"/>
        </w:rPr>
      </w:pPr>
      <w:r w:rsidRPr="00150637">
        <w:rPr>
          <w:rFonts w:cs="Arial"/>
          <w:sz w:val="18"/>
          <w:szCs w:val="18"/>
        </w:rPr>
        <w:t xml:space="preserve">See NSW </w:t>
      </w:r>
      <w:proofErr w:type="spellStart"/>
      <w:r w:rsidRPr="00150637">
        <w:rPr>
          <w:rFonts w:cs="Arial"/>
          <w:sz w:val="18"/>
          <w:szCs w:val="18"/>
        </w:rPr>
        <w:t>OEH</w:t>
      </w:r>
      <w:proofErr w:type="spellEnd"/>
      <w:r w:rsidRPr="00150637">
        <w:rPr>
          <w:rFonts w:cs="Arial"/>
          <w:sz w:val="18"/>
          <w:szCs w:val="18"/>
        </w:rPr>
        <w:t xml:space="preserve">, </w:t>
      </w:r>
      <w:r w:rsidRPr="00150637">
        <w:rPr>
          <w:rFonts w:cs="Arial"/>
          <w:i/>
          <w:sz w:val="18"/>
          <w:szCs w:val="18"/>
        </w:rPr>
        <w:t>Who Cares about the Environment in 2012?</w:t>
      </w:r>
      <w:r w:rsidRPr="00150637">
        <w:rPr>
          <w:rFonts w:cs="Arial"/>
          <w:sz w:val="18"/>
          <w:szCs w:val="18"/>
        </w:rPr>
        <w:t xml:space="preserve"> (March 2013)</w:t>
      </w:r>
      <w:r>
        <w:rPr>
          <w:rFonts w:cs="Arial"/>
          <w:sz w:val="18"/>
          <w:szCs w:val="18"/>
        </w:rPr>
        <w:t>,</w:t>
      </w:r>
      <w:r w:rsidRPr="00150637">
        <w:rPr>
          <w:rFonts w:cs="Arial"/>
          <w:sz w:val="18"/>
          <w:szCs w:val="18"/>
        </w:rPr>
        <w:t xml:space="preserve"> ‘At a glance’</w:t>
      </w:r>
      <w:r>
        <w:rPr>
          <w:rFonts w:cs="Arial"/>
          <w:sz w:val="18"/>
          <w:szCs w:val="18"/>
        </w:rPr>
        <w:t>.</w:t>
      </w:r>
    </w:p>
  </w:footnote>
  <w:footnote w:id="14">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NSW Office of Environment &amp; Heritage, </w:t>
      </w:r>
      <w:r w:rsidRPr="00150637">
        <w:rPr>
          <w:rFonts w:cs="Arial"/>
          <w:i/>
          <w:sz w:val="18"/>
          <w:szCs w:val="18"/>
        </w:rPr>
        <w:t xml:space="preserve">Who Cares About the Environment in 2012? </w:t>
      </w:r>
      <w:r w:rsidRPr="00150637">
        <w:rPr>
          <w:rFonts w:cs="Arial"/>
          <w:sz w:val="18"/>
          <w:szCs w:val="18"/>
        </w:rPr>
        <w:t xml:space="preserve">(2013). By far the most common response on ‘mining’ and ‘property development/ construction’ was that regulation is ‘too lax’ (49% and 46% of respondents, respectively). Only 10% and 13% of respondents (respectively) thought mining and property development regulation was ‘too strict’. For almost all other sectors mentioned, the most prevalent response was that regulatory strictness is ‘about right’ (fishing, farming, individuals, tourism, retail and forestry). See full report, </w:t>
      </w:r>
      <w:proofErr w:type="spellStart"/>
      <w:r w:rsidRPr="00150637">
        <w:rPr>
          <w:rFonts w:cs="Arial"/>
          <w:sz w:val="18"/>
          <w:szCs w:val="18"/>
        </w:rPr>
        <w:t>pp</w:t>
      </w:r>
      <w:proofErr w:type="spellEnd"/>
      <w:r w:rsidRPr="00150637">
        <w:rPr>
          <w:rFonts w:cs="Arial"/>
          <w:sz w:val="18"/>
          <w:szCs w:val="18"/>
        </w:rPr>
        <w:t xml:space="preserve"> 41-42, at  </w:t>
      </w:r>
      <w:hyperlink r:id="rId10" w:history="1">
        <w:proofErr w:type="spellStart"/>
        <w:r w:rsidRPr="00150637">
          <w:rPr>
            <w:rStyle w:val="Hyperlink"/>
            <w:rFonts w:cs="Arial"/>
            <w:sz w:val="18"/>
            <w:szCs w:val="18"/>
          </w:rPr>
          <w:t>www.environment.nsw.gov.au</w:t>
        </w:r>
        <w:proofErr w:type="spellEnd"/>
        <w:r w:rsidRPr="00150637">
          <w:rPr>
            <w:rStyle w:val="Hyperlink"/>
            <w:rFonts w:cs="Arial"/>
            <w:sz w:val="18"/>
            <w:szCs w:val="18"/>
          </w:rPr>
          <w:t>/community/</w:t>
        </w:r>
        <w:proofErr w:type="spellStart"/>
        <w:r w:rsidRPr="00150637">
          <w:rPr>
            <w:rStyle w:val="Hyperlink"/>
            <w:rFonts w:cs="Arial"/>
            <w:sz w:val="18"/>
            <w:szCs w:val="18"/>
          </w:rPr>
          <w:t>whocares2012.htm</w:t>
        </w:r>
        <w:proofErr w:type="spellEnd"/>
      </w:hyperlink>
      <w:r w:rsidRPr="00150637">
        <w:rPr>
          <w:rFonts w:cs="Arial"/>
          <w:sz w:val="18"/>
          <w:szCs w:val="18"/>
        </w:rPr>
        <w:t xml:space="preserve">. </w:t>
      </w:r>
    </w:p>
  </w:footnote>
  <w:footnote w:id="15">
    <w:p w:rsidR="00946D6B" w:rsidRPr="00150637" w:rsidRDefault="00946D6B" w:rsidP="00632827">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w:t>
      </w:r>
      <w:proofErr w:type="spellStart"/>
      <w:r w:rsidRPr="00150637">
        <w:rPr>
          <w:rFonts w:cs="Arial"/>
          <w:sz w:val="18"/>
          <w:szCs w:val="18"/>
        </w:rPr>
        <w:t>BAF</w:t>
      </w:r>
      <w:proofErr w:type="spellEnd"/>
      <w:r w:rsidRPr="00150637">
        <w:rPr>
          <w:rFonts w:cs="Arial"/>
          <w:sz w:val="18"/>
          <w:szCs w:val="18"/>
        </w:rPr>
        <w:t xml:space="preserve"> communique 12/4/2012: </w:t>
      </w:r>
      <w:hyperlink r:id="rId11" w:history="1">
        <w:r w:rsidRPr="00150637">
          <w:rPr>
            <w:rStyle w:val="Hyperlink"/>
            <w:rFonts w:cs="Arial"/>
            <w:sz w:val="18"/>
            <w:szCs w:val="18"/>
          </w:rPr>
          <w:t>http://</w:t>
        </w:r>
        <w:proofErr w:type="spellStart"/>
        <w:r w:rsidRPr="00150637">
          <w:rPr>
            <w:rStyle w:val="Hyperlink"/>
            <w:rFonts w:cs="Arial"/>
            <w:sz w:val="18"/>
            <w:szCs w:val="18"/>
          </w:rPr>
          <w:t>www.finance.gov.au</w:t>
        </w:r>
        <w:proofErr w:type="spellEnd"/>
        <w:r w:rsidRPr="00150637">
          <w:rPr>
            <w:rStyle w:val="Hyperlink"/>
            <w:rFonts w:cs="Arial"/>
            <w:sz w:val="18"/>
            <w:szCs w:val="18"/>
          </w:rPr>
          <w:t>/deregulation/communique-12--</w:t>
        </w:r>
        <w:proofErr w:type="spellStart"/>
        <w:r w:rsidRPr="00150637">
          <w:rPr>
            <w:rStyle w:val="Hyperlink"/>
            <w:rFonts w:cs="Arial"/>
            <w:sz w:val="18"/>
            <w:szCs w:val="18"/>
          </w:rPr>
          <w:t>april-12.html</w:t>
        </w:r>
        <w:proofErr w:type="spellEnd"/>
      </w:hyperlink>
      <w:r w:rsidRPr="00150637">
        <w:rPr>
          <w:rFonts w:cs="Arial"/>
          <w:sz w:val="18"/>
          <w:szCs w:val="18"/>
        </w:rPr>
        <w:t>.</w:t>
      </w:r>
    </w:p>
  </w:footnote>
  <w:footnote w:id="16">
    <w:p w:rsidR="00946D6B" w:rsidRPr="00150637" w:rsidRDefault="00946D6B" w:rsidP="0028200D">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State of the Environment  Committee, </w:t>
      </w:r>
      <w:r w:rsidRPr="00150637">
        <w:rPr>
          <w:rFonts w:cs="Arial"/>
          <w:i/>
          <w:sz w:val="18"/>
          <w:szCs w:val="18"/>
        </w:rPr>
        <w:t>Australian State of the Environment 2011</w:t>
      </w:r>
      <w:r w:rsidRPr="00150637">
        <w:rPr>
          <w:rFonts w:cs="Arial"/>
          <w:sz w:val="18"/>
          <w:szCs w:val="18"/>
        </w:rPr>
        <w:t xml:space="preserve"> (report to the Minister for Sustainability, Environment, Water, Population &amp; Communities), ‘In brief’ at 9; see </w:t>
      </w:r>
      <w:hyperlink r:id="rId12" w:history="1">
        <w:proofErr w:type="spellStart"/>
        <w:r w:rsidRPr="00150637">
          <w:rPr>
            <w:rStyle w:val="Hyperlink"/>
            <w:rFonts w:cs="Arial"/>
            <w:color w:val="auto"/>
            <w:sz w:val="18"/>
            <w:szCs w:val="18"/>
          </w:rPr>
          <w:t>www.environment.gov.au</w:t>
        </w:r>
        <w:proofErr w:type="spellEnd"/>
      </w:hyperlink>
      <w:r w:rsidRPr="00150637">
        <w:rPr>
          <w:rFonts w:cs="Arial"/>
          <w:sz w:val="18"/>
          <w:szCs w:val="18"/>
        </w:rPr>
        <w:t xml:space="preserve">. </w:t>
      </w:r>
    </w:p>
  </w:footnote>
  <w:footnote w:id="1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i/>
          <w:sz w:val="18"/>
          <w:szCs w:val="18"/>
        </w:rPr>
        <w:t>State of the Environment 2011</w:t>
      </w:r>
      <w:r w:rsidRPr="00150637">
        <w:rPr>
          <w:rFonts w:cs="Arial"/>
          <w:sz w:val="18"/>
          <w:szCs w:val="18"/>
        </w:rPr>
        <w:t>, ‘Headlines’. The Report also notes: ‘Our unique biodiversity is in decline, and new approaches will be needed to prevent accelerating decline in many species’ (summary p 4).</w:t>
      </w:r>
    </w:p>
  </w:footnote>
  <w:footnote w:id="18">
    <w:p w:rsidR="00946D6B" w:rsidRPr="00150637" w:rsidRDefault="00946D6B" w:rsidP="00006551">
      <w:pPr>
        <w:pStyle w:val="ListBullet"/>
        <w:numPr>
          <w:ilvl w:val="0"/>
          <w:numId w:val="0"/>
        </w:numPr>
        <w:spacing w:before="0" w:line="240" w:lineRule="auto"/>
        <w:rPr>
          <w:rFonts w:ascii="Arial" w:hAnsi="Arial" w:cs="Arial"/>
          <w:b/>
          <w:bCs/>
          <w:sz w:val="18"/>
          <w:szCs w:val="18"/>
        </w:rPr>
      </w:pPr>
      <w:r w:rsidRPr="00150637">
        <w:rPr>
          <w:rStyle w:val="FootnoteReference"/>
          <w:rFonts w:ascii="Arial" w:hAnsi="Arial" w:cs="Arial"/>
          <w:sz w:val="18"/>
          <w:szCs w:val="18"/>
        </w:rPr>
        <w:footnoteRef/>
      </w:r>
      <w:r w:rsidRPr="00150637">
        <w:rPr>
          <w:rFonts w:ascii="Arial" w:hAnsi="Arial" w:cs="Arial"/>
          <w:sz w:val="18"/>
          <w:szCs w:val="18"/>
        </w:rPr>
        <w:t xml:space="preserve"> </w:t>
      </w:r>
      <w:r w:rsidRPr="00150637">
        <w:rPr>
          <w:rFonts w:ascii="Arial" w:hAnsi="Arial" w:cs="Arial"/>
          <w:i/>
          <w:sz w:val="18"/>
          <w:szCs w:val="18"/>
        </w:rPr>
        <w:t xml:space="preserve">Productivity Commission Act 1998 </w:t>
      </w:r>
      <w:r w:rsidRPr="00150637">
        <w:rPr>
          <w:rFonts w:ascii="Arial" w:hAnsi="Arial" w:cs="Arial"/>
          <w:sz w:val="18"/>
          <w:szCs w:val="18"/>
        </w:rPr>
        <w:t>(</w:t>
      </w:r>
      <w:proofErr w:type="spellStart"/>
      <w:r w:rsidRPr="00150637">
        <w:rPr>
          <w:rFonts w:ascii="Arial" w:hAnsi="Arial" w:cs="Arial"/>
          <w:sz w:val="18"/>
          <w:szCs w:val="18"/>
        </w:rPr>
        <w:t>Cth</w:t>
      </w:r>
      <w:proofErr w:type="spellEnd"/>
      <w:r w:rsidRPr="00150637">
        <w:rPr>
          <w:rFonts w:ascii="Arial" w:hAnsi="Arial" w:cs="Arial"/>
          <w:sz w:val="18"/>
          <w:szCs w:val="18"/>
        </w:rPr>
        <w:t xml:space="preserve">), </w:t>
      </w:r>
      <w:proofErr w:type="spellStart"/>
      <w:r w:rsidRPr="00150637">
        <w:rPr>
          <w:rFonts w:ascii="Arial" w:hAnsi="Arial" w:cs="Arial"/>
          <w:sz w:val="18"/>
          <w:szCs w:val="18"/>
        </w:rPr>
        <w:t>subss</w:t>
      </w:r>
      <w:proofErr w:type="spellEnd"/>
      <w:r w:rsidRPr="00150637">
        <w:rPr>
          <w:rFonts w:ascii="Arial" w:hAnsi="Arial" w:cs="Arial"/>
          <w:sz w:val="18"/>
          <w:szCs w:val="18"/>
        </w:rPr>
        <w:t xml:space="preserve"> 10(1)(</w:t>
      </w:r>
      <w:proofErr w:type="spellStart"/>
      <w:r w:rsidRPr="00150637">
        <w:rPr>
          <w:rFonts w:ascii="Arial" w:hAnsi="Arial" w:cs="Arial"/>
          <w:sz w:val="18"/>
          <w:szCs w:val="18"/>
        </w:rPr>
        <w:t>i</w:t>
      </w:r>
      <w:proofErr w:type="spellEnd"/>
      <w:r w:rsidRPr="00150637">
        <w:rPr>
          <w:rFonts w:ascii="Arial" w:hAnsi="Arial" w:cs="Arial"/>
          <w:sz w:val="18"/>
          <w:szCs w:val="18"/>
        </w:rPr>
        <w:t>) and (j). In addition, ‘At least one Commissioner must have extensive skills and experience in applying the principles of ecologically sustainable development and environmental conservation’ (s 24(3)).</w:t>
      </w:r>
    </w:p>
  </w:footnote>
  <w:footnote w:id="1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COAG Communique, 13</w:t>
      </w:r>
      <w:r w:rsidRPr="00150637">
        <w:rPr>
          <w:rFonts w:cs="Arial"/>
          <w:sz w:val="18"/>
          <w:szCs w:val="18"/>
          <w:vertAlign w:val="superscript"/>
        </w:rPr>
        <w:t>th</w:t>
      </w:r>
      <w:r w:rsidRPr="00150637">
        <w:rPr>
          <w:rFonts w:cs="Arial"/>
          <w:sz w:val="18"/>
          <w:szCs w:val="18"/>
        </w:rPr>
        <w:t xml:space="preserve"> April 2012, p 2 at &lt; </w:t>
      </w:r>
      <w:hyperlink r:id="rId13" w:history="1">
        <w:r w:rsidRPr="00150637">
          <w:rPr>
            <w:rStyle w:val="Hyperlink"/>
            <w:rFonts w:cs="Arial"/>
            <w:color w:val="auto"/>
            <w:sz w:val="18"/>
            <w:szCs w:val="18"/>
          </w:rPr>
          <w:t>http://</w:t>
        </w:r>
        <w:proofErr w:type="spellStart"/>
        <w:r w:rsidRPr="00150637">
          <w:rPr>
            <w:rStyle w:val="Hyperlink"/>
            <w:rFonts w:cs="Arial"/>
            <w:color w:val="auto"/>
            <w:sz w:val="18"/>
            <w:szCs w:val="18"/>
          </w:rPr>
          <w:t>www.coag.gov.au</w:t>
        </w:r>
        <w:proofErr w:type="spellEnd"/>
        <w:r w:rsidRPr="00150637">
          <w:rPr>
            <w:rStyle w:val="Hyperlink"/>
            <w:rFonts w:cs="Arial"/>
            <w:color w:val="auto"/>
            <w:sz w:val="18"/>
            <w:szCs w:val="18"/>
          </w:rPr>
          <w:t>/</w:t>
        </w:r>
        <w:proofErr w:type="spellStart"/>
        <w:r w:rsidRPr="00150637">
          <w:rPr>
            <w:rStyle w:val="Hyperlink"/>
            <w:rFonts w:cs="Arial"/>
            <w:color w:val="auto"/>
            <w:sz w:val="18"/>
            <w:szCs w:val="18"/>
          </w:rPr>
          <w:t>meeting_outcomes</w:t>
        </w:r>
        <w:proofErr w:type="spellEnd"/>
      </w:hyperlink>
      <w:r w:rsidRPr="00150637">
        <w:rPr>
          <w:rFonts w:cs="Arial"/>
          <w:sz w:val="18"/>
          <w:szCs w:val="18"/>
        </w:rPr>
        <w:t>&gt;.</w:t>
      </w:r>
    </w:p>
  </w:footnote>
  <w:footnote w:id="20">
    <w:p w:rsidR="00946D6B" w:rsidRPr="00150637" w:rsidRDefault="00946D6B" w:rsidP="00006551">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See the Business Advisory Forum communique 12 April 2013, at </w:t>
      </w:r>
      <w:hyperlink r:id="rId14" w:history="1">
        <w:r w:rsidRPr="00150637">
          <w:rPr>
            <w:rStyle w:val="Hyperlink"/>
            <w:rFonts w:cs="Arial"/>
            <w:color w:val="auto"/>
            <w:sz w:val="18"/>
            <w:szCs w:val="18"/>
          </w:rPr>
          <w:t>www.pm.gov.au/press-office/council-australian-governments-business-advisory-forum-communiqu%C3%A9</w:t>
        </w:r>
      </w:hyperlink>
      <w:r w:rsidRPr="00150637">
        <w:rPr>
          <w:rFonts w:cs="Arial"/>
          <w:sz w:val="18"/>
          <w:szCs w:val="18"/>
        </w:rPr>
        <w:t xml:space="preserve">; and the Business Council of Australia’s discussion paper for the Business Advisory Forum, at </w:t>
      </w:r>
      <w:hyperlink r:id="rId15" w:history="1">
        <w:proofErr w:type="spellStart"/>
        <w:r w:rsidRPr="00150637">
          <w:rPr>
            <w:rStyle w:val="Hyperlink"/>
            <w:rFonts w:cs="Arial"/>
            <w:color w:val="auto"/>
            <w:sz w:val="18"/>
            <w:szCs w:val="18"/>
          </w:rPr>
          <w:t>www.bca.com.au</w:t>
        </w:r>
        <w:proofErr w:type="spellEnd"/>
        <w:r w:rsidRPr="00150637">
          <w:rPr>
            <w:rStyle w:val="Hyperlink"/>
            <w:rFonts w:cs="Arial"/>
            <w:color w:val="auto"/>
            <w:sz w:val="18"/>
            <w:szCs w:val="18"/>
          </w:rPr>
          <w:t>/Content/</w:t>
        </w:r>
        <w:proofErr w:type="spellStart"/>
        <w:r w:rsidRPr="00150637">
          <w:rPr>
            <w:rStyle w:val="Hyperlink"/>
            <w:rFonts w:cs="Arial"/>
            <w:color w:val="auto"/>
            <w:sz w:val="18"/>
            <w:szCs w:val="18"/>
          </w:rPr>
          <w:t>101965.aspx</w:t>
        </w:r>
        <w:proofErr w:type="spellEnd"/>
      </w:hyperlink>
      <w:r w:rsidRPr="00150637">
        <w:rPr>
          <w:rFonts w:cs="Arial"/>
          <w:sz w:val="18"/>
          <w:szCs w:val="18"/>
        </w:rPr>
        <w:t>.</w:t>
      </w:r>
    </w:p>
  </w:footnote>
  <w:footnote w:id="2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further analysis of these concerns see: </w:t>
      </w:r>
      <w:proofErr w:type="spellStart"/>
      <w:r w:rsidRPr="00150637">
        <w:rPr>
          <w:rFonts w:cs="Arial"/>
          <w:sz w:val="18"/>
          <w:szCs w:val="18"/>
        </w:rPr>
        <w:t>ANEDO</w:t>
      </w:r>
      <w:proofErr w:type="spellEnd"/>
      <w:r w:rsidRPr="00150637">
        <w:rPr>
          <w:rFonts w:cs="Arial"/>
          <w:sz w:val="18"/>
          <w:szCs w:val="18"/>
        </w:rPr>
        <w:t xml:space="preserve">, </w:t>
      </w:r>
      <w:r w:rsidRPr="00150637">
        <w:rPr>
          <w:rFonts w:cs="Arial"/>
          <w:i/>
          <w:sz w:val="18"/>
          <w:szCs w:val="18"/>
        </w:rPr>
        <w:t xml:space="preserve">COAG Environmental Reform Agenda – </w:t>
      </w:r>
      <w:proofErr w:type="spellStart"/>
      <w:r w:rsidRPr="00150637">
        <w:rPr>
          <w:rFonts w:cs="Arial"/>
          <w:i/>
          <w:sz w:val="18"/>
          <w:szCs w:val="18"/>
        </w:rPr>
        <w:t>ANEDO</w:t>
      </w:r>
      <w:proofErr w:type="spellEnd"/>
      <w:r w:rsidRPr="00150637">
        <w:rPr>
          <w:rFonts w:cs="Arial"/>
          <w:i/>
          <w:sz w:val="18"/>
          <w:szCs w:val="18"/>
        </w:rPr>
        <w:t xml:space="preserve"> Response: In defence of Environmental Laws</w:t>
      </w:r>
      <w:r w:rsidRPr="00150637">
        <w:rPr>
          <w:rFonts w:cs="Arial"/>
          <w:sz w:val="18"/>
          <w:szCs w:val="18"/>
        </w:rPr>
        <w:t xml:space="preserve">, May 2012, available at: </w:t>
      </w:r>
      <w:hyperlink r:id="rId16" w:history="1">
        <w:r w:rsidRPr="00150637">
          <w:rPr>
            <w:rStyle w:val="Hyperlink"/>
            <w:rFonts w:cs="Arial"/>
            <w:color w:val="auto"/>
            <w:sz w:val="18"/>
            <w:szCs w:val="18"/>
          </w:rPr>
          <w:t>http://</w:t>
        </w:r>
        <w:proofErr w:type="spellStart"/>
        <w:r w:rsidRPr="00150637">
          <w:rPr>
            <w:rStyle w:val="Hyperlink"/>
            <w:rFonts w:cs="Arial"/>
            <w:color w:val="auto"/>
            <w:sz w:val="18"/>
            <w:szCs w:val="18"/>
          </w:rPr>
          <w:t>www.edovic.org.au</w:t>
        </w:r>
        <w:proofErr w:type="spellEnd"/>
      </w:hyperlink>
      <w:r w:rsidRPr="00150637">
        <w:rPr>
          <w:rFonts w:cs="Arial"/>
          <w:sz w:val="18"/>
          <w:szCs w:val="18"/>
        </w:rPr>
        <w:t xml:space="preserve">.  </w:t>
      </w:r>
    </w:p>
  </w:footnote>
  <w:footnote w:id="22">
    <w:p w:rsidR="00946D6B" w:rsidRPr="004D6F76" w:rsidRDefault="00946D6B">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See Environment Protection and Biodiversity Conservation Amendment Bill 2013 at http://parlinfo.aph.gov.au/parlInfo/download/legislation/bills/r5001_first-reps/toc_pdf/13055b01.pdf;fileType=application%2Fpdf#search=%22legislation/bills/r5001_first-reps/0000%22</w:t>
      </w:r>
    </w:p>
  </w:footnote>
  <w:footnote w:id="23">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Environment &amp; Communications Legislation Committee Report on the Inquiry in to the </w:t>
      </w:r>
      <w:proofErr w:type="spellStart"/>
      <w:r w:rsidRPr="00150637">
        <w:rPr>
          <w:rFonts w:cs="Arial"/>
          <w:sz w:val="18"/>
          <w:szCs w:val="18"/>
        </w:rPr>
        <w:t>EPBC</w:t>
      </w:r>
      <w:proofErr w:type="spellEnd"/>
      <w:r w:rsidRPr="00150637">
        <w:rPr>
          <w:rFonts w:cs="Arial"/>
          <w:sz w:val="18"/>
          <w:szCs w:val="18"/>
        </w:rPr>
        <w:t xml:space="preserve"> Amendment (Retaining Federal Approval Powers) Bill 2012, March 2013.</w:t>
      </w:r>
    </w:p>
  </w:footnote>
  <w:footnote w:id="2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see analysis of Part </w:t>
      </w:r>
      <w:proofErr w:type="spellStart"/>
      <w:r w:rsidRPr="00150637">
        <w:rPr>
          <w:rFonts w:cs="Arial"/>
          <w:sz w:val="18"/>
          <w:szCs w:val="18"/>
        </w:rPr>
        <w:t>3A</w:t>
      </w:r>
      <w:proofErr w:type="spellEnd"/>
      <w:r w:rsidRPr="00150637">
        <w:rPr>
          <w:rFonts w:cs="Arial"/>
          <w:sz w:val="18"/>
          <w:szCs w:val="18"/>
        </w:rPr>
        <w:t xml:space="preserve"> of the </w:t>
      </w:r>
      <w:r w:rsidRPr="00150637">
        <w:rPr>
          <w:rFonts w:cs="Arial"/>
          <w:i/>
          <w:sz w:val="18"/>
          <w:szCs w:val="18"/>
        </w:rPr>
        <w:t>Environmental Planning &amp; Assessment Act 1979</w:t>
      </w:r>
      <w:r w:rsidRPr="00150637">
        <w:rPr>
          <w:rFonts w:cs="Arial"/>
          <w:sz w:val="18"/>
          <w:szCs w:val="18"/>
        </w:rPr>
        <w:t xml:space="preserve"> (NSW), which has now been repealed. Analysis and case studies of Part </w:t>
      </w:r>
      <w:proofErr w:type="spellStart"/>
      <w:r w:rsidRPr="00150637">
        <w:rPr>
          <w:rFonts w:cs="Arial"/>
          <w:sz w:val="18"/>
          <w:szCs w:val="18"/>
        </w:rPr>
        <w:t>3A</w:t>
      </w:r>
      <w:proofErr w:type="spellEnd"/>
      <w:r w:rsidRPr="00150637">
        <w:rPr>
          <w:rFonts w:cs="Arial"/>
          <w:sz w:val="18"/>
          <w:szCs w:val="18"/>
        </w:rPr>
        <w:t xml:space="preserve"> processes are set out in EDO NSW planning submissions available at: &lt;</w:t>
      </w:r>
      <w:proofErr w:type="spellStart"/>
      <w:r w:rsidRPr="00150637">
        <w:rPr>
          <w:rFonts w:cs="Arial"/>
          <w:sz w:val="18"/>
          <w:szCs w:val="18"/>
        </w:rPr>
        <w:t>www.edonsw.org.au</w:t>
      </w:r>
      <w:proofErr w:type="spellEnd"/>
      <w:r w:rsidRPr="00150637">
        <w:rPr>
          <w:rFonts w:cs="Arial"/>
          <w:sz w:val="18"/>
          <w:szCs w:val="18"/>
        </w:rPr>
        <w:t>&gt;.</w:t>
      </w:r>
    </w:p>
  </w:footnote>
  <w:footnote w:id="2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Available at: </w:t>
      </w:r>
      <w:proofErr w:type="spellStart"/>
      <w:r w:rsidRPr="00150637">
        <w:rPr>
          <w:rFonts w:cs="Arial"/>
          <w:sz w:val="18"/>
          <w:szCs w:val="18"/>
        </w:rPr>
        <w:t>www.edo.org.au</w:t>
      </w:r>
      <w:proofErr w:type="spellEnd"/>
      <w:r w:rsidRPr="00150637">
        <w:rPr>
          <w:rFonts w:cs="Arial"/>
          <w:sz w:val="18"/>
          <w:szCs w:val="18"/>
        </w:rPr>
        <w:t>.</w:t>
      </w:r>
    </w:p>
  </w:footnote>
  <w:footnote w:id="26">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Available at: </w:t>
      </w:r>
      <w:proofErr w:type="spellStart"/>
      <w:r w:rsidRPr="00150637">
        <w:rPr>
          <w:rFonts w:cs="Arial"/>
          <w:sz w:val="18"/>
          <w:szCs w:val="18"/>
        </w:rPr>
        <w:t>www.edo.org.au</w:t>
      </w:r>
      <w:proofErr w:type="spellEnd"/>
      <w:r w:rsidRPr="00150637">
        <w:rPr>
          <w:rFonts w:cs="Arial"/>
          <w:sz w:val="18"/>
          <w:szCs w:val="18"/>
        </w:rPr>
        <w:t>.</w:t>
      </w:r>
    </w:p>
  </w:footnote>
  <w:footnote w:id="27">
    <w:p w:rsidR="00946D6B" w:rsidRPr="00150637" w:rsidRDefault="00946D6B" w:rsidP="00006551">
      <w:pPr>
        <w:rPr>
          <w:rFonts w:cs="Arial"/>
          <w:sz w:val="18"/>
          <w:szCs w:val="18"/>
        </w:rPr>
      </w:pPr>
      <w:r w:rsidRPr="00150637">
        <w:rPr>
          <w:rStyle w:val="FootnoteReference"/>
          <w:rFonts w:cs="Arial"/>
          <w:sz w:val="18"/>
          <w:szCs w:val="18"/>
        </w:rPr>
        <w:footnoteRef/>
      </w:r>
      <w:r w:rsidRPr="00150637">
        <w:rPr>
          <w:rFonts w:cs="Arial"/>
          <w:sz w:val="18"/>
          <w:szCs w:val="18"/>
        </w:rPr>
        <w:t xml:space="preserve"> In June 2012, </w:t>
      </w:r>
      <w:proofErr w:type="spellStart"/>
      <w:r w:rsidRPr="00150637">
        <w:rPr>
          <w:rFonts w:cs="Arial"/>
          <w:sz w:val="18"/>
          <w:szCs w:val="18"/>
        </w:rPr>
        <w:t>ANEDO</w:t>
      </w:r>
      <w:proofErr w:type="spellEnd"/>
      <w:r w:rsidRPr="00150637">
        <w:rPr>
          <w:rFonts w:cs="Arial"/>
          <w:sz w:val="18"/>
          <w:szCs w:val="18"/>
        </w:rPr>
        <w:t xml:space="preserve"> prepared a series of best practice standards for planning and environmental regulation in response to COAG’s April 2012 reform announcements. See below.</w:t>
      </w:r>
    </w:p>
  </w:footnote>
  <w:footnote w:id="28">
    <w:p w:rsidR="00946D6B" w:rsidRPr="00150637" w:rsidRDefault="00946D6B" w:rsidP="00006551">
      <w:pPr>
        <w:pStyle w:val="ListBullet"/>
        <w:numPr>
          <w:ilvl w:val="0"/>
          <w:numId w:val="0"/>
        </w:numPr>
        <w:spacing w:before="0" w:line="240" w:lineRule="auto"/>
        <w:jc w:val="left"/>
        <w:rPr>
          <w:rFonts w:ascii="Arial" w:hAnsi="Arial" w:cs="Arial"/>
          <w:sz w:val="18"/>
          <w:szCs w:val="18"/>
        </w:rPr>
      </w:pPr>
      <w:r w:rsidRPr="00150637">
        <w:rPr>
          <w:rStyle w:val="FootnoteReference"/>
          <w:rFonts w:ascii="Arial" w:hAnsi="Arial" w:cs="Arial"/>
          <w:sz w:val="18"/>
          <w:szCs w:val="18"/>
        </w:rPr>
        <w:footnoteRef/>
      </w:r>
      <w:r w:rsidRPr="00150637">
        <w:rPr>
          <w:rFonts w:ascii="Arial" w:hAnsi="Arial" w:cs="Arial"/>
          <w:sz w:val="18"/>
          <w:szCs w:val="18"/>
        </w:rPr>
        <w:t xml:space="preserve"> See </w:t>
      </w:r>
      <w:r w:rsidRPr="00150637">
        <w:rPr>
          <w:rFonts w:ascii="Arial" w:hAnsi="Arial" w:cs="Arial"/>
          <w:sz w:val="18"/>
          <w:szCs w:val="18"/>
          <w:lang w:eastAsia="en-US"/>
        </w:rPr>
        <w:t xml:space="preserve">Productivity Commission Issues Paper, </w:t>
      </w:r>
      <w:proofErr w:type="spellStart"/>
      <w:r w:rsidRPr="00150637">
        <w:rPr>
          <w:rFonts w:ascii="Arial" w:hAnsi="Arial" w:cs="Arial"/>
          <w:sz w:val="18"/>
          <w:szCs w:val="18"/>
          <w:lang w:eastAsia="en-US"/>
        </w:rPr>
        <w:t>pp</w:t>
      </w:r>
      <w:proofErr w:type="spellEnd"/>
      <w:r w:rsidRPr="00150637">
        <w:rPr>
          <w:rFonts w:ascii="Arial" w:hAnsi="Arial" w:cs="Arial"/>
          <w:sz w:val="18"/>
          <w:szCs w:val="18"/>
          <w:lang w:eastAsia="en-US"/>
        </w:rPr>
        <w:t xml:space="preserve"> 8-9</w:t>
      </w:r>
      <w:r w:rsidRPr="00150637">
        <w:rPr>
          <w:rFonts w:ascii="Arial" w:hAnsi="Arial" w:cs="Arial"/>
          <w:sz w:val="18"/>
          <w:szCs w:val="18"/>
        </w:rPr>
        <w:t xml:space="preserve">. The Commission’s proposed assessment criteria include:  </w:t>
      </w:r>
      <w:r w:rsidRPr="00150637">
        <w:rPr>
          <w:rFonts w:ascii="Arial" w:hAnsi="Arial" w:cs="Arial"/>
          <w:i/>
          <w:sz w:val="18"/>
          <w:szCs w:val="18"/>
        </w:rPr>
        <w:t>Clear, justifiable regulatory objectives; Consistency with other regulations; Cost</w:t>
      </w:r>
      <w:r w:rsidRPr="00150637">
        <w:rPr>
          <w:rFonts w:ascii="Arial" w:hAnsi="Arial" w:cs="Arial"/>
          <w:i/>
          <w:sz w:val="18"/>
          <w:szCs w:val="18"/>
        </w:rPr>
        <w:noBreakHyphen/>
        <w:t>effectiveness; Proportionate and flexible regulatory requirements; Clear and predictable processes; Open and transparent processes; Appropriate opportunities for public participation and review of decisions; Clarity in roles and responsibilities; Accountable decision-makers; Appropriately skilled and resourced institutions; Regulatory outcomes consistent with objectives; Regular review and evaluation.</w:t>
      </w:r>
    </w:p>
  </w:footnote>
  <w:footnote w:id="29">
    <w:p w:rsidR="00946D6B" w:rsidRPr="00150637" w:rsidRDefault="00946D6B" w:rsidP="00006551">
      <w:pPr>
        <w:pStyle w:val="FootnoteText"/>
        <w:rPr>
          <w:rFonts w:cs="Arial"/>
          <w:sz w:val="18"/>
          <w:szCs w:val="18"/>
        </w:rPr>
      </w:pPr>
      <w:r w:rsidRPr="00150637">
        <w:rPr>
          <w:rStyle w:val="FootnoteReference"/>
          <w:rFonts w:eastAsia="Calibri" w:cs="Arial"/>
          <w:sz w:val="18"/>
          <w:szCs w:val="18"/>
        </w:rPr>
        <w:footnoteRef/>
      </w:r>
      <w:r w:rsidRPr="00150637">
        <w:rPr>
          <w:rFonts w:cs="Arial"/>
          <w:sz w:val="18"/>
          <w:szCs w:val="18"/>
        </w:rPr>
        <w:t xml:space="preserve"> Productivity Commission, </w:t>
      </w:r>
      <w:r w:rsidRPr="00150637">
        <w:rPr>
          <w:rFonts w:cs="Arial"/>
          <w:i/>
          <w:sz w:val="18"/>
          <w:szCs w:val="18"/>
        </w:rPr>
        <w:t xml:space="preserve">Performance Benchmarking of Australian Business Regulation: Planning, Zoning and Development Assessments </w:t>
      </w:r>
      <w:r w:rsidRPr="00150637">
        <w:rPr>
          <w:rFonts w:cs="Arial"/>
          <w:sz w:val="18"/>
          <w:szCs w:val="18"/>
        </w:rPr>
        <w:t>(April 2011), Vol. 1, p xxviii.</w:t>
      </w:r>
    </w:p>
  </w:footnote>
  <w:footnote w:id="3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Dr Martin Parkinson, ‘</w:t>
      </w:r>
      <w:r w:rsidRPr="00150637">
        <w:rPr>
          <w:rFonts w:cs="Arial"/>
          <w:i/>
          <w:iCs/>
          <w:sz w:val="18"/>
          <w:szCs w:val="18"/>
        </w:rPr>
        <w:t>Sustainable Wellbeing- An Economic Future for Australia’</w:t>
      </w:r>
      <w:r w:rsidRPr="00150637">
        <w:rPr>
          <w:rFonts w:cs="Arial"/>
          <w:sz w:val="18"/>
          <w:szCs w:val="18"/>
        </w:rPr>
        <w:t xml:space="preserve">, Address for the </w:t>
      </w:r>
      <w:proofErr w:type="spellStart"/>
      <w:r w:rsidRPr="00150637">
        <w:rPr>
          <w:rFonts w:cs="Arial"/>
          <w:sz w:val="18"/>
          <w:szCs w:val="18"/>
        </w:rPr>
        <w:t>Shann</w:t>
      </w:r>
      <w:proofErr w:type="spellEnd"/>
      <w:r w:rsidRPr="00150637">
        <w:rPr>
          <w:rFonts w:cs="Arial"/>
          <w:sz w:val="18"/>
          <w:szCs w:val="18"/>
        </w:rPr>
        <w:t xml:space="preserve"> Memorial Lecture Series (August 2011), available at </w:t>
      </w:r>
      <w:hyperlink r:id="rId17" w:history="1">
        <w:proofErr w:type="spellStart"/>
        <w:r w:rsidRPr="00150637">
          <w:rPr>
            <w:rStyle w:val="Hyperlink"/>
            <w:rFonts w:cs="Arial"/>
            <w:color w:val="auto"/>
            <w:sz w:val="18"/>
            <w:szCs w:val="18"/>
          </w:rPr>
          <w:t>www.treasury.gov.au</w:t>
        </w:r>
        <w:proofErr w:type="spellEnd"/>
      </w:hyperlink>
      <w:r w:rsidRPr="00150637">
        <w:rPr>
          <w:rFonts w:cs="Arial"/>
          <w:sz w:val="18"/>
          <w:szCs w:val="18"/>
        </w:rPr>
        <w:t xml:space="preserve">. </w:t>
      </w:r>
    </w:p>
  </w:footnote>
  <w:footnote w:id="3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NSW Government, </w:t>
      </w:r>
      <w:r w:rsidRPr="00150637">
        <w:rPr>
          <w:rFonts w:cs="Arial"/>
          <w:i/>
          <w:sz w:val="18"/>
          <w:szCs w:val="18"/>
        </w:rPr>
        <w:t>A New Planning System  for NSW – Green Paper</w:t>
      </w:r>
      <w:r w:rsidRPr="00150637">
        <w:rPr>
          <w:rFonts w:cs="Arial"/>
          <w:sz w:val="18"/>
          <w:szCs w:val="18"/>
        </w:rPr>
        <w:t xml:space="preserve"> (July 2012); Queensland Government, </w:t>
      </w:r>
      <w:r w:rsidRPr="00150637">
        <w:rPr>
          <w:rFonts w:cs="Arial"/>
          <w:i/>
          <w:sz w:val="18"/>
          <w:szCs w:val="18"/>
        </w:rPr>
        <w:t>Temporary State Planning Policy 2/12: Planning for Prosperity</w:t>
      </w:r>
      <w:r w:rsidRPr="00150637">
        <w:rPr>
          <w:rFonts w:cs="Arial"/>
          <w:sz w:val="18"/>
          <w:szCs w:val="18"/>
        </w:rPr>
        <w:t xml:space="preserve"> (August 2012), Preamble.</w:t>
      </w:r>
    </w:p>
  </w:footnote>
  <w:footnote w:id="32">
    <w:p w:rsidR="00946D6B" w:rsidRPr="00150637" w:rsidRDefault="00946D6B" w:rsidP="008A145C">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 Bates, </w:t>
      </w:r>
      <w:r w:rsidRPr="00150637">
        <w:rPr>
          <w:rFonts w:cs="Arial"/>
          <w:i/>
          <w:sz w:val="18"/>
          <w:szCs w:val="18"/>
        </w:rPr>
        <w:t>Environmental Law in Australia</w:t>
      </w:r>
      <w:r w:rsidRPr="00150637">
        <w:rPr>
          <w:rFonts w:cs="Arial"/>
          <w:sz w:val="18"/>
          <w:szCs w:val="18"/>
        </w:rPr>
        <w:t xml:space="preserve"> (5</w:t>
      </w:r>
      <w:r w:rsidRPr="00150637">
        <w:rPr>
          <w:rFonts w:cs="Arial"/>
          <w:sz w:val="18"/>
          <w:szCs w:val="18"/>
          <w:vertAlign w:val="superscript"/>
        </w:rPr>
        <w:t>th</w:t>
      </w:r>
      <w:r w:rsidRPr="00150637">
        <w:rPr>
          <w:rFonts w:cs="Arial"/>
          <w:sz w:val="18"/>
          <w:szCs w:val="18"/>
        </w:rPr>
        <w:t xml:space="preserve"> ed, LexisNexis, 2002), </w:t>
      </w:r>
      <w:proofErr w:type="spellStart"/>
      <w:r w:rsidRPr="00150637">
        <w:rPr>
          <w:rFonts w:cs="Arial"/>
          <w:sz w:val="18"/>
          <w:szCs w:val="18"/>
        </w:rPr>
        <w:t>para</w:t>
      </w:r>
      <w:proofErr w:type="spellEnd"/>
      <w:r w:rsidRPr="00150637">
        <w:rPr>
          <w:rFonts w:cs="Arial"/>
          <w:sz w:val="18"/>
          <w:szCs w:val="18"/>
        </w:rPr>
        <w:t xml:space="preserve"> [5.19]-[5.20], cited by D. Farrier, et al, ‘Biodiversity offsets and native vegetation clearance in New South Wales: The rural/urban divide in the pursuit of ecological sustainable development’ (2007) 24 </w:t>
      </w:r>
      <w:proofErr w:type="spellStart"/>
      <w:r w:rsidRPr="00150637">
        <w:rPr>
          <w:rFonts w:cs="Arial"/>
          <w:sz w:val="18"/>
          <w:szCs w:val="18"/>
        </w:rPr>
        <w:t>EPLJ</w:t>
      </w:r>
      <w:proofErr w:type="spellEnd"/>
      <w:r w:rsidRPr="00150637">
        <w:rPr>
          <w:rFonts w:cs="Arial"/>
          <w:sz w:val="18"/>
          <w:szCs w:val="18"/>
        </w:rPr>
        <w:t xml:space="preserve"> 427.</w:t>
      </w:r>
    </w:p>
  </w:footnote>
  <w:footnote w:id="33">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That a lack of full scientific certainty should not be used as a reason for postponing measures to prevent significant or irreversible environmental harm. In legal terms, where there is sufficient uncertainty, this principle reverses the onus of proof, requiring the proponent to prove the harm would </w:t>
      </w:r>
      <w:r w:rsidRPr="00150637">
        <w:rPr>
          <w:rFonts w:cs="Arial"/>
          <w:i/>
          <w:sz w:val="18"/>
          <w:szCs w:val="18"/>
        </w:rPr>
        <w:t>not</w:t>
      </w:r>
      <w:r w:rsidRPr="00150637">
        <w:rPr>
          <w:rFonts w:cs="Arial"/>
          <w:sz w:val="18"/>
          <w:szCs w:val="18"/>
        </w:rPr>
        <w:t xml:space="preserve"> be significant.</w:t>
      </w:r>
    </w:p>
  </w:footnote>
  <w:footnote w:id="34">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Maintaining and protecting the </w:t>
      </w:r>
      <w:proofErr w:type="spellStart"/>
      <w:r w:rsidRPr="00150637">
        <w:rPr>
          <w:rFonts w:cs="Arial"/>
          <w:sz w:val="18"/>
          <w:szCs w:val="18"/>
        </w:rPr>
        <w:t>the</w:t>
      </w:r>
      <w:proofErr w:type="spellEnd"/>
      <w:r w:rsidRPr="00150637">
        <w:rPr>
          <w:rFonts w:cs="Arial"/>
          <w:sz w:val="18"/>
          <w:szCs w:val="18"/>
        </w:rPr>
        <w:t xml:space="preserve"> health, diversity and productivity of the environment and natural resources for future generations.</w:t>
      </w:r>
    </w:p>
  </w:footnote>
  <w:footnote w:id="35">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Valuation of goods and services should include environmental factors (assets, services, costs).</w:t>
      </w:r>
    </w:p>
  </w:footnote>
  <w:footnote w:id="36">
    <w:p w:rsidR="00946D6B" w:rsidRPr="00150637" w:rsidRDefault="00946D6B" w:rsidP="00706802">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w:t>
      </w:r>
      <w:r w:rsidRPr="00150637">
        <w:rPr>
          <w:rFonts w:cs="Arial"/>
          <w:i/>
          <w:sz w:val="18"/>
          <w:szCs w:val="18"/>
          <w:lang w:val="en-US"/>
        </w:rPr>
        <w:t>Rio Declaration on Environment and Development 1992</w:t>
      </w:r>
      <w:r w:rsidRPr="00150637">
        <w:rPr>
          <w:rFonts w:cs="Arial"/>
          <w:sz w:val="18"/>
          <w:szCs w:val="18"/>
          <w:lang w:val="en-US"/>
        </w:rPr>
        <w:t xml:space="preserve">; </w:t>
      </w:r>
      <w:r w:rsidRPr="00150637">
        <w:rPr>
          <w:rFonts w:cs="Arial"/>
          <w:i/>
          <w:sz w:val="18"/>
          <w:szCs w:val="18"/>
        </w:rPr>
        <w:t>Environment Protection and Biodiversity Conservation Act 1999</w:t>
      </w:r>
      <w:r w:rsidRPr="00150637">
        <w:rPr>
          <w:rFonts w:cs="Arial"/>
          <w:sz w:val="18"/>
          <w:szCs w:val="18"/>
        </w:rPr>
        <w:t xml:space="preserve"> (</w:t>
      </w:r>
      <w:proofErr w:type="spellStart"/>
      <w:r w:rsidRPr="00150637">
        <w:rPr>
          <w:rFonts w:cs="Arial"/>
          <w:sz w:val="18"/>
          <w:szCs w:val="18"/>
        </w:rPr>
        <w:t>Cth</w:t>
      </w:r>
      <w:proofErr w:type="spellEnd"/>
      <w:r w:rsidRPr="00150637">
        <w:rPr>
          <w:rFonts w:cs="Arial"/>
          <w:sz w:val="18"/>
          <w:szCs w:val="18"/>
        </w:rPr>
        <w:t>) (</w:t>
      </w:r>
      <w:proofErr w:type="spellStart"/>
      <w:r w:rsidRPr="00150637">
        <w:rPr>
          <w:rFonts w:cs="Arial"/>
          <w:b/>
          <w:sz w:val="18"/>
          <w:szCs w:val="18"/>
        </w:rPr>
        <w:t>EPBC</w:t>
      </w:r>
      <w:proofErr w:type="spellEnd"/>
      <w:r w:rsidRPr="00150637">
        <w:rPr>
          <w:rFonts w:cs="Arial"/>
          <w:b/>
          <w:sz w:val="18"/>
          <w:szCs w:val="18"/>
        </w:rPr>
        <w:t xml:space="preserve"> Act</w:t>
      </w:r>
      <w:r w:rsidRPr="00150637">
        <w:rPr>
          <w:rFonts w:cs="Arial"/>
          <w:sz w:val="18"/>
          <w:szCs w:val="18"/>
        </w:rPr>
        <w:t xml:space="preserve">), </w:t>
      </w:r>
      <w:proofErr w:type="spellStart"/>
      <w:r w:rsidRPr="00150637">
        <w:rPr>
          <w:rFonts w:cs="Arial"/>
          <w:sz w:val="18"/>
          <w:szCs w:val="18"/>
        </w:rPr>
        <w:t>ss</w:t>
      </w:r>
      <w:proofErr w:type="spellEnd"/>
      <w:r w:rsidRPr="00150637">
        <w:rPr>
          <w:rFonts w:cs="Arial"/>
          <w:sz w:val="18"/>
          <w:szCs w:val="18"/>
        </w:rPr>
        <w:t xml:space="preserve"> 3-</w:t>
      </w:r>
      <w:proofErr w:type="spellStart"/>
      <w:r w:rsidRPr="00150637">
        <w:rPr>
          <w:rFonts w:cs="Arial"/>
          <w:sz w:val="18"/>
          <w:szCs w:val="18"/>
        </w:rPr>
        <w:t>3A</w:t>
      </w:r>
      <w:proofErr w:type="spellEnd"/>
      <w:r w:rsidRPr="00150637">
        <w:rPr>
          <w:rFonts w:cs="Arial"/>
          <w:sz w:val="18"/>
          <w:szCs w:val="18"/>
        </w:rPr>
        <w:t xml:space="preserve">; </w:t>
      </w:r>
      <w:r w:rsidRPr="00150637">
        <w:rPr>
          <w:rFonts w:cs="Arial"/>
          <w:i/>
          <w:sz w:val="18"/>
          <w:szCs w:val="18"/>
        </w:rPr>
        <w:t xml:space="preserve">Protection of the Environment Administration Act 1991 </w:t>
      </w:r>
      <w:r w:rsidRPr="00150637">
        <w:rPr>
          <w:rFonts w:cs="Arial"/>
          <w:sz w:val="18"/>
          <w:szCs w:val="18"/>
        </w:rPr>
        <w:t xml:space="preserve">(NSW), s 6(2); </w:t>
      </w:r>
      <w:r w:rsidRPr="00150637">
        <w:rPr>
          <w:rFonts w:cs="Arial"/>
          <w:i/>
          <w:sz w:val="18"/>
          <w:szCs w:val="18"/>
        </w:rPr>
        <w:t>Sustainable Planning Act 2009</w:t>
      </w:r>
      <w:r w:rsidRPr="00150637">
        <w:rPr>
          <w:rFonts w:cs="Arial"/>
          <w:sz w:val="18"/>
          <w:szCs w:val="18"/>
        </w:rPr>
        <w:t xml:space="preserve"> (QLD), </w:t>
      </w:r>
      <w:proofErr w:type="spellStart"/>
      <w:r w:rsidRPr="00150637">
        <w:rPr>
          <w:rFonts w:cs="Arial"/>
          <w:sz w:val="18"/>
          <w:szCs w:val="18"/>
        </w:rPr>
        <w:t>ss</w:t>
      </w:r>
      <w:proofErr w:type="spellEnd"/>
      <w:r w:rsidRPr="00150637">
        <w:rPr>
          <w:rFonts w:cs="Arial"/>
          <w:sz w:val="18"/>
          <w:szCs w:val="18"/>
        </w:rPr>
        <w:t xml:space="preserve"> 3-5. </w:t>
      </w:r>
    </w:p>
  </w:footnote>
  <w:footnote w:id="3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i/>
          <w:iCs/>
          <w:sz w:val="18"/>
          <w:szCs w:val="18"/>
        </w:rPr>
        <w:t>National Strategy for Ecologically Sustainable Development (1992)</w:t>
      </w:r>
      <w:r w:rsidRPr="00150637">
        <w:rPr>
          <w:rFonts w:cs="Arial"/>
          <w:sz w:val="18"/>
          <w:szCs w:val="18"/>
        </w:rPr>
        <w:t xml:space="preserve">, at </w:t>
      </w:r>
      <w:hyperlink r:id="rId18" w:history="1">
        <w:r w:rsidRPr="00150637">
          <w:rPr>
            <w:rStyle w:val="Hyperlink"/>
            <w:rFonts w:cs="Arial"/>
            <w:color w:val="auto"/>
            <w:sz w:val="18"/>
            <w:szCs w:val="18"/>
          </w:rPr>
          <w:t>http://</w:t>
        </w:r>
        <w:proofErr w:type="spellStart"/>
        <w:r w:rsidRPr="00150637">
          <w:rPr>
            <w:rStyle w:val="Hyperlink"/>
            <w:rFonts w:cs="Arial"/>
            <w:color w:val="auto"/>
            <w:sz w:val="18"/>
            <w:szCs w:val="18"/>
          </w:rPr>
          <w:t>www.environment.gov.au</w:t>
        </w:r>
        <w:proofErr w:type="spellEnd"/>
        <w:r w:rsidRPr="00150637">
          <w:rPr>
            <w:rStyle w:val="Hyperlink"/>
            <w:rFonts w:cs="Arial"/>
            <w:color w:val="auto"/>
            <w:sz w:val="18"/>
            <w:szCs w:val="18"/>
          </w:rPr>
          <w:t>/about/</w:t>
        </w:r>
        <w:proofErr w:type="spellStart"/>
        <w:r w:rsidRPr="00150637">
          <w:rPr>
            <w:rStyle w:val="Hyperlink"/>
            <w:rFonts w:cs="Arial"/>
            <w:color w:val="auto"/>
            <w:sz w:val="18"/>
            <w:szCs w:val="18"/>
          </w:rPr>
          <w:t>esd</w:t>
        </w:r>
        <w:proofErr w:type="spellEnd"/>
        <w:r w:rsidRPr="00150637">
          <w:rPr>
            <w:rStyle w:val="Hyperlink"/>
            <w:rFonts w:cs="Arial"/>
            <w:color w:val="auto"/>
            <w:sz w:val="18"/>
            <w:szCs w:val="18"/>
          </w:rPr>
          <w:t>/index.html</w:t>
        </w:r>
      </w:hyperlink>
      <w:r w:rsidRPr="00150637">
        <w:rPr>
          <w:rFonts w:cs="Arial"/>
          <w:sz w:val="18"/>
          <w:szCs w:val="18"/>
        </w:rPr>
        <w:t xml:space="preserve">; The National Strategy defines </w:t>
      </w:r>
      <w:proofErr w:type="spellStart"/>
      <w:r w:rsidRPr="00150637">
        <w:rPr>
          <w:rFonts w:cs="Arial"/>
          <w:sz w:val="18"/>
          <w:szCs w:val="18"/>
        </w:rPr>
        <w:t>ESD</w:t>
      </w:r>
      <w:proofErr w:type="spellEnd"/>
      <w:r w:rsidRPr="00150637">
        <w:rPr>
          <w:rFonts w:cs="Arial"/>
          <w:sz w:val="18"/>
          <w:szCs w:val="18"/>
        </w:rPr>
        <w:t xml:space="preserve"> as ‘using, conserving and enhancing the community's resources so that ecological processes, on which life depends, are maintained, and the total quality of life, now and in the future, can be increased’. See Australian Government Department of Sustainability and the Environment (</w:t>
      </w:r>
      <w:proofErr w:type="spellStart"/>
      <w:r w:rsidRPr="00150637">
        <w:rPr>
          <w:rFonts w:cs="Arial"/>
          <w:sz w:val="18"/>
          <w:szCs w:val="18"/>
        </w:rPr>
        <w:t>SEWPaC</w:t>
      </w:r>
      <w:proofErr w:type="spellEnd"/>
      <w:r w:rsidRPr="00150637">
        <w:rPr>
          <w:rFonts w:cs="Arial"/>
          <w:sz w:val="18"/>
          <w:szCs w:val="18"/>
        </w:rPr>
        <w:t xml:space="preserve">) website, </w:t>
      </w:r>
      <w:hyperlink r:id="rId19" w:history="1">
        <w:r w:rsidRPr="00150637">
          <w:rPr>
            <w:rStyle w:val="Hyperlink"/>
            <w:rFonts w:cs="Arial"/>
            <w:color w:val="auto"/>
            <w:sz w:val="18"/>
            <w:szCs w:val="18"/>
          </w:rPr>
          <w:t>http://www.environment.gov.au/about/esd/publications/strategy/index.html</w:t>
        </w:r>
      </w:hyperlink>
      <w:r w:rsidRPr="00150637">
        <w:rPr>
          <w:rFonts w:cs="Arial"/>
          <w:sz w:val="18"/>
          <w:szCs w:val="18"/>
        </w:rPr>
        <w:t xml:space="preserve">. </w:t>
      </w:r>
    </w:p>
  </w:footnote>
  <w:footnote w:id="3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i/>
          <w:sz w:val="18"/>
          <w:szCs w:val="18"/>
        </w:rPr>
        <w:t>National Urban Policy</w:t>
      </w:r>
      <w:r w:rsidRPr="00150637">
        <w:rPr>
          <w:rFonts w:cs="Arial"/>
          <w:sz w:val="18"/>
          <w:szCs w:val="18"/>
        </w:rPr>
        <w:t xml:space="preserve"> (2011), ‘Summary of priorities’, available at </w:t>
      </w:r>
      <w:hyperlink r:id="rId20" w:history="1">
        <w:proofErr w:type="spellStart"/>
        <w:r w:rsidRPr="00150637">
          <w:rPr>
            <w:rStyle w:val="Hyperlink"/>
            <w:rFonts w:cs="Arial"/>
            <w:color w:val="auto"/>
            <w:sz w:val="18"/>
            <w:szCs w:val="18"/>
          </w:rPr>
          <w:t>www.majorcities.gov.au</w:t>
        </w:r>
        <w:proofErr w:type="spellEnd"/>
      </w:hyperlink>
      <w:r w:rsidRPr="00150637">
        <w:rPr>
          <w:rFonts w:cs="Arial"/>
          <w:sz w:val="18"/>
          <w:szCs w:val="18"/>
        </w:rPr>
        <w:t>.</w:t>
      </w:r>
    </w:p>
  </w:footnote>
  <w:footnote w:id="3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A. Hawke et al, </w:t>
      </w:r>
      <w:r w:rsidRPr="00150637">
        <w:rPr>
          <w:rFonts w:cs="Arial"/>
          <w:i/>
          <w:sz w:val="18"/>
          <w:szCs w:val="18"/>
        </w:rPr>
        <w:t>Report of the Independent Review of the Environment Protection and Biodiversity Conservation Act 1999</w:t>
      </w:r>
      <w:r w:rsidRPr="00150637">
        <w:rPr>
          <w:rFonts w:cs="Arial"/>
          <w:sz w:val="18"/>
          <w:szCs w:val="18"/>
        </w:rPr>
        <w:t xml:space="preserve">,(October 2009), </w:t>
      </w:r>
      <w:proofErr w:type="spellStart"/>
      <w:r w:rsidRPr="00150637">
        <w:rPr>
          <w:rFonts w:cs="Arial"/>
          <w:sz w:val="18"/>
          <w:szCs w:val="18"/>
        </w:rPr>
        <w:t>para</w:t>
      </w:r>
      <w:proofErr w:type="spellEnd"/>
      <w:r w:rsidRPr="00150637">
        <w:rPr>
          <w:rFonts w:cs="Arial"/>
          <w:sz w:val="18"/>
          <w:szCs w:val="18"/>
        </w:rPr>
        <w:t xml:space="preserve"> 87. See also Dovers, S. (2008) ‘Policy and Institutional Reforms’, in D. </w:t>
      </w:r>
      <w:proofErr w:type="spellStart"/>
      <w:r w:rsidRPr="00150637">
        <w:rPr>
          <w:rFonts w:cs="Arial"/>
          <w:sz w:val="18"/>
          <w:szCs w:val="18"/>
        </w:rPr>
        <w:t>Lindenmayer</w:t>
      </w:r>
      <w:proofErr w:type="spellEnd"/>
      <w:r w:rsidRPr="00150637">
        <w:rPr>
          <w:rFonts w:cs="Arial"/>
          <w:sz w:val="18"/>
          <w:szCs w:val="18"/>
        </w:rPr>
        <w:t xml:space="preserve">, </w:t>
      </w:r>
      <w:proofErr w:type="spellStart"/>
      <w:r w:rsidRPr="00150637">
        <w:rPr>
          <w:rFonts w:cs="Arial"/>
          <w:sz w:val="18"/>
          <w:szCs w:val="18"/>
        </w:rPr>
        <w:t>S.Dovers</w:t>
      </w:r>
      <w:proofErr w:type="spellEnd"/>
      <w:r w:rsidRPr="00150637">
        <w:rPr>
          <w:rFonts w:cs="Arial"/>
          <w:sz w:val="18"/>
          <w:szCs w:val="18"/>
        </w:rPr>
        <w:t xml:space="preserve">, M. </w:t>
      </w:r>
      <w:proofErr w:type="spellStart"/>
      <w:r w:rsidRPr="00150637">
        <w:rPr>
          <w:rFonts w:cs="Arial"/>
          <w:sz w:val="18"/>
          <w:szCs w:val="18"/>
        </w:rPr>
        <w:t>Harriss</w:t>
      </w:r>
      <w:proofErr w:type="spellEnd"/>
      <w:r w:rsidRPr="00150637">
        <w:rPr>
          <w:rFonts w:cs="Arial"/>
          <w:sz w:val="18"/>
          <w:szCs w:val="18"/>
        </w:rPr>
        <w:t xml:space="preserve"> Olson &amp; S. Morton (Eds.), </w:t>
      </w:r>
      <w:r w:rsidRPr="00150637">
        <w:rPr>
          <w:rFonts w:cs="Arial"/>
          <w:i/>
          <w:sz w:val="18"/>
          <w:szCs w:val="18"/>
        </w:rPr>
        <w:t>Ten Commitments: Reshaping the Lucky Country’s Environment</w:t>
      </w:r>
      <w:r w:rsidRPr="00150637">
        <w:rPr>
          <w:rFonts w:cs="Arial"/>
          <w:sz w:val="18"/>
          <w:szCs w:val="18"/>
        </w:rPr>
        <w:t>, p 216.</w:t>
      </w:r>
    </w:p>
  </w:footnote>
  <w:footnote w:id="4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under the </w:t>
      </w:r>
      <w:proofErr w:type="spellStart"/>
      <w:r w:rsidRPr="00150637">
        <w:rPr>
          <w:rFonts w:cs="Arial"/>
          <w:i/>
          <w:sz w:val="18"/>
          <w:szCs w:val="18"/>
        </w:rPr>
        <w:t>EPBC</w:t>
      </w:r>
      <w:proofErr w:type="spellEnd"/>
      <w:r w:rsidRPr="00150637">
        <w:rPr>
          <w:rFonts w:cs="Arial"/>
          <w:i/>
          <w:sz w:val="18"/>
          <w:szCs w:val="18"/>
        </w:rPr>
        <w:t xml:space="preserve"> Act 1999</w:t>
      </w:r>
      <w:r w:rsidRPr="00150637">
        <w:rPr>
          <w:rFonts w:cs="Arial"/>
          <w:sz w:val="18"/>
          <w:szCs w:val="18"/>
        </w:rPr>
        <w:t xml:space="preserve"> (</w:t>
      </w:r>
      <w:proofErr w:type="spellStart"/>
      <w:r w:rsidRPr="00150637">
        <w:rPr>
          <w:rFonts w:cs="Arial"/>
          <w:sz w:val="18"/>
          <w:szCs w:val="18"/>
        </w:rPr>
        <w:t>Cth</w:t>
      </w:r>
      <w:proofErr w:type="spellEnd"/>
      <w:r w:rsidRPr="00150637">
        <w:rPr>
          <w:rFonts w:cs="Arial"/>
          <w:sz w:val="18"/>
          <w:szCs w:val="18"/>
        </w:rPr>
        <w:t xml:space="preserve">), actions that will have significant impacts on protected matters can still be approved. In NSW, there is only a requirement to consider the environmental impacts of the decision (see </w:t>
      </w:r>
      <w:r w:rsidRPr="00150637">
        <w:rPr>
          <w:rFonts w:cs="Arial"/>
          <w:i/>
          <w:sz w:val="18"/>
          <w:szCs w:val="18"/>
        </w:rPr>
        <w:t>Environmental Planning and Assessment Act 1979</w:t>
      </w:r>
      <w:r w:rsidRPr="00150637">
        <w:rPr>
          <w:rFonts w:cs="Arial"/>
          <w:sz w:val="18"/>
          <w:szCs w:val="18"/>
        </w:rPr>
        <w:t xml:space="preserve"> (NSW), s </w:t>
      </w:r>
      <w:proofErr w:type="spellStart"/>
      <w:r w:rsidRPr="00150637">
        <w:rPr>
          <w:rFonts w:cs="Arial"/>
          <w:sz w:val="18"/>
          <w:szCs w:val="18"/>
        </w:rPr>
        <w:t>79C</w:t>
      </w:r>
      <w:proofErr w:type="spellEnd"/>
      <w:r w:rsidRPr="00150637">
        <w:rPr>
          <w:rFonts w:cs="Arial"/>
          <w:sz w:val="18"/>
          <w:szCs w:val="18"/>
        </w:rPr>
        <w:t xml:space="preserve">(1)(b); and s </w:t>
      </w:r>
      <w:proofErr w:type="spellStart"/>
      <w:r w:rsidRPr="00150637">
        <w:rPr>
          <w:rFonts w:cs="Arial"/>
          <w:sz w:val="18"/>
          <w:szCs w:val="18"/>
        </w:rPr>
        <w:t>89H</w:t>
      </w:r>
      <w:proofErr w:type="spellEnd"/>
      <w:r w:rsidRPr="00150637">
        <w:rPr>
          <w:rFonts w:cs="Arial"/>
          <w:sz w:val="18"/>
          <w:szCs w:val="18"/>
        </w:rPr>
        <w:t xml:space="preserve"> (</w:t>
      </w:r>
      <w:proofErr w:type="spellStart"/>
      <w:r w:rsidRPr="00150637">
        <w:rPr>
          <w:rFonts w:cs="Arial"/>
          <w:sz w:val="18"/>
          <w:szCs w:val="18"/>
        </w:rPr>
        <w:t>SSD</w:t>
      </w:r>
      <w:proofErr w:type="spellEnd"/>
      <w:r w:rsidRPr="00150637">
        <w:rPr>
          <w:rFonts w:cs="Arial"/>
          <w:sz w:val="18"/>
          <w:szCs w:val="18"/>
        </w:rPr>
        <w:t xml:space="preserve">). </w:t>
      </w:r>
    </w:p>
  </w:footnote>
  <w:footnote w:id="4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by contrast, the US </w:t>
      </w:r>
      <w:r w:rsidRPr="00150637">
        <w:rPr>
          <w:rFonts w:cs="Arial"/>
          <w:i/>
          <w:sz w:val="18"/>
          <w:szCs w:val="18"/>
        </w:rPr>
        <w:t>Clean Air Act</w:t>
      </w:r>
      <w:r w:rsidRPr="00150637">
        <w:rPr>
          <w:rFonts w:cs="Arial"/>
          <w:sz w:val="18"/>
          <w:szCs w:val="18"/>
        </w:rPr>
        <w:t xml:space="preserve"> (42 USC </w:t>
      </w:r>
      <w:proofErr w:type="spellStart"/>
      <w:r w:rsidRPr="00150637">
        <w:rPr>
          <w:rFonts w:cs="Arial"/>
          <w:sz w:val="18"/>
          <w:szCs w:val="18"/>
        </w:rPr>
        <w:t>ss</w:t>
      </w:r>
      <w:proofErr w:type="spellEnd"/>
      <w:r w:rsidRPr="00150637">
        <w:rPr>
          <w:rFonts w:cs="Arial"/>
          <w:sz w:val="18"/>
          <w:szCs w:val="18"/>
        </w:rPr>
        <w:t xml:space="preserve"> 7401-7671), which places a range of specific obligations on the US </w:t>
      </w:r>
      <w:proofErr w:type="spellStart"/>
      <w:r w:rsidRPr="00150637">
        <w:rPr>
          <w:rFonts w:cs="Arial"/>
          <w:sz w:val="18"/>
          <w:szCs w:val="18"/>
        </w:rPr>
        <w:t>EPA</w:t>
      </w:r>
      <w:proofErr w:type="spellEnd"/>
      <w:r w:rsidRPr="00150637">
        <w:rPr>
          <w:rFonts w:cs="Arial"/>
          <w:sz w:val="18"/>
          <w:szCs w:val="18"/>
        </w:rPr>
        <w:t xml:space="preserve">. See also </w:t>
      </w:r>
      <w:proofErr w:type="spellStart"/>
      <w:r w:rsidRPr="00150637">
        <w:rPr>
          <w:rFonts w:cs="Arial"/>
          <w:i/>
          <w:sz w:val="18"/>
          <w:szCs w:val="18"/>
        </w:rPr>
        <w:t>Massachussetts</w:t>
      </w:r>
      <w:proofErr w:type="spellEnd"/>
      <w:r w:rsidRPr="00150637">
        <w:rPr>
          <w:rFonts w:cs="Arial"/>
          <w:i/>
          <w:sz w:val="18"/>
          <w:szCs w:val="18"/>
        </w:rPr>
        <w:t xml:space="preserve"> v Environment Protection Authority</w:t>
      </w:r>
      <w:r w:rsidRPr="00150637">
        <w:rPr>
          <w:rFonts w:cs="Arial"/>
          <w:sz w:val="18"/>
          <w:szCs w:val="18"/>
        </w:rPr>
        <w:t xml:space="preserve"> </w:t>
      </w:r>
      <w:r w:rsidRPr="00150637">
        <w:rPr>
          <w:rFonts w:cs="Arial"/>
          <w:i/>
          <w:sz w:val="18"/>
          <w:szCs w:val="18"/>
        </w:rPr>
        <w:t>549 US 1</w:t>
      </w:r>
      <w:r w:rsidRPr="00150637">
        <w:rPr>
          <w:rFonts w:cs="Arial"/>
          <w:sz w:val="18"/>
          <w:szCs w:val="18"/>
        </w:rPr>
        <w:t xml:space="preserve"> (2007).</w:t>
      </w:r>
    </w:p>
  </w:footnote>
  <w:footnote w:id="42">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 Flannery, After the Future – Australia’s new extinction crisis, Quarterly Essay, Issue 48 (2012), p 36.</w:t>
      </w:r>
    </w:p>
  </w:footnote>
  <w:footnote w:id="43">
    <w:p w:rsidR="00946D6B" w:rsidRPr="00452A25"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Australian Network of Environmental Defender’s Offices (</w:t>
      </w:r>
      <w:proofErr w:type="spellStart"/>
      <w:r w:rsidRPr="00150637">
        <w:rPr>
          <w:rFonts w:cs="Arial"/>
          <w:b/>
          <w:sz w:val="18"/>
          <w:szCs w:val="18"/>
        </w:rPr>
        <w:t>ANEDO</w:t>
      </w:r>
      <w:proofErr w:type="spellEnd"/>
      <w:r w:rsidRPr="00150637">
        <w:rPr>
          <w:rFonts w:cs="Arial"/>
          <w:sz w:val="18"/>
          <w:szCs w:val="18"/>
        </w:rPr>
        <w:t xml:space="preserve">) submission to COAG Standing Council </w:t>
      </w:r>
      <w:r w:rsidRPr="00452A25">
        <w:rPr>
          <w:rFonts w:cs="Arial"/>
          <w:sz w:val="18"/>
          <w:szCs w:val="18"/>
        </w:rPr>
        <w:t>on Energy and Resources,</w:t>
      </w:r>
      <w:r w:rsidRPr="00452A25">
        <w:rPr>
          <w:rFonts w:cs="Arial"/>
          <w:i/>
          <w:sz w:val="18"/>
          <w:szCs w:val="18"/>
        </w:rPr>
        <w:t xml:space="preserve"> Submission on the Draft National Harmonised Regulatory Framework for Coal Seam Gas 2012</w:t>
      </w:r>
      <w:r w:rsidRPr="00452A25">
        <w:rPr>
          <w:rFonts w:cs="Arial"/>
          <w:sz w:val="18"/>
          <w:szCs w:val="18"/>
        </w:rPr>
        <w:t xml:space="preserve"> (Feb 2013), </w:t>
      </w:r>
      <w:proofErr w:type="spellStart"/>
      <w:r w:rsidRPr="00452A25">
        <w:rPr>
          <w:rFonts w:cs="Arial"/>
          <w:sz w:val="18"/>
          <w:szCs w:val="18"/>
        </w:rPr>
        <w:t>pp</w:t>
      </w:r>
      <w:proofErr w:type="spellEnd"/>
      <w:r w:rsidRPr="00452A25">
        <w:rPr>
          <w:rFonts w:cs="Arial"/>
          <w:sz w:val="18"/>
          <w:szCs w:val="18"/>
        </w:rPr>
        <w:t xml:space="preserve"> 8-15, see </w:t>
      </w:r>
      <w:hyperlink r:id="rId21" w:history="1">
        <w:proofErr w:type="spellStart"/>
        <w:r w:rsidRPr="00452A25">
          <w:rPr>
            <w:rStyle w:val="Hyperlink"/>
            <w:rFonts w:cs="Arial"/>
            <w:color w:val="auto"/>
            <w:sz w:val="18"/>
            <w:szCs w:val="18"/>
          </w:rPr>
          <w:t>www.edo.org.au</w:t>
        </w:r>
        <w:proofErr w:type="spellEnd"/>
      </w:hyperlink>
      <w:r w:rsidRPr="00452A25">
        <w:rPr>
          <w:rFonts w:cs="Arial"/>
          <w:sz w:val="18"/>
          <w:szCs w:val="18"/>
        </w:rPr>
        <w:t>.</w:t>
      </w:r>
    </w:p>
  </w:footnote>
  <w:footnote w:id="44">
    <w:p w:rsidR="00946D6B" w:rsidRPr="00452A25" w:rsidRDefault="00946D6B" w:rsidP="00006551">
      <w:pPr>
        <w:pStyle w:val="FootnoteText"/>
        <w:rPr>
          <w:rFonts w:cs="Arial"/>
          <w:sz w:val="18"/>
          <w:szCs w:val="18"/>
        </w:rPr>
      </w:pPr>
      <w:r w:rsidRPr="00452A25">
        <w:rPr>
          <w:rStyle w:val="FootnoteReference"/>
          <w:rFonts w:cs="Arial"/>
          <w:sz w:val="18"/>
          <w:szCs w:val="18"/>
        </w:rPr>
        <w:footnoteRef/>
      </w:r>
      <w:r w:rsidRPr="00452A25">
        <w:rPr>
          <w:rFonts w:cs="Arial"/>
          <w:sz w:val="18"/>
          <w:szCs w:val="18"/>
        </w:rPr>
        <w:t xml:space="preserve"> This is consistent with </w:t>
      </w:r>
      <w:proofErr w:type="spellStart"/>
      <w:r w:rsidRPr="00452A25">
        <w:rPr>
          <w:rFonts w:cs="Arial"/>
          <w:sz w:val="18"/>
          <w:szCs w:val="18"/>
        </w:rPr>
        <w:t>ESD</w:t>
      </w:r>
      <w:proofErr w:type="spellEnd"/>
      <w:r w:rsidRPr="00452A25">
        <w:rPr>
          <w:rFonts w:cs="Arial"/>
          <w:sz w:val="18"/>
          <w:szCs w:val="18"/>
        </w:rPr>
        <w:t xml:space="preserve"> principles, including intergenerational equity; ensuring that biodiversity conservation and ecological integrity are fundamental considerations in decision-making; and internalising environmental costs. </w:t>
      </w:r>
    </w:p>
  </w:footnote>
  <w:footnote w:id="45">
    <w:p w:rsidR="00946D6B" w:rsidRPr="00452A25" w:rsidRDefault="00946D6B" w:rsidP="002063CC">
      <w:pPr>
        <w:pStyle w:val="FootnoteText"/>
        <w:rPr>
          <w:rFonts w:cs="Arial"/>
          <w:sz w:val="18"/>
          <w:szCs w:val="18"/>
        </w:rPr>
      </w:pPr>
      <w:r w:rsidRPr="00452A25">
        <w:rPr>
          <w:rStyle w:val="FootnoteReference"/>
          <w:rFonts w:cs="Arial"/>
          <w:sz w:val="18"/>
          <w:szCs w:val="18"/>
        </w:rPr>
        <w:footnoteRef/>
      </w:r>
      <w:r w:rsidRPr="00452A25">
        <w:rPr>
          <w:rFonts w:cs="Arial"/>
          <w:sz w:val="18"/>
          <w:szCs w:val="18"/>
        </w:rPr>
        <w:t xml:space="preserve"> See, for example, John Williams Scientific Services Ltd, </w:t>
      </w:r>
      <w:r w:rsidRPr="00452A25">
        <w:rPr>
          <w:rFonts w:cs="Arial"/>
          <w:i/>
          <w:sz w:val="18"/>
          <w:szCs w:val="18"/>
        </w:rPr>
        <w:t>An analysis of coal seam gas production and natural resource management in Australia – Issues and ways forward</w:t>
      </w:r>
      <w:r w:rsidRPr="00452A25">
        <w:rPr>
          <w:rFonts w:cs="Arial"/>
          <w:sz w:val="18"/>
          <w:szCs w:val="18"/>
        </w:rPr>
        <w:t xml:space="preserve"> (Oct. 2012), recommendations 1-2. </w:t>
      </w:r>
    </w:p>
  </w:footnote>
  <w:footnote w:id="46">
    <w:p w:rsidR="00946D6B" w:rsidRPr="00452A25" w:rsidRDefault="00946D6B" w:rsidP="0035183C">
      <w:pPr>
        <w:pStyle w:val="FootnoteText"/>
        <w:rPr>
          <w:sz w:val="18"/>
          <w:szCs w:val="18"/>
        </w:rPr>
      </w:pPr>
      <w:r w:rsidRPr="00452A25">
        <w:rPr>
          <w:rStyle w:val="FootnoteReference"/>
          <w:sz w:val="18"/>
          <w:szCs w:val="18"/>
        </w:rPr>
        <w:footnoteRef/>
      </w:r>
      <w:r w:rsidRPr="00452A25">
        <w:rPr>
          <w:sz w:val="18"/>
          <w:szCs w:val="18"/>
        </w:rPr>
        <w:t xml:space="preserve"> </w:t>
      </w:r>
      <w:r w:rsidRPr="00452A25">
        <w:rPr>
          <w:rFonts w:cs="Arial"/>
          <w:sz w:val="18"/>
          <w:szCs w:val="18"/>
        </w:rPr>
        <w:t xml:space="preserve">EDO NSW is representing the Bulga </w:t>
      </w:r>
      <w:proofErr w:type="spellStart"/>
      <w:r w:rsidRPr="00452A25">
        <w:rPr>
          <w:rFonts w:cs="Arial"/>
          <w:sz w:val="18"/>
          <w:szCs w:val="18"/>
        </w:rPr>
        <w:t>Milbrodale</w:t>
      </w:r>
      <w:proofErr w:type="spellEnd"/>
      <w:r w:rsidRPr="00452A25">
        <w:rPr>
          <w:rFonts w:cs="Arial"/>
          <w:sz w:val="18"/>
          <w:szCs w:val="18"/>
        </w:rPr>
        <w:t xml:space="preserve"> Progress Association Inc. in a merit appeal challenging the PACT decision before the Land and Environment Court. See </w:t>
      </w:r>
      <w:hyperlink r:id="rId22" w:anchor="bulga" w:history="1">
        <w:r w:rsidRPr="00452A25">
          <w:rPr>
            <w:rStyle w:val="Hyperlink"/>
            <w:rFonts w:cs="Arial"/>
            <w:sz w:val="18"/>
            <w:szCs w:val="18"/>
          </w:rPr>
          <w:t>http://</w:t>
        </w:r>
        <w:proofErr w:type="spellStart"/>
        <w:r w:rsidRPr="00452A25">
          <w:rPr>
            <w:rStyle w:val="Hyperlink"/>
            <w:rFonts w:cs="Arial"/>
            <w:sz w:val="18"/>
            <w:szCs w:val="18"/>
          </w:rPr>
          <w:t>www.edo.org.au</w:t>
        </w:r>
        <w:proofErr w:type="spellEnd"/>
        <w:r w:rsidRPr="00452A25">
          <w:rPr>
            <w:rStyle w:val="Hyperlink"/>
            <w:rFonts w:cs="Arial"/>
            <w:sz w:val="18"/>
            <w:szCs w:val="18"/>
          </w:rPr>
          <w:t>/</w:t>
        </w:r>
        <w:proofErr w:type="spellStart"/>
        <w:r w:rsidRPr="00452A25">
          <w:rPr>
            <w:rStyle w:val="Hyperlink"/>
            <w:rFonts w:cs="Arial"/>
            <w:sz w:val="18"/>
            <w:szCs w:val="18"/>
          </w:rPr>
          <w:t>edonsw</w:t>
        </w:r>
        <w:proofErr w:type="spellEnd"/>
        <w:r w:rsidRPr="00452A25">
          <w:rPr>
            <w:rStyle w:val="Hyperlink"/>
            <w:rFonts w:cs="Arial"/>
            <w:sz w:val="18"/>
            <w:szCs w:val="18"/>
          </w:rPr>
          <w:t>/site/</w:t>
        </w:r>
        <w:proofErr w:type="spellStart"/>
        <w:r w:rsidRPr="00452A25">
          <w:rPr>
            <w:rStyle w:val="Hyperlink"/>
            <w:rFonts w:cs="Arial"/>
            <w:sz w:val="18"/>
            <w:szCs w:val="18"/>
          </w:rPr>
          <w:t>casework_key.php#bulga</w:t>
        </w:r>
        <w:proofErr w:type="spellEnd"/>
      </w:hyperlink>
      <w:r w:rsidRPr="00452A25">
        <w:rPr>
          <w:rFonts w:cs="Arial"/>
          <w:sz w:val="18"/>
          <w:szCs w:val="18"/>
        </w:rPr>
        <w:t>.</w:t>
      </w:r>
    </w:p>
  </w:footnote>
  <w:footnote w:id="47">
    <w:p w:rsidR="00946D6B" w:rsidRDefault="00946D6B" w:rsidP="0035183C">
      <w:pPr>
        <w:pStyle w:val="FootnoteText"/>
        <w:rPr>
          <w:rFonts w:cs="Arial"/>
          <w:sz w:val="18"/>
          <w:szCs w:val="18"/>
        </w:rPr>
      </w:pPr>
      <w:r w:rsidRPr="00452A25">
        <w:rPr>
          <w:rStyle w:val="FootnoteReference"/>
          <w:rFonts w:cs="Arial"/>
          <w:sz w:val="18"/>
          <w:szCs w:val="18"/>
        </w:rPr>
        <w:footnoteRef/>
      </w:r>
      <w:r w:rsidRPr="00452A25">
        <w:rPr>
          <w:rFonts w:cs="Arial"/>
          <w:sz w:val="18"/>
          <w:szCs w:val="18"/>
        </w:rPr>
        <w:t xml:space="preserve"> Planning Assessment</w:t>
      </w:r>
      <w:r>
        <w:rPr>
          <w:rFonts w:cs="Arial"/>
          <w:sz w:val="18"/>
          <w:szCs w:val="18"/>
        </w:rPr>
        <w:t xml:space="preserve"> Commission, Warkworth Extension Project (09_0202), 3 February 2012, </w:t>
      </w:r>
      <w:proofErr w:type="spellStart"/>
      <w:r>
        <w:rPr>
          <w:rFonts w:cs="Arial"/>
          <w:sz w:val="18"/>
          <w:szCs w:val="18"/>
        </w:rPr>
        <w:t>pp</w:t>
      </w:r>
      <w:proofErr w:type="spellEnd"/>
      <w:r>
        <w:rPr>
          <w:rFonts w:cs="Arial"/>
          <w:sz w:val="18"/>
          <w:szCs w:val="18"/>
        </w:rPr>
        <w:t> 8</w:t>
      </w:r>
      <w:r>
        <w:rPr>
          <w:rFonts w:cs="Arial"/>
          <w:sz w:val="18"/>
          <w:szCs w:val="18"/>
        </w:rPr>
        <w:noBreakHyphen/>
        <w:t>9.</w:t>
      </w:r>
    </w:p>
  </w:footnote>
  <w:footnote w:id="48">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World Resources Institute, ‘</w:t>
      </w:r>
      <w:proofErr w:type="spellStart"/>
      <w:r w:rsidRPr="00150637">
        <w:rPr>
          <w:rFonts w:cs="Arial"/>
          <w:sz w:val="18"/>
          <w:szCs w:val="18"/>
        </w:rPr>
        <w:t>Rio+20</w:t>
      </w:r>
      <w:proofErr w:type="spellEnd"/>
      <w:r w:rsidRPr="00150637">
        <w:rPr>
          <w:rFonts w:cs="Arial"/>
          <w:sz w:val="18"/>
          <w:szCs w:val="18"/>
        </w:rPr>
        <w:t xml:space="preserve">: Principle 10’, </w:t>
      </w:r>
      <w:hyperlink r:id="rId23" w:history="1">
        <w:proofErr w:type="spellStart"/>
        <w:r w:rsidRPr="00150637">
          <w:rPr>
            <w:rStyle w:val="Hyperlink"/>
            <w:rFonts w:cs="Arial"/>
            <w:color w:val="auto"/>
            <w:sz w:val="18"/>
            <w:szCs w:val="18"/>
          </w:rPr>
          <w:t>www.wri.org</w:t>
        </w:r>
        <w:proofErr w:type="spellEnd"/>
        <w:r w:rsidRPr="00150637">
          <w:rPr>
            <w:rStyle w:val="Hyperlink"/>
            <w:rFonts w:cs="Arial"/>
            <w:color w:val="auto"/>
            <w:sz w:val="18"/>
            <w:szCs w:val="18"/>
          </w:rPr>
          <w:t>/project/earth-summit-</w:t>
        </w:r>
        <w:proofErr w:type="spellStart"/>
        <w:r w:rsidRPr="00150637">
          <w:rPr>
            <w:rStyle w:val="Hyperlink"/>
            <w:rFonts w:cs="Arial"/>
            <w:color w:val="auto"/>
            <w:sz w:val="18"/>
            <w:szCs w:val="18"/>
          </w:rPr>
          <w:t>rio</w:t>
        </w:r>
        <w:proofErr w:type="spellEnd"/>
        <w:r w:rsidRPr="00150637">
          <w:rPr>
            <w:rStyle w:val="Hyperlink"/>
            <w:rFonts w:cs="Arial"/>
            <w:color w:val="auto"/>
            <w:sz w:val="18"/>
            <w:szCs w:val="18"/>
          </w:rPr>
          <w:t>-2012</w:t>
        </w:r>
      </w:hyperlink>
      <w:r w:rsidRPr="00150637">
        <w:rPr>
          <w:rFonts w:cs="Arial"/>
          <w:sz w:val="18"/>
          <w:szCs w:val="18"/>
        </w:rPr>
        <w:t xml:space="preserve">. </w:t>
      </w:r>
    </w:p>
  </w:footnote>
  <w:footnote w:id="49">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N. Hammond-Deakin and E. Johnson (EDO NSW), ‘Merits appeal rights in NSW: Improving environmental outcomes’ (2012) 92</w:t>
      </w:r>
      <w:r w:rsidRPr="00150637">
        <w:rPr>
          <w:rFonts w:cs="Arial"/>
          <w:i/>
          <w:sz w:val="18"/>
          <w:szCs w:val="18"/>
        </w:rPr>
        <w:t xml:space="preserve"> IMPACT</w:t>
      </w:r>
      <w:r w:rsidRPr="00150637">
        <w:rPr>
          <w:rFonts w:cs="Arial"/>
          <w:sz w:val="18"/>
          <w:szCs w:val="18"/>
        </w:rPr>
        <w:t xml:space="preserve"> Journal, 6-10.</w:t>
      </w:r>
    </w:p>
  </w:footnote>
  <w:footnote w:id="50">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NSW Independent Commission Against Corruption (</w:t>
      </w:r>
      <w:proofErr w:type="spellStart"/>
      <w:r w:rsidRPr="00150637">
        <w:rPr>
          <w:rFonts w:cs="Arial"/>
          <w:sz w:val="18"/>
          <w:szCs w:val="18"/>
        </w:rPr>
        <w:t>ICAC</w:t>
      </w:r>
      <w:proofErr w:type="spellEnd"/>
      <w:r w:rsidRPr="00150637">
        <w:rPr>
          <w:rFonts w:cs="Arial"/>
          <w:sz w:val="18"/>
          <w:szCs w:val="18"/>
        </w:rPr>
        <w:t xml:space="preserve">), </w:t>
      </w:r>
      <w:r w:rsidRPr="00150637">
        <w:rPr>
          <w:rFonts w:cs="Arial"/>
          <w:i/>
          <w:sz w:val="18"/>
          <w:szCs w:val="18"/>
        </w:rPr>
        <w:t>Anti-corruption safeguards in the NSW planning system</w:t>
      </w:r>
      <w:r w:rsidRPr="00150637">
        <w:rPr>
          <w:rFonts w:cs="Arial"/>
          <w:sz w:val="18"/>
          <w:szCs w:val="18"/>
        </w:rPr>
        <w:t xml:space="preserve"> (Feb. 2012), available at </w:t>
      </w:r>
      <w:hyperlink r:id="rId24" w:history="1">
        <w:proofErr w:type="spellStart"/>
        <w:r w:rsidRPr="00150637">
          <w:rPr>
            <w:rStyle w:val="Hyperlink"/>
            <w:rFonts w:cs="Arial"/>
            <w:color w:val="auto"/>
            <w:sz w:val="18"/>
            <w:szCs w:val="18"/>
          </w:rPr>
          <w:t>www.icac.gov.au</w:t>
        </w:r>
        <w:proofErr w:type="spellEnd"/>
      </w:hyperlink>
      <w:r w:rsidRPr="00150637">
        <w:rPr>
          <w:rFonts w:cs="Arial"/>
          <w:sz w:val="18"/>
          <w:szCs w:val="18"/>
        </w:rPr>
        <w:t>.</w:t>
      </w:r>
    </w:p>
  </w:footnote>
  <w:footnote w:id="5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We note that the NSW Government’s</w:t>
      </w:r>
      <w:r w:rsidRPr="00150637">
        <w:rPr>
          <w:rFonts w:cs="Arial"/>
          <w:i/>
          <w:sz w:val="18"/>
          <w:szCs w:val="18"/>
        </w:rPr>
        <w:t xml:space="preserve"> Planning Green Paper</w:t>
      </w:r>
      <w:r w:rsidRPr="00150637">
        <w:rPr>
          <w:rFonts w:cs="Arial"/>
          <w:sz w:val="18"/>
          <w:szCs w:val="18"/>
        </w:rPr>
        <w:t xml:space="preserve"> (July 2012) flagged the possibility of independent appointment of environmental consultants for major projects (p 58).</w:t>
      </w:r>
    </w:p>
  </w:footnote>
  <w:footnote w:id="52">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ANEDO</w:t>
      </w:r>
      <w:proofErr w:type="spellEnd"/>
      <w:r w:rsidRPr="00150637">
        <w:rPr>
          <w:rFonts w:cs="Arial"/>
          <w:sz w:val="18"/>
          <w:szCs w:val="18"/>
        </w:rPr>
        <w:t>,</w:t>
      </w:r>
      <w:r w:rsidRPr="00150637">
        <w:rPr>
          <w:rFonts w:cs="Arial"/>
          <w:i/>
          <w:sz w:val="18"/>
          <w:szCs w:val="18"/>
        </w:rPr>
        <w:t xml:space="preserve"> Submission on the Draft National Harmonised Regulatory Framework for Coal Seam Gas 2012</w:t>
      </w:r>
      <w:r w:rsidRPr="00150637">
        <w:rPr>
          <w:rFonts w:cs="Arial"/>
          <w:sz w:val="18"/>
          <w:szCs w:val="18"/>
        </w:rPr>
        <w:t xml:space="preserve"> (Feb. 2013) to COAG Standing Council on Energy and Resources, at </w:t>
      </w:r>
      <w:hyperlink r:id="rId25" w:history="1">
        <w:proofErr w:type="spellStart"/>
        <w:r w:rsidRPr="00150637">
          <w:rPr>
            <w:rStyle w:val="Hyperlink"/>
            <w:rFonts w:cs="Arial"/>
            <w:color w:val="auto"/>
            <w:sz w:val="18"/>
            <w:szCs w:val="18"/>
          </w:rPr>
          <w:t>www.edo.org.au</w:t>
        </w:r>
        <w:proofErr w:type="spellEnd"/>
      </w:hyperlink>
      <w:r w:rsidRPr="00150637">
        <w:rPr>
          <w:rFonts w:cs="Arial"/>
          <w:sz w:val="18"/>
          <w:szCs w:val="18"/>
        </w:rPr>
        <w:t xml:space="preserve">; EDO NSW, Submission on NSW Planning Green Paper (Sept. 2012), at </w:t>
      </w:r>
      <w:hyperlink r:id="rId26" w:history="1">
        <w:proofErr w:type="spellStart"/>
        <w:r w:rsidRPr="00150637">
          <w:rPr>
            <w:rStyle w:val="Hyperlink"/>
            <w:rFonts w:cs="Arial"/>
            <w:color w:val="auto"/>
            <w:sz w:val="18"/>
            <w:szCs w:val="18"/>
          </w:rPr>
          <w:t>www.edonsw.org.au</w:t>
        </w:r>
        <w:proofErr w:type="spellEnd"/>
      </w:hyperlink>
      <w:r w:rsidRPr="00150637">
        <w:rPr>
          <w:rFonts w:cs="Arial"/>
          <w:sz w:val="18"/>
          <w:szCs w:val="18"/>
        </w:rPr>
        <w:t xml:space="preserve"> (see also </w:t>
      </w:r>
      <w:r w:rsidRPr="00150637">
        <w:rPr>
          <w:rFonts w:cs="Arial"/>
          <w:b/>
          <w:sz w:val="18"/>
          <w:szCs w:val="18"/>
        </w:rPr>
        <w:t>Attachment B</w:t>
      </w:r>
      <w:r w:rsidRPr="00150637">
        <w:rPr>
          <w:rFonts w:cs="Arial"/>
          <w:sz w:val="18"/>
          <w:szCs w:val="18"/>
        </w:rPr>
        <w:t>); EDO Victoria’s submission to the Environment and Natural Resources Committee (</w:t>
      </w:r>
      <w:proofErr w:type="spellStart"/>
      <w:r w:rsidRPr="00150637">
        <w:rPr>
          <w:rFonts w:cs="Arial"/>
          <w:sz w:val="18"/>
          <w:szCs w:val="18"/>
        </w:rPr>
        <w:t>ENRC</w:t>
      </w:r>
      <w:proofErr w:type="spellEnd"/>
      <w:r w:rsidRPr="00150637">
        <w:rPr>
          <w:rFonts w:cs="Arial"/>
          <w:sz w:val="18"/>
          <w:szCs w:val="18"/>
        </w:rPr>
        <w:t>) Inquiry into the Environment Effects Statement Process in Victoria (March 2010), at  http://www.edovic.org.au/law-reform/submissions-and-issues-papers/environmental-effects-statement</w:t>
      </w:r>
    </w:p>
  </w:footnote>
  <w:footnote w:id="53">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Productivity Commission Research Report, </w:t>
      </w:r>
      <w:r w:rsidRPr="00150637">
        <w:rPr>
          <w:rFonts w:cs="Arial"/>
          <w:i/>
          <w:sz w:val="18"/>
          <w:szCs w:val="18"/>
        </w:rPr>
        <w:t>Performance Benchmarking… Planning, Zoning and Development Assessments</w:t>
      </w:r>
      <w:r w:rsidRPr="00150637">
        <w:rPr>
          <w:rFonts w:cs="Arial"/>
          <w:sz w:val="18"/>
          <w:szCs w:val="18"/>
        </w:rPr>
        <w:t xml:space="preserve"> (April 2011), </w:t>
      </w:r>
      <w:proofErr w:type="spellStart"/>
      <w:r w:rsidRPr="00150637">
        <w:rPr>
          <w:rFonts w:cs="Arial"/>
          <w:sz w:val="18"/>
          <w:szCs w:val="18"/>
        </w:rPr>
        <w:t>pp</w:t>
      </w:r>
      <w:proofErr w:type="spellEnd"/>
      <w:r w:rsidRPr="00150637">
        <w:rPr>
          <w:rFonts w:cs="Arial"/>
          <w:sz w:val="18"/>
          <w:szCs w:val="18"/>
        </w:rPr>
        <w:t xml:space="preserve"> XLVII-XLVIII.</w:t>
      </w:r>
    </w:p>
  </w:footnote>
  <w:footnote w:id="5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COAG Business Advisory Forum papers, </w:t>
      </w:r>
      <w:r w:rsidRPr="00150637">
        <w:rPr>
          <w:rFonts w:cs="Arial"/>
          <w:i/>
          <w:sz w:val="18"/>
          <w:szCs w:val="18"/>
        </w:rPr>
        <w:t xml:space="preserve">Major Project Approvals Reforms – initiatives implemented by States and Territories… </w:t>
      </w:r>
      <w:r w:rsidRPr="00150637">
        <w:rPr>
          <w:rFonts w:cs="Arial"/>
          <w:sz w:val="18"/>
          <w:szCs w:val="18"/>
        </w:rPr>
        <w:t>(December 2012).</w:t>
      </w:r>
    </w:p>
  </w:footnote>
  <w:footnote w:id="5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in NSW, under both Part 3</w:t>
      </w:r>
      <w:r w:rsidRPr="00150637">
        <w:rPr>
          <w:rFonts w:cs="Arial"/>
          <w:sz w:val="18"/>
          <w:szCs w:val="18"/>
          <w:lang w:val="en-US"/>
        </w:rPr>
        <w:t>A and its replacement system, ‘State Significant Development’ (</w:t>
      </w:r>
      <w:proofErr w:type="spellStart"/>
      <w:r w:rsidRPr="00150637">
        <w:rPr>
          <w:rFonts w:cs="Arial"/>
          <w:sz w:val="18"/>
          <w:szCs w:val="18"/>
          <w:lang w:val="en-US"/>
        </w:rPr>
        <w:t>SSD</w:t>
      </w:r>
      <w:proofErr w:type="spellEnd"/>
      <w:r w:rsidRPr="00150637">
        <w:rPr>
          <w:rFonts w:cs="Arial"/>
          <w:sz w:val="18"/>
          <w:szCs w:val="18"/>
          <w:lang w:val="en-US"/>
        </w:rPr>
        <w:t xml:space="preserve">), major projects remain </w:t>
      </w:r>
      <w:r w:rsidRPr="00150637">
        <w:rPr>
          <w:rFonts w:cs="Arial"/>
          <w:i/>
          <w:sz w:val="18"/>
          <w:szCs w:val="18"/>
          <w:lang w:val="en-US"/>
        </w:rPr>
        <w:t>exempt</w:t>
      </w:r>
      <w:r w:rsidRPr="00150637">
        <w:rPr>
          <w:rFonts w:cs="Arial"/>
          <w:sz w:val="18"/>
          <w:szCs w:val="18"/>
          <w:lang w:val="en-US"/>
        </w:rPr>
        <w:t xml:space="preserve"> from a significant list of ‘concurrence’ approvals normally required from various agencies (such as for</w:t>
      </w:r>
      <w:r w:rsidRPr="00150637">
        <w:rPr>
          <w:rFonts w:cs="Arial"/>
          <w:sz w:val="18"/>
          <w:szCs w:val="18"/>
        </w:rPr>
        <w:t xml:space="preserve"> coastal protection, fisheries, Aboriginal heritage, native vegetation, bush fire and water management)</w:t>
      </w:r>
      <w:r w:rsidRPr="00150637">
        <w:rPr>
          <w:rFonts w:cs="Arial"/>
          <w:sz w:val="18"/>
          <w:szCs w:val="18"/>
          <w:lang w:val="en-US"/>
        </w:rPr>
        <w:t xml:space="preserve">. A range of other </w:t>
      </w:r>
      <w:proofErr w:type="spellStart"/>
      <w:r w:rsidRPr="00150637">
        <w:rPr>
          <w:rFonts w:cs="Arial"/>
          <w:sz w:val="18"/>
          <w:szCs w:val="18"/>
          <w:lang w:val="en-US"/>
        </w:rPr>
        <w:t>authorisations</w:t>
      </w:r>
      <w:proofErr w:type="spellEnd"/>
      <w:r w:rsidRPr="00150637">
        <w:rPr>
          <w:rFonts w:cs="Arial"/>
          <w:sz w:val="18"/>
          <w:szCs w:val="18"/>
          <w:lang w:val="en-US"/>
        </w:rPr>
        <w:t xml:space="preserve"> </w:t>
      </w:r>
      <w:r w:rsidRPr="00150637">
        <w:rPr>
          <w:rFonts w:cs="Arial"/>
          <w:i/>
          <w:sz w:val="18"/>
          <w:szCs w:val="18"/>
          <w:lang w:val="en-US"/>
        </w:rPr>
        <w:t>cannot be refused</w:t>
      </w:r>
      <w:r w:rsidRPr="00150637">
        <w:rPr>
          <w:rFonts w:cs="Arial"/>
          <w:sz w:val="18"/>
          <w:szCs w:val="18"/>
          <w:lang w:val="en-US"/>
        </w:rPr>
        <w:t xml:space="preserve">, and must be consistent with an </w:t>
      </w:r>
      <w:proofErr w:type="spellStart"/>
      <w:r w:rsidRPr="00150637">
        <w:rPr>
          <w:rFonts w:cs="Arial"/>
          <w:sz w:val="18"/>
          <w:szCs w:val="18"/>
          <w:lang w:val="en-US"/>
        </w:rPr>
        <w:t>SSD</w:t>
      </w:r>
      <w:proofErr w:type="spellEnd"/>
      <w:r w:rsidRPr="00150637">
        <w:rPr>
          <w:rFonts w:cs="Arial"/>
          <w:sz w:val="18"/>
          <w:szCs w:val="18"/>
          <w:lang w:val="en-US"/>
        </w:rPr>
        <w:t xml:space="preserve"> project approval</w:t>
      </w:r>
      <w:r w:rsidRPr="00150637">
        <w:rPr>
          <w:rFonts w:cs="Arial"/>
          <w:sz w:val="18"/>
          <w:szCs w:val="18"/>
        </w:rPr>
        <w:t xml:space="preserve"> (including aquaculture, mining leases and pollution licences)</w:t>
      </w:r>
      <w:r w:rsidRPr="00150637">
        <w:rPr>
          <w:rFonts w:cs="Arial"/>
          <w:sz w:val="18"/>
          <w:szCs w:val="18"/>
          <w:lang w:val="en-US"/>
        </w:rPr>
        <w:t xml:space="preserve">. See </w:t>
      </w:r>
      <w:r w:rsidRPr="00150637">
        <w:rPr>
          <w:rFonts w:cs="Arial"/>
          <w:i/>
          <w:sz w:val="18"/>
          <w:szCs w:val="18"/>
        </w:rPr>
        <w:t>Environmental Planning and Assessment Act 1979</w:t>
      </w:r>
      <w:r w:rsidRPr="00150637">
        <w:rPr>
          <w:rFonts w:cs="Arial"/>
          <w:sz w:val="18"/>
          <w:szCs w:val="18"/>
        </w:rPr>
        <w:t xml:space="preserve"> (NSW) (</w:t>
      </w:r>
      <w:proofErr w:type="spellStart"/>
      <w:r w:rsidRPr="00150637">
        <w:rPr>
          <w:rFonts w:cs="Arial"/>
          <w:sz w:val="18"/>
          <w:szCs w:val="18"/>
        </w:rPr>
        <w:t>EP&amp;A</w:t>
      </w:r>
      <w:proofErr w:type="spellEnd"/>
      <w:r w:rsidRPr="00150637">
        <w:rPr>
          <w:rFonts w:cs="Arial"/>
          <w:sz w:val="18"/>
          <w:szCs w:val="18"/>
        </w:rPr>
        <w:t xml:space="preserve"> Act), </w:t>
      </w:r>
      <w:proofErr w:type="spellStart"/>
      <w:r w:rsidRPr="00150637">
        <w:rPr>
          <w:rFonts w:cs="Arial"/>
          <w:sz w:val="18"/>
          <w:szCs w:val="18"/>
        </w:rPr>
        <w:t>ss</w:t>
      </w:r>
      <w:proofErr w:type="spellEnd"/>
      <w:r w:rsidRPr="00150637">
        <w:rPr>
          <w:rFonts w:cs="Arial"/>
          <w:sz w:val="18"/>
          <w:szCs w:val="18"/>
        </w:rPr>
        <w:t xml:space="preserve"> </w:t>
      </w:r>
      <w:proofErr w:type="spellStart"/>
      <w:r w:rsidRPr="00150637">
        <w:rPr>
          <w:rFonts w:cs="Arial"/>
          <w:sz w:val="18"/>
          <w:szCs w:val="18"/>
        </w:rPr>
        <w:t>89J</w:t>
      </w:r>
      <w:proofErr w:type="spellEnd"/>
      <w:r w:rsidRPr="00150637">
        <w:rPr>
          <w:rFonts w:cs="Arial"/>
          <w:sz w:val="18"/>
          <w:szCs w:val="18"/>
        </w:rPr>
        <w:t xml:space="preserve"> and </w:t>
      </w:r>
      <w:proofErr w:type="spellStart"/>
      <w:r w:rsidRPr="00150637">
        <w:rPr>
          <w:rFonts w:cs="Arial"/>
          <w:sz w:val="18"/>
          <w:szCs w:val="18"/>
        </w:rPr>
        <w:t>89K</w:t>
      </w:r>
      <w:proofErr w:type="spellEnd"/>
      <w:r w:rsidRPr="00150637">
        <w:rPr>
          <w:rFonts w:cs="Arial"/>
          <w:sz w:val="18"/>
          <w:szCs w:val="18"/>
        </w:rPr>
        <w:t>. T</w:t>
      </w:r>
      <w:r w:rsidRPr="00150637">
        <w:rPr>
          <w:rFonts w:cs="Arial"/>
          <w:sz w:val="18"/>
          <w:szCs w:val="18"/>
          <w:lang w:val="en-US"/>
        </w:rPr>
        <w:t>he revised system for fast</w:t>
      </w:r>
      <w:r w:rsidRPr="00150637">
        <w:rPr>
          <w:rFonts w:cs="Arial"/>
          <w:sz w:val="18"/>
          <w:szCs w:val="18"/>
          <w:lang w:val="en-US"/>
        </w:rPr>
        <w:noBreakHyphen/>
        <w:t xml:space="preserve">tracking ‘State Significant Infrastructure’ (SSI) retains many features of the former Part </w:t>
      </w:r>
      <w:proofErr w:type="spellStart"/>
      <w:r w:rsidRPr="00150637">
        <w:rPr>
          <w:rFonts w:cs="Arial"/>
          <w:sz w:val="18"/>
          <w:szCs w:val="18"/>
          <w:lang w:val="en-US"/>
        </w:rPr>
        <w:t>3A</w:t>
      </w:r>
      <w:proofErr w:type="spellEnd"/>
      <w:r w:rsidRPr="00150637">
        <w:rPr>
          <w:rFonts w:cs="Arial"/>
          <w:sz w:val="18"/>
          <w:szCs w:val="18"/>
          <w:lang w:val="en-US"/>
        </w:rPr>
        <w:t>.</w:t>
      </w:r>
    </w:p>
  </w:footnote>
  <w:footnote w:id="5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w:t>
      </w:r>
      <w:proofErr w:type="spellStart"/>
      <w:r w:rsidRPr="00150637">
        <w:rPr>
          <w:rFonts w:cs="Arial"/>
          <w:sz w:val="18"/>
          <w:szCs w:val="18"/>
        </w:rPr>
        <w:t>EPBC</w:t>
      </w:r>
      <w:proofErr w:type="spellEnd"/>
      <w:r w:rsidRPr="00150637">
        <w:rPr>
          <w:rFonts w:cs="Arial"/>
          <w:sz w:val="18"/>
          <w:szCs w:val="18"/>
        </w:rPr>
        <w:t xml:space="preserve"> Act s 87(</w:t>
      </w:r>
      <w:proofErr w:type="spellStart"/>
      <w:r w:rsidRPr="00150637">
        <w:rPr>
          <w:rFonts w:cs="Arial"/>
          <w:sz w:val="18"/>
          <w:szCs w:val="18"/>
        </w:rPr>
        <w:t>4A</w:t>
      </w:r>
      <w:proofErr w:type="spellEnd"/>
      <w:r w:rsidRPr="00150637">
        <w:rPr>
          <w:rFonts w:cs="Arial"/>
          <w:sz w:val="18"/>
          <w:szCs w:val="18"/>
        </w:rPr>
        <w:t xml:space="preserve">) and factors to be considered in </w:t>
      </w:r>
      <w:proofErr w:type="spellStart"/>
      <w:r w:rsidRPr="00150637">
        <w:rPr>
          <w:rFonts w:cs="Arial"/>
          <w:sz w:val="18"/>
          <w:szCs w:val="18"/>
        </w:rPr>
        <w:t>EPBC</w:t>
      </w:r>
      <w:proofErr w:type="spellEnd"/>
      <w:r w:rsidRPr="00150637">
        <w:rPr>
          <w:rFonts w:cs="Arial"/>
          <w:sz w:val="18"/>
          <w:szCs w:val="18"/>
        </w:rPr>
        <w:t xml:space="preserve"> Regulations 2000, cl </w:t>
      </w:r>
      <w:proofErr w:type="spellStart"/>
      <w:r w:rsidRPr="00150637">
        <w:rPr>
          <w:rFonts w:cs="Arial"/>
          <w:sz w:val="18"/>
          <w:szCs w:val="18"/>
        </w:rPr>
        <w:t>5.03A</w:t>
      </w:r>
      <w:proofErr w:type="spellEnd"/>
      <w:r w:rsidRPr="00150637">
        <w:rPr>
          <w:rFonts w:cs="Arial"/>
          <w:sz w:val="18"/>
          <w:szCs w:val="18"/>
        </w:rPr>
        <w:t>.</w:t>
      </w:r>
    </w:p>
  </w:footnote>
  <w:footnote w:id="5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w:t>
      </w:r>
      <w:r w:rsidRPr="00150637">
        <w:rPr>
          <w:rFonts w:cs="Arial"/>
          <w:iCs/>
          <w:sz w:val="18"/>
          <w:szCs w:val="18"/>
        </w:rPr>
        <w:t xml:space="preserve">COAG Draft </w:t>
      </w:r>
      <w:r w:rsidRPr="00150637">
        <w:rPr>
          <w:rFonts w:cs="Arial"/>
          <w:i/>
          <w:sz w:val="18"/>
          <w:szCs w:val="18"/>
        </w:rPr>
        <w:t xml:space="preserve">Statement of Environmental and Assurance Outcomes </w:t>
      </w:r>
      <w:r w:rsidRPr="00150637">
        <w:rPr>
          <w:rFonts w:cs="Arial"/>
          <w:sz w:val="18"/>
          <w:szCs w:val="18"/>
        </w:rPr>
        <w:t>(June 2012)</w:t>
      </w:r>
      <w:r w:rsidRPr="00150637">
        <w:rPr>
          <w:rFonts w:cs="Arial"/>
          <w:iCs/>
          <w:sz w:val="18"/>
          <w:szCs w:val="18"/>
        </w:rPr>
        <w:t>, p 4:</w:t>
      </w:r>
      <w:r w:rsidRPr="00150637">
        <w:rPr>
          <w:rFonts w:cs="Arial"/>
          <w:sz w:val="18"/>
          <w:szCs w:val="18"/>
        </w:rPr>
        <w:t xml:space="preserve"> 'More targeted regulation could also ensure greater proportionality between the scale of projects, their regulatory treatment and their likely environmental impacts.</w:t>
      </w:r>
    </w:p>
  </w:footnote>
  <w:footnote w:id="58">
    <w:p w:rsidR="00946D6B" w:rsidRPr="004D6F76" w:rsidRDefault="00946D6B" w:rsidP="005B6AF3">
      <w:pPr>
        <w:pStyle w:val="FootnoteText"/>
        <w:rPr>
          <w:rFonts w:cs="Arial"/>
          <w:sz w:val="18"/>
          <w:szCs w:val="18"/>
        </w:rPr>
      </w:pPr>
      <w:r w:rsidRPr="008D7334">
        <w:rPr>
          <w:rStyle w:val="FootnoteReference"/>
          <w:rFonts w:cs="Arial"/>
          <w:sz w:val="18"/>
          <w:szCs w:val="18"/>
        </w:rPr>
        <w:footnoteRef/>
      </w:r>
      <w:r w:rsidRPr="008D7334">
        <w:rPr>
          <w:rFonts w:cs="Arial"/>
          <w:sz w:val="18"/>
          <w:szCs w:val="18"/>
        </w:rPr>
        <w:t xml:space="preserve"> See, for example, A. Osman, K. Ruddock and E. Johnson (EDO NSW), ‘The role of the NSW Planning Assessment Commission in “reviewing” planning projects’, </w:t>
      </w:r>
      <w:r w:rsidRPr="008D7334">
        <w:rPr>
          <w:rFonts w:cs="Arial"/>
          <w:i/>
          <w:sz w:val="18"/>
          <w:szCs w:val="18"/>
        </w:rPr>
        <w:t>IMPACT! Journal</w:t>
      </w:r>
      <w:r w:rsidRPr="00D312CD">
        <w:rPr>
          <w:rFonts w:cs="Arial"/>
          <w:sz w:val="18"/>
          <w:szCs w:val="18"/>
        </w:rPr>
        <w:t xml:space="preserve"> (2012),</w:t>
      </w:r>
      <w:r w:rsidRPr="00452A25">
        <w:rPr>
          <w:rFonts w:cs="Arial"/>
          <w:sz w:val="18"/>
          <w:szCs w:val="18"/>
        </w:rPr>
        <w:t xml:space="preserve"> at </w:t>
      </w:r>
      <w:hyperlink r:id="rId27" w:history="1">
        <w:proofErr w:type="spellStart"/>
        <w:r w:rsidRPr="004D6F76">
          <w:rPr>
            <w:rStyle w:val="Hyperlink"/>
            <w:rFonts w:cs="Arial"/>
            <w:sz w:val="18"/>
            <w:szCs w:val="18"/>
          </w:rPr>
          <w:t>www.edonsw.org.au</w:t>
        </w:r>
        <w:proofErr w:type="spellEnd"/>
      </w:hyperlink>
      <w:r w:rsidRPr="004D6F76">
        <w:rPr>
          <w:rFonts w:cs="Arial"/>
          <w:sz w:val="18"/>
          <w:szCs w:val="18"/>
        </w:rPr>
        <w:t>.</w:t>
      </w:r>
    </w:p>
  </w:footnote>
  <w:footnote w:id="59">
    <w:p w:rsidR="00946D6B" w:rsidRPr="004D6F76" w:rsidRDefault="00946D6B" w:rsidP="00150637">
      <w:pPr>
        <w:pStyle w:val="FootnoteText"/>
        <w:rPr>
          <w:rFonts w:cs="Arial"/>
          <w:sz w:val="18"/>
          <w:szCs w:val="18"/>
        </w:rPr>
      </w:pPr>
      <w:r w:rsidRPr="004D6F76">
        <w:rPr>
          <w:rStyle w:val="FootnoteReference"/>
          <w:rFonts w:cs="Arial"/>
          <w:sz w:val="18"/>
          <w:szCs w:val="18"/>
        </w:rPr>
        <w:footnoteRef/>
      </w:r>
      <w:r w:rsidRPr="004D6F76">
        <w:rPr>
          <w:rFonts w:cs="Arial"/>
          <w:sz w:val="18"/>
          <w:szCs w:val="18"/>
        </w:rPr>
        <w:t xml:space="preserve"> See</w:t>
      </w:r>
      <w:r w:rsidRPr="008D7334">
        <w:rPr>
          <w:rFonts w:cs="Arial"/>
          <w:sz w:val="18"/>
          <w:szCs w:val="18"/>
        </w:rPr>
        <w:t xml:space="preserve"> for example,</w:t>
      </w:r>
      <w:r w:rsidRPr="004D6F76">
        <w:rPr>
          <w:rFonts w:cs="Arial"/>
          <w:sz w:val="18"/>
          <w:szCs w:val="18"/>
        </w:rPr>
        <w:t xml:space="preserve"> ‘Statement from Tony Burke’, media release, 14 June 2012, available at </w:t>
      </w:r>
      <w:hyperlink r:id="rId28" w:history="1">
        <w:r w:rsidRPr="004D6F76">
          <w:rPr>
            <w:rStyle w:val="Hyperlink"/>
            <w:rFonts w:cs="Arial"/>
            <w:sz w:val="18"/>
            <w:szCs w:val="18"/>
          </w:rPr>
          <w:t>http://www.environment.gov.au/minister/burke/2012/mr20120614b.html</w:t>
        </w:r>
      </w:hyperlink>
      <w:r w:rsidRPr="004D6F76">
        <w:rPr>
          <w:rFonts w:cs="Arial"/>
          <w:sz w:val="18"/>
          <w:szCs w:val="18"/>
        </w:rPr>
        <w:t>.</w:t>
      </w:r>
    </w:p>
  </w:footnote>
  <w:footnote w:id="60">
    <w:p w:rsidR="00946D6B" w:rsidRPr="004D6F76" w:rsidRDefault="00946D6B" w:rsidP="00150637">
      <w:pPr>
        <w:pStyle w:val="FootnoteText"/>
        <w:rPr>
          <w:rFonts w:cs="Arial"/>
          <w:sz w:val="18"/>
          <w:szCs w:val="18"/>
        </w:rPr>
      </w:pPr>
      <w:r w:rsidRPr="004D6F76">
        <w:rPr>
          <w:rStyle w:val="FootnoteReference"/>
          <w:rFonts w:cs="Arial"/>
          <w:sz w:val="18"/>
          <w:szCs w:val="18"/>
        </w:rPr>
        <w:footnoteRef/>
      </w:r>
      <w:r w:rsidRPr="004D6F76">
        <w:rPr>
          <w:rFonts w:cs="Arial"/>
          <w:sz w:val="18"/>
          <w:szCs w:val="18"/>
        </w:rPr>
        <w:t xml:space="preserve"> J. McCarthy, ‘Public servants tasked with approving massive </w:t>
      </w:r>
      <w:proofErr w:type="spellStart"/>
      <w:r w:rsidRPr="004D6F76">
        <w:rPr>
          <w:rFonts w:cs="Arial"/>
          <w:sz w:val="18"/>
          <w:szCs w:val="18"/>
        </w:rPr>
        <w:t>CSG</w:t>
      </w:r>
      <w:proofErr w:type="spellEnd"/>
      <w:r w:rsidRPr="004D6F76">
        <w:rPr>
          <w:rFonts w:cs="Arial"/>
          <w:sz w:val="18"/>
          <w:szCs w:val="18"/>
        </w:rPr>
        <w:t xml:space="preserve"> projects were blindsided by demands to approve two in two weeks’, </w:t>
      </w:r>
      <w:r w:rsidRPr="004D6F76">
        <w:rPr>
          <w:rFonts w:cs="Arial"/>
          <w:i/>
          <w:sz w:val="18"/>
          <w:szCs w:val="18"/>
        </w:rPr>
        <w:t>The Courier Mail</w:t>
      </w:r>
      <w:r w:rsidRPr="004D6F76">
        <w:rPr>
          <w:rFonts w:cs="Arial"/>
          <w:sz w:val="18"/>
          <w:szCs w:val="18"/>
        </w:rPr>
        <w:t xml:space="preserve">, 11 February 2013, at </w:t>
      </w:r>
      <w:hyperlink r:id="rId29" w:history="1">
        <w:r w:rsidRPr="004D6F76">
          <w:rPr>
            <w:rStyle w:val="Hyperlink"/>
            <w:rFonts w:cs="Arial"/>
            <w:sz w:val="18"/>
            <w:szCs w:val="18"/>
          </w:rPr>
          <w:t>http://</w:t>
        </w:r>
        <w:proofErr w:type="spellStart"/>
        <w:r w:rsidRPr="004D6F76">
          <w:rPr>
            <w:rStyle w:val="Hyperlink"/>
            <w:rFonts w:cs="Arial"/>
            <w:sz w:val="18"/>
            <w:szCs w:val="18"/>
          </w:rPr>
          <w:t>www.couriermail.com.au</w:t>
        </w:r>
        <w:proofErr w:type="spellEnd"/>
      </w:hyperlink>
      <w:r w:rsidRPr="004D6F76">
        <w:rPr>
          <w:rFonts w:cs="Arial"/>
          <w:sz w:val="18"/>
          <w:szCs w:val="18"/>
        </w:rPr>
        <w:t>.</w:t>
      </w:r>
    </w:p>
  </w:footnote>
  <w:footnote w:id="61">
    <w:p w:rsidR="00946D6B" w:rsidRPr="00CB2981" w:rsidRDefault="00946D6B" w:rsidP="00206A19">
      <w:pPr>
        <w:pStyle w:val="FootnoteText"/>
        <w:rPr>
          <w:rFonts w:cs="Arial"/>
          <w:sz w:val="18"/>
          <w:szCs w:val="18"/>
        </w:rPr>
      </w:pPr>
      <w:r w:rsidRPr="00CB2981">
        <w:rPr>
          <w:rStyle w:val="FootnoteReference"/>
          <w:rFonts w:cs="Arial"/>
          <w:sz w:val="18"/>
          <w:szCs w:val="18"/>
        </w:rPr>
        <w:footnoteRef/>
      </w:r>
      <w:r w:rsidRPr="00CB2981">
        <w:rPr>
          <w:rFonts w:cs="Arial"/>
          <w:sz w:val="18"/>
          <w:szCs w:val="18"/>
        </w:rPr>
        <w:t xml:space="preserve"> See, for example, Independent Commission Against Corruption (</w:t>
      </w:r>
      <w:proofErr w:type="spellStart"/>
      <w:r w:rsidRPr="00CB2981">
        <w:rPr>
          <w:rFonts w:cs="Arial"/>
          <w:sz w:val="18"/>
          <w:szCs w:val="18"/>
        </w:rPr>
        <w:t>ICAC</w:t>
      </w:r>
      <w:proofErr w:type="spellEnd"/>
      <w:r w:rsidRPr="00CB2981">
        <w:rPr>
          <w:rFonts w:cs="Arial"/>
          <w:sz w:val="18"/>
          <w:szCs w:val="18"/>
        </w:rPr>
        <w:t xml:space="preserve">), </w:t>
      </w:r>
      <w:r w:rsidRPr="00CB2981">
        <w:rPr>
          <w:rFonts w:cs="Arial"/>
          <w:i/>
          <w:sz w:val="18"/>
          <w:szCs w:val="18"/>
        </w:rPr>
        <w:t xml:space="preserve">Anti-corruption safeguards in the NSW Planning system </w:t>
      </w:r>
      <w:r w:rsidRPr="00CB2981">
        <w:rPr>
          <w:rFonts w:cs="Arial"/>
          <w:sz w:val="18"/>
          <w:szCs w:val="18"/>
        </w:rPr>
        <w:t xml:space="preserve">(February 2012); EDO NSW, </w:t>
      </w:r>
      <w:r w:rsidRPr="00CB2981">
        <w:rPr>
          <w:rFonts w:cs="Arial"/>
          <w:i/>
          <w:sz w:val="18"/>
          <w:szCs w:val="18"/>
        </w:rPr>
        <w:t>The State of Planning in NSW</w:t>
      </w:r>
      <w:r w:rsidRPr="00CB2981">
        <w:rPr>
          <w:rFonts w:cs="Arial"/>
          <w:sz w:val="18"/>
          <w:szCs w:val="18"/>
        </w:rPr>
        <w:t xml:space="preserve"> (December 2010).</w:t>
      </w:r>
    </w:p>
  </w:footnote>
  <w:footnote w:id="62">
    <w:p w:rsidR="00946D6B" w:rsidRPr="00150637" w:rsidRDefault="00946D6B" w:rsidP="00006551">
      <w:pPr>
        <w:pStyle w:val="FootnoteText"/>
        <w:rPr>
          <w:rFonts w:cs="Arial"/>
          <w:sz w:val="18"/>
          <w:szCs w:val="18"/>
        </w:rPr>
      </w:pPr>
      <w:r w:rsidRPr="00CB2981">
        <w:rPr>
          <w:rStyle w:val="FootnoteReference"/>
          <w:rFonts w:cs="Arial"/>
          <w:sz w:val="18"/>
          <w:szCs w:val="18"/>
        </w:rPr>
        <w:footnoteRef/>
      </w:r>
      <w:r w:rsidRPr="00CB2981">
        <w:rPr>
          <w:rFonts w:cs="Arial"/>
          <w:sz w:val="18"/>
          <w:szCs w:val="18"/>
        </w:rPr>
        <w:t xml:space="preserve"> This reflects the </w:t>
      </w:r>
      <w:proofErr w:type="spellStart"/>
      <w:r w:rsidRPr="00CB2981">
        <w:rPr>
          <w:rFonts w:cs="Arial"/>
          <w:sz w:val="18"/>
          <w:szCs w:val="18"/>
        </w:rPr>
        <w:t>ESD</w:t>
      </w:r>
      <w:proofErr w:type="spellEnd"/>
      <w:r w:rsidRPr="00CB2981">
        <w:rPr>
          <w:rFonts w:cs="Arial"/>
          <w:sz w:val="18"/>
          <w:szCs w:val="18"/>
        </w:rPr>
        <w:t xml:space="preserve"> principle of ‘improved valuation, pricing and incentive mechanisms’.</w:t>
      </w:r>
    </w:p>
  </w:footnote>
  <w:footnote w:id="63">
    <w:p w:rsidR="00946D6B" w:rsidRPr="00150637" w:rsidRDefault="00946D6B" w:rsidP="00150637">
      <w:pPr>
        <w:pStyle w:val="FootnoteText"/>
        <w:rPr>
          <w:rFonts w:cs="Arial"/>
          <w:sz w:val="18"/>
          <w:szCs w:val="18"/>
        </w:rPr>
      </w:pPr>
      <w:r w:rsidRPr="00150637">
        <w:rPr>
          <w:rStyle w:val="FootnoteReference"/>
          <w:rFonts w:eastAsiaTheme="majorEastAsia" w:cs="Arial"/>
          <w:sz w:val="18"/>
          <w:szCs w:val="18"/>
        </w:rPr>
        <w:footnoteRef/>
      </w:r>
      <w:r w:rsidRPr="00150637">
        <w:rPr>
          <w:rFonts w:cs="Arial"/>
          <w:sz w:val="18"/>
          <w:szCs w:val="18"/>
        </w:rPr>
        <w:t xml:space="preserve"> </w:t>
      </w:r>
      <w:proofErr w:type="spellStart"/>
      <w:r w:rsidRPr="00150637">
        <w:rPr>
          <w:rFonts w:cs="Arial"/>
          <w:sz w:val="18"/>
          <w:szCs w:val="18"/>
        </w:rPr>
        <w:t>Samitha</w:t>
      </w:r>
      <w:proofErr w:type="spellEnd"/>
      <w:r w:rsidRPr="00150637">
        <w:rPr>
          <w:rFonts w:cs="Arial"/>
          <w:sz w:val="18"/>
          <w:szCs w:val="18"/>
        </w:rPr>
        <w:t xml:space="preserve"> </w:t>
      </w:r>
      <w:proofErr w:type="spellStart"/>
      <w:r w:rsidRPr="00150637">
        <w:rPr>
          <w:rFonts w:cs="Arial"/>
          <w:sz w:val="18"/>
          <w:szCs w:val="18"/>
        </w:rPr>
        <w:t>Rao</w:t>
      </w:r>
      <w:proofErr w:type="spellEnd"/>
      <w:r w:rsidRPr="00150637">
        <w:rPr>
          <w:rFonts w:cs="Arial"/>
          <w:sz w:val="18"/>
          <w:szCs w:val="18"/>
        </w:rPr>
        <w:t xml:space="preserve">, ‘Reforming the Environment Assessment Process in Victoria’ (2010) 1 </w:t>
      </w:r>
      <w:r w:rsidRPr="00150637">
        <w:rPr>
          <w:rFonts w:cs="Arial"/>
          <w:i/>
          <w:iCs/>
          <w:sz w:val="18"/>
          <w:szCs w:val="18"/>
        </w:rPr>
        <w:t>National Environmental Law Review</w:t>
      </w:r>
      <w:r w:rsidRPr="00150637">
        <w:rPr>
          <w:rFonts w:cs="Arial"/>
          <w:sz w:val="18"/>
          <w:szCs w:val="18"/>
        </w:rPr>
        <w:t xml:space="preserve"> 34, p 37.</w:t>
      </w:r>
    </w:p>
  </w:footnote>
  <w:footnote w:id="64">
    <w:p w:rsidR="00946D6B" w:rsidRPr="00981C2E" w:rsidRDefault="00946D6B">
      <w:pPr>
        <w:pStyle w:val="FootnoteText"/>
        <w:rPr>
          <w:rFonts w:cs="Arial"/>
          <w:sz w:val="18"/>
          <w:szCs w:val="18"/>
        </w:rPr>
      </w:pPr>
      <w:r w:rsidRPr="00E570CD">
        <w:rPr>
          <w:rStyle w:val="FootnoteReference"/>
          <w:rFonts w:cs="Arial"/>
          <w:sz w:val="18"/>
          <w:szCs w:val="18"/>
        </w:rPr>
        <w:footnoteRef/>
      </w:r>
      <w:r w:rsidRPr="00E570CD">
        <w:rPr>
          <w:rFonts w:cs="Arial"/>
          <w:sz w:val="18"/>
          <w:szCs w:val="18"/>
        </w:rPr>
        <w:t xml:space="preserve"> Productivity Commission Issues Paper, </w:t>
      </w:r>
      <w:r w:rsidRPr="00E570CD">
        <w:rPr>
          <w:rFonts w:cs="Arial"/>
          <w:i/>
          <w:sz w:val="18"/>
          <w:szCs w:val="18"/>
        </w:rPr>
        <w:t>Major Project Development Assessment Processes</w:t>
      </w:r>
      <w:r w:rsidRPr="00E570CD">
        <w:rPr>
          <w:rFonts w:cs="Arial"/>
          <w:sz w:val="18"/>
          <w:szCs w:val="18"/>
        </w:rPr>
        <w:t xml:space="preserve"> (Feb. 2013), </w:t>
      </w:r>
      <w:proofErr w:type="spellStart"/>
      <w:r w:rsidRPr="00E570CD">
        <w:rPr>
          <w:rFonts w:cs="Arial"/>
          <w:sz w:val="18"/>
          <w:szCs w:val="18"/>
        </w:rPr>
        <w:t>pp</w:t>
      </w:r>
      <w:proofErr w:type="spellEnd"/>
      <w:r w:rsidRPr="00E570CD">
        <w:rPr>
          <w:rFonts w:cs="Arial"/>
          <w:sz w:val="18"/>
          <w:szCs w:val="18"/>
        </w:rPr>
        <w:t xml:space="preserve"> 9-10.</w:t>
      </w:r>
    </w:p>
  </w:footnote>
  <w:footnote w:id="65">
    <w:p w:rsidR="00946D6B" w:rsidRPr="004D6F76" w:rsidRDefault="00946D6B">
      <w:pPr>
        <w:pStyle w:val="FootnoteText"/>
        <w:rPr>
          <w:rFonts w:cs="Arial"/>
          <w:sz w:val="18"/>
          <w:szCs w:val="18"/>
        </w:rPr>
      </w:pPr>
      <w:r w:rsidRPr="004D6F76">
        <w:rPr>
          <w:rStyle w:val="FootnoteReference"/>
          <w:rFonts w:cs="Arial"/>
          <w:sz w:val="18"/>
          <w:szCs w:val="18"/>
        </w:rPr>
        <w:footnoteRef/>
      </w:r>
      <w:r w:rsidRPr="004D6F76">
        <w:rPr>
          <w:rFonts w:cs="Arial"/>
          <w:sz w:val="18"/>
          <w:szCs w:val="18"/>
        </w:rPr>
        <w:t xml:space="preserve"> Prof. </w:t>
      </w:r>
      <w:proofErr w:type="spellStart"/>
      <w:r w:rsidRPr="004D6F76">
        <w:rPr>
          <w:rFonts w:cs="Arial"/>
          <w:sz w:val="18"/>
          <w:szCs w:val="18"/>
        </w:rPr>
        <w:t>Meinhard</w:t>
      </w:r>
      <w:proofErr w:type="spellEnd"/>
      <w:r w:rsidRPr="004D6F76">
        <w:rPr>
          <w:rFonts w:cs="Arial"/>
          <w:sz w:val="18"/>
          <w:szCs w:val="18"/>
        </w:rPr>
        <w:t xml:space="preserve"> </w:t>
      </w:r>
      <w:proofErr w:type="spellStart"/>
      <w:r w:rsidRPr="004D6F76">
        <w:rPr>
          <w:rFonts w:cs="Arial"/>
          <w:sz w:val="18"/>
          <w:szCs w:val="18"/>
        </w:rPr>
        <w:t>Doelle</w:t>
      </w:r>
      <w:proofErr w:type="spellEnd"/>
      <w:r w:rsidRPr="004D6F76">
        <w:rPr>
          <w:rFonts w:cs="Arial"/>
          <w:sz w:val="18"/>
          <w:szCs w:val="18"/>
        </w:rPr>
        <w:t>, ‘</w:t>
      </w:r>
      <w:proofErr w:type="spellStart"/>
      <w:r w:rsidRPr="004D6F76">
        <w:rPr>
          <w:rFonts w:cs="Arial"/>
          <w:color w:val="000000"/>
          <w:sz w:val="18"/>
          <w:szCs w:val="18"/>
        </w:rPr>
        <w:t>CEAA</w:t>
      </w:r>
      <w:proofErr w:type="spellEnd"/>
      <w:r w:rsidRPr="004D6F76">
        <w:rPr>
          <w:rFonts w:cs="Arial"/>
          <w:color w:val="000000"/>
          <w:sz w:val="18"/>
          <w:szCs w:val="18"/>
        </w:rPr>
        <w:t xml:space="preserve"> 2012: The End of Federal </w:t>
      </w:r>
      <w:proofErr w:type="spellStart"/>
      <w:r w:rsidRPr="004D6F76">
        <w:rPr>
          <w:rFonts w:cs="Arial"/>
          <w:color w:val="000000"/>
          <w:sz w:val="18"/>
          <w:szCs w:val="18"/>
        </w:rPr>
        <w:t>EA</w:t>
      </w:r>
      <w:proofErr w:type="spellEnd"/>
      <w:r w:rsidRPr="004D6F76">
        <w:rPr>
          <w:rFonts w:cs="Arial"/>
          <w:color w:val="000000"/>
          <w:sz w:val="18"/>
          <w:szCs w:val="18"/>
        </w:rPr>
        <w:t xml:space="preserve"> As We Know It?’ (2012) </w:t>
      </w:r>
      <w:r w:rsidRPr="004D6F76">
        <w:rPr>
          <w:rFonts w:cs="Arial"/>
          <w:i/>
          <w:color w:val="000000"/>
          <w:sz w:val="18"/>
          <w:szCs w:val="18"/>
        </w:rPr>
        <w:t>24. Journal of Environmental Law &amp; Practice 1.</w:t>
      </w:r>
      <w:r w:rsidRPr="004D6F76">
        <w:rPr>
          <w:rFonts w:cs="Arial"/>
          <w:color w:val="000000"/>
          <w:sz w:val="18"/>
          <w:szCs w:val="18"/>
        </w:rPr>
        <w:t xml:space="preserve"> </w:t>
      </w:r>
    </w:p>
  </w:footnote>
  <w:footnote w:id="66">
    <w:p w:rsidR="00946D6B" w:rsidRPr="00150637" w:rsidRDefault="00946D6B" w:rsidP="00BA71D0">
      <w:pPr>
        <w:pStyle w:val="FootnoteText"/>
        <w:rPr>
          <w:rFonts w:cs="Arial"/>
          <w:sz w:val="18"/>
          <w:szCs w:val="18"/>
        </w:rPr>
      </w:pPr>
      <w:r w:rsidRPr="004D6F76">
        <w:rPr>
          <w:rStyle w:val="FootnoteReference"/>
          <w:rFonts w:cs="Arial"/>
          <w:sz w:val="18"/>
          <w:szCs w:val="18"/>
        </w:rPr>
        <w:footnoteRef/>
      </w:r>
      <w:r w:rsidRPr="004D6F76">
        <w:rPr>
          <w:rFonts w:cs="Arial"/>
          <w:sz w:val="18"/>
          <w:szCs w:val="18"/>
        </w:rPr>
        <w:t xml:space="preserve"> See for example </w:t>
      </w:r>
      <w:proofErr w:type="spellStart"/>
      <w:r w:rsidRPr="004D6F76">
        <w:rPr>
          <w:rFonts w:cs="Arial"/>
          <w:sz w:val="18"/>
          <w:szCs w:val="18"/>
        </w:rPr>
        <w:t>Eco</w:t>
      </w:r>
      <w:r>
        <w:rPr>
          <w:rFonts w:cs="Arial"/>
          <w:sz w:val="18"/>
          <w:szCs w:val="18"/>
        </w:rPr>
        <w:t>j</w:t>
      </w:r>
      <w:r w:rsidRPr="004D6F76">
        <w:rPr>
          <w:rFonts w:cs="Arial"/>
          <w:sz w:val="18"/>
          <w:szCs w:val="18"/>
        </w:rPr>
        <w:t>ustice</w:t>
      </w:r>
      <w:proofErr w:type="spellEnd"/>
      <w:r w:rsidRPr="004D6F76">
        <w:rPr>
          <w:rFonts w:cs="Arial"/>
          <w:sz w:val="18"/>
          <w:szCs w:val="18"/>
        </w:rPr>
        <w:t xml:space="preserve">, </w:t>
      </w:r>
      <w:r w:rsidRPr="004D6F76">
        <w:rPr>
          <w:rFonts w:cs="Arial"/>
          <w:i/>
          <w:sz w:val="18"/>
          <w:szCs w:val="18"/>
        </w:rPr>
        <w:t>Legal Backgrounders</w:t>
      </w:r>
      <w:r w:rsidRPr="004D6F76">
        <w:rPr>
          <w:rFonts w:cs="Arial"/>
          <w:sz w:val="18"/>
          <w:szCs w:val="18"/>
        </w:rPr>
        <w:t xml:space="preserve">, ‘Canadian Environmental Assessment Act’ (May 2012); and ‘Canadian Environmental Assessment Act (2012) – Regulations’ (August 2012). Available at </w:t>
      </w:r>
      <w:hyperlink r:id="rId30" w:history="1">
        <w:proofErr w:type="spellStart"/>
        <w:r w:rsidRPr="004D6F76">
          <w:rPr>
            <w:rStyle w:val="Hyperlink"/>
            <w:rFonts w:cs="Arial"/>
            <w:sz w:val="18"/>
            <w:szCs w:val="18"/>
          </w:rPr>
          <w:t>www.ecojustice.ca</w:t>
        </w:r>
        <w:proofErr w:type="spellEnd"/>
      </w:hyperlink>
      <w:r w:rsidRPr="004D6F76">
        <w:rPr>
          <w:rFonts w:cs="Arial"/>
          <w:sz w:val="18"/>
          <w:szCs w:val="18"/>
        </w:rPr>
        <w:t>. Further information via personal communication, Feb. 2013.</w:t>
      </w:r>
    </w:p>
  </w:footnote>
  <w:footnote w:id="67">
    <w:p w:rsidR="00946D6B" w:rsidRPr="00E570CD"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w:t>
      </w:r>
      <w:proofErr w:type="spellStart"/>
      <w:r w:rsidRPr="00150637">
        <w:rPr>
          <w:rFonts w:cs="Arial"/>
          <w:sz w:val="18"/>
          <w:szCs w:val="18"/>
        </w:rPr>
        <w:t>Eco</w:t>
      </w:r>
      <w:r>
        <w:rPr>
          <w:rFonts w:cs="Arial"/>
          <w:sz w:val="18"/>
          <w:szCs w:val="18"/>
        </w:rPr>
        <w:t>j</w:t>
      </w:r>
      <w:r w:rsidRPr="00150637">
        <w:rPr>
          <w:rFonts w:cs="Arial"/>
          <w:sz w:val="18"/>
          <w:szCs w:val="18"/>
        </w:rPr>
        <w:t>ustice</w:t>
      </w:r>
      <w:proofErr w:type="spellEnd"/>
      <w:r w:rsidRPr="00150637">
        <w:rPr>
          <w:rFonts w:cs="Arial"/>
          <w:sz w:val="18"/>
          <w:szCs w:val="18"/>
        </w:rPr>
        <w:t xml:space="preserve">, </w:t>
      </w:r>
      <w:r w:rsidRPr="00150637">
        <w:rPr>
          <w:rFonts w:cs="Arial"/>
          <w:i/>
          <w:sz w:val="18"/>
          <w:szCs w:val="18"/>
        </w:rPr>
        <w:t xml:space="preserve">Legal Backgrounder </w:t>
      </w:r>
      <w:r w:rsidRPr="00150637">
        <w:rPr>
          <w:rFonts w:cs="Arial"/>
          <w:sz w:val="18"/>
          <w:szCs w:val="18"/>
        </w:rPr>
        <w:t xml:space="preserve">(August 2012), </w:t>
      </w:r>
      <w:proofErr w:type="spellStart"/>
      <w:r w:rsidRPr="00150637">
        <w:rPr>
          <w:rFonts w:cs="Arial"/>
          <w:sz w:val="18"/>
          <w:szCs w:val="18"/>
        </w:rPr>
        <w:t>pp</w:t>
      </w:r>
      <w:proofErr w:type="spellEnd"/>
      <w:r w:rsidRPr="00150637">
        <w:rPr>
          <w:rFonts w:cs="Arial"/>
          <w:sz w:val="18"/>
          <w:szCs w:val="18"/>
        </w:rPr>
        <w:t xml:space="preserve"> 5-6, at </w:t>
      </w:r>
      <w:hyperlink r:id="rId31" w:history="1">
        <w:proofErr w:type="spellStart"/>
        <w:r w:rsidRPr="00E570CD">
          <w:rPr>
            <w:rStyle w:val="Hyperlink"/>
            <w:rFonts w:cs="Arial"/>
            <w:sz w:val="18"/>
            <w:szCs w:val="18"/>
          </w:rPr>
          <w:t>www.ecojustice.ca</w:t>
        </w:r>
        <w:proofErr w:type="spellEnd"/>
      </w:hyperlink>
      <w:r w:rsidRPr="00E570CD">
        <w:rPr>
          <w:rFonts w:cs="Arial"/>
          <w:sz w:val="18"/>
          <w:szCs w:val="18"/>
        </w:rPr>
        <w:t xml:space="preserve">. </w:t>
      </w:r>
    </w:p>
  </w:footnote>
  <w:footnote w:id="68">
    <w:p w:rsidR="00946D6B" w:rsidRPr="00E570CD" w:rsidRDefault="00946D6B">
      <w:pPr>
        <w:pStyle w:val="FootnoteText"/>
        <w:rPr>
          <w:rFonts w:cs="Arial"/>
          <w:sz w:val="18"/>
          <w:szCs w:val="18"/>
        </w:rPr>
      </w:pPr>
      <w:r w:rsidRPr="00981C2E">
        <w:rPr>
          <w:rStyle w:val="FootnoteReference"/>
          <w:rFonts w:cs="Arial"/>
          <w:sz w:val="18"/>
          <w:szCs w:val="18"/>
        </w:rPr>
        <w:footnoteRef/>
      </w:r>
      <w:r w:rsidRPr="00981C2E">
        <w:rPr>
          <w:rFonts w:cs="Arial"/>
          <w:sz w:val="18"/>
          <w:szCs w:val="18"/>
        </w:rPr>
        <w:t xml:space="preserve"> </w:t>
      </w:r>
      <w:r>
        <w:rPr>
          <w:rFonts w:cs="Arial"/>
          <w:sz w:val="18"/>
          <w:szCs w:val="18"/>
        </w:rPr>
        <w:t>See further below</w:t>
      </w:r>
      <w:r w:rsidRPr="008C49A5">
        <w:rPr>
          <w:rFonts w:cs="Arial"/>
          <w:sz w:val="18"/>
          <w:szCs w:val="18"/>
        </w:rPr>
        <w:t xml:space="preserve">; NZ Environment Commissioner, Dr Jan Wright, ‘Proposed changes unbalance </w:t>
      </w:r>
      <w:proofErr w:type="spellStart"/>
      <w:r w:rsidRPr="008C49A5">
        <w:rPr>
          <w:rFonts w:cs="Arial"/>
          <w:sz w:val="18"/>
          <w:szCs w:val="18"/>
        </w:rPr>
        <w:t>RMA</w:t>
      </w:r>
      <w:proofErr w:type="spellEnd"/>
      <w:r w:rsidRPr="008C49A5">
        <w:rPr>
          <w:rFonts w:cs="Arial"/>
          <w:sz w:val="18"/>
          <w:szCs w:val="18"/>
        </w:rPr>
        <w:t xml:space="preserve"> - Environment Commissioner’, media release, 1</w:t>
      </w:r>
      <w:r>
        <w:rPr>
          <w:rFonts w:cs="Arial"/>
          <w:sz w:val="18"/>
          <w:szCs w:val="18"/>
        </w:rPr>
        <w:t xml:space="preserve"> March </w:t>
      </w:r>
      <w:r w:rsidRPr="008C49A5">
        <w:rPr>
          <w:rFonts w:cs="Arial"/>
          <w:sz w:val="18"/>
          <w:szCs w:val="18"/>
        </w:rPr>
        <w:t xml:space="preserve">2013, available at  </w:t>
      </w:r>
      <w:hyperlink r:id="rId32" w:history="1">
        <w:r w:rsidRPr="00150637">
          <w:rPr>
            <w:rStyle w:val="Hyperlink"/>
            <w:rFonts w:cs="Arial"/>
            <w:color w:val="auto"/>
            <w:sz w:val="18"/>
            <w:szCs w:val="18"/>
          </w:rPr>
          <w:t>http://</w:t>
        </w:r>
        <w:proofErr w:type="spellStart"/>
        <w:r w:rsidRPr="00150637">
          <w:rPr>
            <w:rStyle w:val="Hyperlink"/>
            <w:rFonts w:cs="Arial"/>
            <w:color w:val="auto"/>
            <w:sz w:val="18"/>
            <w:szCs w:val="18"/>
          </w:rPr>
          <w:t>www.pce.parliament.nz</w:t>
        </w:r>
        <w:proofErr w:type="spellEnd"/>
      </w:hyperlink>
      <w:r w:rsidRPr="00150637">
        <w:rPr>
          <w:rFonts w:cs="Arial"/>
          <w:sz w:val="18"/>
          <w:szCs w:val="18"/>
        </w:rPr>
        <w:t xml:space="preserve">. </w:t>
      </w:r>
    </w:p>
  </w:footnote>
  <w:footnote w:id="69">
    <w:p w:rsidR="00946D6B" w:rsidRPr="00150637" w:rsidRDefault="00946D6B" w:rsidP="00E149A3">
      <w:pPr>
        <w:pStyle w:val="Default"/>
        <w:rPr>
          <w:sz w:val="18"/>
          <w:szCs w:val="18"/>
        </w:rPr>
      </w:pPr>
      <w:r w:rsidRPr="00150637">
        <w:rPr>
          <w:rStyle w:val="FootnoteReference"/>
          <w:sz w:val="18"/>
          <w:szCs w:val="18"/>
        </w:rPr>
        <w:footnoteRef/>
      </w:r>
      <w:r w:rsidRPr="00150637">
        <w:rPr>
          <w:sz w:val="18"/>
          <w:szCs w:val="18"/>
        </w:rPr>
        <w:t xml:space="preserve"> </w:t>
      </w:r>
      <w:r w:rsidRPr="00150637">
        <w:rPr>
          <w:color w:val="auto"/>
          <w:sz w:val="18"/>
          <w:szCs w:val="18"/>
          <w:lang w:val="en-AU"/>
        </w:rPr>
        <w:t>See for example,</w:t>
      </w:r>
      <w:r w:rsidRPr="00150637">
        <w:rPr>
          <w:sz w:val="18"/>
          <w:szCs w:val="18"/>
        </w:rPr>
        <w:t xml:space="preserve"> S. </w:t>
      </w:r>
      <w:r w:rsidRPr="00150637">
        <w:rPr>
          <w:color w:val="auto"/>
          <w:sz w:val="18"/>
          <w:szCs w:val="18"/>
          <w:lang w:val="en-AU"/>
        </w:rPr>
        <w:t xml:space="preserve">Hammer et al, </w:t>
      </w:r>
      <w:r w:rsidRPr="00150637">
        <w:rPr>
          <w:i/>
          <w:sz w:val="18"/>
          <w:szCs w:val="18"/>
        </w:rPr>
        <w:t xml:space="preserve">Cities and Green Growth: A Conceptual Framework </w:t>
      </w:r>
      <w:r w:rsidRPr="00150637">
        <w:rPr>
          <w:color w:val="auto"/>
          <w:sz w:val="18"/>
          <w:szCs w:val="18"/>
          <w:lang w:val="en-AU"/>
        </w:rPr>
        <w:t>(2011)</w:t>
      </w:r>
      <w:r w:rsidRPr="00150637">
        <w:rPr>
          <w:sz w:val="18"/>
          <w:szCs w:val="18"/>
        </w:rPr>
        <w:t xml:space="preserve">, OECD Regional Development Working Papers 2011/08, OECD. </w:t>
      </w:r>
      <w:hyperlink r:id="rId33" w:history="1">
        <w:r w:rsidRPr="00150637">
          <w:rPr>
            <w:rStyle w:val="Hyperlink"/>
            <w:sz w:val="18"/>
            <w:szCs w:val="18"/>
          </w:rPr>
          <w:t>http://</w:t>
        </w:r>
        <w:proofErr w:type="spellStart"/>
        <w:r w:rsidRPr="00150637">
          <w:rPr>
            <w:rStyle w:val="Hyperlink"/>
            <w:sz w:val="18"/>
            <w:szCs w:val="18"/>
          </w:rPr>
          <w:t>dx.doi.org</w:t>
        </w:r>
        <w:proofErr w:type="spellEnd"/>
        <w:r w:rsidRPr="00150637">
          <w:rPr>
            <w:rStyle w:val="Hyperlink"/>
            <w:sz w:val="18"/>
            <w:szCs w:val="18"/>
          </w:rPr>
          <w:t>/10.1787/</w:t>
        </w:r>
        <w:proofErr w:type="spellStart"/>
        <w:r w:rsidRPr="00150637">
          <w:rPr>
            <w:rStyle w:val="Hyperlink"/>
            <w:sz w:val="18"/>
            <w:szCs w:val="18"/>
          </w:rPr>
          <w:t>5kg0tflmzx34</w:t>
        </w:r>
        <w:proofErr w:type="spellEnd"/>
        <w:r w:rsidRPr="00150637">
          <w:rPr>
            <w:rStyle w:val="Hyperlink"/>
            <w:sz w:val="18"/>
            <w:szCs w:val="18"/>
          </w:rPr>
          <w:t>-en</w:t>
        </w:r>
      </w:hyperlink>
      <w:r w:rsidRPr="00150637">
        <w:rPr>
          <w:sz w:val="18"/>
          <w:szCs w:val="18"/>
        </w:rPr>
        <w:t xml:space="preserve">; see also </w:t>
      </w:r>
      <w:proofErr w:type="spellStart"/>
      <w:r w:rsidRPr="00150637">
        <w:rPr>
          <w:sz w:val="18"/>
          <w:szCs w:val="18"/>
        </w:rPr>
        <w:t>UNEP</w:t>
      </w:r>
      <w:proofErr w:type="spellEnd"/>
      <w:r w:rsidRPr="00150637">
        <w:rPr>
          <w:sz w:val="18"/>
          <w:szCs w:val="18"/>
        </w:rPr>
        <w:t xml:space="preserve">, </w:t>
      </w:r>
      <w:r w:rsidRPr="00150637">
        <w:rPr>
          <w:i/>
          <w:sz w:val="18"/>
          <w:szCs w:val="18"/>
        </w:rPr>
        <w:t>The Economics of Ecosystems and Biodiversity</w:t>
      </w:r>
      <w:r w:rsidRPr="00150637">
        <w:rPr>
          <w:sz w:val="18"/>
          <w:szCs w:val="18"/>
        </w:rPr>
        <w:t xml:space="preserve"> (</w:t>
      </w:r>
      <w:proofErr w:type="spellStart"/>
      <w:r w:rsidRPr="00150637">
        <w:rPr>
          <w:sz w:val="18"/>
          <w:szCs w:val="18"/>
        </w:rPr>
        <w:t>TEEB</w:t>
      </w:r>
      <w:proofErr w:type="spellEnd"/>
      <w:r w:rsidRPr="00150637">
        <w:rPr>
          <w:sz w:val="18"/>
          <w:szCs w:val="18"/>
        </w:rPr>
        <w:t xml:space="preserve">), at </w:t>
      </w:r>
      <w:hyperlink r:id="rId34" w:history="1">
        <w:proofErr w:type="spellStart"/>
        <w:r w:rsidRPr="004D6F76">
          <w:rPr>
            <w:rStyle w:val="Hyperlink"/>
            <w:sz w:val="18"/>
            <w:szCs w:val="18"/>
          </w:rPr>
          <w:t>www.teebweb.org</w:t>
        </w:r>
        <w:proofErr w:type="spellEnd"/>
      </w:hyperlink>
      <w:r w:rsidRPr="00150637">
        <w:rPr>
          <w:sz w:val="18"/>
          <w:szCs w:val="18"/>
        </w:rPr>
        <w:t>; see further</w:t>
      </w:r>
      <w:r w:rsidRPr="00150637">
        <w:rPr>
          <w:i/>
          <w:sz w:val="18"/>
          <w:szCs w:val="18"/>
        </w:rPr>
        <w:t xml:space="preserve"> </w:t>
      </w:r>
      <w:r w:rsidRPr="00150637">
        <w:rPr>
          <w:sz w:val="18"/>
          <w:szCs w:val="18"/>
        </w:rPr>
        <w:t>UK</w:t>
      </w:r>
      <w:r w:rsidRPr="00150637">
        <w:rPr>
          <w:i/>
          <w:sz w:val="18"/>
          <w:szCs w:val="18"/>
        </w:rPr>
        <w:t xml:space="preserve"> </w:t>
      </w:r>
      <w:r w:rsidRPr="00150637">
        <w:rPr>
          <w:sz w:val="18"/>
          <w:szCs w:val="18"/>
          <w:lang w:val="en-GB"/>
        </w:rPr>
        <w:t xml:space="preserve">Natural Environment White Paper, </w:t>
      </w:r>
      <w:r w:rsidRPr="00150637">
        <w:rPr>
          <w:rStyle w:val="Emphasis"/>
          <w:sz w:val="18"/>
          <w:szCs w:val="18"/>
          <w:lang w:val="en-GB"/>
        </w:rPr>
        <w:t>The Natural Choice: Securing the Value of Nature</w:t>
      </w:r>
      <w:r w:rsidRPr="00150637">
        <w:rPr>
          <w:sz w:val="18"/>
          <w:szCs w:val="18"/>
          <w:lang w:val="en-GB"/>
        </w:rPr>
        <w:t xml:space="preserve"> (2011), which led to the creation of the UK Natural Capital Committee, at </w:t>
      </w:r>
      <w:hyperlink r:id="rId35" w:history="1">
        <w:proofErr w:type="spellStart"/>
        <w:r w:rsidRPr="00150637">
          <w:rPr>
            <w:rStyle w:val="Hyperlink"/>
            <w:sz w:val="18"/>
            <w:szCs w:val="18"/>
            <w:lang w:val="en-GB"/>
          </w:rPr>
          <w:t>www.defra.gov.uk</w:t>
        </w:r>
        <w:proofErr w:type="spellEnd"/>
        <w:r w:rsidRPr="00150637">
          <w:rPr>
            <w:rStyle w:val="Hyperlink"/>
            <w:sz w:val="18"/>
            <w:szCs w:val="18"/>
            <w:lang w:val="en-GB"/>
          </w:rPr>
          <w:t>/environment/natural/whitepaper/</w:t>
        </w:r>
      </w:hyperlink>
      <w:r w:rsidRPr="00150637">
        <w:rPr>
          <w:sz w:val="18"/>
          <w:szCs w:val="18"/>
          <w:lang w:val="en-GB"/>
        </w:rPr>
        <w:t>.</w:t>
      </w:r>
    </w:p>
  </w:footnote>
  <w:footnote w:id="70">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Senate Environment and Communications Legislation Committee, </w:t>
      </w:r>
      <w:r w:rsidRPr="00150637">
        <w:rPr>
          <w:rFonts w:cs="Arial"/>
          <w:i/>
          <w:sz w:val="18"/>
          <w:szCs w:val="18"/>
        </w:rPr>
        <w:t xml:space="preserve">Report on </w:t>
      </w:r>
      <w:r w:rsidRPr="00150637">
        <w:rPr>
          <w:rFonts w:cs="Arial"/>
          <w:i/>
          <w:sz w:val="18"/>
          <w:szCs w:val="18"/>
          <w:lang w:val="en"/>
        </w:rPr>
        <w:t>Environment Protection and Biodiversity Conservation Amendment (Retaining Federal Approval Powers) Bill 2012</w:t>
      </w:r>
      <w:r w:rsidRPr="00150637">
        <w:rPr>
          <w:rFonts w:cs="Arial"/>
          <w:sz w:val="18"/>
          <w:szCs w:val="18"/>
          <w:lang w:val="en"/>
        </w:rPr>
        <w:t xml:space="preserve"> (March 2013), recommendation 6 and </w:t>
      </w:r>
      <w:proofErr w:type="spellStart"/>
      <w:r w:rsidRPr="00150637">
        <w:rPr>
          <w:rFonts w:cs="Arial"/>
          <w:sz w:val="18"/>
          <w:szCs w:val="18"/>
          <w:lang w:val="en"/>
        </w:rPr>
        <w:t>paras</w:t>
      </w:r>
      <w:proofErr w:type="spellEnd"/>
      <w:r w:rsidRPr="00150637">
        <w:rPr>
          <w:rFonts w:cs="Arial"/>
          <w:sz w:val="18"/>
          <w:szCs w:val="18"/>
          <w:lang w:val="en"/>
        </w:rPr>
        <w:t xml:space="preserve"> 2.47, 2.70-2.73.</w:t>
      </w:r>
    </w:p>
  </w:footnote>
  <w:footnote w:id="71">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Senate Standing Committee report on </w:t>
      </w:r>
      <w:r w:rsidRPr="00150637">
        <w:rPr>
          <w:rFonts w:cs="Arial"/>
          <w:i/>
          <w:sz w:val="18"/>
          <w:szCs w:val="18"/>
        </w:rPr>
        <w:t>Operations of the Environmental Protection and Biodiversity Conservation Act 1999</w:t>
      </w:r>
      <w:r w:rsidRPr="00150637">
        <w:rPr>
          <w:rFonts w:cs="Arial"/>
          <w:sz w:val="18"/>
          <w:szCs w:val="18"/>
        </w:rPr>
        <w:t xml:space="preserve"> (2009), rec. 4: ‘The committee recommends that the government give urgent consideration to increasing the resources available to the department in the areas of assessment, monitoring, complaint investigation, compliance, auditing projects approved under Part 3 and enforcement action.’</w:t>
      </w:r>
    </w:p>
  </w:footnote>
  <w:footnote w:id="72">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Report of the NSW Legislative Council Committee Inquiry into </w:t>
      </w:r>
      <w:proofErr w:type="spellStart"/>
      <w:r w:rsidRPr="00150637">
        <w:rPr>
          <w:rFonts w:cs="Arial"/>
          <w:sz w:val="18"/>
          <w:szCs w:val="18"/>
        </w:rPr>
        <w:t>CSG</w:t>
      </w:r>
      <w:proofErr w:type="spellEnd"/>
      <w:r w:rsidRPr="00150637">
        <w:rPr>
          <w:rFonts w:cs="Arial"/>
          <w:sz w:val="18"/>
          <w:szCs w:val="18"/>
        </w:rPr>
        <w:t xml:space="preserve"> (2012), </w:t>
      </w:r>
      <w:proofErr w:type="spellStart"/>
      <w:r w:rsidRPr="00150637">
        <w:rPr>
          <w:rFonts w:cs="Arial"/>
          <w:sz w:val="18"/>
          <w:szCs w:val="18"/>
        </w:rPr>
        <w:t>paras</w:t>
      </w:r>
      <w:proofErr w:type="spellEnd"/>
      <w:r w:rsidRPr="00150637">
        <w:rPr>
          <w:rFonts w:cs="Arial"/>
          <w:sz w:val="18"/>
          <w:szCs w:val="18"/>
        </w:rPr>
        <w:t xml:space="preserve"> 13.52 and 13.58-61. See also EDO NSW, </w:t>
      </w:r>
      <w:r w:rsidRPr="00150637">
        <w:rPr>
          <w:rFonts w:cs="Arial"/>
          <w:i/>
          <w:sz w:val="18"/>
          <w:szCs w:val="18"/>
        </w:rPr>
        <w:t xml:space="preserve">Submission to the NSW Legislative Council </w:t>
      </w:r>
      <w:proofErr w:type="spellStart"/>
      <w:r w:rsidRPr="00150637">
        <w:rPr>
          <w:rFonts w:cs="Arial"/>
          <w:i/>
          <w:sz w:val="18"/>
          <w:szCs w:val="18"/>
        </w:rPr>
        <w:t>CSG</w:t>
      </w:r>
      <w:proofErr w:type="spellEnd"/>
      <w:r w:rsidRPr="00150637">
        <w:rPr>
          <w:rFonts w:cs="Arial"/>
          <w:i/>
          <w:sz w:val="18"/>
          <w:szCs w:val="18"/>
        </w:rPr>
        <w:t xml:space="preserve"> Inquiry</w:t>
      </w:r>
      <w:r w:rsidRPr="00150637">
        <w:rPr>
          <w:rFonts w:cs="Arial"/>
          <w:sz w:val="18"/>
          <w:szCs w:val="18"/>
        </w:rPr>
        <w:t xml:space="preserve"> (October 2011).</w:t>
      </w:r>
    </w:p>
  </w:footnote>
  <w:footnote w:id="73">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NSW Ombudsman submission to the NSW Legislative Council Inquiry into </w:t>
      </w:r>
      <w:proofErr w:type="spellStart"/>
      <w:r w:rsidRPr="00150637">
        <w:rPr>
          <w:rFonts w:cs="Arial"/>
          <w:sz w:val="18"/>
          <w:szCs w:val="18"/>
        </w:rPr>
        <w:t>CSG</w:t>
      </w:r>
      <w:proofErr w:type="spellEnd"/>
      <w:r w:rsidRPr="00150637">
        <w:rPr>
          <w:rFonts w:cs="Arial"/>
          <w:sz w:val="18"/>
          <w:szCs w:val="18"/>
        </w:rPr>
        <w:t xml:space="preserve"> (2011).</w:t>
      </w:r>
    </w:p>
  </w:footnote>
  <w:footnote w:id="74">
    <w:p w:rsidR="00946D6B" w:rsidRPr="00150637" w:rsidRDefault="00946D6B" w:rsidP="00DB79F9">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See, for example, EDO Victoria’s report series ‘Monitoring Victoria’s Environmental Laws’ which examines the extent and effectiveness of the Victorian government’s implementation and enforcement of key environmental laws, at </w:t>
      </w:r>
      <w:hyperlink r:id="rId36" w:history="1">
        <w:r w:rsidRPr="00150637">
          <w:rPr>
            <w:rStyle w:val="Hyperlink"/>
            <w:rFonts w:cs="Arial"/>
            <w:color w:val="auto"/>
            <w:sz w:val="18"/>
            <w:szCs w:val="18"/>
            <w:lang w:val="en-US"/>
          </w:rPr>
          <w:t>http://www.edovic.org.au/law-reform/major-reports/framework-for-action</w:t>
        </w:r>
      </w:hyperlink>
      <w:r w:rsidRPr="00150637">
        <w:rPr>
          <w:rFonts w:cs="Arial"/>
          <w:sz w:val="18"/>
          <w:szCs w:val="18"/>
          <w:lang w:val="en-US"/>
        </w:rPr>
        <w:t xml:space="preserve">. See also case studies in </w:t>
      </w:r>
      <w:proofErr w:type="spellStart"/>
      <w:r w:rsidRPr="00150637">
        <w:rPr>
          <w:rFonts w:cs="Arial"/>
          <w:sz w:val="18"/>
          <w:szCs w:val="18"/>
          <w:lang w:val="en-US"/>
        </w:rPr>
        <w:t>ANEDO</w:t>
      </w:r>
      <w:proofErr w:type="spellEnd"/>
      <w:r w:rsidRPr="00150637">
        <w:rPr>
          <w:rFonts w:cs="Arial"/>
          <w:sz w:val="18"/>
          <w:szCs w:val="18"/>
          <w:lang w:val="en-US"/>
        </w:rPr>
        <w:t xml:space="preserve"> Submission on </w:t>
      </w:r>
      <w:r w:rsidRPr="00150637">
        <w:rPr>
          <w:rFonts w:cs="Arial"/>
          <w:i/>
          <w:sz w:val="18"/>
          <w:szCs w:val="18"/>
          <w:lang w:val="en-US"/>
        </w:rPr>
        <w:t xml:space="preserve">Draft National </w:t>
      </w:r>
      <w:proofErr w:type="spellStart"/>
      <w:r w:rsidRPr="00150637">
        <w:rPr>
          <w:rFonts w:cs="Arial"/>
          <w:i/>
          <w:sz w:val="18"/>
          <w:szCs w:val="18"/>
          <w:lang w:val="en-US"/>
        </w:rPr>
        <w:t>Harmonised</w:t>
      </w:r>
      <w:proofErr w:type="spellEnd"/>
      <w:r w:rsidRPr="00150637">
        <w:rPr>
          <w:rFonts w:cs="Arial"/>
          <w:i/>
          <w:sz w:val="18"/>
          <w:szCs w:val="18"/>
          <w:lang w:val="en-US"/>
        </w:rPr>
        <w:t xml:space="preserve"> Framework for </w:t>
      </w:r>
      <w:proofErr w:type="spellStart"/>
      <w:r w:rsidRPr="00150637">
        <w:rPr>
          <w:rFonts w:cs="Arial"/>
          <w:i/>
          <w:sz w:val="18"/>
          <w:szCs w:val="18"/>
          <w:lang w:val="en-US"/>
        </w:rPr>
        <w:t>CSG</w:t>
      </w:r>
      <w:proofErr w:type="spellEnd"/>
      <w:r w:rsidRPr="00150637">
        <w:rPr>
          <w:rFonts w:cs="Arial"/>
          <w:sz w:val="18"/>
          <w:szCs w:val="18"/>
          <w:lang w:val="en-US"/>
        </w:rPr>
        <w:t xml:space="preserve"> (Jan. 2013).</w:t>
      </w:r>
    </w:p>
  </w:footnote>
  <w:footnote w:id="75">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generally EDO NSW, </w:t>
      </w:r>
      <w:r w:rsidRPr="00150637">
        <w:rPr>
          <w:rFonts w:cs="Arial"/>
          <w:i/>
          <w:sz w:val="18"/>
          <w:szCs w:val="18"/>
        </w:rPr>
        <w:t>Court Imposed Fines and their Enforcement: Submission to the NSW Sentencing Council</w:t>
      </w:r>
      <w:r w:rsidRPr="00150637">
        <w:rPr>
          <w:rFonts w:cs="Arial"/>
          <w:sz w:val="18"/>
          <w:szCs w:val="18"/>
        </w:rPr>
        <w:t xml:space="preserve"> (June 2006), at </w:t>
      </w:r>
      <w:hyperlink r:id="rId37" w:history="1">
        <w:proofErr w:type="spellStart"/>
        <w:r w:rsidRPr="00150637">
          <w:rPr>
            <w:rStyle w:val="Hyperlink"/>
            <w:rFonts w:cs="Arial"/>
            <w:color w:val="auto"/>
            <w:sz w:val="18"/>
            <w:szCs w:val="18"/>
          </w:rPr>
          <w:t>www.edo.org.au</w:t>
        </w:r>
        <w:proofErr w:type="spellEnd"/>
        <w:r w:rsidRPr="00150637">
          <w:rPr>
            <w:rStyle w:val="Hyperlink"/>
            <w:rFonts w:cs="Arial"/>
            <w:color w:val="auto"/>
            <w:sz w:val="18"/>
            <w:szCs w:val="18"/>
          </w:rPr>
          <w:t>/</w:t>
        </w:r>
        <w:proofErr w:type="spellStart"/>
        <w:r w:rsidRPr="00150637">
          <w:rPr>
            <w:rStyle w:val="Hyperlink"/>
            <w:rFonts w:cs="Arial"/>
            <w:color w:val="auto"/>
            <w:sz w:val="18"/>
            <w:szCs w:val="18"/>
          </w:rPr>
          <w:t>edonsw</w:t>
        </w:r>
        <w:proofErr w:type="spellEnd"/>
        <w:r w:rsidRPr="00150637">
          <w:rPr>
            <w:rStyle w:val="Hyperlink"/>
            <w:rFonts w:cs="Arial"/>
            <w:color w:val="auto"/>
            <w:sz w:val="18"/>
            <w:szCs w:val="18"/>
          </w:rPr>
          <w:t>/site/</w:t>
        </w:r>
        <w:proofErr w:type="spellStart"/>
        <w:r w:rsidRPr="00150637">
          <w:rPr>
            <w:rStyle w:val="Hyperlink"/>
            <w:rFonts w:cs="Arial"/>
            <w:color w:val="auto"/>
            <w:sz w:val="18"/>
            <w:szCs w:val="18"/>
          </w:rPr>
          <w:t>pdf</w:t>
        </w:r>
        <w:proofErr w:type="spellEnd"/>
        <w:r w:rsidRPr="00150637">
          <w:rPr>
            <w:rStyle w:val="Hyperlink"/>
            <w:rFonts w:cs="Arial"/>
            <w:color w:val="auto"/>
            <w:sz w:val="18"/>
            <w:szCs w:val="18"/>
          </w:rPr>
          <w:t>/subs/</w:t>
        </w:r>
        <w:proofErr w:type="spellStart"/>
        <w:r w:rsidRPr="00150637">
          <w:rPr>
            <w:rStyle w:val="Hyperlink"/>
            <w:rFonts w:cs="Arial"/>
            <w:color w:val="auto"/>
            <w:sz w:val="18"/>
            <w:szCs w:val="18"/>
          </w:rPr>
          <w:t>060531finessub.pdf</w:t>
        </w:r>
        <w:proofErr w:type="spellEnd"/>
      </w:hyperlink>
      <w:r w:rsidRPr="00150637">
        <w:rPr>
          <w:rFonts w:cs="Arial"/>
          <w:sz w:val="18"/>
          <w:szCs w:val="18"/>
        </w:rPr>
        <w:t>; see also The Hon Brian Preston, ‘Principled Sentencing for Environmental Offences’</w:t>
      </w:r>
      <w:r w:rsidRPr="00150637">
        <w:rPr>
          <w:rFonts w:cs="Arial"/>
          <w:i/>
          <w:sz w:val="18"/>
          <w:szCs w:val="18"/>
        </w:rPr>
        <w:t xml:space="preserve"> </w:t>
      </w:r>
      <w:r w:rsidRPr="00150637">
        <w:rPr>
          <w:rFonts w:cs="Arial"/>
          <w:sz w:val="18"/>
          <w:szCs w:val="18"/>
        </w:rPr>
        <w:t xml:space="preserve">(paper presented to EDO Annual Conference (May 2006), at </w:t>
      </w:r>
      <w:hyperlink r:id="rId38" w:history="1">
        <w:r w:rsidRPr="00150637">
          <w:rPr>
            <w:rStyle w:val="Hyperlink"/>
            <w:rFonts w:cs="Arial"/>
            <w:color w:val="auto"/>
            <w:sz w:val="18"/>
            <w:szCs w:val="18"/>
          </w:rPr>
          <w:t>www.lawlink.nsw.gov.au/lawlink/lec/ll_lec.nsf/vwFiles/Speech_26May06_Preston.pdf/$file/Speech_26May06_Preston.pdf</w:t>
        </w:r>
      </w:hyperlink>
      <w:r w:rsidRPr="00150637">
        <w:rPr>
          <w:rFonts w:cs="Arial"/>
          <w:sz w:val="18"/>
          <w:szCs w:val="18"/>
        </w:rPr>
        <w:t>.</w:t>
      </w:r>
    </w:p>
  </w:footnote>
  <w:footnote w:id="76">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in relation to critical state infrastructure in NSW (see </w:t>
      </w:r>
      <w:proofErr w:type="spellStart"/>
      <w:r w:rsidRPr="00150637">
        <w:rPr>
          <w:rFonts w:cs="Arial"/>
          <w:i/>
          <w:sz w:val="18"/>
          <w:szCs w:val="18"/>
        </w:rPr>
        <w:t>EP&amp;A</w:t>
      </w:r>
      <w:proofErr w:type="spellEnd"/>
      <w:r w:rsidRPr="00150637">
        <w:rPr>
          <w:rFonts w:cs="Arial"/>
          <w:i/>
          <w:sz w:val="18"/>
          <w:szCs w:val="18"/>
        </w:rPr>
        <w:t xml:space="preserve"> Act 1979</w:t>
      </w:r>
      <w:r w:rsidRPr="00150637">
        <w:rPr>
          <w:rFonts w:cs="Arial"/>
          <w:sz w:val="18"/>
          <w:szCs w:val="18"/>
        </w:rPr>
        <w:t xml:space="preserve">, s </w:t>
      </w:r>
      <w:proofErr w:type="spellStart"/>
      <w:r w:rsidRPr="00150637">
        <w:rPr>
          <w:rFonts w:cs="Arial"/>
          <w:sz w:val="18"/>
          <w:szCs w:val="18"/>
        </w:rPr>
        <w:t>115ZK</w:t>
      </w:r>
      <w:proofErr w:type="spellEnd"/>
      <w:r w:rsidRPr="00150637">
        <w:rPr>
          <w:rFonts w:cs="Arial"/>
          <w:sz w:val="18"/>
          <w:szCs w:val="18"/>
        </w:rPr>
        <w:t>).</w:t>
      </w:r>
    </w:p>
  </w:footnote>
  <w:footnote w:id="77">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In its submission on Draft Accreditation Standards (Dec. 2012), </w:t>
      </w:r>
      <w:proofErr w:type="spellStart"/>
      <w:r w:rsidRPr="00150637">
        <w:rPr>
          <w:rFonts w:cs="Arial"/>
          <w:sz w:val="18"/>
          <w:szCs w:val="18"/>
        </w:rPr>
        <w:t>ANEDO</w:t>
      </w:r>
      <w:proofErr w:type="spellEnd"/>
      <w:r w:rsidRPr="00150637">
        <w:rPr>
          <w:rFonts w:cs="Arial"/>
          <w:sz w:val="18"/>
          <w:szCs w:val="18"/>
        </w:rPr>
        <w:t xml:space="preserve"> stated that if accreditation did proceed, the Standards Framework and bilateral agreements must require </w:t>
      </w:r>
      <w:r w:rsidRPr="00150637">
        <w:rPr>
          <w:rFonts w:cs="Arial"/>
          <w:bCs/>
          <w:i/>
          <w:sz w:val="18"/>
          <w:szCs w:val="18"/>
        </w:rPr>
        <w:t>at least equivalent</w:t>
      </w:r>
      <w:r w:rsidRPr="00150637">
        <w:rPr>
          <w:rFonts w:cs="Arial"/>
          <w:bCs/>
          <w:sz w:val="18"/>
          <w:szCs w:val="18"/>
        </w:rPr>
        <w:t xml:space="preserve"> legal enforcement powers and tools as at the federal level; and undertakings that </w:t>
      </w:r>
      <w:r w:rsidRPr="00150637">
        <w:rPr>
          <w:rFonts w:cs="Arial"/>
          <w:sz w:val="18"/>
          <w:szCs w:val="18"/>
        </w:rPr>
        <w:t>States will increase their investigation, audits and enforcement action to fill the federal gap.</w:t>
      </w:r>
    </w:p>
  </w:footnote>
  <w:footnote w:id="78">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Department of </w:t>
      </w:r>
      <w:proofErr w:type="spellStart"/>
      <w:r w:rsidRPr="00150637">
        <w:rPr>
          <w:rFonts w:cs="Arial"/>
          <w:sz w:val="18"/>
          <w:szCs w:val="18"/>
        </w:rPr>
        <w:t>SEWPaC</w:t>
      </w:r>
      <w:proofErr w:type="spellEnd"/>
      <w:r w:rsidRPr="00150637">
        <w:rPr>
          <w:rFonts w:cs="Arial"/>
          <w:sz w:val="18"/>
          <w:szCs w:val="18"/>
        </w:rPr>
        <w:t>/</w:t>
      </w:r>
      <w:proofErr w:type="spellStart"/>
      <w:r w:rsidRPr="00150637">
        <w:rPr>
          <w:rFonts w:cs="Arial"/>
          <w:sz w:val="18"/>
          <w:szCs w:val="18"/>
        </w:rPr>
        <w:t>DEWHA</w:t>
      </w:r>
      <w:proofErr w:type="spellEnd"/>
      <w:r w:rsidRPr="00150637">
        <w:rPr>
          <w:rFonts w:cs="Arial"/>
          <w:sz w:val="18"/>
          <w:szCs w:val="18"/>
        </w:rPr>
        <w:t>, figures compiled from annual reports, 2009-10, 2010-11, 2011-12.</w:t>
      </w:r>
    </w:p>
  </w:footnote>
  <w:footnote w:id="79">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framework should include categories of serious offences, mid-range (strict liability) offences and minor (absolute liability) offences. See NSW Planning Review Panel (2012) rec 122.</w:t>
      </w:r>
    </w:p>
  </w:footnote>
  <w:footnote w:id="80">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These tools should include orders to pay investigation costs; undertake works for environmental benefit (including funding organisations); complete audits, training and financial assurances; publicise offences or notify certain people; and removing any monetary benefit of the crime.</w:t>
      </w:r>
    </w:p>
  </w:footnote>
  <w:footnote w:id="81">
    <w:p w:rsidR="00946D6B" w:rsidRPr="00150637" w:rsidRDefault="00946D6B" w:rsidP="00DB79F9">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NSW Ombudsman, </w:t>
      </w:r>
      <w:r w:rsidRPr="00150637">
        <w:rPr>
          <w:rFonts w:cs="Arial"/>
          <w:i/>
          <w:sz w:val="18"/>
          <w:szCs w:val="18"/>
        </w:rPr>
        <w:t>Submission to NSW Legislative Council Inquiry into Coal Seam Gas</w:t>
      </w:r>
      <w:r w:rsidRPr="00150637">
        <w:rPr>
          <w:rFonts w:cs="Arial"/>
          <w:sz w:val="18"/>
          <w:szCs w:val="18"/>
        </w:rPr>
        <w:t xml:space="preserve"> (Sept. 2011). See also </w:t>
      </w:r>
      <w:proofErr w:type="spellStart"/>
      <w:r w:rsidRPr="00150637">
        <w:rPr>
          <w:rFonts w:cs="Arial"/>
          <w:sz w:val="18"/>
          <w:szCs w:val="18"/>
        </w:rPr>
        <w:t>SEWPAC</w:t>
      </w:r>
      <w:proofErr w:type="spellEnd"/>
      <w:r w:rsidRPr="00150637">
        <w:rPr>
          <w:rFonts w:cs="Arial"/>
          <w:sz w:val="18"/>
          <w:szCs w:val="18"/>
        </w:rPr>
        <w:t xml:space="preserve">, ‘Cost recovery under the </w:t>
      </w:r>
      <w:proofErr w:type="spellStart"/>
      <w:r w:rsidRPr="00150637">
        <w:rPr>
          <w:rFonts w:cs="Arial"/>
          <w:sz w:val="18"/>
          <w:szCs w:val="18"/>
        </w:rPr>
        <w:t>EPBC</w:t>
      </w:r>
      <w:proofErr w:type="spellEnd"/>
      <w:r w:rsidRPr="00150637">
        <w:rPr>
          <w:rFonts w:cs="Arial"/>
          <w:sz w:val="18"/>
          <w:szCs w:val="18"/>
        </w:rPr>
        <w:t xml:space="preserve"> Act’, at </w:t>
      </w:r>
      <w:hyperlink r:id="rId39" w:history="1">
        <w:r w:rsidRPr="00150637">
          <w:rPr>
            <w:rStyle w:val="Hyperlink"/>
            <w:rFonts w:cs="Arial"/>
            <w:color w:val="auto"/>
            <w:sz w:val="18"/>
            <w:szCs w:val="18"/>
          </w:rPr>
          <w:t>http://www.environment.gov.au/epbc/publications/consultation-draft-cost-recovery.html</w:t>
        </w:r>
      </w:hyperlink>
      <w:r w:rsidRPr="00150637">
        <w:rPr>
          <w:rFonts w:cs="Arial"/>
          <w:sz w:val="18"/>
          <w:szCs w:val="18"/>
        </w:rPr>
        <w:t xml:space="preserve"> </w:t>
      </w:r>
    </w:p>
  </w:footnote>
  <w:footnote w:id="82">
    <w:p w:rsidR="00946D6B" w:rsidRPr="00150637" w:rsidRDefault="00946D6B" w:rsidP="004D2307">
      <w:pPr>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ANEDO’s</w:t>
      </w:r>
      <w:proofErr w:type="spellEnd"/>
      <w:r w:rsidRPr="00150637">
        <w:rPr>
          <w:rFonts w:cs="Arial"/>
          <w:sz w:val="18"/>
          <w:szCs w:val="18"/>
        </w:rPr>
        <w:t xml:space="preserve"> Feb. 2013 submission to COAG/</w:t>
      </w:r>
      <w:proofErr w:type="spellStart"/>
      <w:r w:rsidRPr="00150637">
        <w:rPr>
          <w:rFonts w:cs="Arial"/>
          <w:sz w:val="18"/>
          <w:szCs w:val="18"/>
        </w:rPr>
        <w:t>SCER</w:t>
      </w:r>
      <w:proofErr w:type="spellEnd"/>
      <w:r w:rsidRPr="00150637">
        <w:rPr>
          <w:rFonts w:cs="Arial"/>
          <w:sz w:val="18"/>
          <w:szCs w:val="18"/>
        </w:rPr>
        <w:t xml:space="preserve"> recommended (among other things):</w:t>
      </w:r>
    </w:p>
    <w:p w:rsidR="00946D6B" w:rsidRPr="00150637" w:rsidRDefault="00946D6B" w:rsidP="004D2307">
      <w:pPr>
        <w:pStyle w:val="ListParagraph"/>
        <w:spacing w:after="0" w:line="240" w:lineRule="auto"/>
        <w:ind w:left="357"/>
        <w:contextualSpacing w:val="0"/>
        <w:rPr>
          <w:rFonts w:ascii="Arial" w:hAnsi="Arial" w:cs="Arial"/>
          <w:i/>
          <w:sz w:val="18"/>
          <w:szCs w:val="18"/>
        </w:rPr>
      </w:pPr>
      <w:r w:rsidRPr="00150637">
        <w:rPr>
          <w:rFonts w:ascii="Arial" w:hAnsi="Arial" w:cs="Arial"/>
          <w:i/>
          <w:sz w:val="18"/>
          <w:szCs w:val="18"/>
        </w:rPr>
        <w:t xml:space="preserve">Any national </w:t>
      </w:r>
      <w:proofErr w:type="spellStart"/>
      <w:r w:rsidRPr="00150637">
        <w:rPr>
          <w:rFonts w:ascii="Arial" w:hAnsi="Arial" w:cs="Arial"/>
          <w:i/>
          <w:sz w:val="18"/>
          <w:szCs w:val="18"/>
        </w:rPr>
        <w:t>CSG</w:t>
      </w:r>
      <w:proofErr w:type="spellEnd"/>
      <w:r w:rsidRPr="00150637">
        <w:rPr>
          <w:rFonts w:ascii="Arial" w:hAnsi="Arial" w:cs="Arial"/>
          <w:i/>
          <w:sz w:val="18"/>
          <w:szCs w:val="18"/>
        </w:rPr>
        <w:t xml:space="preserve"> framework should identify leading practices for strategic land-use planning. In the context of mining, this includes:</w:t>
      </w:r>
    </w:p>
    <w:p w:rsidR="00946D6B" w:rsidRPr="00150637" w:rsidRDefault="00946D6B" w:rsidP="009C52E3">
      <w:pPr>
        <w:pStyle w:val="ListParagraph"/>
        <w:numPr>
          <w:ilvl w:val="0"/>
          <w:numId w:val="38"/>
        </w:numPr>
        <w:spacing w:after="0" w:line="240" w:lineRule="auto"/>
        <w:rPr>
          <w:rFonts w:ascii="Arial" w:hAnsi="Arial" w:cs="Arial"/>
          <w:i/>
          <w:sz w:val="18"/>
          <w:szCs w:val="18"/>
        </w:rPr>
      </w:pPr>
      <w:r w:rsidRPr="00150637">
        <w:rPr>
          <w:rFonts w:ascii="Arial" w:hAnsi="Arial" w:cs="Arial"/>
          <w:i/>
          <w:sz w:val="18"/>
          <w:szCs w:val="18"/>
        </w:rPr>
        <w:t xml:space="preserve">integrating economic, social and environmental factors in decision-making in accordance with </w:t>
      </w:r>
      <w:proofErr w:type="spellStart"/>
      <w:r w:rsidRPr="00150637">
        <w:rPr>
          <w:rFonts w:ascii="Arial" w:hAnsi="Arial" w:cs="Arial"/>
          <w:i/>
          <w:sz w:val="18"/>
          <w:szCs w:val="18"/>
        </w:rPr>
        <w:t>ESD</w:t>
      </w:r>
      <w:proofErr w:type="spellEnd"/>
      <w:r w:rsidRPr="00150637">
        <w:rPr>
          <w:rFonts w:ascii="Arial" w:hAnsi="Arial" w:cs="Arial"/>
          <w:i/>
          <w:sz w:val="18"/>
          <w:szCs w:val="18"/>
        </w:rPr>
        <w:t xml:space="preserve"> principles;</w:t>
      </w:r>
    </w:p>
    <w:p w:rsidR="00946D6B" w:rsidRPr="00150637" w:rsidRDefault="00946D6B" w:rsidP="009C52E3">
      <w:pPr>
        <w:pStyle w:val="ListParagraph"/>
        <w:numPr>
          <w:ilvl w:val="0"/>
          <w:numId w:val="38"/>
        </w:numPr>
        <w:spacing w:after="0" w:line="240" w:lineRule="auto"/>
        <w:rPr>
          <w:rFonts w:ascii="Arial" w:hAnsi="Arial" w:cs="Arial"/>
          <w:i/>
          <w:sz w:val="18"/>
          <w:szCs w:val="18"/>
        </w:rPr>
      </w:pPr>
      <w:r w:rsidRPr="00150637">
        <w:rPr>
          <w:rFonts w:ascii="Arial" w:hAnsi="Arial" w:cs="Arial"/>
          <w:i/>
          <w:sz w:val="18"/>
          <w:szCs w:val="18"/>
        </w:rPr>
        <w:t>identifying competing land uses and values between mining and other uses;</w:t>
      </w:r>
    </w:p>
    <w:p w:rsidR="00946D6B" w:rsidRPr="00150637" w:rsidRDefault="00946D6B" w:rsidP="009C52E3">
      <w:pPr>
        <w:pStyle w:val="ListParagraph"/>
        <w:numPr>
          <w:ilvl w:val="0"/>
          <w:numId w:val="38"/>
        </w:numPr>
        <w:spacing w:after="0" w:line="240" w:lineRule="auto"/>
        <w:rPr>
          <w:rFonts w:ascii="Arial" w:hAnsi="Arial" w:cs="Arial"/>
          <w:i/>
          <w:sz w:val="18"/>
          <w:szCs w:val="18"/>
        </w:rPr>
      </w:pPr>
      <w:r w:rsidRPr="00150637">
        <w:rPr>
          <w:rFonts w:ascii="Arial" w:hAnsi="Arial" w:cs="Arial"/>
          <w:i/>
          <w:sz w:val="18"/>
          <w:szCs w:val="18"/>
        </w:rPr>
        <w:t>undertaking baseline studies of environmental qualities;</w:t>
      </w:r>
    </w:p>
    <w:p w:rsidR="00946D6B" w:rsidRPr="00150637" w:rsidRDefault="00946D6B" w:rsidP="009C52E3">
      <w:pPr>
        <w:pStyle w:val="ListParagraph"/>
        <w:numPr>
          <w:ilvl w:val="0"/>
          <w:numId w:val="38"/>
        </w:numPr>
        <w:spacing w:after="0" w:line="240" w:lineRule="auto"/>
        <w:rPr>
          <w:rFonts w:ascii="Arial" w:hAnsi="Arial" w:cs="Arial"/>
          <w:i/>
          <w:sz w:val="18"/>
          <w:szCs w:val="18"/>
        </w:rPr>
      </w:pPr>
      <w:r w:rsidRPr="00150637">
        <w:rPr>
          <w:rFonts w:ascii="Arial" w:hAnsi="Arial" w:cs="Arial"/>
          <w:i/>
          <w:sz w:val="18"/>
          <w:szCs w:val="18"/>
        </w:rPr>
        <w:t>setting environmental limits and only allowing development within these limits;</w:t>
      </w:r>
    </w:p>
    <w:p w:rsidR="00946D6B" w:rsidRPr="00150637" w:rsidRDefault="00946D6B" w:rsidP="009C52E3">
      <w:pPr>
        <w:pStyle w:val="ListParagraph"/>
        <w:numPr>
          <w:ilvl w:val="0"/>
          <w:numId w:val="38"/>
        </w:numPr>
        <w:spacing w:after="0" w:line="240" w:lineRule="auto"/>
        <w:rPr>
          <w:rFonts w:ascii="Arial" w:hAnsi="Arial" w:cs="Arial"/>
          <w:i/>
          <w:sz w:val="18"/>
          <w:szCs w:val="18"/>
        </w:rPr>
      </w:pPr>
      <w:r w:rsidRPr="00150637">
        <w:rPr>
          <w:rFonts w:ascii="Arial" w:hAnsi="Arial" w:cs="Arial"/>
          <w:i/>
          <w:sz w:val="18"/>
          <w:szCs w:val="18"/>
        </w:rPr>
        <w:t>properly accounting for potential cumulative impacts;</w:t>
      </w:r>
    </w:p>
    <w:p w:rsidR="00946D6B" w:rsidRPr="00150637" w:rsidRDefault="00946D6B" w:rsidP="009C52E3">
      <w:pPr>
        <w:pStyle w:val="ListParagraph"/>
        <w:numPr>
          <w:ilvl w:val="0"/>
          <w:numId w:val="38"/>
        </w:numPr>
        <w:spacing w:after="0" w:line="240" w:lineRule="auto"/>
        <w:rPr>
          <w:rFonts w:ascii="Arial" w:hAnsi="Arial" w:cs="Arial"/>
          <w:b/>
          <w:i/>
          <w:sz w:val="18"/>
          <w:szCs w:val="18"/>
        </w:rPr>
      </w:pPr>
      <w:r w:rsidRPr="00150637">
        <w:rPr>
          <w:rFonts w:ascii="Arial" w:eastAsia="Helvetica" w:hAnsi="Arial" w:cs="Arial"/>
          <w:i/>
          <w:sz w:val="18"/>
          <w:szCs w:val="18"/>
        </w:rPr>
        <w:t>comprehensive, guaranteed rights of public participation in strategic planning;</w:t>
      </w:r>
    </w:p>
    <w:p w:rsidR="00946D6B" w:rsidRPr="00150637" w:rsidRDefault="00946D6B" w:rsidP="009C52E3">
      <w:pPr>
        <w:pStyle w:val="ListParagraph"/>
        <w:numPr>
          <w:ilvl w:val="0"/>
          <w:numId w:val="38"/>
        </w:numPr>
        <w:spacing w:after="0" w:line="240" w:lineRule="auto"/>
        <w:rPr>
          <w:rFonts w:ascii="Arial" w:hAnsi="Arial" w:cs="Arial"/>
          <w:b/>
          <w:i/>
          <w:sz w:val="18"/>
          <w:szCs w:val="18"/>
        </w:rPr>
      </w:pPr>
      <w:r w:rsidRPr="00150637">
        <w:rPr>
          <w:rFonts w:ascii="Arial" w:hAnsi="Arial" w:cs="Arial"/>
          <w:i/>
          <w:sz w:val="18"/>
          <w:szCs w:val="18"/>
        </w:rPr>
        <w:t>establishing protected environmental and agricultural areas where mining operations are prohibited.</w:t>
      </w:r>
    </w:p>
  </w:footnote>
  <w:footnote w:id="83">
    <w:p w:rsidR="00946D6B" w:rsidRPr="00150637" w:rsidRDefault="00946D6B" w:rsidP="004D2307">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further information see </w:t>
      </w:r>
      <w:proofErr w:type="spellStart"/>
      <w:r w:rsidRPr="00150637">
        <w:rPr>
          <w:rFonts w:cs="Arial"/>
          <w:sz w:val="18"/>
          <w:szCs w:val="18"/>
        </w:rPr>
        <w:t>ANEDO</w:t>
      </w:r>
      <w:proofErr w:type="spellEnd"/>
      <w:r w:rsidRPr="00150637">
        <w:rPr>
          <w:rFonts w:cs="Arial"/>
          <w:sz w:val="18"/>
          <w:szCs w:val="18"/>
        </w:rPr>
        <w:t xml:space="preserve">, </w:t>
      </w:r>
      <w:r w:rsidRPr="00150637">
        <w:rPr>
          <w:rFonts w:cs="Arial"/>
          <w:i/>
          <w:sz w:val="18"/>
          <w:szCs w:val="18"/>
        </w:rPr>
        <w:t>Submission on the Draft National Harmonised Regulatory Framework for Coal Seam Gas 2012</w:t>
      </w:r>
      <w:r w:rsidRPr="00150637">
        <w:rPr>
          <w:rFonts w:cs="Arial"/>
          <w:sz w:val="18"/>
          <w:szCs w:val="18"/>
        </w:rPr>
        <w:t xml:space="preserve"> (Feb. 2013), at </w:t>
      </w:r>
      <w:hyperlink w:history="1">
        <w:proofErr w:type="spellStart"/>
        <w:r w:rsidRPr="00150637">
          <w:rPr>
            <w:rStyle w:val="Hyperlink"/>
            <w:rFonts w:cs="Arial"/>
            <w:color w:val="auto"/>
            <w:sz w:val="18"/>
            <w:szCs w:val="18"/>
          </w:rPr>
          <w:t>www.edo.org.au</w:t>
        </w:r>
        <w:proofErr w:type="spellEnd"/>
      </w:hyperlink>
      <w:r w:rsidRPr="00150637">
        <w:rPr>
          <w:rStyle w:val="Hyperlink"/>
          <w:rFonts w:cs="Arial"/>
          <w:color w:val="auto"/>
          <w:sz w:val="18"/>
          <w:szCs w:val="18"/>
        </w:rPr>
        <w:t xml:space="preserve"> </w:t>
      </w:r>
      <w:r w:rsidRPr="00150637">
        <w:rPr>
          <w:rFonts w:cs="Arial"/>
          <w:sz w:val="18"/>
          <w:szCs w:val="18"/>
        </w:rPr>
        <w:t xml:space="preserve"> or </w:t>
      </w:r>
      <w:hyperlink r:id="rId40" w:history="1">
        <w:proofErr w:type="spellStart"/>
        <w:r w:rsidRPr="00150637">
          <w:rPr>
            <w:rStyle w:val="Hyperlink"/>
            <w:rFonts w:cs="Arial"/>
            <w:color w:val="auto"/>
            <w:sz w:val="18"/>
            <w:szCs w:val="18"/>
          </w:rPr>
          <w:t>www.edonsw.org.au</w:t>
        </w:r>
        <w:proofErr w:type="spellEnd"/>
      </w:hyperlink>
      <w:r w:rsidRPr="00150637">
        <w:rPr>
          <w:rFonts w:cs="Arial"/>
          <w:sz w:val="18"/>
          <w:szCs w:val="18"/>
        </w:rPr>
        <w:t xml:space="preserve">. </w:t>
      </w:r>
    </w:p>
  </w:footnote>
  <w:footnote w:id="8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infrastructure’ includes parks, gardens, waterways and wildlife corridors etc. See Australian Institute of Landscape Architects, </w:t>
      </w:r>
      <w:hyperlink r:id="rId41" w:history="1">
        <w:r w:rsidRPr="00150637">
          <w:rPr>
            <w:rStyle w:val="Hyperlink"/>
            <w:rFonts w:cs="Arial"/>
            <w:color w:val="auto"/>
            <w:sz w:val="18"/>
            <w:szCs w:val="18"/>
          </w:rPr>
          <w:t>http://</w:t>
        </w:r>
        <w:proofErr w:type="spellStart"/>
        <w:r w:rsidRPr="00150637">
          <w:rPr>
            <w:rStyle w:val="Hyperlink"/>
            <w:rFonts w:cs="Arial"/>
            <w:color w:val="auto"/>
            <w:sz w:val="18"/>
            <w:szCs w:val="18"/>
          </w:rPr>
          <w:t>www.aila.org.au</w:t>
        </w:r>
        <w:proofErr w:type="spellEnd"/>
        <w:r w:rsidRPr="00150637">
          <w:rPr>
            <w:rStyle w:val="Hyperlink"/>
            <w:rFonts w:cs="Arial"/>
            <w:color w:val="auto"/>
            <w:sz w:val="18"/>
            <w:szCs w:val="18"/>
          </w:rPr>
          <w:t>/</w:t>
        </w:r>
        <w:proofErr w:type="spellStart"/>
        <w:r w:rsidRPr="00150637">
          <w:rPr>
            <w:rStyle w:val="Hyperlink"/>
            <w:rFonts w:cs="Arial"/>
            <w:color w:val="auto"/>
            <w:sz w:val="18"/>
            <w:szCs w:val="18"/>
          </w:rPr>
          <w:t>greeninfrastructure</w:t>
        </w:r>
        <w:proofErr w:type="spellEnd"/>
        <w:r w:rsidRPr="00150637">
          <w:rPr>
            <w:rStyle w:val="Hyperlink"/>
            <w:rFonts w:cs="Arial"/>
            <w:color w:val="auto"/>
            <w:sz w:val="18"/>
            <w:szCs w:val="18"/>
          </w:rPr>
          <w:t>/</w:t>
        </w:r>
      </w:hyperlink>
      <w:r w:rsidRPr="00150637">
        <w:rPr>
          <w:rFonts w:cs="Arial"/>
          <w:sz w:val="18"/>
          <w:szCs w:val="18"/>
        </w:rPr>
        <w:t>.</w:t>
      </w:r>
    </w:p>
  </w:footnote>
  <w:footnote w:id="8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Hon Brian Preston, Chief Judge of the NSW Land and Environment Court, ‘Internalising </w:t>
      </w:r>
      <w:proofErr w:type="spellStart"/>
      <w:r w:rsidRPr="00150637">
        <w:rPr>
          <w:rFonts w:cs="Arial"/>
          <w:sz w:val="18"/>
          <w:szCs w:val="18"/>
        </w:rPr>
        <w:t>Ecocentrism</w:t>
      </w:r>
      <w:proofErr w:type="spellEnd"/>
      <w:r w:rsidRPr="00150637">
        <w:rPr>
          <w:rFonts w:cs="Arial"/>
          <w:sz w:val="18"/>
          <w:szCs w:val="18"/>
        </w:rPr>
        <w:t xml:space="preserve"> in Environmental Law’ (2012), </w:t>
      </w:r>
      <w:proofErr w:type="spellStart"/>
      <w:r w:rsidRPr="00150637">
        <w:rPr>
          <w:rFonts w:cs="Arial"/>
          <w:sz w:val="18"/>
          <w:szCs w:val="18"/>
        </w:rPr>
        <w:t>pp</w:t>
      </w:r>
      <w:proofErr w:type="spellEnd"/>
      <w:r w:rsidRPr="00150637">
        <w:rPr>
          <w:rFonts w:cs="Arial"/>
          <w:sz w:val="18"/>
          <w:szCs w:val="18"/>
        </w:rPr>
        <w:t xml:space="preserve"> 6-7, speech to 2011 Wild Law Conference, Griffith University, QLD.</w:t>
      </w:r>
    </w:p>
  </w:footnote>
  <w:footnote w:id="86">
    <w:p w:rsidR="00946D6B" w:rsidRPr="00150637" w:rsidRDefault="00946D6B" w:rsidP="00006551">
      <w:pPr>
        <w:pStyle w:val="Heading2"/>
        <w:spacing w:before="0" w:after="0"/>
        <w:rPr>
          <w:b w:val="0"/>
          <w:i w:val="0"/>
          <w:sz w:val="18"/>
          <w:szCs w:val="18"/>
        </w:rPr>
      </w:pPr>
      <w:r w:rsidRPr="00150637">
        <w:rPr>
          <w:rStyle w:val="FootnoteReference"/>
          <w:b w:val="0"/>
          <w:i w:val="0"/>
          <w:sz w:val="18"/>
          <w:szCs w:val="18"/>
        </w:rPr>
        <w:footnoteRef/>
      </w:r>
      <w:r w:rsidRPr="00150637">
        <w:rPr>
          <w:b w:val="0"/>
          <w:i w:val="0"/>
          <w:sz w:val="18"/>
          <w:szCs w:val="18"/>
        </w:rPr>
        <w:t xml:space="preserve"> United Nations Education, Scientific and Cultural Organisation (</w:t>
      </w:r>
      <w:r w:rsidRPr="00150637">
        <w:rPr>
          <w:i w:val="0"/>
          <w:sz w:val="18"/>
          <w:szCs w:val="18"/>
        </w:rPr>
        <w:t>UNESCO</w:t>
      </w:r>
      <w:r w:rsidRPr="00150637">
        <w:rPr>
          <w:b w:val="0"/>
          <w:i w:val="0"/>
          <w:sz w:val="18"/>
          <w:szCs w:val="18"/>
        </w:rPr>
        <w:t xml:space="preserve">), </w:t>
      </w:r>
      <w:proofErr w:type="spellStart"/>
      <w:r w:rsidRPr="00150637">
        <w:rPr>
          <w:rStyle w:val="Strong"/>
          <w:bCs/>
          <w:sz w:val="18"/>
          <w:szCs w:val="18"/>
        </w:rPr>
        <w:t>WHC.12</w:t>
      </w:r>
      <w:proofErr w:type="spellEnd"/>
      <w:r w:rsidRPr="00150637">
        <w:rPr>
          <w:rStyle w:val="Strong"/>
          <w:bCs/>
          <w:sz w:val="18"/>
          <w:szCs w:val="18"/>
        </w:rPr>
        <w:t>/</w:t>
      </w:r>
      <w:proofErr w:type="spellStart"/>
      <w:r w:rsidRPr="00150637">
        <w:rPr>
          <w:rStyle w:val="Strong"/>
          <w:bCs/>
          <w:sz w:val="18"/>
          <w:szCs w:val="18"/>
        </w:rPr>
        <w:t>36.COM</w:t>
      </w:r>
      <w:proofErr w:type="spellEnd"/>
      <w:r w:rsidRPr="00150637">
        <w:rPr>
          <w:rStyle w:val="Strong"/>
          <w:bCs/>
          <w:sz w:val="18"/>
          <w:szCs w:val="18"/>
        </w:rPr>
        <w:t xml:space="preserve">/, </w:t>
      </w:r>
      <w:r w:rsidRPr="00150637">
        <w:rPr>
          <w:rStyle w:val="Strong"/>
          <w:bCs/>
          <w:i w:val="0"/>
          <w:sz w:val="18"/>
          <w:szCs w:val="18"/>
        </w:rPr>
        <w:t>‘</w:t>
      </w:r>
      <w:r w:rsidRPr="00150637">
        <w:rPr>
          <w:b w:val="0"/>
          <w:i w:val="0"/>
          <w:sz w:val="18"/>
          <w:szCs w:val="18"/>
        </w:rPr>
        <w:t xml:space="preserve">Mission Report, Reactive Monitoring Mission to Great Barrier Reef, Australia, 6th to 14th March 2012’, at </w:t>
      </w:r>
      <w:hyperlink r:id="rId42" w:history="1">
        <w:r w:rsidRPr="00150637">
          <w:rPr>
            <w:rStyle w:val="Hyperlink"/>
            <w:b w:val="0"/>
            <w:i w:val="0"/>
            <w:color w:val="auto"/>
            <w:sz w:val="18"/>
            <w:szCs w:val="18"/>
          </w:rPr>
          <w:t>http://</w:t>
        </w:r>
        <w:proofErr w:type="spellStart"/>
        <w:r w:rsidRPr="00150637">
          <w:rPr>
            <w:rStyle w:val="Hyperlink"/>
            <w:b w:val="0"/>
            <w:i w:val="0"/>
            <w:color w:val="auto"/>
            <w:sz w:val="18"/>
            <w:szCs w:val="18"/>
          </w:rPr>
          <w:t>whc.unesco.org</w:t>
        </w:r>
        <w:proofErr w:type="spellEnd"/>
        <w:r w:rsidRPr="00150637">
          <w:rPr>
            <w:rStyle w:val="Hyperlink"/>
            <w:b w:val="0"/>
            <w:i w:val="0"/>
            <w:color w:val="auto"/>
            <w:sz w:val="18"/>
            <w:szCs w:val="18"/>
          </w:rPr>
          <w:t>/en/documents/117104</w:t>
        </w:r>
      </w:hyperlink>
      <w:r w:rsidRPr="00150637">
        <w:rPr>
          <w:b w:val="0"/>
          <w:i w:val="0"/>
          <w:sz w:val="18"/>
          <w:szCs w:val="18"/>
        </w:rPr>
        <w:t xml:space="preserve"> (accessed March 2013).</w:t>
      </w:r>
    </w:p>
  </w:footnote>
  <w:footnote w:id="87">
    <w:p w:rsidR="00946D6B" w:rsidRPr="00150637" w:rsidRDefault="00946D6B" w:rsidP="00006551">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For example, the new Independent Expert Scientific Committee (</w:t>
      </w:r>
      <w:proofErr w:type="spellStart"/>
      <w:r w:rsidRPr="00150637">
        <w:rPr>
          <w:rFonts w:cs="Arial"/>
          <w:b/>
          <w:sz w:val="18"/>
          <w:szCs w:val="18"/>
        </w:rPr>
        <w:t>IESC</w:t>
      </w:r>
      <w:proofErr w:type="spellEnd"/>
      <w:r w:rsidRPr="00150637">
        <w:rPr>
          <w:rFonts w:cs="Arial"/>
          <w:sz w:val="18"/>
          <w:szCs w:val="18"/>
        </w:rPr>
        <w:t xml:space="preserve">) on Coal Seam Gas and Large Mining Developments will advise on ‘bioregional assessments’ and any activity that will have significant impacts on water resources, ‘in its own right; or </w:t>
      </w:r>
      <w:r w:rsidRPr="00150637">
        <w:rPr>
          <w:rFonts w:cs="Arial"/>
          <w:sz w:val="18"/>
          <w:szCs w:val="18"/>
          <w:lang w:eastAsia="en-AU"/>
        </w:rPr>
        <w:t xml:space="preserve">when considered with other developments, whether past, present or reasonably foreseeable developments.’ </w:t>
      </w:r>
      <w:r w:rsidRPr="00150637">
        <w:rPr>
          <w:rFonts w:cs="Arial"/>
          <w:sz w:val="18"/>
          <w:szCs w:val="18"/>
        </w:rPr>
        <w:t>(</w:t>
      </w:r>
      <w:proofErr w:type="spellStart"/>
      <w:r w:rsidRPr="00150637">
        <w:rPr>
          <w:rFonts w:cs="Arial"/>
          <w:i/>
          <w:sz w:val="18"/>
          <w:szCs w:val="18"/>
        </w:rPr>
        <w:t>EPBC</w:t>
      </w:r>
      <w:proofErr w:type="spellEnd"/>
      <w:r w:rsidRPr="00150637">
        <w:rPr>
          <w:rFonts w:cs="Arial"/>
          <w:i/>
          <w:sz w:val="18"/>
          <w:szCs w:val="18"/>
        </w:rPr>
        <w:t xml:space="preserve"> Act 1999</w:t>
      </w:r>
      <w:r w:rsidRPr="00150637">
        <w:rPr>
          <w:rFonts w:cs="Arial"/>
          <w:sz w:val="18"/>
          <w:szCs w:val="18"/>
        </w:rPr>
        <w:t xml:space="preserve"> (</w:t>
      </w:r>
      <w:proofErr w:type="spellStart"/>
      <w:r w:rsidRPr="00150637">
        <w:rPr>
          <w:rFonts w:cs="Arial"/>
          <w:sz w:val="18"/>
          <w:szCs w:val="18"/>
        </w:rPr>
        <w:t>Cth</w:t>
      </w:r>
      <w:proofErr w:type="spellEnd"/>
      <w:r w:rsidRPr="00150637">
        <w:rPr>
          <w:rFonts w:cs="Arial"/>
          <w:sz w:val="18"/>
          <w:szCs w:val="18"/>
        </w:rPr>
        <w:t xml:space="preserve">), s </w:t>
      </w:r>
      <w:proofErr w:type="spellStart"/>
      <w:r w:rsidRPr="00150637">
        <w:rPr>
          <w:rFonts w:cs="Arial"/>
          <w:sz w:val="18"/>
          <w:szCs w:val="18"/>
        </w:rPr>
        <w:t>505D</w:t>
      </w:r>
      <w:proofErr w:type="spellEnd"/>
      <w:r w:rsidRPr="00150637">
        <w:rPr>
          <w:rFonts w:cs="Arial"/>
          <w:sz w:val="18"/>
          <w:szCs w:val="18"/>
        </w:rPr>
        <w:t xml:space="preserve">; and s 528, ‘large coal mining development’ definition.)  </w:t>
      </w:r>
    </w:p>
  </w:footnote>
  <w:footnote w:id="8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see the Independent Review Report (2009), </w:t>
      </w:r>
      <w:proofErr w:type="spellStart"/>
      <w:r w:rsidRPr="00150637">
        <w:rPr>
          <w:rFonts w:cs="Arial"/>
          <w:sz w:val="18"/>
          <w:szCs w:val="18"/>
        </w:rPr>
        <w:t>paras</w:t>
      </w:r>
      <w:proofErr w:type="spellEnd"/>
      <w:r w:rsidRPr="00150637">
        <w:rPr>
          <w:rFonts w:cs="Arial"/>
          <w:sz w:val="18"/>
          <w:szCs w:val="18"/>
        </w:rPr>
        <w:t xml:space="preserve"> 3.3, 3.5, 3.6, 7.31, 7.60.</w:t>
      </w:r>
    </w:p>
  </w:footnote>
  <w:footnote w:id="8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response to recommendations 6 and 8.</w:t>
      </w:r>
    </w:p>
  </w:footnote>
  <w:footnote w:id="9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w:t>
      </w:r>
      <w:proofErr w:type="spellStart"/>
      <w:r w:rsidRPr="00150637">
        <w:rPr>
          <w:rFonts w:cs="Arial"/>
          <w:sz w:val="18"/>
          <w:szCs w:val="18"/>
        </w:rPr>
        <w:t>ANEDO</w:t>
      </w:r>
      <w:proofErr w:type="spellEnd"/>
      <w:r w:rsidRPr="00150637">
        <w:rPr>
          <w:rFonts w:cs="Arial"/>
          <w:sz w:val="18"/>
          <w:szCs w:val="18"/>
        </w:rPr>
        <w:t xml:space="preserve"> submission on draft standards for </w:t>
      </w:r>
      <w:proofErr w:type="spellStart"/>
      <w:r w:rsidRPr="00150637">
        <w:rPr>
          <w:rFonts w:cs="Arial"/>
          <w:sz w:val="18"/>
          <w:szCs w:val="18"/>
        </w:rPr>
        <w:t>EPBC</w:t>
      </w:r>
      <w:proofErr w:type="spellEnd"/>
      <w:r w:rsidRPr="00150637">
        <w:rPr>
          <w:rFonts w:cs="Arial"/>
          <w:sz w:val="18"/>
          <w:szCs w:val="18"/>
        </w:rPr>
        <w:t xml:space="preserve"> Act accreditation (December 2012). </w:t>
      </w:r>
    </w:p>
  </w:footnote>
  <w:footnote w:id="91">
    <w:p w:rsidR="00946D6B" w:rsidRPr="00150637" w:rsidRDefault="00946D6B" w:rsidP="00C935F2">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the Hon B. Preston, ‘Internalising </w:t>
      </w:r>
      <w:proofErr w:type="spellStart"/>
      <w:r w:rsidRPr="00150637">
        <w:rPr>
          <w:rFonts w:cs="Arial"/>
          <w:sz w:val="18"/>
          <w:szCs w:val="18"/>
        </w:rPr>
        <w:t>Ecocentrism</w:t>
      </w:r>
      <w:proofErr w:type="spellEnd"/>
      <w:r w:rsidRPr="00150637">
        <w:rPr>
          <w:rFonts w:cs="Arial"/>
          <w:sz w:val="18"/>
          <w:szCs w:val="18"/>
        </w:rPr>
        <w:t xml:space="preserve"> in Environmental Law’ (2011), </w:t>
      </w:r>
      <w:proofErr w:type="spellStart"/>
      <w:r w:rsidRPr="00150637">
        <w:rPr>
          <w:rFonts w:cs="Arial"/>
          <w:sz w:val="18"/>
          <w:szCs w:val="18"/>
        </w:rPr>
        <w:t>pp</w:t>
      </w:r>
      <w:proofErr w:type="spellEnd"/>
      <w:r w:rsidRPr="00150637">
        <w:rPr>
          <w:rFonts w:cs="Arial"/>
          <w:sz w:val="18"/>
          <w:szCs w:val="18"/>
        </w:rPr>
        <w:t xml:space="preserve"> 6-7. For example, the US </w:t>
      </w:r>
      <w:r w:rsidRPr="00150637">
        <w:rPr>
          <w:rFonts w:cs="Arial"/>
          <w:i/>
          <w:sz w:val="18"/>
          <w:szCs w:val="18"/>
        </w:rPr>
        <w:t>National Environment Policy Act 1969</w:t>
      </w:r>
      <w:r w:rsidRPr="00150637">
        <w:rPr>
          <w:rFonts w:cs="Arial"/>
          <w:sz w:val="18"/>
          <w:szCs w:val="18"/>
        </w:rPr>
        <w:t xml:space="preserve"> requires a detailed </w:t>
      </w:r>
      <w:proofErr w:type="spellStart"/>
      <w:r w:rsidRPr="00150637">
        <w:rPr>
          <w:rFonts w:cs="Arial"/>
          <w:sz w:val="18"/>
          <w:szCs w:val="18"/>
        </w:rPr>
        <w:t>EIS</w:t>
      </w:r>
      <w:proofErr w:type="spellEnd"/>
      <w:r w:rsidRPr="00150637">
        <w:rPr>
          <w:rFonts w:cs="Arial"/>
          <w:sz w:val="18"/>
          <w:szCs w:val="18"/>
        </w:rPr>
        <w:t xml:space="preserve"> for proposed laws and major federal government actions that significantly affect the human environment.</w:t>
      </w:r>
    </w:p>
  </w:footnote>
  <w:footnote w:id="92">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 Moore and R. Dyer, </w:t>
      </w:r>
      <w:r w:rsidRPr="00150637">
        <w:rPr>
          <w:rFonts w:cs="Arial"/>
          <w:i/>
          <w:sz w:val="18"/>
          <w:szCs w:val="18"/>
        </w:rPr>
        <w:t xml:space="preserve">The Way Ahead for Planning in NSW </w:t>
      </w:r>
      <w:r w:rsidRPr="00150637">
        <w:rPr>
          <w:rFonts w:cs="Arial"/>
          <w:sz w:val="18"/>
          <w:szCs w:val="18"/>
        </w:rPr>
        <w:t xml:space="preserve">(May 2012), Vol. 1, recommendations 8, 12, 13 and 19, available at </w:t>
      </w:r>
      <w:hyperlink r:id="rId43" w:history="1">
        <w:proofErr w:type="spellStart"/>
        <w:r w:rsidRPr="00150637">
          <w:rPr>
            <w:rStyle w:val="Hyperlink"/>
            <w:rFonts w:cs="Arial"/>
            <w:color w:val="auto"/>
            <w:sz w:val="18"/>
            <w:szCs w:val="18"/>
          </w:rPr>
          <w:t>www.planning.nsw.gov.au</w:t>
        </w:r>
        <w:proofErr w:type="spellEnd"/>
      </w:hyperlink>
      <w:r w:rsidRPr="00150637">
        <w:rPr>
          <w:rFonts w:cs="Arial"/>
          <w:sz w:val="18"/>
          <w:szCs w:val="18"/>
        </w:rPr>
        <w:t>.</w:t>
      </w:r>
    </w:p>
  </w:footnote>
  <w:footnote w:id="93">
    <w:p w:rsidR="00946D6B" w:rsidRPr="00150637" w:rsidRDefault="00946D6B" w:rsidP="00820D38">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Ibid, </w:t>
      </w:r>
      <w:proofErr w:type="spellStart"/>
      <w:r w:rsidRPr="00150637">
        <w:rPr>
          <w:rFonts w:cs="Arial"/>
          <w:sz w:val="18"/>
          <w:szCs w:val="18"/>
        </w:rPr>
        <w:t>para</w:t>
      </w:r>
      <w:proofErr w:type="spellEnd"/>
      <w:r w:rsidRPr="00150637">
        <w:rPr>
          <w:rFonts w:cs="Arial"/>
          <w:sz w:val="18"/>
          <w:szCs w:val="18"/>
        </w:rPr>
        <w:t xml:space="preserve"> 10. See further Australian Government Department of </w:t>
      </w:r>
      <w:proofErr w:type="spellStart"/>
      <w:r w:rsidRPr="00150637">
        <w:rPr>
          <w:rFonts w:cs="Arial"/>
          <w:sz w:val="18"/>
          <w:szCs w:val="18"/>
        </w:rPr>
        <w:t>SEWPaC</w:t>
      </w:r>
      <w:proofErr w:type="spellEnd"/>
      <w:r w:rsidRPr="00150637">
        <w:rPr>
          <w:rFonts w:cs="Arial"/>
          <w:sz w:val="18"/>
          <w:szCs w:val="18"/>
        </w:rPr>
        <w:t xml:space="preserve">, at  </w:t>
      </w:r>
      <w:hyperlink r:id="rId44" w:history="1">
        <w:r w:rsidRPr="00150637">
          <w:rPr>
            <w:rStyle w:val="Hyperlink"/>
            <w:rFonts w:cs="Arial"/>
            <w:color w:val="auto"/>
            <w:sz w:val="18"/>
            <w:szCs w:val="18"/>
          </w:rPr>
          <w:t>http://www.environment.gov.au/epbc/notices/assessments/great-barrier-reef.html</w:t>
        </w:r>
      </w:hyperlink>
      <w:r w:rsidRPr="00150637">
        <w:rPr>
          <w:rFonts w:cs="Arial"/>
          <w:sz w:val="18"/>
          <w:szCs w:val="18"/>
        </w:rPr>
        <w:t xml:space="preserve">. </w:t>
      </w:r>
    </w:p>
  </w:footnote>
  <w:footnote w:id="9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UNESCO World Heritage Committee, ‘Decisions – </w:t>
      </w:r>
      <w:proofErr w:type="spellStart"/>
      <w:r w:rsidRPr="00150637">
        <w:rPr>
          <w:rFonts w:cs="Arial"/>
          <w:sz w:val="18"/>
          <w:szCs w:val="18"/>
        </w:rPr>
        <w:t>36COM</w:t>
      </w:r>
      <w:proofErr w:type="spellEnd"/>
      <w:r w:rsidRPr="00150637">
        <w:rPr>
          <w:rFonts w:cs="Arial"/>
          <w:sz w:val="18"/>
          <w:szCs w:val="18"/>
        </w:rPr>
        <w:t xml:space="preserve"> </w:t>
      </w:r>
      <w:proofErr w:type="spellStart"/>
      <w:r w:rsidRPr="00150637">
        <w:rPr>
          <w:rFonts w:cs="Arial"/>
          <w:sz w:val="18"/>
          <w:szCs w:val="18"/>
        </w:rPr>
        <w:t>7B.8</w:t>
      </w:r>
      <w:proofErr w:type="spellEnd"/>
      <w:r w:rsidRPr="00150637">
        <w:rPr>
          <w:rFonts w:cs="Arial"/>
          <w:sz w:val="18"/>
          <w:szCs w:val="18"/>
        </w:rPr>
        <w:t xml:space="preserve"> – Great Barrier Reef (Australia) (N 154)’, at </w:t>
      </w:r>
      <w:hyperlink r:id="rId45" w:history="1">
        <w:r w:rsidRPr="00150637">
          <w:rPr>
            <w:rStyle w:val="Hyperlink"/>
            <w:rFonts w:cs="Arial"/>
            <w:color w:val="auto"/>
            <w:sz w:val="18"/>
            <w:szCs w:val="18"/>
          </w:rPr>
          <w:t>http://</w:t>
        </w:r>
        <w:proofErr w:type="spellStart"/>
        <w:r w:rsidRPr="00150637">
          <w:rPr>
            <w:rStyle w:val="Hyperlink"/>
            <w:rFonts w:cs="Arial"/>
            <w:color w:val="auto"/>
            <w:sz w:val="18"/>
            <w:szCs w:val="18"/>
          </w:rPr>
          <w:t>whc.unesco.org</w:t>
        </w:r>
        <w:proofErr w:type="spellEnd"/>
        <w:r w:rsidRPr="00150637">
          <w:rPr>
            <w:rStyle w:val="Hyperlink"/>
            <w:rFonts w:cs="Arial"/>
            <w:color w:val="auto"/>
            <w:sz w:val="18"/>
            <w:szCs w:val="18"/>
          </w:rPr>
          <w:t>/en/decisions/4657/</w:t>
        </w:r>
      </w:hyperlink>
      <w:r w:rsidRPr="00150637">
        <w:rPr>
          <w:rFonts w:cs="Arial"/>
          <w:sz w:val="18"/>
          <w:szCs w:val="18"/>
        </w:rPr>
        <w:t xml:space="preserve"> (accessed March 2013). </w:t>
      </w:r>
    </w:p>
  </w:footnote>
  <w:footnote w:id="95">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The Hon Tony Burke MP, Australian Environment Minister, media release 1/2/2013, at </w:t>
      </w:r>
      <w:hyperlink r:id="rId46" w:history="1">
        <w:r w:rsidRPr="00150637">
          <w:rPr>
            <w:rStyle w:val="Hyperlink"/>
            <w:rFonts w:cs="Arial"/>
            <w:color w:val="auto"/>
            <w:sz w:val="18"/>
            <w:szCs w:val="18"/>
          </w:rPr>
          <w:t>http://www.environment.gov.au/minister/burke/2013/mr20130201.html</w:t>
        </w:r>
      </w:hyperlink>
      <w:r w:rsidRPr="00150637">
        <w:rPr>
          <w:rFonts w:cs="Arial"/>
          <w:sz w:val="18"/>
          <w:szCs w:val="18"/>
        </w:rPr>
        <w:t xml:space="preserve">. See also Dr C. McGrath, ‘Australia coy in report on heritage status of Great Barrier Reef’, </w:t>
      </w:r>
      <w:r w:rsidRPr="00150637">
        <w:rPr>
          <w:rFonts w:cs="Arial"/>
          <w:i/>
          <w:sz w:val="18"/>
          <w:szCs w:val="18"/>
        </w:rPr>
        <w:t>The Conversation</w:t>
      </w:r>
      <w:r w:rsidRPr="00150637">
        <w:rPr>
          <w:rFonts w:cs="Arial"/>
          <w:sz w:val="18"/>
          <w:szCs w:val="18"/>
        </w:rPr>
        <w:t>, 4 February 2013.</w:t>
      </w:r>
    </w:p>
  </w:footnote>
  <w:footnote w:id="96">
    <w:p w:rsidR="00946D6B" w:rsidRPr="00FF0FD0" w:rsidRDefault="00946D6B" w:rsidP="00823470">
      <w:pPr>
        <w:rPr>
          <w:rFonts w:cs="Arial"/>
          <w:sz w:val="18"/>
          <w:szCs w:val="18"/>
        </w:rPr>
      </w:pPr>
      <w:r w:rsidRPr="00FF0FD0">
        <w:rPr>
          <w:rStyle w:val="FootnoteReference"/>
          <w:rFonts w:cs="Arial"/>
          <w:sz w:val="18"/>
          <w:szCs w:val="18"/>
        </w:rPr>
        <w:footnoteRef/>
      </w:r>
      <w:r w:rsidRPr="00FF0FD0">
        <w:rPr>
          <w:rFonts w:cs="Arial"/>
          <w:sz w:val="18"/>
          <w:szCs w:val="18"/>
        </w:rPr>
        <w:t xml:space="preserve"> The International Association of Impact Assessment has also developed a series of ‘performance criteria’ for a good-quality SEA process. These are broadly summarised as </w:t>
      </w:r>
      <w:r w:rsidRPr="00FF0FD0">
        <w:rPr>
          <w:rFonts w:cs="Arial"/>
          <w:i/>
          <w:sz w:val="18"/>
          <w:szCs w:val="18"/>
        </w:rPr>
        <w:t xml:space="preserve">Integrated, Sustainability-led, Focused, Accountable, Participative </w:t>
      </w:r>
      <w:r w:rsidRPr="00FF0FD0">
        <w:rPr>
          <w:rFonts w:cs="Arial"/>
          <w:sz w:val="18"/>
          <w:szCs w:val="18"/>
        </w:rPr>
        <w:t>and</w:t>
      </w:r>
      <w:r w:rsidRPr="00FF0FD0">
        <w:rPr>
          <w:rFonts w:cs="Arial"/>
          <w:i/>
          <w:sz w:val="18"/>
          <w:szCs w:val="18"/>
        </w:rPr>
        <w:t xml:space="preserve"> Iterative</w:t>
      </w:r>
      <w:r w:rsidRPr="00FF0FD0">
        <w:rPr>
          <w:rFonts w:cs="Arial"/>
          <w:sz w:val="18"/>
          <w:szCs w:val="18"/>
        </w:rPr>
        <w:t xml:space="preserve">.  See ‘SEA Performance Criteria’, </w:t>
      </w:r>
      <w:proofErr w:type="spellStart"/>
      <w:r w:rsidRPr="00FF0FD0">
        <w:rPr>
          <w:rFonts w:cs="Arial"/>
          <w:sz w:val="18"/>
          <w:szCs w:val="18"/>
        </w:rPr>
        <w:t>IAIA</w:t>
      </w:r>
      <w:proofErr w:type="spellEnd"/>
      <w:r w:rsidRPr="00FF0FD0">
        <w:rPr>
          <w:rFonts w:cs="Arial"/>
          <w:sz w:val="18"/>
          <w:szCs w:val="18"/>
        </w:rPr>
        <w:t xml:space="preserve"> Special Publication Series 1, available at </w:t>
      </w:r>
      <w:hyperlink r:id="rId47" w:history="1">
        <w:proofErr w:type="spellStart"/>
        <w:r w:rsidRPr="00FF0FD0">
          <w:rPr>
            <w:rStyle w:val="Hyperlink"/>
            <w:rFonts w:cs="Arial"/>
            <w:color w:val="auto"/>
            <w:sz w:val="18"/>
            <w:szCs w:val="18"/>
          </w:rPr>
          <w:t>www.iaia.org</w:t>
        </w:r>
        <w:proofErr w:type="spellEnd"/>
        <w:r w:rsidRPr="00FF0FD0">
          <w:rPr>
            <w:rStyle w:val="Hyperlink"/>
            <w:rFonts w:cs="Arial"/>
            <w:color w:val="auto"/>
            <w:sz w:val="18"/>
            <w:szCs w:val="18"/>
          </w:rPr>
          <w:t>/</w:t>
        </w:r>
        <w:proofErr w:type="spellStart"/>
        <w:r w:rsidRPr="00FF0FD0">
          <w:rPr>
            <w:rStyle w:val="Hyperlink"/>
            <w:rFonts w:cs="Arial"/>
            <w:color w:val="auto"/>
            <w:sz w:val="18"/>
            <w:szCs w:val="18"/>
          </w:rPr>
          <w:t>publicdocuments</w:t>
        </w:r>
        <w:proofErr w:type="spellEnd"/>
        <w:r w:rsidRPr="00FF0FD0">
          <w:rPr>
            <w:rStyle w:val="Hyperlink"/>
            <w:rFonts w:cs="Arial"/>
            <w:color w:val="auto"/>
            <w:sz w:val="18"/>
            <w:szCs w:val="18"/>
          </w:rPr>
          <w:t>/</w:t>
        </w:r>
        <w:proofErr w:type="spellStart"/>
        <w:r w:rsidRPr="00FF0FD0">
          <w:rPr>
            <w:rStyle w:val="Hyperlink"/>
            <w:rFonts w:cs="Arial"/>
            <w:color w:val="auto"/>
            <w:sz w:val="18"/>
            <w:szCs w:val="18"/>
          </w:rPr>
          <w:t>specialpublications</w:t>
        </w:r>
        <w:proofErr w:type="spellEnd"/>
        <w:r w:rsidRPr="00FF0FD0">
          <w:rPr>
            <w:rStyle w:val="Hyperlink"/>
            <w:rFonts w:cs="Arial"/>
            <w:color w:val="auto"/>
            <w:sz w:val="18"/>
            <w:szCs w:val="18"/>
          </w:rPr>
          <w:t>/</w:t>
        </w:r>
        <w:proofErr w:type="spellStart"/>
        <w:r w:rsidRPr="00FF0FD0">
          <w:rPr>
            <w:rStyle w:val="Hyperlink"/>
            <w:rFonts w:cs="Arial"/>
            <w:color w:val="auto"/>
            <w:sz w:val="18"/>
            <w:szCs w:val="18"/>
          </w:rPr>
          <w:t>sp1.pdf</w:t>
        </w:r>
        <w:proofErr w:type="spellEnd"/>
      </w:hyperlink>
      <w:r w:rsidRPr="00FF0FD0">
        <w:rPr>
          <w:rFonts w:cs="Arial"/>
          <w:sz w:val="18"/>
          <w:szCs w:val="18"/>
        </w:rPr>
        <w:t>.</w:t>
      </w:r>
    </w:p>
  </w:footnote>
  <w:footnote w:id="97">
    <w:p w:rsidR="00946D6B" w:rsidRPr="00FF0FD0" w:rsidRDefault="00946D6B" w:rsidP="00FF0FD0">
      <w:pPr>
        <w:pStyle w:val="FootnoteText"/>
        <w:rPr>
          <w:rFonts w:cs="Arial"/>
          <w:sz w:val="18"/>
          <w:szCs w:val="18"/>
        </w:rPr>
      </w:pPr>
      <w:r w:rsidRPr="00FF0FD0">
        <w:rPr>
          <w:rStyle w:val="FootnoteReference"/>
          <w:rFonts w:cs="Arial"/>
          <w:sz w:val="18"/>
          <w:szCs w:val="18"/>
        </w:rPr>
        <w:footnoteRef/>
      </w:r>
      <w:r w:rsidRPr="00FF0FD0">
        <w:rPr>
          <w:rFonts w:cs="Arial"/>
          <w:sz w:val="18"/>
          <w:szCs w:val="18"/>
        </w:rPr>
        <w:t xml:space="preserve"> See, </w:t>
      </w:r>
      <w:r>
        <w:rPr>
          <w:rFonts w:cs="Arial"/>
          <w:sz w:val="18"/>
          <w:szCs w:val="18"/>
        </w:rPr>
        <w:t>for example</w:t>
      </w:r>
      <w:r w:rsidRPr="00FF0FD0">
        <w:rPr>
          <w:rFonts w:cs="Arial"/>
          <w:sz w:val="18"/>
          <w:szCs w:val="18"/>
        </w:rPr>
        <w:t xml:space="preserve">, </w:t>
      </w:r>
      <w:r w:rsidRPr="00FF0FD0">
        <w:rPr>
          <w:rFonts w:cs="Arial"/>
          <w:i/>
          <w:sz w:val="18"/>
          <w:szCs w:val="18"/>
        </w:rPr>
        <w:t xml:space="preserve">Report of the Independent Review of the </w:t>
      </w:r>
      <w:proofErr w:type="spellStart"/>
      <w:r w:rsidRPr="00FF0FD0">
        <w:rPr>
          <w:rFonts w:cs="Arial"/>
          <w:i/>
          <w:sz w:val="18"/>
          <w:szCs w:val="18"/>
        </w:rPr>
        <w:t>EPBC</w:t>
      </w:r>
      <w:proofErr w:type="spellEnd"/>
      <w:r w:rsidRPr="00FF0FD0">
        <w:rPr>
          <w:rFonts w:cs="Arial"/>
          <w:i/>
          <w:sz w:val="18"/>
          <w:szCs w:val="18"/>
        </w:rPr>
        <w:t xml:space="preserve"> Act 1999</w:t>
      </w:r>
      <w:r w:rsidRPr="00FF0FD0">
        <w:rPr>
          <w:rFonts w:cs="Arial"/>
          <w:sz w:val="18"/>
          <w:szCs w:val="18"/>
        </w:rPr>
        <w:t xml:space="preserve"> (2009), </w:t>
      </w:r>
      <w:proofErr w:type="spellStart"/>
      <w:r w:rsidRPr="00FF0FD0">
        <w:rPr>
          <w:rFonts w:cs="Arial"/>
          <w:sz w:val="18"/>
          <w:szCs w:val="18"/>
        </w:rPr>
        <w:t>para</w:t>
      </w:r>
      <w:proofErr w:type="spellEnd"/>
      <w:r w:rsidRPr="00FF0FD0">
        <w:rPr>
          <w:rFonts w:cs="Arial"/>
          <w:sz w:val="18"/>
          <w:szCs w:val="18"/>
        </w:rPr>
        <w:t xml:space="preserve"> 3.37.</w:t>
      </w:r>
    </w:p>
  </w:footnote>
  <w:footnote w:id="98">
    <w:p w:rsidR="00946D6B" w:rsidRPr="00FF0FD0" w:rsidRDefault="00946D6B" w:rsidP="00FF0FD0">
      <w:pPr>
        <w:autoSpaceDE w:val="0"/>
        <w:autoSpaceDN w:val="0"/>
        <w:adjustRightInd w:val="0"/>
        <w:rPr>
          <w:rFonts w:cs="Arial"/>
          <w:sz w:val="18"/>
          <w:szCs w:val="18"/>
        </w:rPr>
      </w:pPr>
      <w:r w:rsidRPr="00FF0FD0">
        <w:rPr>
          <w:rStyle w:val="FootnoteReference"/>
          <w:rFonts w:cs="Arial"/>
          <w:sz w:val="18"/>
          <w:szCs w:val="18"/>
        </w:rPr>
        <w:footnoteRef/>
      </w:r>
      <w:r w:rsidRPr="00FF0FD0">
        <w:rPr>
          <w:rFonts w:cs="Arial"/>
          <w:sz w:val="18"/>
          <w:szCs w:val="18"/>
        </w:rPr>
        <w:t xml:space="preserve"> </w:t>
      </w:r>
      <w:r>
        <w:rPr>
          <w:rFonts w:cs="Arial"/>
          <w:sz w:val="18"/>
          <w:szCs w:val="18"/>
        </w:rPr>
        <w:t>See</w:t>
      </w:r>
      <w:r w:rsidRPr="00FF0FD0">
        <w:rPr>
          <w:rFonts w:cs="Arial"/>
          <w:sz w:val="18"/>
          <w:szCs w:val="18"/>
        </w:rPr>
        <w:t xml:space="preserve"> </w:t>
      </w:r>
      <w:proofErr w:type="spellStart"/>
      <w:r w:rsidRPr="00FF0FD0">
        <w:rPr>
          <w:rFonts w:cs="Arial"/>
          <w:sz w:val="18"/>
          <w:szCs w:val="18"/>
        </w:rPr>
        <w:t>ANEDO</w:t>
      </w:r>
      <w:proofErr w:type="spellEnd"/>
      <w:r w:rsidRPr="00FF0FD0">
        <w:rPr>
          <w:rFonts w:cs="Arial"/>
          <w:sz w:val="18"/>
          <w:szCs w:val="18"/>
        </w:rPr>
        <w:t xml:space="preserve">, </w:t>
      </w:r>
      <w:r w:rsidRPr="00FF0FD0">
        <w:rPr>
          <w:rFonts w:cs="Arial"/>
          <w:i/>
          <w:sz w:val="18"/>
          <w:szCs w:val="18"/>
        </w:rPr>
        <w:t>Submission on ‘Our Cities…’ Discussion Paper</w:t>
      </w:r>
      <w:r w:rsidRPr="00FF0FD0">
        <w:rPr>
          <w:rFonts w:cs="Arial"/>
          <w:sz w:val="18"/>
          <w:szCs w:val="18"/>
        </w:rPr>
        <w:t xml:space="preserve"> (March 2011), p 7 (Melbourne Urban Growth Boundary); EDO NSW, </w:t>
      </w:r>
      <w:r w:rsidRPr="00FF0FD0">
        <w:rPr>
          <w:rFonts w:cs="Arial"/>
          <w:i/>
          <w:sz w:val="18"/>
          <w:szCs w:val="18"/>
        </w:rPr>
        <w:t xml:space="preserve">Submission on the proposed Sydney Growth Centres Strategic Assessment </w:t>
      </w:r>
      <w:r w:rsidRPr="00FF0FD0">
        <w:rPr>
          <w:rFonts w:cs="Arial"/>
          <w:sz w:val="18"/>
          <w:szCs w:val="18"/>
        </w:rPr>
        <w:t>(June 2010).</w:t>
      </w:r>
    </w:p>
  </w:footnote>
  <w:footnote w:id="99">
    <w:p w:rsidR="00946D6B" w:rsidRPr="00150637" w:rsidRDefault="00946D6B" w:rsidP="00006551">
      <w:pPr>
        <w:pStyle w:val="FootnoteText"/>
        <w:rPr>
          <w:rFonts w:cs="Arial"/>
          <w:sz w:val="18"/>
          <w:szCs w:val="18"/>
        </w:rPr>
      </w:pPr>
      <w:r w:rsidRPr="00FF0FD0">
        <w:rPr>
          <w:rStyle w:val="FootnoteReference"/>
          <w:rFonts w:cs="Arial"/>
          <w:sz w:val="18"/>
          <w:szCs w:val="18"/>
        </w:rPr>
        <w:footnoteRef/>
      </w:r>
      <w:r w:rsidRPr="00FF0FD0">
        <w:rPr>
          <w:rFonts w:cs="Arial"/>
          <w:sz w:val="18"/>
          <w:szCs w:val="18"/>
        </w:rPr>
        <w:t xml:space="preserve"> Hawke et al, </w:t>
      </w:r>
      <w:r w:rsidRPr="00FF0FD0">
        <w:rPr>
          <w:rFonts w:cs="Arial"/>
          <w:i/>
          <w:sz w:val="18"/>
          <w:szCs w:val="18"/>
        </w:rPr>
        <w:t xml:space="preserve">Report of the Independent Review of the </w:t>
      </w:r>
      <w:proofErr w:type="spellStart"/>
      <w:r w:rsidRPr="00FF0FD0">
        <w:rPr>
          <w:rFonts w:cs="Arial"/>
          <w:i/>
          <w:sz w:val="18"/>
          <w:szCs w:val="18"/>
        </w:rPr>
        <w:t>EPBC</w:t>
      </w:r>
      <w:proofErr w:type="spellEnd"/>
      <w:r w:rsidRPr="00FF0FD0">
        <w:rPr>
          <w:rFonts w:cs="Arial"/>
          <w:i/>
          <w:sz w:val="18"/>
          <w:szCs w:val="18"/>
        </w:rPr>
        <w:t xml:space="preserve"> Act</w:t>
      </w:r>
      <w:r w:rsidRPr="00FF0FD0">
        <w:rPr>
          <w:rFonts w:cs="Arial"/>
          <w:sz w:val="18"/>
          <w:szCs w:val="18"/>
        </w:rPr>
        <w:t xml:space="preserve"> (2009), from </w:t>
      </w:r>
      <w:proofErr w:type="spellStart"/>
      <w:r w:rsidRPr="00FF0FD0">
        <w:rPr>
          <w:rFonts w:cs="Arial"/>
          <w:sz w:val="18"/>
          <w:szCs w:val="18"/>
        </w:rPr>
        <w:t>para</w:t>
      </w:r>
      <w:proofErr w:type="spellEnd"/>
      <w:r w:rsidRPr="00FF0FD0">
        <w:rPr>
          <w:rFonts w:cs="Arial"/>
          <w:sz w:val="18"/>
          <w:szCs w:val="18"/>
        </w:rPr>
        <w:t xml:space="preserve"> 3.45.</w:t>
      </w:r>
    </w:p>
  </w:footnote>
  <w:footnote w:id="100">
    <w:p w:rsidR="00946D6B" w:rsidRPr="00150637" w:rsidRDefault="00946D6B" w:rsidP="001A5FA5">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Hawke et al,</w:t>
      </w:r>
      <w:r w:rsidRPr="00150637">
        <w:rPr>
          <w:rFonts w:cs="Arial"/>
          <w:i/>
          <w:sz w:val="18"/>
          <w:szCs w:val="18"/>
        </w:rPr>
        <w:t xml:space="preserve"> Report of the Independent Review of </w:t>
      </w:r>
      <w:proofErr w:type="spellStart"/>
      <w:r w:rsidRPr="00150637">
        <w:rPr>
          <w:rFonts w:cs="Arial"/>
          <w:i/>
          <w:sz w:val="18"/>
          <w:szCs w:val="18"/>
        </w:rPr>
        <w:t>EPBC</w:t>
      </w:r>
      <w:proofErr w:type="spellEnd"/>
      <w:r w:rsidRPr="00150637">
        <w:rPr>
          <w:rFonts w:cs="Arial"/>
          <w:i/>
          <w:sz w:val="18"/>
          <w:szCs w:val="18"/>
        </w:rPr>
        <w:t xml:space="preserve"> Act</w:t>
      </w:r>
      <w:r w:rsidRPr="00150637">
        <w:rPr>
          <w:rFonts w:cs="Arial"/>
          <w:sz w:val="18"/>
          <w:szCs w:val="18"/>
        </w:rPr>
        <w:t xml:space="preserve"> (2009), recommendation 6.2(b)(ii): That the </w:t>
      </w:r>
      <w:proofErr w:type="spellStart"/>
      <w:r w:rsidRPr="00150637">
        <w:rPr>
          <w:rFonts w:cs="Arial"/>
          <w:sz w:val="18"/>
          <w:szCs w:val="18"/>
        </w:rPr>
        <w:t>EPBC</w:t>
      </w:r>
      <w:proofErr w:type="spellEnd"/>
      <w:r w:rsidRPr="00150637">
        <w:rPr>
          <w:rFonts w:cs="Arial"/>
          <w:sz w:val="18"/>
          <w:szCs w:val="18"/>
        </w:rPr>
        <w:t xml:space="preserve"> Act be amended to provide… for strategic assessments to– ‘</w:t>
      </w:r>
      <w:r w:rsidRPr="00150637">
        <w:rPr>
          <w:rFonts w:cs="Arial"/>
          <w:i/>
          <w:iCs/>
          <w:sz w:val="18"/>
          <w:szCs w:val="18"/>
          <w:lang w:eastAsia="en-AU"/>
        </w:rPr>
        <w:t>insert an “improve or maintain” test for the approval of a class of actions in accordance with an endorsed plan, policy or program’.</w:t>
      </w:r>
      <w:r w:rsidRPr="00150637">
        <w:rPr>
          <w:rFonts w:cs="Arial"/>
          <w:sz w:val="18"/>
          <w:szCs w:val="18"/>
        </w:rPr>
        <w:t xml:space="preserve"> </w:t>
      </w:r>
    </w:p>
  </w:footnote>
  <w:footnote w:id="10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UNESCO World Heritage Committee, ‘Decisions – </w:t>
      </w:r>
      <w:proofErr w:type="spellStart"/>
      <w:r w:rsidRPr="00150637">
        <w:rPr>
          <w:rFonts w:cs="Arial"/>
          <w:sz w:val="18"/>
          <w:szCs w:val="18"/>
        </w:rPr>
        <w:t>36COM</w:t>
      </w:r>
      <w:proofErr w:type="spellEnd"/>
      <w:r w:rsidRPr="00150637">
        <w:rPr>
          <w:rFonts w:cs="Arial"/>
          <w:sz w:val="18"/>
          <w:szCs w:val="18"/>
        </w:rPr>
        <w:t xml:space="preserve"> </w:t>
      </w:r>
      <w:proofErr w:type="spellStart"/>
      <w:r w:rsidRPr="00150637">
        <w:rPr>
          <w:rFonts w:cs="Arial"/>
          <w:sz w:val="18"/>
          <w:szCs w:val="18"/>
        </w:rPr>
        <w:t>7B.8</w:t>
      </w:r>
      <w:proofErr w:type="spellEnd"/>
      <w:r w:rsidRPr="00150637">
        <w:rPr>
          <w:rFonts w:cs="Arial"/>
          <w:sz w:val="18"/>
          <w:szCs w:val="18"/>
        </w:rPr>
        <w:t xml:space="preserve"> – Great Barrier Reef (Australia) (N 154)’ (June-July 2012), </w:t>
      </w:r>
      <w:proofErr w:type="spellStart"/>
      <w:r w:rsidRPr="00150637">
        <w:rPr>
          <w:rFonts w:cs="Arial"/>
          <w:sz w:val="18"/>
          <w:szCs w:val="18"/>
        </w:rPr>
        <w:t>para</w:t>
      </w:r>
      <w:proofErr w:type="spellEnd"/>
      <w:r w:rsidRPr="00150637">
        <w:rPr>
          <w:rFonts w:cs="Arial"/>
          <w:sz w:val="18"/>
          <w:szCs w:val="18"/>
        </w:rPr>
        <w:t xml:space="preserve"> 8.</w:t>
      </w:r>
    </w:p>
  </w:footnote>
  <w:footnote w:id="102">
    <w:p w:rsidR="00946D6B" w:rsidRPr="00150637" w:rsidRDefault="00946D6B" w:rsidP="001A5FA5">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Hawke et al, </w:t>
      </w:r>
      <w:r w:rsidRPr="00150637">
        <w:rPr>
          <w:rFonts w:cs="Arial"/>
          <w:i/>
          <w:sz w:val="18"/>
          <w:szCs w:val="18"/>
        </w:rPr>
        <w:t xml:space="preserve">Report of the Independent Review of the </w:t>
      </w:r>
      <w:proofErr w:type="spellStart"/>
      <w:r w:rsidRPr="00150637">
        <w:rPr>
          <w:rFonts w:cs="Arial"/>
          <w:i/>
          <w:sz w:val="18"/>
          <w:szCs w:val="18"/>
        </w:rPr>
        <w:t>EPBC</w:t>
      </w:r>
      <w:proofErr w:type="spellEnd"/>
      <w:r w:rsidRPr="00150637">
        <w:rPr>
          <w:rFonts w:cs="Arial"/>
          <w:i/>
          <w:sz w:val="18"/>
          <w:szCs w:val="18"/>
        </w:rPr>
        <w:t xml:space="preserve"> Act</w:t>
      </w:r>
      <w:r w:rsidRPr="00150637">
        <w:rPr>
          <w:rFonts w:cs="Arial"/>
          <w:sz w:val="18"/>
          <w:szCs w:val="18"/>
        </w:rPr>
        <w:t xml:space="preserve"> (2009), ‘The Next Generation of Planning for </w:t>
      </w:r>
      <w:proofErr w:type="spellStart"/>
      <w:r w:rsidRPr="00150637">
        <w:rPr>
          <w:rFonts w:cs="Arial"/>
          <w:sz w:val="18"/>
          <w:szCs w:val="18"/>
        </w:rPr>
        <w:t>ESD</w:t>
      </w:r>
      <w:proofErr w:type="spellEnd"/>
      <w:r w:rsidRPr="00150637">
        <w:rPr>
          <w:rFonts w:cs="Arial"/>
          <w:sz w:val="18"/>
          <w:szCs w:val="18"/>
        </w:rPr>
        <w:t xml:space="preserve">’, </w:t>
      </w:r>
      <w:proofErr w:type="spellStart"/>
      <w:r w:rsidRPr="00150637">
        <w:rPr>
          <w:rFonts w:cs="Arial"/>
          <w:sz w:val="18"/>
          <w:szCs w:val="18"/>
        </w:rPr>
        <w:t>para</w:t>
      </w:r>
      <w:proofErr w:type="spellEnd"/>
      <w:r w:rsidRPr="00150637">
        <w:rPr>
          <w:rFonts w:cs="Arial"/>
          <w:sz w:val="18"/>
          <w:szCs w:val="18"/>
        </w:rPr>
        <w:t xml:space="preserve"> 3.13.</w:t>
      </w:r>
    </w:p>
  </w:footnote>
  <w:footnote w:id="103">
    <w:p w:rsidR="00946D6B" w:rsidRPr="00150637" w:rsidRDefault="00946D6B" w:rsidP="0094763F">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The World Bank, </w:t>
      </w:r>
      <w:r w:rsidRPr="00150637">
        <w:rPr>
          <w:rFonts w:cs="Arial"/>
          <w:i/>
          <w:sz w:val="18"/>
          <w:szCs w:val="18"/>
        </w:rPr>
        <w:t xml:space="preserve">Turn Down the Heat: Why a </w:t>
      </w:r>
      <w:proofErr w:type="spellStart"/>
      <w:r w:rsidRPr="00150637">
        <w:rPr>
          <w:rFonts w:cs="Arial"/>
          <w:i/>
          <w:sz w:val="18"/>
          <w:szCs w:val="18"/>
        </w:rPr>
        <w:t>4C</w:t>
      </w:r>
      <w:proofErr w:type="spellEnd"/>
      <w:r w:rsidRPr="00150637">
        <w:rPr>
          <w:rFonts w:cs="Arial"/>
          <w:i/>
          <w:sz w:val="18"/>
          <w:szCs w:val="18"/>
        </w:rPr>
        <w:t xml:space="preserve"> Warmer World Must Be Avoided </w:t>
      </w:r>
      <w:r w:rsidRPr="00150637">
        <w:rPr>
          <w:rFonts w:cs="Arial"/>
          <w:sz w:val="18"/>
          <w:szCs w:val="18"/>
        </w:rPr>
        <w:t>(2012).</w:t>
      </w:r>
      <w:r w:rsidRPr="00150637">
        <w:rPr>
          <w:rFonts w:cs="Arial"/>
          <w:i/>
          <w:sz w:val="18"/>
          <w:szCs w:val="18"/>
        </w:rPr>
        <w:t xml:space="preserve"> </w:t>
      </w:r>
    </w:p>
  </w:footnote>
  <w:footnote w:id="10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i/>
          <w:sz w:val="18"/>
          <w:szCs w:val="18"/>
        </w:rPr>
        <w:t>State of the Environment 2011</w:t>
      </w:r>
      <w:r w:rsidRPr="00150637">
        <w:rPr>
          <w:rFonts w:cs="Arial"/>
          <w:sz w:val="18"/>
          <w:szCs w:val="18"/>
        </w:rPr>
        <w:t xml:space="preserve">, Report to the Australian Government, ‘Summary’, available at </w:t>
      </w:r>
      <w:hyperlink r:id="rId48" w:history="1">
        <w:r w:rsidRPr="00150637">
          <w:rPr>
            <w:rStyle w:val="Hyperlink"/>
            <w:rFonts w:cs="Arial"/>
            <w:color w:val="auto"/>
            <w:sz w:val="18"/>
            <w:szCs w:val="18"/>
          </w:rPr>
          <w:t>http://</w:t>
        </w:r>
        <w:proofErr w:type="spellStart"/>
        <w:r w:rsidRPr="00150637">
          <w:rPr>
            <w:rStyle w:val="Hyperlink"/>
            <w:rFonts w:cs="Arial"/>
            <w:color w:val="auto"/>
            <w:sz w:val="18"/>
            <w:szCs w:val="18"/>
          </w:rPr>
          <w:t>www.environment.gov.au</w:t>
        </w:r>
        <w:proofErr w:type="spellEnd"/>
        <w:r w:rsidRPr="00150637">
          <w:rPr>
            <w:rStyle w:val="Hyperlink"/>
            <w:rFonts w:cs="Arial"/>
            <w:color w:val="auto"/>
            <w:sz w:val="18"/>
            <w:szCs w:val="18"/>
          </w:rPr>
          <w:t>/</w:t>
        </w:r>
        <w:proofErr w:type="spellStart"/>
        <w:r w:rsidRPr="00150637">
          <w:rPr>
            <w:rStyle w:val="Hyperlink"/>
            <w:rFonts w:cs="Arial"/>
            <w:color w:val="auto"/>
            <w:sz w:val="18"/>
            <w:szCs w:val="18"/>
          </w:rPr>
          <w:t>soe</w:t>
        </w:r>
        <w:proofErr w:type="spellEnd"/>
        <w:r w:rsidRPr="00150637">
          <w:rPr>
            <w:rStyle w:val="Hyperlink"/>
            <w:rFonts w:cs="Arial"/>
            <w:color w:val="auto"/>
            <w:sz w:val="18"/>
            <w:szCs w:val="18"/>
          </w:rPr>
          <w:t>/2011/report/key-</w:t>
        </w:r>
        <w:proofErr w:type="spellStart"/>
        <w:r w:rsidRPr="00150637">
          <w:rPr>
            <w:rStyle w:val="Hyperlink"/>
            <w:rFonts w:cs="Arial"/>
            <w:color w:val="auto"/>
            <w:sz w:val="18"/>
            <w:szCs w:val="18"/>
          </w:rPr>
          <w:t>findings.html</w:t>
        </w:r>
        <w:proofErr w:type="spellEnd"/>
      </w:hyperlink>
      <w:r w:rsidRPr="00150637">
        <w:rPr>
          <w:rFonts w:cs="Arial"/>
          <w:sz w:val="18"/>
          <w:szCs w:val="18"/>
        </w:rPr>
        <w:t>.</w:t>
      </w:r>
    </w:p>
  </w:footnote>
  <w:footnote w:id="105">
    <w:p w:rsidR="00946D6B" w:rsidRPr="00150637" w:rsidRDefault="00946D6B" w:rsidP="00006551">
      <w:pPr>
        <w:keepN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i/>
          <w:iCs/>
          <w:sz w:val="18"/>
          <w:szCs w:val="18"/>
        </w:rPr>
        <w:t xml:space="preserve">Hunter Environment Lobby </w:t>
      </w:r>
      <w:proofErr w:type="spellStart"/>
      <w:r w:rsidRPr="00150637">
        <w:rPr>
          <w:rFonts w:cs="Arial"/>
          <w:i/>
          <w:iCs/>
          <w:sz w:val="18"/>
          <w:szCs w:val="18"/>
        </w:rPr>
        <w:t>Inc</w:t>
      </w:r>
      <w:proofErr w:type="spellEnd"/>
      <w:r w:rsidRPr="00150637">
        <w:rPr>
          <w:rFonts w:cs="Arial"/>
          <w:i/>
          <w:iCs/>
          <w:sz w:val="18"/>
          <w:szCs w:val="18"/>
        </w:rPr>
        <w:t xml:space="preserve"> v Minister for Planning </w:t>
      </w:r>
      <w:r w:rsidRPr="00150637">
        <w:rPr>
          <w:rFonts w:cs="Arial"/>
          <w:sz w:val="18"/>
          <w:szCs w:val="18"/>
        </w:rPr>
        <w:t xml:space="preserve">[2011] </w:t>
      </w:r>
      <w:proofErr w:type="spellStart"/>
      <w:r w:rsidRPr="00150637">
        <w:rPr>
          <w:rFonts w:cs="Arial"/>
          <w:sz w:val="18"/>
          <w:szCs w:val="18"/>
        </w:rPr>
        <w:t>NSWLEC</w:t>
      </w:r>
      <w:proofErr w:type="spellEnd"/>
      <w:r w:rsidRPr="00150637">
        <w:rPr>
          <w:rFonts w:cs="Arial"/>
          <w:sz w:val="18"/>
          <w:szCs w:val="18"/>
        </w:rPr>
        <w:t xml:space="preserve"> 221. As Justice Pain noted at [59]: </w:t>
      </w:r>
      <w:r w:rsidRPr="00D12780">
        <w:rPr>
          <w:rFonts w:cs="Arial"/>
          <w:i/>
          <w:sz w:val="18"/>
          <w:szCs w:val="18"/>
        </w:rPr>
        <w:t xml:space="preserve">‘There is no formal document setting out the government’s position on the treatment of scope 1, 2 and 3 </w:t>
      </w:r>
      <w:proofErr w:type="spellStart"/>
      <w:r w:rsidRPr="00D12780">
        <w:rPr>
          <w:rFonts w:cs="Arial"/>
          <w:i/>
          <w:sz w:val="18"/>
          <w:szCs w:val="18"/>
        </w:rPr>
        <w:t>GHG</w:t>
      </w:r>
      <w:proofErr w:type="spellEnd"/>
      <w:r w:rsidRPr="00D12780">
        <w:rPr>
          <w:rFonts w:cs="Arial"/>
          <w:i/>
          <w:sz w:val="18"/>
          <w:szCs w:val="18"/>
        </w:rPr>
        <w:t xml:space="preserve"> emissions and the risk of climate change in the development assessment process under the EP[&amp;]A Act.’</w:t>
      </w:r>
      <w:r w:rsidRPr="00150637">
        <w:rPr>
          <w:rFonts w:cs="Arial"/>
          <w:sz w:val="18"/>
          <w:szCs w:val="18"/>
        </w:rPr>
        <w:t xml:space="preserve"> The case involved merits review of the former Planning Minister’s decision to consolidate various development consents, and approve an expansion that would effectively double the capacity of the Ulan coal mine </w:t>
      </w:r>
      <w:proofErr w:type="spellStart"/>
      <w:r w:rsidRPr="00150637">
        <w:rPr>
          <w:rFonts w:cs="Arial"/>
          <w:sz w:val="18"/>
          <w:szCs w:val="18"/>
        </w:rPr>
        <w:t>40km</w:t>
      </w:r>
      <w:proofErr w:type="spellEnd"/>
      <w:r w:rsidRPr="00150637">
        <w:rPr>
          <w:rFonts w:cs="Arial"/>
          <w:sz w:val="18"/>
          <w:szCs w:val="18"/>
        </w:rPr>
        <w:t xml:space="preserve"> north of Mudgee.</w:t>
      </w:r>
    </w:p>
  </w:footnote>
  <w:footnote w:id="106">
    <w:p w:rsidR="00946D6B" w:rsidRPr="00150637" w:rsidRDefault="00946D6B" w:rsidP="00006551">
      <w:pPr>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See </w:t>
      </w:r>
      <w:r w:rsidRPr="00150637">
        <w:rPr>
          <w:rFonts w:cs="Arial"/>
          <w:i/>
          <w:sz w:val="18"/>
          <w:szCs w:val="18"/>
          <w:lang w:val="en-US"/>
        </w:rPr>
        <w:t xml:space="preserve">Report of the NSW Legislative Council Inquiry into </w:t>
      </w:r>
      <w:proofErr w:type="spellStart"/>
      <w:r w:rsidRPr="00150637">
        <w:rPr>
          <w:rFonts w:cs="Arial"/>
          <w:i/>
          <w:sz w:val="18"/>
          <w:szCs w:val="18"/>
          <w:lang w:val="en-US"/>
        </w:rPr>
        <w:t>CSG</w:t>
      </w:r>
      <w:proofErr w:type="spellEnd"/>
      <w:r w:rsidRPr="00150637">
        <w:rPr>
          <w:rFonts w:cs="Arial"/>
          <w:sz w:val="18"/>
          <w:szCs w:val="18"/>
          <w:lang w:val="en-US"/>
        </w:rPr>
        <w:t xml:space="preserve"> (</w:t>
      </w:r>
      <w:r w:rsidRPr="00150637">
        <w:rPr>
          <w:rFonts w:cs="Arial"/>
          <w:sz w:val="18"/>
          <w:szCs w:val="18"/>
        </w:rPr>
        <w:t xml:space="preserve">May 2012). The Committee </w:t>
      </w:r>
      <w:r w:rsidRPr="00150637">
        <w:rPr>
          <w:rFonts w:cs="Arial"/>
          <w:sz w:val="18"/>
          <w:szCs w:val="18"/>
          <w:lang w:val="en-US"/>
        </w:rPr>
        <w:t>found:</w:t>
      </w:r>
    </w:p>
    <w:p w:rsidR="00946D6B" w:rsidRPr="00150637" w:rsidRDefault="00946D6B" w:rsidP="00006551">
      <w:pPr>
        <w:pStyle w:val="FootnoteText"/>
        <w:ind w:left="142" w:hanging="142"/>
        <w:rPr>
          <w:rFonts w:cs="Arial"/>
          <w:sz w:val="18"/>
          <w:szCs w:val="18"/>
        </w:rPr>
      </w:pPr>
      <w:r w:rsidRPr="00150637">
        <w:rPr>
          <w:rFonts w:cs="Arial"/>
          <w:i/>
          <w:sz w:val="18"/>
          <w:szCs w:val="18"/>
          <w:lang w:eastAsia="en-AU"/>
        </w:rPr>
        <w:t xml:space="preserve">While it is impossible to reach a definitive conclusion as to the greenhouse gas emissions of Australian coal seam gas, the Committee considers it likely that </w:t>
      </w:r>
      <w:r w:rsidRPr="00150637">
        <w:rPr>
          <w:rFonts w:cs="Arial"/>
          <w:i/>
          <w:iCs/>
          <w:sz w:val="18"/>
          <w:szCs w:val="18"/>
          <w:u w:val="single"/>
          <w:lang w:eastAsia="en-AU"/>
        </w:rPr>
        <w:t>at worst</w:t>
      </w:r>
      <w:r w:rsidRPr="00150637">
        <w:rPr>
          <w:rFonts w:cs="Arial"/>
          <w:i/>
          <w:iCs/>
          <w:sz w:val="18"/>
          <w:szCs w:val="18"/>
          <w:lang w:eastAsia="en-AU"/>
        </w:rPr>
        <w:t xml:space="preserve"> </w:t>
      </w:r>
      <w:r w:rsidRPr="00150637">
        <w:rPr>
          <w:rFonts w:cs="Arial"/>
          <w:i/>
          <w:sz w:val="18"/>
          <w:szCs w:val="18"/>
          <w:lang w:eastAsia="en-AU"/>
        </w:rPr>
        <w:t>the greenhouse gas emissions of energy produced from coal seam gas would be equal to those produced from coal.</w:t>
      </w:r>
      <w:r w:rsidRPr="00150637">
        <w:rPr>
          <w:rFonts w:cs="Arial"/>
          <w:sz w:val="18"/>
          <w:szCs w:val="18"/>
        </w:rPr>
        <w:t xml:space="preserve"> (see </w:t>
      </w:r>
      <w:proofErr w:type="spellStart"/>
      <w:r w:rsidRPr="00150637">
        <w:rPr>
          <w:rFonts w:cs="Arial"/>
          <w:sz w:val="18"/>
          <w:szCs w:val="18"/>
        </w:rPr>
        <w:t>pp</w:t>
      </w:r>
      <w:proofErr w:type="spellEnd"/>
      <w:r w:rsidRPr="00150637">
        <w:rPr>
          <w:rFonts w:cs="Arial"/>
          <w:sz w:val="18"/>
          <w:szCs w:val="18"/>
        </w:rPr>
        <w:t xml:space="preserve"> 194-203 &amp;.</w:t>
      </w:r>
      <w:proofErr w:type="spellStart"/>
      <w:r w:rsidRPr="00150637">
        <w:rPr>
          <w:rFonts w:cs="Arial"/>
          <w:sz w:val="18"/>
          <w:szCs w:val="18"/>
        </w:rPr>
        <w:t>para</w:t>
      </w:r>
      <w:proofErr w:type="spellEnd"/>
      <w:r w:rsidRPr="00150637">
        <w:rPr>
          <w:rFonts w:cs="Arial"/>
          <w:sz w:val="18"/>
          <w:szCs w:val="18"/>
        </w:rPr>
        <w:t xml:space="preserve"> 12.69).</w:t>
      </w:r>
    </w:p>
  </w:footnote>
  <w:footnote w:id="10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i/>
          <w:sz w:val="18"/>
          <w:szCs w:val="18"/>
        </w:rPr>
        <w:t xml:space="preserve">Response to the Independent Review of the </w:t>
      </w:r>
      <w:proofErr w:type="spellStart"/>
      <w:r w:rsidRPr="00150637">
        <w:rPr>
          <w:rFonts w:cs="Arial"/>
          <w:i/>
          <w:sz w:val="18"/>
          <w:szCs w:val="18"/>
        </w:rPr>
        <w:t>EPBC</w:t>
      </w:r>
      <w:proofErr w:type="spellEnd"/>
      <w:r w:rsidRPr="00150637">
        <w:rPr>
          <w:rFonts w:cs="Arial"/>
          <w:i/>
          <w:sz w:val="18"/>
          <w:szCs w:val="18"/>
        </w:rPr>
        <w:t xml:space="preserve"> Act</w:t>
      </w:r>
      <w:r w:rsidRPr="00150637">
        <w:rPr>
          <w:rFonts w:cs="Arial"/>
          <w:sz w:val="18"/>
          <w:szCs w:val="18"/>
        </w:rPr>
        <w:t xml:space="preserve"> (2011), rec. 10.2 (‘not agreed’).</w:t>
      </w:r>
    </w:p>
  </w:footnote>
  <w:footnote w:id="108">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Attorney-General Mark Dreyfus criticised the States ‘for ending climate and renewable energy programs “that are perfectly complementary to the carbon price and under the pretext 'they are not needed”’’, National Environmental Law </w:t>
      </w:r>
      <w:proofErr w:type="spellStart"/>
      <w:r w:rsidRPr="00150637">
        <w:rPr>
          <w:rFonts w:cs="Arial"/>
          <w:sz w:val="18"/>
          <w:szCs w:val="18"/>
        </w:rPr>
        <w:t>Assoc</w:t>
      </w:r>
      <w:proofErr w:type="spellEnd"/>
      <w:r w:rsidRPr="00150637">
        <w:rPr>
          <w:rFonts w:cs="Arial"/>
          <w:sz w:val="18"/>
          <w:szCs w:val="18"/>
        </w:rPr>
        <w:t xml:space="preserve"> Conference 2013. </w:t>
      </w:r>
      <w:r w:rsidRPr="00150637">
        <w:rPr>
          <w:rFonts w:cs="Arial"/>
          <w:i/>
          <w:sz w:val="18"/>
          <w:szCs w:val="18"/>
        </w:rPr>
        <w:t>Carbon Extra</w:t>
      </w:r>
      <w:r w:rsidRPr="00150637">
        <w:rPr>
          <w:rFonts w:cs="Arial"/>
          <w:sz w:val="18"/>
          <w:szCs w:val="18"/>
        </w:rPr>
        <w:t xml:space="preserve"> 214, 8/3/2012 ‘Dreyfus attacks states on climate’.</w:t>
      </w:r>
    </w:p>
  </w:footnote>
  <w:footnote w:id="109">
    <w:p w:rsidR="00946D6B" w:rsidRPr="00150637" w:rsidRDefault="00946D6B" w:rsidP="00116972">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w:t>
      </w:r>
      <w:proofErr w:type="spellStart"/>
      <w:r w:rsidRPr="00150637">
        <w:rPr>
          <w:rStyle w:val="h51"/>
          <w:rFonts w:ascii="Arial" w:hAnsi="Arial" w:cs="Arial"/>
          <w:b w:val="0"/>
        </w:rPr>
        <w:t>ANEDO</w:t>
      </w:r>
      <w:proofErr w:type="spellEnd"/>
      <w:r w:rsidRPr="00150637">
        <w:rPr>
          <w:rStyle w:val="h51"/>
          <w:rFonts w:ascii="Arial" w:hAnsi="Arial" w:cs="Arial"/>
          <w:b w:val="0"/>
        </w:rPr>
        <w:t>, Submission on the</w:t>
      </w:r>
      <w:r w:rsidRPr="00150637">
        <w:rPr>
          <w:rStyle w:val="h51"/>
          <w:rFonts w:ascii="Arial" w:hAnsi="Arial" w:cs="Arial"/>
        </w:rPr>
        <w:t xml:space="preserve"> </w:t>
      </w:r>
      <w:r w:rsidRPr="00150637">
        <w:rPr>
          <w:rStyle w:val="Emphasis"/>
          <w:rFonts w:cs="Arial"/>
          <w:bCs/>
          <w:sz w:val="18"/>
          <w:szCs w:val="18"/>
        </w:rPr>
        <w:t>Draft National Harmonised Regulatory Framework for Coal Seam Gas 2012</w:t>
      </w:r>
      <w:r w:rsidRPr="00150637">
        <w:rPr>
          <w:rFonts w:cs="Arial"/>
          <w:bCs/>
          <w:sz w:val="18"/>
          <w:szCs w:val="18"/>
        </w:rPr>
        <w:t xml:space="preserve"> (</w:t>
      </w:r>
      <w:r w:rsidRPr="00150637">
        <w:rPr>
          <w:rFonts w:cs="Arial"/>
          <w:sz w:val="18"/>
          <w:szCs w:val="18"/>
        </w:rPr>
        <w:t xml:space="preserve">February 2013), available at </w:t>
      </w:r>
      <w:hyperlink r:id="rId49" w:history="1">
        <w:proofErr w:type="spellStart"/>
        <w:r w:rsidRPr="00150637">
          <w:rPr>
            <w:rStyle w:val="Hyperlink"/>
            <w:rFonts w:cs="Arial"/>
            <w:color w:val="auto"/>
            <w:sz w:val="18"/>
            <w:szCs w:val="18"/>
          </w:rPr>
          <w:t>www.edo.org.au</w:t>
        </w:r>
        <w:proofErr w:type="spellEnd"/>
      </w:hyperlink>
      <w:r w:rsidRPr="00150637">
        <w:rPr>
          <w:rFonts w:cs="Arial"/>
          <w:sz w:val="18"/>
          <w:szCs w:val="18"/>
        </w:rPr>
        <w:t xml:space="preserve"> and </w:t>
      </w:r>
      <w:hyperlink r:id="rId50" w:history="1">
        <w:proofErr w:type="spellStart"/>
        <w:r w:rsidRPr="00150637">
          <w:rPr>
            <w:rStyle w:val="Hyperlink"/>
            <w:rFonts w:cs="Arial"/>
            <w:color w:val="auto"/>
            <w:sz w:val="18"/>
            <w:szCs w:val="18"/>
          </w:rPr>
          <w:t>www.edonsw.org.au</w:t>
        </w:r>
        <w:proofErr w:type="spellEnd"/>
      </w:hyperlink>
      <w:r w:rsidRPr="00150637">
        <w:rPr>
          <w:rFonts w:cs="Arial"/>
          <w:sz w:val="18"/>
          <w:szCs w:val="18"/>
        </w:rPr>
        <w:t xml:space="preserve">. See EDO NSW, </w:t>
      </w:r>
      <w:r w:rsidRPr="00150637">
        <w:rPr>
          <w:rFonts w:cs="Arial"/>
          <w:i/>
          <w:sz w:val="18"/>
          <w:szCs w:val="18"/>
        </w:rPr>
        <w:t>Inquiry into Coal Seam Gas Impacts – Responses to Questions on Notice</w:t>
      </w:r>
      <w:r w:rsidRPr="00150637">
        <w:rPr>
          <w:rFonts w:cs="Arial"/>
          <w:sz w:val="18"/>
          <w:szCs w:val="18"/>
        </w:rPr>
        <w:t xml:space="preserve"> (Jan. 2012), ‘</w:t>
      </w:r>
      <w:r w:rsidRPr="00150637">
        <w:rPr>
          <w:rFonts w:cs="Arial"/>
          <w:sz w:val="18"/>
          <w:szCs w:val="18"/>
          <w:lang w:val="en-US"/>
        </w:rPr>
        <w:t xml:space="preserve">EDO recommendations relating to fugitive and other greenhouse emissions’ </w:t>
      </w:r>
      <w:proofErr w:type="spellStart"/>
      <w:r w:rsidRPr="00150637">
        <w:rPr>
          <w:rFonts w:cs="Arial"/>
          <w:sz w:val="18"/>
          <w:szCs w:val="18"/>
          <w:lang w:val="en-US"/>
        </w:rPr>
        <w:t>pp</w:t>
      </w:r>
      <w:proofErr w:type="spellEnd"/>
      <w:r w:rsidRPr="00150637">
        <w:rPr>
          <w:rFonts w:cs="Arial"/>
          <w:sz w:val="18"/>
          <w:szCs w:val="18"/>
          <w:lang w:val="en-US"/>
        </w:rPr>
        <w:t xml:space="preserve"> 10-14, at: </w:t>
      </w:r>
      <w:hyperlink r:id="rId51" w:history="1">
        <w:r w:rsidRPr="00150637">
          <w:rPr>
            <w:rStyle w:val="Hyperlink"/>
            <w:rFonts w:cs="Arial"/>
            <w:color w:val="auto"/>
            <w:sz w:val="18"/>
            <w:szCs w:val="18"/>
            <w:lang w:val="en-US"/>
          </w:rPr>
          <w:t>www.edo.org.au/edonsw/site/pdf/subs/120119csg_responses_questions_on_notice.pdf</w:t>
        </w:r>
      </w:hyperlink>
      <w:r w:rsidRPr="00150637">
        <w:rPr>
          <w:rFonts w:cs="Arial"/>
          <w:sz w:val="18"/>
          <w:szCs w:val="18"/>
          <w:lang w:val="en-US"/>
        </w:rPr>
        <w:t>.</w:t>
      </w:r>
    </w:p>
  </w:footnote>
  <w:footnote w:id="110">
    <w:p w:rsidR="00946D6B" w:rsidRPr="00150637" w:rsidRDefault="00946D6B" w:rsidP="0094763F">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Consistent with both the </w:t>
      </w:r>
      <w:proofErr w:type="spellStart"/>
      <w:r w:rsidRPr="00150637">
        <w:rPr>
          <w:rFonts w:cs="Arial"/>
          <w:sz w:val="18"/>
          <w:szCs w:val="18"/>
        </w:rPr>
        <w:t>EPBC</w:t>
      </w:r>
      <w:proofErr w:type="spellEnd"/>
      <w:r w:rsidRPr="00150637">
        <w:rPr>
          <w:rFonts w:cs="Arial"/>
          <w:sz w:val="18"/>
          <w:szCs w:val="18"/>
        </w:rPr>
        <w:t xml:space="preserve"> Act Independent Review and the NSW Planning Review Panel. See Hawke et al (2009), </w:t>
      </w:r>
      <w:r w:rsidRPr="00150637">
        <w:rPr>
          <w:rFonts w:cs="Arial"/>
          <w:i/>
          <w:sz w:val="18"/>
          <w:szCs w:val="18"/>
        </w:rPr>
        <w:t xml:space="preserve">Report of the Independent Review of the </w:t>
      </w:r>
      <w:proofErr w:type="spellStart"/>
      <w:r w:rsidRPr="00150637">
        <w:rPr>
          <w:rFonts w:cs="Arial"/>
          <w:i/>
          <w:sz w:val="18"/>
          <w:szCs w:val="18"/>
        </w:rPr>
        <w:t>EPBC</w:t>
      </w:r>
      <w:proofErr w:type="spellEnd"/>
      <w:r w:rsidRPr="00150637">
        <w:rPr>
          <w:rFonts w:cs="Arial"/>
          <w:i/>
          <w:sz w:val="18"/>
          <w:szCs w:val="18"/>
        </w:rPr>
        <w:t xml:space="preserve"> Act</w:t>
      </w:r>
      <w:r w:rsidRPr="00150637">
        <w:rPr>
          <w:rFonts w:cs="Arial"/>
          <w:sz w:val="18"/>
          <w:szCs w:val="18"/>
        </w:rPr>
        <w:t xml:space="preserve"> (2009), recommendation 10.2. See also T. Moore and R. Dyer, </w:t>
      </w:r>
      <w:r w:rsidRPr="00150637">
        <w:rPr>
          <w:rFonts w:cs="Arial"/>
          <w:i/>
          <w:sz w:val="18"/>
          <w:szCs w:val="18"/>
        </w:rPr>
        <w:t>NSW Planning System Independent Review Panel Report</w:t>
      </w:r>
      <w:r w:rsidRPr="00150637">
        <w:rPr>
          <w:rFonts w:cs="Arial"/>
          <w:sz w:val="18"/>
          <w:szCs w:val="18"/>
        </w:rPr>
        <w:t xml:space="preserve">, Vol. 1, recommendations 8 and 19.  For example, strategic planning objects should: ‘Consider the scientifically anticipated impact of climate change within the footprint of the strategic planning study area and the broad measures required to mitigate its impact.’ </w:t>
      </w:r>
    </w:p>
  </w:footnote>
  <w:footnote w:id="111">
    <w:p w:rsidR="00946D6B" w:rsidRPr="00150637" w:rsidRDefault="00946D6B" w:rsidP="004D2307">
      <w:pPr>
        <w:rPr>
          <w:rFonts w:cs="Arial"/>
          <w:sz w:val="18"/>
          <w:szCs w:val="18"/>
        </w:rPr>
      </w:pPr>
      <w:r w:rsidRPr="00150637">
        <w:rPr>
          <w:rStyle w:val="FootnoteReference"/>
          <w:rFonts w:cs="Arial"/>
          <w:sz w:val="18"/>
          <w:szCs w:val="18"/>
        </w:rPr>
        <w:footnoteRef/>
      </w:r>
      <w:r w:rsidRPr="00150637">
        <w:rPr>
          <w:rFonts w:cs="Arial"/>
          <w:sz w:val="18"/>
          <w:szCs w:val="18"/>
        </w:rPr>
        <w:t xml:space="preserve"> Including from catchment management authorities, state and federal departments, and State of the Environment reporting. See EDO NSW, </w:t>
      </w:r>
      <w:proofErr w:type="spellStart"/>
      <w:r w:rsidRPr="00150637">
        <w:rPr>
          <w:rFonts w:cs="Arial"/>
          <w:sz w:val="18"/>
          <w:szCs w:val="18"/>
        </w:rPr>
        <w:t>NCC</w:t>
      </w:r>
      <w:proofErr w:type="spellEnd"/>
      <w:r w:rsidRPr="00150637">
        <w:rPr>
          <w:rFonts w:cs="Arial"/>
          <w:sz w:val="18"/>
          <w:szCs w:val="18"/>
        </w:rPr>
        <w:t xml:space="preserve"> &amp; TEC submission to NSW Planning Review Issues Paper (March 2012), </w:t>
      </w:r>
      <w:proofErr w:type="spellStart"/>
      <w:r w:rsidRPr="00150637">
        <w:rPr>
          <w:rFonts w:cs="Arial"/>
          <w:sz w:val="18"/>
          <w:szCs w:val="18"/>
        </w:rPr>
        <w:t>pp</w:t>
      </w:r>
      <w:proofErr w:type="spellEnd"/>
      <w:r w:rsidRPr="00150637">
        <w:rPr>
          <w:rFonts w:cs="Arial"/>
          <w:sz w:val="18"/>
          <w:szCs w:val="18"/>
        </w:rPr>
        <w:t xml:space="preserve"> 52-53.</w:t>
      </w:r>
    </w:p>
  </w:footnote>
  <w:footnote w:id="112">
    <w:p w:rsidR="00946D6B" w:rsidRPr="00150637" w:rsidRDefault="00946D6B" w:rsidP="0000354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Report to the Australian Government, </w:t>
      </w:r>
      <w:r w:rsidRPr="00150637">
        <w:rPr>
          <w:rFonts w:cs="Arial"/>
          <w:i/>
          <w:sz w:val="18"/>
          <w:szCs w:val="18"/>
        </w:rPr>
        <w:t xml:space="preserve">State of the Environment </w:t>
      </w:r>
      <w:r w:rsidRPr="00150637">
        <w:rPr>
          <w:rFonts w:cs="Arial"/>
          <w:sz w:val="18"/>
          <w:szCs w:val="18"/>
        </w:rPr>
        <w:t xml:space="preserve">(2011), ‘Future reporting’, </w:t>
      </w:r>
      <w:hyperlink r:id="rId52" w:history="1">
        <w:r w:rsidRPr="00150637">
          <w:rPr>
            <w:rStyle w:val="Hyperlink"/>
            <w:rFonts w:cs="Arial"/>
            <w:color w:val="auto"/>
            <w:sz w:val="18"/>
            <w:szCs w:val="18"/>
            <w:u w:val="none"/>
          </w:rPr>
          <w:t>http://www.environment.gov.au/soe/2011/report/future-reporting.html</w:t>
        </w:r>
      </w:hyperlink>
      <w:r w:rsidRPr="00150637">
        <w:rPr>
          <w:rFonts w:cs="Arial"/>
          <w:sz w:val="18"/>
          <w:szCs w:val="18"/>
        </w:rPr>
        <w:t>. These include more intelligent monitoring, increased standardisation and data-sharing, better data management and modelling, and national benchmarks for environmental and sustainability indicators.</w:t>
      </w:r>
    </w:p>
  </w:footnote>
  <w:footnote w:id="113">
    <w:p w:rsidR="00946D6B" w:rsidRPr="00150637" w:rsidRDefault="00946D6B" w:rsidP="0000354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Report to the Australian Government</w:t>
      </w:r>
      <w:r w:rsidRPr="00150637">
        <w:rPr>
          <w:rFonts w:cs="Arial"/>
          <w:i/>
          <w:sz w:val="18"/>
          <w:szCs w:val="18"/>
        </w:rPr>
        <w:t xml:space="preserve">, State of the Environment </w:t>
      </w:r>
      <w:r w:rsidRPr="00150637">
        <w:rPr>
          <w:rFonts w:cs="Arial"/>
          <w:sz w:val="18"/>
          <w:szCs w:val="18"/>
        </w:rPr>
        <w:t>(2011), ‘Future reporting’.</w:t>
      </w:r>
    </w:p>
  </w:footnote>
  <w:footnote w:id="114">
    <w:p w:rsidR="00946D6B" w:rsidRPr="00150637" w:rsidRDefault="00946D6B" w:rsidP="00C91E55">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COAG Reform Council, </w:t>
      </w:r>
      <w:r w:rsidRPr="00150637">
        <w:rPr>
          <w:rFonts w:cs="Arial"/>
          <w:i/>
          <w:sz w:val="18"/>
          <w:szCs w:val="18"/>
        </w:rPr>
        <w:t>Review of capital city strategic planning systems</w:t>
      </w:r>
      <w:r w:rsidRPr="00150637">
        <w:rPr>
          <w:rFonts w:cs="Arial"/>
          <w:sz w:val="18"/>
          <w:szCs w:val="18"/>
        </w:rPr>
        <w:t xml:space="preserve"> (Dec. 2011), ‘Overview’, p 2, available at: </w:t>
      </w:r>
      <w:hyperlink r:id="rId53" w:history="1">
        <w:r w:rsidRPr="00150637">
          <w:rPr>
            <w:rStyle w:val="Hyperlink"/>
            <w:rFonts w:cs="Arial"/>
            <w:color w:val="auto"/>
            <w:sz w:val="18"/>
            <w:szCs w:val="18"/>
          </w:rPr>
          <w:t>http://</w:t>
        </w:r>
        <w:proofErr w:type="spellStart"/>
        <w:r w:rsidRPr="00150637">
          <w:rPr>
            <w:rStyle w:val="Hyperlink"/>
            <w:rFonts w:cs="Arial"/>
            <w:color w:val="auto"/>
            <w:sz w:val="18"/>
            <w:szCs w:val="18"/>
          </w:rPr>
          <w:t>www.coagreformcouncil.gov.au</w:t>
        </w:r>
        <w:proofErr w:type="spellEnd"/>
        <w:r w:rsidRPr="00150637">
          <w:rPr>
            <w:rStyle w:val="Hyperlink"/>
            <w:rFonts w:cs="Arial"/>
            <w:color w:val="auto"/>
            <w:sz w:val="18"/>
            <w:szCs w:val="18"/>
          </w:rPr>
          <w:t>/reports/</w:t>
        </w:r>
        <w:proofErr w:type="spellStart"/>
        <w:r w:rsidRPr="00150637">
          <w:rPr>
            <w:rStyle w:val="Hyperlink"/>
            <w:rFonts w:cs="Arial"/>
            <w:color w:val="auto"/>
            <w:sz w:val="18"/>
            <w:szCs w:val="18"/>
          </w:rPr>
          <w:t>cities.cfm</w:t>
        </w:r>
        <w:proofErr w:type="spellEnd"/>
      </w:hyperlink>
      <w:r w:rsidRPr="00150637">
        <w:rPr>
          <w:rFonts w:cs="Arial"/>
          <w:sz w:val="18"/>
          <w:szCs w:val="18"/>
        </w:rPr>
        <w:t xml:space="preserve">. </w:t>
      </w:r>
    </w:p>
  </w:footnote>
  <w:footnote w:id="115">
    <w:p w:rsidR="00946D6B" w:rsidRPr="00150637" w:rsidRDefault="00946D6B" w:rsidP="002974E2">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NSW Natural Resources Commission, ‘</w:t>
      </w:r>
      <w:proofErr w:type="spellStart"/>
      <w:r w:rsidRPr="00150637">
        <w:rPr>
          <w:rFonts w:cs="Arial"/>
          <w:sz w:val="18"/>
          <w:szCs w:val="18"/>
        </w:rPr>
        <w:t>Statewide</w:t>
      </w:r>
      <w:proofErr w:type="spellEnd"/>
      <w:r w:rsidRPr="00150637">
        <w:rPr>
          <w:rFonts w:cs="Arial"/>
          <w:sz w:val="18"/>
          <w:szCs w:val="18"/>
        </w:rPr>
        <w:t xml:space="preserve"> Targets’, at </w:t>
      </w:r>
      <w:hyperlink r:id="rId54" w:history="1">
        <w:r w:rsidRPr="00150637">
          <w:rPr>
            <w:rStyle w:val="Hyperlink"/>
            <w:rFonts w:cs="Arial"/>
            <w:color w:val="auto"/>
            <w:sz w:val="18"/>
            <w:szCs w:val="18"/>
          </w:rPr>
          <w:t>http://www.nrc.nsw.gov.au/WorkWeDo/StandardAndTargets/State-wideTargets.aspx</w:t>
        </w:r>
      </w:hyperlink>
      <w:r w:rsidRPr="00150637">
        <w:rPr>
          <w:rFonts w:cs="Arial"/>
          <w:sz w:val="18"/>
          <w:szCs w:val="18"/>
        </w:rPr>
        <w:t xml:space="preserve">. See also </w:t>
      </w:r>
      <w:r w:rsidRPr="00150637">
        <w:rPr>
          <w:rFonts w:cs="Arial"/>
          <w:i/>
          <w:sz w:val="18"/>
          <w:szCs w:val="18"/>
        </w:rPr>
        <w:t>The Economics of Ecosystems and Biodiversity</w:t>
      </w:r>
      <w:r w:rsidRPr="00150637">
        <w:rPr>
          <w:rFonts w:cs="Arial"/>
          <w:sz w:val="18"/>
          <w:szCs w:val="18"/>
        </w:rPr>
        <w:t xml:space="preserve"> (</w:t>
      </w:r>
      <w:proofErr w:type="spellStart"/>
      <w:r w:rsidRPr="00150637">
        <w:rPr>
          <w:rFonts w:cs="Arial"/>
          <w:sz w:val="18"/>
          <w:szCs w:val="18"/>
        </w:rPr>
        <w:t>TEEB</w:t>
      </w:r>
      <w:proofErr w:type="spellEnd"/>
      <w:r w:rsidRPr="00150637">
        <w:rPr>
          <w:rFonts w:cs="Arial"/>
          <w:sz w:val="18"/>
          <w:szCs w:val="18"/>
        </w:rPr>
        <w:t xml:space="preserve">) project, at </w:t>
      </w:r>
      <w:hyperlink r:id="rId55" w:history="1">
        <w:proofErr w:type="spellStart"/>
        <w:r w:rsidRPr="00150637">
          <w:rPr>
            <w:rStyle w:val="Hyperlink"/>
            <w:rFonts w:cs="Arial"/>
            <w:color w:val="auto"/>
            <w:sz w:val="18"/>
            <w:szCs w:val="18"/>
          </w:rPr>
          <w:t>www.teebweb.org</w:t>
        </w:r>
        <w:proofErr w:type="spellEnd"/>
      </w:hyperlink>
      <w:r w:rsidRPr="00150637">
        <w:rPr>
          <w:rFonts w:cs="Arial"/>
          <w:sz w:val="18"/>
          <w:szCs w:val="18"/>
        </w:rPr>
        <w:t>.</w:t>
      </w:r>
    </w:p>
  </w:footnote>
  <w:footnote w:id="116">
    <w:p w:rsidR="00946D6B" w:rsidRPr="00150637" w:rsidRDefault="00946D6B" w:rsidP="002974E2">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w:t>
      </w:r>
      <w:r w:rsidRPr="00150637">
        <w:rPr>
          <w:rFonts w:cs="Arial"/>
          <w:i/>
          <w:sz w:val="18"/>
          <w:szCs w:val="18"/>
        </w:rPr>
        <w:t>Australian Government Response to the Report of the Independent Review of the Environment Protection and Biodiversity Conservation Act</w:t>
      </w:r>
      <w:r w:rsidRPr="00150637">
        <w:rPr>
          <w:rFonts w:cs="Arial"/>
          <w:sz w:val="18"/>
          <w:szCs w:val="18"/>
        </w:rPr>
        <w:t xml:space="preserve"> (August 2011), recommendation 67 (‘accepted in principle’), </w:t>
      </w:r>
      <w:proofErr w:type="spellStart"/>
      <w:r w:rsidRPr="00150637">
        <w:rPr>
          <w:rFonts w:cs="Arial"/>
          <w:sz w:val="18"/>
          <w:szCs w:val="18"/>
        </w:rPr>
        <w:t>pp</w:t>
      </w:r>
      <w:proofErr w:type="spellEnd"/>
      <w:r w:rsidRPr="00150637">
        <w:rPr>
          <w:rFonts w:cs="Arial"/>
          <w:sz w:val="18"/>
          <w:szCs w:val="18"/>
        </w:rPr>
        <w:t xml:space="preserve"> 109-110. See also Bureau of Meteorology, ‘Environmental accounts’, at </w:t>
      </w:r>
      <w:hyperlink r:id="rId56" w:history="1">
        <w:r w:rsidRPr="00150637">
          <w:rPr>
            <w:rStyle w:val="Hyperlink"/>
            <w:rFonts w:cs="Arial"/>
            <w:color w:val="auto"/>
            <w:sz w:val="18"/>
            <w:szCs w:val="18"/>
          </w:rPr>
          <w:t>http://</w:t>
        </w:r>
        <w:proofErr w:type="spellStart"/>
        <w:r w:rsidRPr="00150637">
          <w:rPr>
            <w:rStyle w:val="Hyperlink"/>
            <w:rFonts w:cs="Arial"/>
            <w:color w:val="auto"/>
            <w:sz w:val="18"/>
            <w:szCs w:val="18"/>
          </w:rPr>
          <w:t>www.bom.gov.au</w:t>
        </w:r>
        <w:proofErr w:type="spellEnd"/>
        <w:r w:rsidRPr="00150637">
          <w:rPr>
            <w:rStyle w:val="Hyperlink"/>
            <w:rFonts w:cs="Arial"/>
            <w:color w:val="auto"/>
            <w:sz w:val="18"/>
            <w:szCs w:val="18"/>
          </w:rPr>
          <w:t>/environment/activities/</w:t>
        </w:r>
        <w:proofErr w:type="spellStart"/>
        <w:r w:rsidRPr="00150637">
          <w:rPr>
            <w:rStyle w:val="Hyperlink"/>
            <w:rFonts w:cs="Arial"/>
            <w:color w:val="auto"/>
            <w:sz w:val="18"/>
            <w:szCs w:val="18"/>
          </w:rPr>
          <w:t>accounts.shtml</w:t>
        </w:r>
        <w:proofErr w:type="spellEnd"/>
      </w:hyperlink>
      <w:r w:rsidRPr="00150637">
        <w:rPr>
          <w:rFonts w:cs="Arial"/>
          <w:sz w:val="18"/>
          <w:szCs w:val="18"/>
        </w:rPr>
        <w:t xml:space="preserve">. </w:t>
      </w:r>
    </w:p>
  </w:footnote>
  <w:footnote w:id="117">
    <w:p w:rsidR="00946D6B" w:rsidRPr="00150637" w:rsidRDefault="00946D6B" w:rsidP="002974E2">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See Hawke, A. (2009), </w:t>
      </w:r>
      <w:r w:rsidRPr="00150637">
        <w:rPr>
          <w:rFonts w:cs="Arial"/>
          <w:i/>
          <w:sz w:val="18"/>
          <w:szCs w:val="18"/>
        </w:rPr>
        <w:t xml:space="preserve">Report of the Independent Review of the </w:t>
      </w:r>
      <w:proofErr w:type="spellStart"/>
      <w:r w:rsidRPr="00150637">
        <w:rPr>
          <w:rFonts w:cs="Arial"/>
          <w:i/>
          <w:sz w:val="18"/>
          <w:szCs w:val="18"/>
        </w:rPr>
        <w:t>EPBC</w:t>
      </w:r>
      <w:proofErr w:type="spellEnd"/>
      <w:r w:rsidRPr="00150637">
        <w:rPr>
          <w:rFonts w:cs="Arial"/>
          <w:i/>
          <w:sz w:val="18"/>
          <w:szCs w:val="18"/>
        </w:rPr>
        <w:t xml:space="preserve"> Act 1999</w:t>
      </w:r>
      <w:r w:rsidRPr="00150637">
        <w:rPr>
          <w:rFonts w:cs="Arial"/>
          <w:sz w:val="18"/>
          <w:szCs w:val="18"/>
        </w:rPr>
        <w:t xml:space="preserve">, Chapter 19; see also </w:t>
      </w:r>
      <w:r w:rsidRPr="00150637">
        <w:rPr>
          <w:rFonts w:cs="Arial"/>
          <w:sz w:val="18"/>
          <w:szCs w:val="18"/>
          <w:lang w:eastAsia="en-AU"/>
        </w:rPr>
        <w:t xml:space="preserve">Wentworth Group of Concerned Scientists, </w:t>
      </w:r>
      <w:r w:rsidRPr="00150637">
        <w:rPr>
          <w:rFonts w:cs="Arial"/>
          <w:i/>
          <w:iCs/>
          <w:sz w:val="18"/>
          <w:szCs w:val="18"/>
          <w:lang w:eastAsia="en-AU"/>
        </w:rPr>
        <w:t>Accounting for Nature: a Model for Building the National Environmental Accounts for Australia</w:t>
      </w:r>
      <w:r w:rsidRPr="00150637">
        <w:rPr>
          <w:rFonts w:cs="Arial"/>
          <w:sz w:val="18"/>
          <w:szCs w:val="18"/>
          <w:lang w:eastAsia="en-AU"/>
        </w:rPr>
        <w:t xml:space="preserve"> (2008), at </w:t>
      </w:r>
      <w:hyperlink r:id="rId57" w:history="1">
        <w:proofErr w:type="spellStart"/>
        <w:r w:rsidRPr="00150637">
          <w:rPr>
            <w:rStyle w:val="Hyperlink"/>
            <w:rFonts w:cs="Arial"/>
            <w:color w:val="auto"/>
            <w:sz w:val="18"/>
            <w:szCs w:val="18"/>
            <w:lang w:eastAsia="en-AU"/>
          </w:rPr>
          <w:t>www.wentworthgroup.org</w:t>
        </w:r>
        <w:proofErr w:type="spellEnd"/>
      </w:hyperlink>
      <w:r w:rsidRPr="00150637">
        <w:rPr>
          <w:rFonts w:cs="Arial"/>
          <w:sz w:val="18"/>
          <w:szCs w:val="18"/>
          <w:lang w:eastAsia="en-AU"/>
        </w:rPr>
        <w:t>.</w:t>
      </w:r>
    </w:p>
  </w:footnote>
  <w:footnote w:id="118">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EDO NSW </w:t>
      </w:r>
      <w:proofErr w:type="spellStart"/>
      <w:r w:rsidRPr="00150637">
        <w:rPr>
          <w:rFonts w:cs="Arial"/>
          <w:sz w:val="18"/>
          <w:szCs w:val="18"/>
        </w:rPr>
        <w:t>NCC</w:t>
      </w:r>
      <w:proofErr w:type="spellEnd"/>
      <w:r w:rsidRPr="00150637">
        <w:rPr>
          <w:rFonts w:cs="Arial"/>
          <w:sz w:val="18"/>
          <w:szCs w:val="18"/>
        </w:rPr>
        <w:t xml:space="preserve"> &amp; TEC submission to NSW Planning Review Issues Paper (Mar. 2012), </w:t>
      </w:r>
      <w:proofErr w:type="spellStart"/>
      <w:r w:rsidRPr="00150637">
        <w:rPr>
          <w:rFonts w:cs="Arial"/>
          <w:sz w:val="18"/>
          <w:szCs w:val="18"/>
        </w:rPr>
        <w:t>F7</w:t>
      </w:r>
      <w:proofErr w:type="spellEnd"/>
      <w:r w:rsidRPr="00150637">
        <w:rPr>
          <w:rFonts w:cs="Arial"/>
          <w:sz w:val="18"/>
          <w:szCs w:val="18"/>
        </w:rPr>
        <w:t>, p 96-99.</w:t>
      </w:r>
    </w:p>
  </w:footnote>
  <w:footnote w:id="11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w:t>
      </w:r>
      <w:proofErr w:type="spellStart"/>
      <w:r w:rsidRPr="00150637">
        <w:rPr>
          <w:rFonts w:cs="Arial"/>
          <w:sz w:val="18"/>
          <w:szCs w:val="18"/>
        </w:rPr>
        <w:t>SEWPAC</w:t>
      </w:r>
      <w:proofErr w:type="spellEnd"/>
      <w:r w:rsidRPr="00150637">
        <w:rPr>
          <w:rFonts w:cs="Arial"/>
          <w:sz w:val="18"/>
          <w:szCs w:val="18"/>
        </w:rPr>
        <w:t xml:space="preserve"> website, </w:t>
      </w:r>
      <w:hyperlink r:id="rId58" w:history="1">
        <w:r w:rsidRPr="00150637">
          <w:rPr>
            <w:rStyle w:val="Hyperlink"/>
            <w:rFonts w:cs="Arial"/>
            <w:color w:val="auto"/>
            <w:sz w:val="18"/>
            <w:szCs w:val="18"/>
          </w:rPr>
          <w:t>http://www.environment.gov.au/sustainability/measuring/council.html</w:t>
        </w:r>
      </w:hyperlink>
      <w:r w:rsidRPr="00150637">
        <w:rPr>
          <w:rFonts w:cs="Arial"/>
          <w:sz w:val="18"/>
          <w:szCs w:val="18"/>
        </w:rPr>
        <w:t>.</w:t>
      </w:r>
    </w:p>
  </w:footnote>
  <w:footnote w:id="120">
    <w:p w:rsidR="00946D6B" w:rsidRPr="00150637" w:rsidRDefault="00946D6B" w:rsidP="00006551">
      <w:pPr>
        <w:rPr>
          <w:rFonts w:cs="Arial"/>
          <w:sz w:val="18"/>
          <w:szCs w:val="18"/>
        </w:rPr>
      </w:pPr>
      <w:r w:rsidRPr="00150637">
        <w:rPr>
          <w:rStyle w:val="FootnoteReference"/>
          <w:rFonts w:cs="Arial"/>
          <w:sz w:val="18"/>
          <w:szCs w:val="18"/>
        </w:rPr>
        <w:footnoteRef/>
      </w:r>
      <w:r w:rsidRPr="00150637">
        <w:rPr>
          <w:rFonts w:cs="Arial"/>
          <w:sz w:val="18"/>
          <w:szCs w:val="18"/>
        </w:rPr>
        <w:t xml:space="preserve"> See UK environment department website, at </w:t>
      </w:r>
      <w:hyperlink r:id="rId59" w:history="1">
        <w:r w:rsidRPr="00150637">
          <w:rPr>
            <w:rStyle w:val="Hyperlink"/>
            <w:rFonts w:cs="Arial"/>
            <w:color w:val="auto"/>
            <w:sz w:val="18"/>
            <w:szCs w:val="18"/>
          </w:rPr>
          <w:t>http://</w:t>
        </w:r>
        <w:proofErr w:type="spellStart"/>
        <w:r w:rsidRPr="00150637">
          <w:rPr>
            <w:rStyle w:val="Hyperlink"/>
            <w:rFonts w:cs="Arial"/>
            <w:color w:val="auto"/>
            <w:sz w:val="18"/>
            <w:szCs w:val="18"/>
          </w:rPr>
          <w:t>www.defra.gov.uk</w:t>
        </w:r>
        <w:proofErr w:type="spellEnd"/>
        <w:r w:rsidRPr="00150637">
          <w:rPr>
            <w:rStyle w:val="Hyperlink"/>
            <w:rFonts w:cs="Arial"/>
            <w:color w:val="auto"/>
            <w:sz w:val="18"/>
            <w:szCs w:val="18"/>
          </w:rPr>
          <w:t>/</w:t>
        </w:r>
        <w:proofErr w:type="spellStart"/>
        <w:r w:rsidRPr="00150637">
          <w:rPr>
            <w:rStyle w:val="Hyperlink"/>
            <w:rFonts w:cs="Arial"/>
            <w:color w:val="auto"/>
            <w:sz w:val="18"/>
            <w:szCs w:val="18"/>
          </w:rPr>
          <w:t>naturalcapitalcommittee</w:t>
        </w:r>
        <w:proofErr w:type="spellEnd"/>
        <w:r w:rsidRPr="00150637">
          <w:rPr>
            <w:rStyle w:val="Hyperlink"/>
            <w:rFonts w:cs="Arial"/>
            <w:color w:val="auto"/>
            <w:sz w:val="18"/>
            <w:szCs w:val="18"/>
          </w:rPr>
          <w:t>/</w:t>
        </w:r>
      </w:hyperlink>
      <w:r w:rsidRPr="00150637">
        <w:rPr>
          <w:rFonts w:cs="Arial"/>
          <w:sz w:val="18"/>
          <w:szCs w:val="18"/>
        </w:rPr>
        <w:t>.</w:t>
      </w:r>
    </w:p>
  </w:footnote>
  <w:footnote w:id="121">
    <w:p w:rsidR="00946D6B" w:rsidRPr="00150637" w:rsidRDefault="00946D6B" w:rsidP="00D81977">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NZ Environment Commissioner, Dr Jan Wright, ‘Proposed changes unbalance </w:t>
      </w:r>
      <w:proofErr w:type="spellStart"/>
      <w:r w:rsidRPr="00150637">
        <w:rPr>
          <w:rFonts w:cs="Arial"/>
          <w:sz w:val="18"/>
          <w:szCs w:val="18"/>
        </w:rPr>
        <w:t>RMA</w:t>
      </w:r>
      <w:proofErr w:type="spellEnd"/>
      <w:r w:rsidRPr="00150637">
        <w:rPr>
          <w:rFonts w:cs="Arial"/>
          <w:sz w:val="18"/>
          <w:szCs w:val="18"/>
        </w:rPr>
        <w:t xml:space="preserve"> - Environment Commissioner’, media release, 1</w:t>
      </w:r>
      <w:r>
        <w:rPr>
          <w:rFonts w:cs="Arial"/>
          <w:sz w:val="18"/>
          <w:szCs w:val="18"/>
        </w:rPr>
        <w:t xml:space="preserve"> March </w:t>
      </w:r>
      <w:r w:rsidRPr="00150637">
        <w:rPr>
          <w:rFonts w:cs="Arial"/>
          <w:sz w:val="18"/>
          <w:szCs w:val="18"/>
        </w:rPr>
        <w:t xml:space="preserve">2013. See </w:t>
      </w:r>
      <w:hyperlink r:id="rId60" w:history="1">
        <w:r w:rsidRPr="00150637">
          <w:rPr>
            <w:rStyle w:val="Hyperlink"/>
            <w:rFonts w:cs="Arial"/>
            <w:color w:val="auto"/>
            <w:sz w:val="18"/>
            <w:szCs w:val="18"/>
          </w:rPr>
          <w:t>http://</w:t>
        </w:r>
        <w:proofErr w:type="spellStart"/>
        <w:r w:rsidRPr="00150637">
          <w:rPr>
            <w:rStyle w:val="Hyperlink"/>
            <w:rFonts w:cs="Arial"/>
            <w:color w:val="auto"/>
            <w:sz w:val="18"/>
            <w:szCs w:val="18"/>
          </w:rPr>
          <w:t>www.pce.parliament.nz</w:t>
        </w:r>
        <w:proofErr w:type="spellEnd"/>
      </w:hyperlink>
      <w:r w:rsidRPr="00150637">
        <w:rPr>
          <w:rFonts w:cs="Arial"/>
          <w:sz w:val="18"/>
          <w:szCs w:val="18"/>
        </w:rPr>
        <w:t xml:space="preserve">. </w:t>
      </w:r>
    </w:p>
  </w:footnote>
  <w:footnote w:id="122">
    <w:p w:rsidR="00946D6B" w:rsidRPr="004D6F76" w:rsidRDefault="00946D6B">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Pr>
          <w:rFonts w:cs="Arial"/>
          <w:sz w:val="18"/>
          <w:szCs w:val="18"/>
          <w:lang w:val="en-US"/>
        </w:rPr>
        <w:t>A</w:t>
      </w:r>
      <w:r w:rsidRPr="00150637">
        <w:rPr>
          <w:rFonts w:cs="Arial"/>
          <w:sz w:val="18"/>
          <w:szCs w:val="18"/>
          <w:lang w:val="en-US"/>
        </w:rPr>
        <w:t xml:space="preserve"> new EDO Victoria report </w:t>
      </w:r>
      <w:r w:rsidRPr="004D6F76">
        <w:rPr>
          <w:rFonts w:cs="Arial"/>
          <w:sz w:val="18"/>
          <w:szCs w:val="18"/>
          <w:lang w:val="en-US"/>
        </w:rPr>
        <w:t>detailing further the proposal for the establishment of a National Environment Commission</w:t>
      </w:r>
      <w:r w:rsidRPr="00150637">
        <w:rPr>
          <w:rFonts w:cs="Arial"/>
          <w:i/>
          <w:sz w:val="18"/>
          <w:szCs w:val="18"/>
          <w:lang w:val="en-US"/>
        </w:rPr>
        <w:t xml:space="preserve"> </w:t>
      </w:r>
      <w:r w:rsidRPr="00150637">
        <w:rPr>
          <w:rFonts w:cs="Arial"/>
          <w:sz w:val="18"/>
          <w:szCs w:val="18"/>
          <w:lang w:val="en-US"/>
        </w:rPr>
        <w:t xml:space="preserve">will soon be available </w:t>
      </w:r>
      <w:r>
        <w:rPr>
          <w:rFonts w:cs="Arial"/>
          <w:sz w:val="18"/>
          <w:szCs w:val="18"/>
          <w:lang w:val="en-US"/>
        </w:rPr>
        <w:t>at</w:t>
      </w:r>
      <w:r w:rsidRPr="00150637">
        <w:rPr>
          <w:rFonts w:cs="Arial"/>
          <w:sz w:val="18"/>
          <w:szCs w:val="18"/>
          <w:lang w:val="en-US"/>
        </w:rPr>
        <w:t xml:space="preserve">: </w:t>
      </w:r>
      <w:hyperlink r:id="rId61" w:history="1">
        <w:r w:rsidRPr="00150637">
          <w:rPr>
            <w:rStyle w:val="Hyperlink"/>
            <w:rFonts w:cs="Arial"/>
            <w:sz w:val="18"/>
            <w:szCs w:val="18"/>
            <w:lang w:val="en-US"/>
          </w:rPr>
          <w:t>http://</w:t>
        </w:r>
        <w:proofErr w:type="spellStart"/>
        <w:r w:rsidRPr="00150637">
          <w:rPr>
            <w:rStyle w:val="Hyperlink"/>
            <w:rFonts w:cs="Arial"/>
            <w:sz w:val="18"/>
            <w:szCs w:val="18"/>
            <w:lang w:val="en-US"/>
          </w:rPr>
          <w:t>www.edovic.org.au</w:t>
        </w:r>
        <w:proofErr w:type="spellEnd"/>
        <w:r w:rsidRPr="00150637">
          <w:rPr>
            <w:rStyle w:val="Hyperlink"/>
            <w:rFonts w:cs="Arial"/>
            <w:sz w:val="18"/>
            <w:szCs w:val="18"/>
            <w:lang w:val="en-US"/>
          </w:rPr>
          <w:t>/law-reform/submissions-and-reports</w:t>
        </w:r>
      </w:hyperlink>
      <w:r>
        <w:rPr>
          <w:rFonts w:cs="Arial"/>
          <w:sz w:val="18"/>
          <w:szCs w:val="18"/>
          <w:lang w:val="en-US"/>
        </w:rPr>
        <w:t>.</w:t>
      </w:r>
    </w:p>
  </w:footnote>
  <w:footnote w:id="123">
    <w:p w:rsidR="00946D6B" w:rsidRPr="00150637" w:rsidRDefault="00946D6B" w:rsidP="00F41BA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ABS, </w:t>
      </w:r>
      <w:r w:rsidRPr="00150637">
        <w:rPr>
          <w:rFonts w:cs="Arial"/>
          <w:i/>
          <w:sz w:val="18"/>
          <w:szCs w:val="18"/>
        </w:rPr>
        <w:t>1370.0.55.001 - Measures of Australia's Progress: Summary Indicators</w:t>
      </w:r>
      <w:r w:rsidRPr="00150637">
        <w:rPr>
          <w:rFonts w:cs="Arial"/>
          <w:sz w:val="18"/>
          <w:szCs w:val="18"/>
        </w:rPr>
        <w:t xml:space="preserve"> (2012), at </w:t>
      </w:r>
      <w:hyperlink r:id="rId62" w:history="1">
        <w:r w:rsidRPr="00150637">
          <w:rPr>
            <w:rStyle w:val="Hyperlink"/>
            <w:rFonts w:cs="Arial"/>
            <w:sz w:val="18"/>
            <w:szCs w:val="18"/>
          </w:rPr>
          <w:t>http://abs.gov.au/ausstats/abs@.nsf/Lookup/by%20Subject/1370.0.55.001~2012~Main%20Features~Biodiversity~21</w:t>
        </w:r>
      </w:hyperlink>
      <w:r w:rsidRPr="00150637">
        <w:rPr>
          <w:rFonts w:cs="Arial"/>
          <w:sz w:val="18"/>
          <w:szCs w:val="18"/>
        </w:rPr>
        <w:t xml:space="preserve"> (accessed March 2013).</w:t>
      </w:r>
    </w:p>
  </w:footnote>
  <w:footnote w:id="12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COAG Reform Council, </w:t>
      </w:r>
      <w:r w:rsidRPr="00150637">
        <w:rPr>
          <w:rFonts w:cs="Arial"/>
          <w:i/>
          <w:sz w:val="18"/>
          <w:szCs w:val="18"/>
        </w:rPr>
        <w:t>Review of capital city strategic planning systems</w:t>
      </w:r>
      <w:r w:rsidRPr="00150637">
        <w:rPr>
          <w:rFonts w:cs="Arial"/>
          <w:sz w:val="18"/>
          <w:szCs w:val="18"/>
        </w:rPr>
        <w:t xml:space="preserve"> (Dec. 2011), available at </w:t>
      </w:r>
      <w:hyperlink r:id="rId63" w:history="1">
        <w:r w:rsidRPr="00150637">
          <w:rPr>
            <w:rStyle w:val="Hyperlink"/>
            <w:rFonts w:cs="Arial"/>
            <w:color w:val="auto"/>
            <w:sz w:val="18"/>
            <w:szCs w:val="18"/>
          </w:rPr>
          <w:t>http://</w:t>
        </w:r>
        <w:proofErr w:type="spellStart"/>
        <w:r w:rsidRPr="00150637">
          <w:rPr>
            <w:rStyle w:val="Hyperlink"/>
            <w:rFonts w:cs="Arial"/>
            <w:color w:val="auto"/>
            <w:sz w:val="18"/>
            <w:szCs w:val="18"/>
          </w:rPr>
          <w:t>www.coagreformcouncil.gov.au</w:t>
        </w:r>
        <w:proofErr w:type="spellEnd"/>
        <w:r w:rsidRPr="00150637">
          <w:rPr>
            <w:rStyle w:val="Hyperlink"/>
            <w:rFonts w:cs="Arial"/>
            <w:color w:val="auto"/>
            <w:sz w:val="18"/>
            <w:szCs w:val="18"/>
          </w:rPr>
          <w:t>/reports/</w:t>
        </w:r>
        <w:proofErr w:type="spellStart"/>
        <w:r w:rsidRPr="00150637">
          <w:rPr>
            <w:rStyle w:val="Hyperlink"/>
            <w:rFonts w:cs="Arial"/>
            <w:color w:val="auto"/>
            <w:sz w:val="18"/>
            <w:szCs w:val="18"/>
          </w:rPr>
          <w:t>cities.cfm</w:t>
        </w:r>
        <w:proofErr w:type="spellEnd"/>
      </w:hyperlink>
      <w:r w:rsidRPr="00150637">
        <w:rPr>
          <w:rFonts w:cs="Arial"/>
          <w:sz w:val="18"/>
          <w:szCs w:val="18"/>
        </w:rPr>
        <w:t>. See ‘Overview’, criterion 9.</w:t>
      </w:r>
    </w:p>
  </w:footnote>
  <w:footnote w:id="12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Audit Office on NSW, Judging Performance from Annual Reports (2000). The Office’s Better Practice Principles include: </w:t>
      </w:r>
      <w:r w:rsidRPr="00150637">
        <w:rPr>
          <w:rFonts w:cs="Arial"/>
          <w:i/>
          <w:sz w:val="18"/>
          <w:szCs w:val="18"/>
        </w:rPr>
        <w:t>Objectives are clear and measurable; Focussing on results and outcomes; Discussion results against expectations; Reporting is complete and information; Explaining changes over time; Providing evidence of value for money and benchmarking; Discussing strategies, risks and external factors.</w:t>
      </w:r>
    </w:p>
  </w:footnote>
  <w:footnote w:id="126">
    <w:p w:rsidR="00946D6B" w:rsidRPr="00150637" w:rsidRDefault="00946D6B" w:rsidP="001001E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Available at: </w:t>
      </w:r>
      <w:hyperlink r:id="rId64" w:anchor="stateofplanning" w:history="1">
        <w:r w:rsidRPr="00150637">
          <w:rPr>
            <w:rStyle w:val="Hyperlink"/>
            <w:rFonts w:cs="Arial"/>
            <w:color w:val="auto"/>
            <w:sz w:val="18"/>
            <w:szCs w:val="18"/>
          </w:rPr>
          <w:t>http://www.edo.org.au/edonsw/site/policy_discussion.php#stateofplanning</w:t>
        </w:r>
      </w:hyperlink>
      <w:r w:rsidRPr="00150637">
        <w:rPr>
          <w:rFonts w:cs="Arial"/>
          <w:sz w:val="18"/>
          <w:szCs w:val="18"/>
        </w:rPr>
        <w:t xml:space="preserve">. </w:t>
      </w:r>
      <w:proofErr w:type="spellStart"/>
      <w:r w:rsidRPr="00150637">
        <w:rPr>
          <w:rFonts w:cs="Arial"/>
          <w:sz w:val="18"/>
          <w:szCs w:val="18"/>
        </w:rPr>
        <w:t>ANEDO</w:t>
      </w:r>
      <w:proofErr w:type="spellEnd"/>
      <w:r w:rsidRPr="00150637">
        <w:rPr>
          <w:rFonts w:cs="Arial"/>
          <w:sz w:val="18"/>
          <w:szCs w:val="18"/>
        </w:rPr>
        <w:t xml:space="preserve"> understands that NSW has not produced any major project reporting since 2009-10. </w:t>
      </w:r>
    </w:p>
  </w:footnote>
  <w:footnote w:id="127">
    <w:p w:rsidR="00946D6B" w:rsidRPr="00150637" w:rsidRDefault="00946D6B" w:rsidP="001001E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Stamford Plaza Double Bay, Somersby Quarry, coastal development in Cronulla, </w:t>
      </w:r>
      <w:proofErr w:type="spellStart"/>
      <w:r w:rsidRPr="00150637">
        <w:rPr>
          <w:rFonts w:cs="Arial"/>
          <w:sz w:val="18"/>
          <w:szCs w:val="18"/>
        </w:rPr>
        <w:t>Bickham</w:t>
      </w:r>
      <w:proofErr w:type="spellEnd"/>
      <w:r w:rsidRPr="00150637">
        <w:rPr>
          <w:rFonts w:cs="Arial"/>
          <w:sz w:val="18"/>
          <w:szCs w:val="18"/>
        </w:rPr>
        <w:t xml:space="preserve"> coal mine, Currawong, Moruya East Village.</w:t>
      </w:r>
    </w:p>
  </w:footnote>
  <w:footnote w:id="12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paper concludes that the relevant petroleum company ‘invested more than $25 million’ in the </w:t>
      </w:r>
      <w:proofErr w:type="spellStart"/>
      <w:r w:rsidRPr="00150637">
        <w:rPr>
          <w:rFonts w:cs="Arial"/>
          <w:sz w:val="18"/>
          <w:szCs w:val="18"/>
        </w:rPr>
        <w:t>EIA</w:t>
      </w:r>
      <w:proofErr w:type="spellEnd"/>
      <w:r w:rsidRPr="00150637">
        <w:rPr>
          <w:rFonts w:cs="Arial"/>
          <w:sz w:val="18"/>
          <w:szCs w:val="18"/>
        </w:rPr>
        <w:t xml:space="preserve">, but provides no information on total project value, so relative costs cannot be assessed. Subsequent oral evidence from the BCA stated the project value for the proponent ‘…would have been in the hundreds of millions of dollars’. Senate Environment and Communications Legislation Committee, </w:t>
      </w:r>
      <w:r w:rsidRPr="00150637">
        <w:rPr>
          <w:rFonts w:cs="Arial"/>
          <w:i/>
          <w:sz w:val="18"/>
          <w:szCs w:val="18"/>
        </w:rPr>
        <w:t xml:space="preserve">Inquiry into </w:t>
      </w:r>
      <w:proofErr w:type="spellStart"/>
      <w:r w:rsidRPr="00150637">
        <w:rPr>
          <w:rFonts w:cs="Arial"/>
          <w:i/>
          <w:sz w:val="18"/>
          <w:szCs w:val="18"/>
        </w:rPr>
        <w:t>EPBC</w:t>
      </w:r>
      <w:proofErr w:type="spellEnd"/>
      <w:r w:rsidRPr="00150637">
        <w:rPr>
          <w:rFonts w:cs="Arial"/>
          <w:i/>
          <w:sz w:val="18"/>
          <w:szCs w:val="18"/>
        </w:rPr>
        <w:t xml:space="preserve"> Amendment (Retaining Federal Approval Powers) Bill 2012</w:t>
      </w:r>
      <w:r w:rsidRPr="00150637">
        <w:rPr>
          <w:rFonts w:cs="Arial"/>
          <w:sz w:val="18"/>
          <w:szCs w:val="18"/>
        </w:rPr>
        <w:t>, transcript, 8 February 2013.</w:t>
      </w:r>
    </w:p>
  </w:footnote>
  <w:footnote w:id="129">
    <w:p w:rsidR="00946D6B" w:rsidRPr="00150637" w:rsidRDefault="00946D6B" w:rsidP="00006551">
      <w:pPr>
        <w:pStyle w:val="ListParagraph"/>
        <w:spacing w:after="0" w:line="240" w:lineRule="auto"/>
        <w:ind w:left="0"/>
        <w:contextualSpacing w:val="0"/>
        <w:rPr>
          <w:rFonts w:ascii="Arial" w:hAnsi="Arial" w:cs="Arial"/>
          <w:sz w:val="18"/>
          <w:szCs w:val="18"/>
        </w:rPr>
      </w:pPr>
      <w:r w:rsidRPr="00150637">
        <w:rPr>
          <w:rStyle w:val="FootnoteReference"/>
          <w:rFonts w:ascii="Arial" w:hAnsi="Arial" w:cs="Arial"/>
          <w:sz w:val="18"/>
          <w:szCs w:val="18"/>
        </w:rPr>
        <w:footnoteRef/>
      </w:r>
      <w:r w:rsidRPr="00150637">
        <w:rPr>
          <w:rFonts w:ascii="Arial" w:hAnsi="Arial" w:cs="Arial"/>
          <w:sz w:val="18"/>
          <w:szCs w:val="18"/>
        </w:rPr>
        <w:t xml:space="preserve"> Wentworth Group of Concerned Scientists, </w:t>
      </w:r>
      <w:r w:rsidRPr="00150637">
        <w:rPr>
          <w:rFonts w:ascii="Arial" w:hAnsi="Arial" w:cs="Arial"/>
          <w:i/>
          <w:sz w:val="18"/>
          <w:szCs w:val="18"/>
        </w:rPr>
        <w:t>Statement on Changes to Commonwealth powers to protect Australia’s environment</w:t>
      </w:r>
      <w:r w:rsidRPr="00150637">
        <w:rPr>
          <w:rFonts w:ascii="Arial" w:hAnsi="Arial" w:cs="Arial"/>
          <w:sz w:val="18"/>
          <w:szCs w:val="18"/>
        </w:rPr>
        <w:t xml:space="preserve"> (2012), p 1, available at: </w:t>
      </w:r>
      <w:hyperlink r:id="rId65" w:history="1">
        <w:proofErr w:type="spellStart"/>
        <w:r w:rsidRPr="00150637">
          <w:rPr>
            <w:rStyle w:val="Hyperlink"/>
            <w:rFonts w:ascii="Arial" w:hAnsi="Arial" w:cs="Arial"/>
            <w:color w:val="auto"/>
            <w:sz w:val="18"/>
            <w:szCs w:val="18"/>
          </w:rPr>
          <w:t>www.wentworthgroup.org</w:t>
        </w:r>
        <w:proofErr w:type="spellEnd"/>
      </w:hyperlink>
      <w:r w:rsidRPr="00150637">
        <w:rPr>
          <w:rFonts w:ascii="Arial" w:hAnsi="Arial" w:cs="Arial"/>
          <w:sz w:val="18"/>
          <w:szCs w:val="18"/>
        </w:rPr>
        <w:t>.</w:t>
      </w:r>
    </w:p>
  </w:footnote>
  <w:footnote w:id="13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Productivity Commission Issues Paper (2013), p 6. </w:t>
      </w:r>
    </w:p>
  </w:footnote>
  <w:footnote w:id="131">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Part </w:t>
      </w:r>
      <w:proofErr w:type="spellStart"/>
      <w:r w:rsidRPr="00150637">
        <w:rPr>
          <w:rFonts w:cs="Arial"/>
          <w:sz w:val="18"/>
          <w:szCs w:val="18"/>
        </w:rPr>
        <w:t>3A</w:t>
      </w:r>
      <w:proofErr w:type="spellEnd"/>
      <w:r w:rsidRPr="00150637">
        <w:rPr>
          <w:rFonts w:cs="Arial"/>
          <w:sz w:val="18"/>
          <w:szCs w:val="18"/>
        </w:rPr>
        <w:t xml:space="preserve"> projects, merits appeals were only available if the project would otherwise be ‘designated development’ under Part 4 of the </w:t>
      </w:r>
      <w:proofErr w:type="spellStart"/>
      <w:r w:rsidRPr="00150637">
        <w:rPr>
          <w:rFonts w:cs="Arial"/>
          <w:sz w:val="18"/>
          <w:szCs w:val="18"/>
        </w:rPr>
        <w:t>EP&amp;A</w:t>
      </w:r>
      <w:proofErr w:type="spellEnd"/>
      <w:r w:rsidRPr="00150637">
        <w:rPr>
          <w:rFonts w:cs="Arial"/>
          <w:sz w:val="18"/>
          <w:szCs w:val="18"/>
        </w:rPr>
        <w:t xml:space="preserve"> Act. Moreover, there was no merits appeal right for objectors if a concept plan has been approved for the project, or for critical infrastructure projects, or where the PAC had held a public hearing (former s </w:t>
      </w:r>
      <w:proofErr w:type="spellStart"/>
      <w:r w:rsidRPr="00150637">
        <w:rPr>
          <w:rFonts w:cs="Arial"/>
          <w:sz w:val="18"/>
          <w:szCs w:val="18"/>
        </w:rPr>
        <w:t>75L</w:t>
      </w:r>
      <w:proofErr w:type="spellEnd"/>
      <w:r w:rsidRPr="00150637">
        <w:rPr>
          <w:rFonts w:cs="Arial"/>
          <w:sz w:val="18"/>
          <w:szCs w:val="18"/>
        </w:rPr>
        <w:t xml:space="preserve">, </w:t>
      </w:r>
      <w:proofErr w:type="spellStart"/>
      <w:r w:rsidRPr="00150637">
        <w:rPr>
          <w:rFonts w:cs="Arial"/>
          <w:sz w:val="18"/>
          <w:szCs w:val="18"/>
        </w:rPr>
        <w:t>EP&amp;A</w:t>
      </w:r>
      <w:proofErr w:type="spellEnd"/>
      <w:r w:rsidRPr="00150637">
        <w:rPr>
          <w:rFonts w:cs="Arial"/>
          <w:sz w:val="18"/>
          <w:szCs w:val="18"/>
        </w:rPr>
        <w:t xml:space="preserve"> Act).</w:t>
      </w:r>
    </w:p>
  </w:footnote>
  <w:footnote w:id="132">
    <w:p w:rsidR="00946D6B" w:rsidRPr="00150637" w:rsidRDefault="00946D6B" w:rsidP="00461C32">
      <w:pPr>
        <w:rPr>
          <w:rFonts w:cs="Arial"/>
          <w:sz w:val="18"/>
          <w:szCs w:val="18"/>
        </w:rPr>
      </w:pPr>
      <w:r w:rsidRPr="00150637">
        <w:rPr>
          <w:rStyle w:val="FootnoteReference"/>
          <w:rFonts w:cs="Arial"/>
          <w:sz w:val="18"/>
          <w:szCs w:val="18"/>
        </w:rPr>
        <w:footnoteRef/>
      </w:r>
      <w:r w:rsidRPr="00150637">
        <w:rPr>
          <w:rFonts w:cs="Arial"/>
          <w:sz w:val="18"/>
          <w:szCs w:val="18"/>
        </w:rPr>
        <w:t xml:space="preserve"> For example, </w:t>
      </w:r>
      <w:r w:rsidRPr="00150637">
        <w:rPr>
          <w:rFonts w:cs="Arial"/>
          <w:color w:val="000000"/>
          <w:sz w:val="18"/>
          <w:szCs w:val="18"/>
        </w:rPr>
        <w:t xml:space="preserve">in </w:t>
      </w:r>
      <w:r w:rsidRPr="00150637">
        <w:rPr>
          <w:rFonts w:cs="Arial"/>
          <w:i/>
          <w:color w:val="000000"/>
          <w:sz w:val="18"/>
          <w:szCs w:val="18"/>
        </w:rPr>
        <w:t>Minister for Planning v Walker</w:t>
      </w:r>
      <w:r w:rsidRPr="00150637">
        <w:rPr>
          <w:rFonts w:cs="Arial"/>
          <w:color w:val="000000"/>
          <w:sz w:val="18"/>
          <w:szCs w:val="18"/>
        </w:rPr>
        <w:t xml:space="preserve"> [</w:t>
      </w:r>
      <w:r w:rsidRPr="00150637">
        <w:rPr>
          <w:rFonts w:cs="Arial"/>
          <w:bCs/>
          <w:sz w:val="18"/>
          <w:szCs w:val="18"/>
        </w:rPr>
        <w:t xml:space="preserve">2008] </w:t>
      </w:r>
      <w:proofErr w:type="spellStart"/>
      <w:r w:rsidRPr="00150637">
        <w:rPr>
          <w:rFonts w:cs="Arial"/>
          <w:bCs/>
          <w:sz w:val="18"/>
          <w:szCs w:val="18"/>
        </w:rPr>
        <w:t>NSWCA</w:t>
      </w:r>
      <w:proofErr w:type="spellEnd"/>
      <w:r w:rsidRPr="00150637">
        <w:rPr>
          <w:rFonts w:cs="Arial"/>
          <w:bCs/>
          <w:sz w:val="18"/>
          <w:szCs w:val="18"/>
        </w:rPr>
        <w:t xml:space="preserve"> 224, </w:t>
      </w:r>
      <w:r w:rsidRPr="00150637">
        <w:rPr>
          <w:rFonts w:cs="Arial"/>
          <w:color w:val="000000"/>
          <w:sz w:val="18"/>
          <w:szCs w:val="18"/>
        </w:rPr>
        <w:t xml:space="preserve">the NSW Court of Appeal confirmed that a failure to consider </w:t>
      </w:r>
      <w:proofErr w:type="spellStart"/>
      <w:r w:rsidRPr="00150637">
        <w:rPr>
          <w:rFonts w:cs="Arial"/>
          <w:color w:val="000000"/>
          <w:sz w:val="18"/>
          <w:szCs w:val="18"/>
        </w:rPr>
        <w:t>ESD</w:t>
      </w:r>
      <w:proofErr w:type="spellEnd"/>
      <w:r w:rsidRPr="00150637">
        <w:rPr>
          <w:rFonts w:cs="Arial"/>
          <w:color w:val="000000"/>
          <w:sz w:val="18"/>
          <w:szCs w:val="18"/>
        </w:rPr>
        <w:t xml:space="preserve"> did not necessarily invalidate the Minister’s decision to grant approval under former Part </w:t>
      </w:r>
      <w:proofErr w:type="spellStart"/>
      <w:r w:rsidRPr="00150637">
        <w:rPr>
          <w:rFonts w:cs="Arial"/>
          <w:color w:val="000000"/>
          <w:sz w:val="18"/>
          <w:szCs w:val="18"/>
        </w:rPr>
        <w:t>3A</w:t>
      </w:r>
      <w:proofErr w:type="spellEnd"/>
      <w:r w:rsidRPr="00150637">
        <w:rPr>
          <w:rFonts w:cs="Arial"/>
          <w:color w:val="000000"/>
          <w:sz w:val="18"/>
          <w:szCs w:val="18"/>
        </w:rPr>
        <w:t>.</w:t>
      </w:r>
      <w:r w:rsidRPr="00150637">
        <w:rPr>
          <w:rFonts w:cs="Arial"/>
          <w:sz w:val="18"/>
          <w:szCs w:val="18"/>
        </w:rPr>
        <w:t xml:space="preserve"> The Court of Appeal ruled that, although the Planning Minister must make decisions in the public interest, not having regard to </w:t>
      </w:r>
      <w:proofErr w:type="spellStart"/>
      <w:r w:rsidRPr="00150637">
        <w:rPr>
          <w:rFonts w:cs="Arial"/>
          <w:sz w:val="18"/>
          <w:szCs w:val="18"/>
        </w:rPr>
        <w:t>ESD</w:t>
      </w:r>
      <w:proofErr w:type="spellEnd"/>
      <w:r w:rsidRPr="00150637">
        <w:rPr>
          <w:rFonts w:cs="Arial"/>
          <w:sz w:val="18"/>
          <w:szCs w:val="18"/>
        </w:rPr>
        <w:t xml:space="preserve"> principles did not necessarily constitute a breach of that obligation.</w:t>
      </w:r>
    </w:p>
  </w:footnote>
  <w:footnote w:id="133">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EDO NSW, </w:t>
      </w:r>
      <w:r w:rsidRPr="00150637">
        <w:rPr>
          <w:rFonts w:cs="Arial"/>
          <w:i/>
          <w:sz w:val="18"/>
          <w:szCs w:val="18"/>
        </w:rPr>
        <w:t>The State of Planning in NSW</w:t>
      </w:r>
      <w:r w:rsidRPr="00150637">
        <w:rPr>
          <w:rFonts w:cs="Arial"/>
          <w:sz w:val="18"/>
          <w:szCs w:val="18"/>
        </w:rPr>
        <w:t xml:space="preserve"> (December 2010), p 35, available at: </w:t>
      </w:r>
      <w:hyperlink r:id="rId66" w:anchor="stateofplanning" w:history="1">
        <w:r w:rsidRPr="00150637">
          <w:rPr>
            <w:rStyle w:val="Hyperlink"/>
            <w:rFonts w:cs="Arial"/>
            <w:color w:val="auto"/>
            <w:sz w:val="18"/>
            <w:szCs w:val="18"/>
          </w:rPr>
          <w:t>http://www.edo.org.au/edonsw/site/policy_discussion.php#stateofplanning</w:t>
        </w:r>
      </w:hyperlink>
      <w:r w:rsidRPr="00150637">
        <w:rPr>
          <w:rFonts w:cs="Arial"/>
          <w:sz w:val="18"/>
          <w:szCs w:val="18"/>
        </w:rPr>
        <w:t xml:space="preserve">. </w:t>
      </w:r>
    </w:p>
  </w:footnote>
  <w:footnote w:id="13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For more detail on the amendments to Part </w:t>
      </w:r>
      <w:proofErr w:type="spellStart"/>
      <w:r w:rsidRPr="00150637">
        <w:rPr>
          <w:rFonts w:cs="Arial"/>
          <w:sz w:val="18"/>
          <w:szCs w:val="18"/>
          <w:lang w:val="en-US"/>
        </w:rPr>
        <w:t>3A</w:t>
      </w:r>
      <w:proofErr w:type="spellEnd"/>
      <w:r w:rsidRPr="00150637">
        <w:rPr>
          <w:rFonts w:cs="Arial"/>
          <w:sz w:val="18"/>
          <w:szCs w:val="18"/>
          <w:lang w:val="en-US"/>
        </w:rPr>
        <w:t xml:space="preserve"> and the new </w:t>
      </w:r>
      <w:proofErr w:type="spellStart"/>
      <w:r w:rsidRPr="00150637">
        <w:rPr>
          <w:rFonts w:cs="Arial"/>
          <w:sz w:val="18"/>
          <w:szCs w:val="18"/>
          <w:lang w:val="en-US"/>
        </w:rPr>
        <w:t>SSD</w:t>
      </w:r>
      <w:proofErr w:type="spellEnd"/>
      <w:r w:rsidRPr="00150637">
        <w:rPr>
          <w:rFonts w:cs="Arial"/>
          <w:sz w:val="18"/>
          <w:szCs w:val="18"/>
          <w:lang w:val="en-US"/>
        </w:rPr>
        <w:t xml:space="preserve"> and SSI regime, see EDO NSW factsheets at </w:t>
      </w:r>
      <w:hyperlink r:id="rId67" w:history="1">
        <w:r w:rsidRPr="00150637">
          <w:rPr>
            <w:rStyle w:val="Hyperlink"/>
            <w:rFonts w:cs="Arial"/>
            <w:color w:val="auto"/>
            <w:sz w:val="18"/>
            <w:szCs w:val="18"/>
            <w:lang w:val="en-US"/>
          </w:rPr>
          <w:t>http://</w:t>
        </w:r>
        <w:proofErr w:type="spellStart"/>
        <w:r w:rsidRPr="00150637">
          <w:rPr>
            <w:rStyle w:val="Hyperlink"/>
            <w:rFonts w:cs="Arial"/>
            <w:color w:val="auto"/>
            <w:sz w:val="18"/>
            <w:szCs w:val="18"/>
            <w:lang w:val="en-US"/>
          </w:rPr>
          <w:t>www.edo.org.au</w:t>
        </w:r>
        <w:proofErr w:type="spellEnd"/>
        <w:r w:rsidRPr="00150637">
          <w:rPr>
            <w:rStyle w:val="Hyperlink"/>
            <w:rFonts w:cs="Arial"/>
            <w:color w:val="auto"/>
            <w:sz w:val="18"/>
            <w:szCs w:val="18"/>
            <w:lang w:val="en-US"/>
          </w:rPr>
          <w:t>/</w:t>
        </w:r>
        <w:proofErr w:type="spellStart"/>
        <w:r w:rsidRPr="00150637">
          <w:rPr>
            <w:rStyle w:val="Hyperlink"/>
            <w:rFonts w:cs="Arial"/>
            <w:color w:val="auto"/>
            <w:sz w:val="18"/>
            <w:szCs w:val="18"/>
            <w:lang w:val="en-US"/>
          </w:rPr>
          <w:t>edonsw</w:t>
        </w:r>
        <w:proofErr w:type="spellEnd"/>
        <w:r w:rsidRPr="00150637">
          <w:rPr>
            <w:rStyle w:val="Hyperlink"/>
            <w:rFonts w:cs="Arial"/>
            <w:color w:val="auto"/>
            <w:sz w:val="18"/>
            <w:szCs w:val="18"/>
            <w:lang w:val="en-US"/>
          </w:rPr>
          <w:t>/site/</w:t>
        </w:r>
        <w:proofErr w:type="spellStart"/>
        <w:r w:rsidRPr="00150637">
          <w:rPr>
            <w:rStyle w:val="Hyperlink"/>
            <w:rFonts w:cs="Arial"/>
            <w:color w:val="auto"/>
            <w:sz w:val="18"/>
            <w:szCs w:val="18"/>
            <w:lang w:val="en-US"/>
          </w:rPr>
          <w:t>factsh</w:t>
        </w:r>
        <w:proofErr w:type="spellEnd"/>
        <w:r w:rsidRPr="00150637">
          <w:rPr>
            <w:rStyle w:val="Hyperlink"/>
            <w:rFonts w:cs="Arial"/>
            <w:color w:val="auto"/>
            <w:sz w:val="18"/>
            <w:szCs w:val="18"/>
            <w:lang w:val="en-US"/>
          </w:rPr>
          <w:t>/</w:t>
        </w:r>
        <w:proofErr w:type="spellStart"/>
        <w:r w:rsidRPr="00150637">
          <w:rPr>
            <w:rStyle w:val="Hyperlink"/>
            <w:rFonts w:cs="Arial"/>
            <w:color w:val="auto"/>
            <w:sz w:val="18"/>
            <w:szCs w:val="18"/>
            <w:lang w:val="en-US"/>
          </w:rPr>
          <w:t>fs02_3_1b.php</w:t>
        </w:r>
        <w:proofErr w:type="spellEnd"/>
      </w:hyperlink>
      <w:r w:rsidRPr="00150637">
        <w:rPr>
          <w:rFonts w:cs="Arial"/>
          <w:sz w:val="18"/>
          <w:szCs w:val="18"/>
          <w:lang w:val="en-US"/>
        </w:rPr>
        <w:t xml:space="preserve">. As at June 2012 there were still over 230 Part </w:t>
      </w:r>
      <w:proofErr w:type="spellStart"/>
      <w:r w:rsidRPr="00150637">
        <w:rPr>
          <w:rFonts w:cs="Arial"/>
          <w:sz w:val="18"/>
          <w:szCs w:val="18"/>
          <w:lang w:val="en-US"/>
        </w:rPr>
        <w:t>3A</w:t>
      </w:r>
      <w:proofErr w:type="spellEnd"/>
      <w:r w:rsidRPr="00150637">
        <w:rPr>
          <w:rFonts w:cs="Arial"/>
          <w:sz w:val="18"/>
          <w:szCs w:val="18"/>
          <w:lang w:val="en-US"/>
        </w:rPr>
        <w:t xml:space="preserve"> projects in the system which are subject to transitional arrangements.</w:t>
      </w:r>
    </w:p>
  </w:footnote>
  <w:footnote w:id="13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Part 4, s </w:t>
      </w:r>
      <w:proofErr w:type="spellStart"/>
      <w:r w:rsidRPr="00150637">
        <w:rPr>
          <w:rFonts w:cs="Arial"/>
          <w:sz w:val="18"/>
          <w:szCs w:val="18"/>
        </w:rPr>
        <w:t>79C</w:t>
      </w:r>
      <w:proofErr w:type="spellEnd"/>
      <w:r w:rsidRPr="00150637">
        <w:rPr>
          <w:rFonts w:cs="Arial"/>
          <w:sz w:val="18"/>
          <w:szCs w:val="18"/>
        </w:rPr>
        <w:t xml:space="preserve"> of the </w:t>
      </w:r>
      <w:proofErr w:type="spellStart"/>
      <w:r w:rsidRPr="00150637">
        <w:rPr>
          <w:rFonts w:cs="Arial"/>
          <w:i/>
          <w:sz w:val="18"/>
          <w:szCs w:val="18"/>
        </w:rPr>
        <w:t>EP&amp;A</w:t>
      </w:r>
      <w:proofErr w:type="spellEnd"/>
      <w:r w:rsidRPr="00150637">
        <w:rPr>
          <w:rFonts w:cs="Arial"/>
          <w:i/>
          <w:sz w:val="18"/>
          <w:szCs w:val="18"/>
        </w:rPr>
        <w:t xml:space="preserve"> Act 1979</w:t>
      </w:r>
      <w:r w:rsidRPr="00150637">
        <w:rPr>
          <w:rFonts w:cs="Arial"/>
          <w:sz w:val="18"/>
          <w:szCs w:val="18"/>
        </w:rPr>
        <w:t xml:space="preserve"> (NSW).</w:t>
      </w:r>
    </w:p>
  </w:footnote>
  <w:footnote w:id="13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w:t>
      </w:r>
      <w:proofErr w:type="spellStart"/>
      <w:r w:rsidRPr="00150637">
        <w:rPr>
          <w:rFonts w:cs="Arial"/>
          <w:sz w:val="18"/>
          <w:szCs w:val="18"/>
          <w:lang w:val="en-US"/>
        </w:rPr>
        <w:t>lthough</w:t>
      </w:r>
      <w:proofErr w:type="spellEnd"/>
      <w:r w:rsidRPr="00150637">
        <w:rPr>
          <w:rFonts w:cs="Arial"/>
          <w:sz w:val="18"/>
          <w:szCs w:val="18"/>
          <w:lang w:val="en-US"/>
        </w:rPr>
        <w:t xml:space="preserve"> the current Planning Minister has delegated these powers to an independent Planning Assessment Commission (PAC) and the Planning Department.</w:t>
      </w:r>
    </w:p>
  </w:footnote>
  <w:footnote w:id="13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Merits appeal rights are available if the </w:t>
      </w:r>
      <w:proofErr w:type="spellStart"/>
      <w:r w:rsidRPr="00150637">
        <w:rPr>
          <w:rFonts w:cs="Arial"/>
          <w:sz w:val="18"/>
          <w:szCs w:val="18"/>
          <w:lang w:val="en-US"/>
        </w:rPr>
        <w:t>SSD</w:t>
      </w:r>
      <w:proofErr w:type="spellEnd"/>
      <w:r w:rsidRPr="00150637">
        <w:rPr>
          <w:rFonts w:cs="Arial"/>
          <w:sz w:val="18"/>
          <w:szCs w:val="18"/>
          <w:lang w:val="en-US"/>
        </w:rPr>
        <w:t xml:space="preserve"> would otherwise be ‘designated development’; but are removed where the Planning Assessment Commission (PAC) holds a public hearing on the development.</w:t>
      </w:r>
    </w:p>
  </w:footnote>
  <w:footnote w:id="13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EP&amp;A</w:t>
      </w:r>
      <w:proofErr w:type="spellEnd"/>
      <w:r w:rsidRPr="00150637">
        <w:rPr>
          <w:rFonts w:cs="Arial"/>
          <w:sz w:val="18"/>
          <w:szCs w:val="18"/>
        </w:rPr>
        <w:t xml:space="preserve"> Act, </w:t>
      </w:r>
      <w:proofErr w:type="spellStart"/>
      <w:r w:rsidRPr="00150637">
        <w:rPr>
          <w:rFonts w:cs="Arial"/>
          <w:sz w:val="18"/>
          <w:szCs w:val="18"/>
        </w:rPr>
        <w:t>ss</w:t>
      </w:r>
      <w:proofErr w:type="spellEnd"/>
      <w:r w:rsidRPr="00150637">
        <w:rPr>
          <w:rFonts w:cs="Arial"/>
          <w:sz w:val="18"/>
          <w:szCs w:val="18"/>
        </w:rPr>
        <w:t xml:space="preserve"> </w:t>
      </w:r>
      <w:proofErr w:type="spellStart"/>
      <w:r w:rsidRPr="00150637">
        <w:rPr>
          <w:rFonts w:cs="Arial"/>
          <w:sz w:val="18"/>
          <w:szCs w:val="18"/>
        </w:rPr>
        <w:t>89J</w:t>
      </w:r>
      <w:proofErr w:type="spellEnd"/>
      <w:r w:rsidRPr="00150637">
        <w:rPr>
          <w:rFonts w:cs="Arial"/>
          <w:sz w:val="18"/>
          <w:szCs w:val="18"/>
        </w:rPr>
        <w:t xml:space="preserve"> (Approvals </w:t>
      </w:r>
      <w:proofErr w:type="spellStart"/>
      <w:r w:rsidRPr="00150637">
        <w:rPr>
          <w:rFonts w:cs="Arial"/>
          <w:sz w:val="18"/>
          <w:szCs w:val="18"/>
        </w:rPr>
        <w:t>etc</w:t>
      </w:r>
      <w:proofErr w:type="spellEnd"/>
      <w:r w:rsidRPr="00150637">
        <w:rPr>
          <w:rFonts w:cs="Arial"/>
          <w:sz w:val="18"/>
          <w:szCs w:val="18"/>
        </w:rPr>
        <w:t xml:space="preserve"> legislation that does not apply) – including certain authorisations relating to coastal protection, fisheries, Aboriginal heritage, native vegetation, bush fire and water management; and </w:t>
      </w:r>
      <w:proofErr w:type="spellStart"/>
      <w:r w:rsidRPr="00150637">
        <w:rPr>
          <w:rFonts w:cs="Arial"/>
          <w:sz w:val="18"/>
          <w:szCs w:val="18"/>
        </w:rPr>
        <w:t>89K</w:t>
      </w:r>
      <w:proofErr w:type="spellEnd"/>
      <w:r w:rsidRPr="00150637">
        <w:rPr>
          <w:rFonts w:cs="Arial"/>
          <w:sz w:val="18"/>
          <w:szCs w:val="18"/>
        </w:rPr>
        <w:t xml:space="preserve"> (Approvals </w:t>
      </w:r>
      <w:proofErr w:type="spellStart"/>
      <w:r w:rsidRPr="00150637">
        <w:rPr>
          <w:rFonts w:cs="Arial"/>
          <w:sz w:val="18"/>
          <w:szCs w:val="18"/>
        </w:rPr>
        <w:t>etc</w:t>
      </w:r>
      <w:proofErr w:type="spellEnd"/>
      <w:r w:rsidRPr="00150637">
        <w:rPr>
          <w:rFonts w:cs="Arial"/>
          <w:sz w:val="18"/>
          <w:szCs w:val="18"/>
        </w:rPr>
        <w:t xml:space="preserve"> legislation that must be applied consistently) – including aquaculture, mining leases and pollution licences.</w:t>
      </w:r>
    </w:p>
  </w:footnote>
  <w:footnote w:id="13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NSW Government, </w:t>
      </w:r>
      <w:r w:rsidRPr="00150637">
        <w:rPr>
          <w:rFonts w:cs="Arial"/>
          <w:i/>
          <w:sz w:val="18"/>
          <w:szCs w:val="18"/>
        </w:rPr>
        <w:t>A New Planning System for NSW – Green Paper</w:t>
      </w:r>
      <w:r w:rsidRPr="00150637">
        <w:rPr>
          <w:rFonts w:cs="Arial"/>
          <w:sz w:val="18"/>
          <w:szCs w:val="18"/>
        </w:rPr>
        <w:t xml:space="preserve"> (July 2012).</w:t>
      </w:r>
    </w:p>
  </w:footnote>
  <w:footnote w:id="14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EDO NSW Green Paper submission (Sept. 2012), available at: </w:t>
      </w:r>
      <w:hyperlink r:id="rId68" w:history="1">
        <w:r w:rsidRPr="00150637">
          <w:rPr>
            <w:rStyle w:val="Hyperlink"/>
            <w:rFonts w:cs="Arial"/>
            <w:color w:val="auto"/>
            <w:sz w:val="18"/>
            <w:szCs w:val="18"/>
          </w:rPr>
          <w:t>http://www.edo.org.au/edonsw/site/pdf/subs/120914A_New_Planning_System_for_NSW.pdf</w:t>
        </w:r>
      </w:hyperlink>
      <w:r w:rsidRPr="00150637">
        <w:rPr>
          <w:rFonts w:cs="Arial"/>
          <w:sz w:val="18"/>
          <w:szCs w:val="18"/>
        </w:rPr>
        <w:t xml:space="preserve">. </w:t>
      </w:r>
    </w:p>
  </w:footnote>
  <w:footnote w:id="141">
    <w:p w:rsidR="00946D6B" w:rsidRPr="00150637" w:rsidRDefault="00946D6B" w:rsidP="00122E8F">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Noting the overlap with </w:t>
      </w:r>
      <w:proofErr w:type="spellStart"/>
      <w:r w:rsidRPr="00150637">
        <w:rPr>
          <w:rFonts w:cs="Arial"/>
          <w:sz w:val="18"/>
          <w:szCs w:val="18"/>
        </w:rPr>
        <w:t>ANEDO’s</w:t>
      </w:r>
      <w:proofErr w:type="spellEnd"/>
      <w:r w:rsidRPr="00150637">
        <w:rPr>
          <w:rFonts w:cs="Arial"/>
          <w:sz w:val="18"/>
          <w:szCs w:val="18"/>
        </w:rPr>
        <w:t xml:space="preserve"> 10 best practice elements for planning systems, and many of the evaluation criteria proposed by the Productivity Commission for assessing major project </w:t>
      </w:r>
      <w:proofErr w:type="spellStart"/>
      <w:r w:rsidRPr="00150637">
        <w:rPr>
          <w:rFonts w:cs="Arial"/>
          <w:sz w:val="18"/>
          <w:szCs w:val="18"/>
        </w:rPr>
        <w:t>DAA</w:t>
      </w:r>
      <w:proofErr w:type="spellEnd"/>
      <w:r w:rsidRPr="00150637">
        <w:rPr>
          <w:rFonts w:cs="Arial"/>
          <w:sz w:val="18"/>
          <w:szCs w:val="18"/>
        </w:rPr>
        <w:t>.</w:t>
      </w:r>
    </w:p>
  </w:footnote>
  <w:footnote w:id="142">
    <w:p w:rsidR="00946D6B" w:rsidRPr="00150637" w:rsidRDefault="00946D6B" w:rsidP="00122E8F">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Growth Management Queensland, </w:t>
      </w:r>
      <w:r w:rsidRPr="00150637">
        <w:rPr>
          <w:rFonts w:cs="Arial"/>
          <w:i/>
          <w:sz w:val="18"/>
          <w:szCs w:val="18"/>
        </w:rPr>
        <w:t xml:space="preserve">Green Door Information Paper, </w:t>
      </w:r>
      <w:r w:rsidRPr="00150637">
        <w:rPr>
          <w:rFonts w:cs="Arial"/>
          <w:sz w:val="18"/>
          <w:szCs w:val="18"/>
        </w:rPr>
        <w:t>July 2011.</w:t>
      </w:r>
    </w:p>
  </w:footnote>
  <w:footnote w:id="143">
    <w:p w:rsidR="00946D6B" w:rsidRPr="00150637" w:rsidRDefault="00946D6B" w:rsidP="00006551">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As one of 23 identified planning changes in the Green Paper, ‘The NSW Government is proposing a suite of reforms to streamline assessment of state significant development including integration with state planning principles and streamlining concurrence requirements.’ (NSW Government, </w:t>
      </w:r>
      <w:r w:rsidRPr="00150637">
        <w:rPr>
          <w:rFonts w:cs="Arial"/>
          <w:i/>
          <w:sz w:val="18"/>
          <w:szCs w:val="18"/>
          <w:lang w:val="en-US"/>
        </w:rPr>
        <w:t>A new planning system for NSW – Green Paper</w:t>
      </w:r>
      <w:r w:rsidRPr="00150637">
        <w:rPr>
          <w:rFonts w:cs="Arial"/>
          <w:sz w:val="18"/>
          <w:szCs w:val="18"/>
          <w:lang w:val="en-US"/>
        </w:rPr>
        <w:t xml:space="preserve"> (July 2012), p 58)</w:t>
      </w:r>
    </w:p>
  </w:footnote>
  <w:footnote w:id="14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DGRs</w:t>
      </w:r>
      <w:proofErr w:type="spellEnd"/>
      <w:r w:rsidRPr="00150637">
        <w:rPr>
          <w:rFonts w:cs="Arial"/>
          <w:sz w:val="18"/>
          <w:szCs w:val="18"/>
        </w:rPr>
        <w:t xml:space="preserve"> stands for Director-General’s Requirements. </w:t>
      </w:r>
      <w:r w:rsidRPr="00150637">
        <w:rPr>
          <w:rFonts w:cs="Arial"/>
          <w:sz w:val="18"/>
          <w:szCs w:val="18"/>
          <w:lang w:val="en-US"/>
        </w:rPr>
        <w:t xml:space="preserve">See NSW Planning Green Paper, </w:t>
      </w:r>
      <w:proofErr w:type="spellStart"/>
      <w:r w:rsidRPr="00150637">
        <w:rPr>
          <w:rFonts w:cs="Arial"/>
          <w:sz w:val="18"/>
          <w:szCs w:val="18"/>
          <w:lang w:val="en-US"/>
        </w:rPr>
        <w:t>pp</w:t>
      </w:r>
      <w:proofErr w:type="spellEnd"/>
      <w:r w:rsidRPr="00150637">
        <w:rPr>
          <w:rFonts w:cs="Arial"/>
          <w:sz w:val="18"/>
          <w:szCs w:val="18"/>
          <w:lang w:val="en-US"/>
        </w:rPr>
        <w:t xml:space="preserve"> 58-59. more specifically, the Green Paper proposed to: ‘maintain the current level of integration in the state significant assessment processes [i.e. ‘concurrence’ overrides] and look for additional opportunities to integrate other relevant State agency approvals []’</w:t>
      </w:r>
    </w:p>
  </w:footnote>
  <w:footnote w:id="14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NSW Government State Plan, </w:t>
      </w:r>
      <w:r w:rsidRPr="00150637">
        <w:rPr>
          <w:rFonts w:cs="Arial"/>
          <w:i/>
          <w:sz w:val="18"/>
          <w:szCs w:val="18"/>
        </w:rPr>
        <w:t>NSW 2021</w:t>
      </w:r>
      <w:r w:rsidRPr="00150637">
        <w:rPr>
          <w:rFonts w:cs="Arial"/>
          <w:sz w:val="18"/>
          <w:szCs w:val="18"/>
        </w:rPr>
        <w:t xml:space="preserve"> (2011), Goals 29-32, at </w:t>
      </w:r>
      <w:hyperlink r:id="rId69" w:history="1">
        <w:proofErr w:type="spellStart"/>
        <w:r w:rsidRPr="00150637">
          <w:rPr>
            <w:rStyle w:val="Hyperlink"/>
            <w:rFonts w:cs="Arial"/>
            <w:color w:val="auto"/>
            <w:sz w:val="18"/>
            <w:szCs w:val="18"/>
          </w:rPr>
          <w:t>www.2021.nsw.gov.au</w:t>
        </w:r>
        <w:proofErr w:type="spellEnd"/>
      </w:hyperlink>
      <w:r w:rsidRPr="00150637">
        <w:rPr>
          <w:rFonts w:cs="Arial"/>
          <w:sz w:val="18"/>
          <w:szCs w:val="18"/>
        </w:rPr>
        <w:t xml:space="preserve">. </w:t>
      </w:r>
    </w:p>
  </w:footnote>
  <w:footnote w:id="14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See NSW Planning Green Paper, p 58.</w:t>
      </w:r>
    </w:p>
  </w:footnote>
  <w:footnote w:id="14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Relevant submissions include the Property Council of Australia, Planning Institute of Australia, Rio Tinto and the NSW Minerals Council. See NSW Government, </w:t>
      </w:r>
      <w:r w:rsidRPr="00150637">
        <w:rPr>
          <w:rFonts w:cs="Arial"/>
          <w:i/>
          <w:sz w:val="18"/>
          <w:szCs w:val="18"/>
          <w:lang w:val="en-US"/>
        </w:rPr>
        <w:t>Green Paper Feedback Summary</w:t>
      </w:r>
      <w:r w:rsidRPr="00150637">
        <w:rPr>
          <w:rFonts w:cs="Arial"/>
          <w:sz w:val="18"/>
          <w:szCs w:val="18"/>
          <w:lang w:val="en-US"/>
        </w:rPr>
        <w:t xml:space="preserve"> (December 2012), </w:t>
      </w:r>
      <w:r>
        <w:rPr>
          <w:rFonts w:cs="Arial"/>
          <w:sz w:val="18"/>
          <w:szCs w:val="18"/>
          <w:lang w:val="en-US"/>
        </w:rPr>
        <w:t xml:space="preserve">p 26, </w:t>
      </w:r>
      <w:r w:rsidRPr="00150637">
        <w:rPr>
          <w:rFonts w:cs="Arial"/>
          <w:sz w:val="18"/>
          <w:szCs w:val="18"/>
          <w:lang w:val="en-US"/>
        </w:rPr>
        <w:t xml:space="preserve">at </w:t>
      </w:r>
      <w:hyperlink r:id="rId70" w:history="1">
        <w:proofErr w:type="spellStart"/>
        <w:r w:rsidRPr="00150637">
          <w:rPr>
            <w:rStyle w:val="Hyperlink"/>
            <w:rFonts w:cs="Arial"/>
            <w:color w:val="auto"/>
            <w:sz w:val="18"/>
            <w:szCs w:val="18"/>
            <w:lang w:val="en-US"/>
          </w:rPr>
          <w:t>www.planning.nsw.gov.au</w:t>
        </w:r>
        <w:proofErr w:type="spellEnd"/>
      </w:hyperlink>
      <w:r w:rsidRPr="00150637">
        <w:rPr>
          <w:rFonts w:cs="Arial"/>
          <w:sz w:val="18"/>
          <w:szCs w:val="18"/>
          <w:lang w:val="en-US"/>
        </w:rPr>
        <w:t>.</w:t>
      </w:r>
    </w:p>
  </w:footnote>
  <w:footnote w:id="148">
    <w:p w:rsidR="00946D6B" w:rsidRPr="004D6F76" w:rsidRDefault="00946D6B">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With the exception of major transport projects, which are subject to the </w:t>
      </w:r>
      <w:r w:rsidRPr="004D6F76">
        <w:rPr>
          <w:rFonts w:cs="Arial"/>
          <w:i/>
          <w:sz w:val="18"/>
          <w:szCs w:val="18"/>
          <w:lang w:val="en-US"/>
        </w:rPr>
        <w:t>Major Transport Projects Facilitation Act 2009</w:t>
      </w:r>
      <w:r w:rsidRPr="00150637">
        <w:rPr>
          <w:rFonts w:cs="Arial"/>
          <w:sz w:val="18"/>
          <w:szCs w:val="18"/>
          <w:lang w:val="en-US"/>
        </w:rPr>
        <w:t xml:space="preserve">. Very few projects have progressed through this process since the inception of the Act in 2009. This is major project fast-track legislation and is thus not supported by </w:t>
      </w:r>
      <w:proofErr w:type="spellStart"/>
      <w:r w:rsidRPr="00150637">
        <w:rPr>
          <w:rFonts w:cs="Arial"/>
          <w:sz w:val="18"/>
          <w:szCs w:val="18"/>
          <w:lang w:val="en-US"/>
        </w:rPr>
        <w:t>ANEDO</w:t>
      </w:r>
      <w:proofErr w:type="spellEnd"/>
      <w:r w:rsidRPr="00150637">
        <w:rPr>
          <w:rFonts w:cs="Arial"/>
          <w:sz w:val="18"/>
          <w:szCs w:val="18"/>
          <w:lang w:val="en-US"/>
        </w:rPr>
        <w:t>. See EDO Victoria,</w:t>
      </w:r>
      <w:r w:rsidRPr="00150637">
        <w:rPr>
          <w:rFonts w:cs="Arial"/>
          <w:sz w:val="18"/>
          <w:szCs w:val="18"/>
          <w:lang w:eastAsia="en-AU"/>
        </w:rPr>
        <w:t xml:space="preserve"> </w:t>
      </w:r>
      <w:r w:rsidRPr="004D6F76">
        <w:rPr>
          <w:rFonts w:cs="Arial"/>
          <w:i/>
          <w:sz w:val="18"/>
          <w:szCs w:val="18"/>
        </w:rPr>
        <w:t>Major Transport Projects Facilitation Bill 2009: Issues and concerns</w:t>
      </w:r>
      <w:r w:rsidRPr="00150637">
        <w:rPr>
          <w:rFonts w:cs="Arial"/>
          <w:sz w:val="18"/>
          <w:szCs w:val="18"/>
          <w:lang w:val="en-US"/>
        </w:rPr>
        <w:t>, September 2009 at http://www.edovic.org.au/law-reform/older-submissions/major-transport-projects-facilitation-bill.</w:t>
      </w:r>
    </w:p>
  </w:footnote>
  <w:footnote w:id="149">
    <w:p w:rsidR="00946D6B" w:rsidRPr="00150637" w:rsidRDefault="00946D6B" w:rsidP="007F6140">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See for </w:t>
      </w:r>
      <w:r w:rsidRPr="00150637">
        <w:rPr>
          <w:rFonts w:cs="Arial"/>
          <w:sz w:val="18"/>
          <w:szCs w:val="18"/>
          <w:lang w:val="en-US"/>
        </w:rPr>
        <w:t xml:space="preserve">example Murray Raff, ‘The Renewed Prominence of Environmental Impact Assessment: “A Tale of Two Cities”’ (1995) August, </w:t>
      </w:r>
      <w:r w:rsidRPr="00150637">
        <w:rPr>
          <w:rFonts w:cs="Arial"/>
          <w:i/>
          <w:sz w:val="18"/>
          <w:szCs w:val="18"/>
          <w:lang w:val="en-US"/>
        </w:rPr>
        <w:t xml:space="preserve">Environmental and Planning Law Journal </w:t>
      </w:r>
      <w:r w:rsidRPr="00150637">
        <w:rPr>
          <w:rFonts w:cs="Arial"/>
          <w:sz w:val="18"/>
          <w:szCs w:val="18"/>
          <w:lang w:val="en-US"/>
        </w:rPr>
        <w:t xml:space="preserve">241; Rodger </w:t>
      </w:r>
      <w:proofErr w:type="spellStart"/>
      <w:r w:rsidRPr="00150637">
        <w:rPr>
          <w:rFonts w:cs="Arial"/>
          <w:sz w:val="18"/>
          <w:szCs w:val="18"/>
          <w:lang w:val="en-US"/>
        </w:rPr>
        <w:t>Eade</w:t>
      </w:r>
      <w:proofErr w:type="spellEnd"/>
      <w:r w:rsidRPr="00150637">
        <w:rPr>
          <w:rFonts w:cs="Arial"/>
          <w:sz w:val="18"/>
          <w:szCs w:val="18"/>
          <w:lang w:val="en-US"/>
        </w:rPr>
        <w:t xml:space="preserve">, ‘Issues in Environmental Impact Assessment in Victoria: What Has Scoresby Taught Us?’ (2000) 18(4) </w:t>
      </w:r>
      <w:r w:rsidRPr="00150637">
        <w:rPr>
          <w:rFonts w:cs="Arial"/>
          <w:i/>
          <w:sz w:val="18"/>
          <w:szCs w:val="18"/>
          <w:lang w:val="en-US"/>
        </w:rPr>
        <w:t>Urban Policy and Research</w:t>
      </w:r>
      <w:r w:rsidRPr="00150637">
        <w:rPr>
          <w:rFonts w:cs="Arial"/>
          <w:sz w:val="18"/>
          <w:szCs w:val="18"/>
          <w:lang w:val="en-US"/>
        </w:rPr>
        <w:t xml:space="preserve"> 515; Robyn </w:t>
      </w:r>
      <w:proofErr w:type="spellStart"/>
      <w:r w:rsidRPr="00150637">
        <w:rPr>
          <w:rFonts w:cs="Arial"/>
          <w:sz w:val="18"/>
          <w:szCs w:val="18"/>
          <w:lang w:val="en-US"/>
        </w:rPr>
        <w:t>Leeson</w:t>
      </w:r>
      <w:proofErr w:type="spellEnd"/>
      <w:r w:rsidRPr="00150637">
        <w:rPr>
          <w:rFonts w:cs="Arial"/>
          <w:sz w:val="18"/>
          <w:szCs w:val="18"/>
          <w:lang w:val="en-US"/>
        </w:rPr>
        <w:t>, ‘</w:t>
      </w:r>
      <w:proofErr w:type="spellStart"/>
      <w:r w:rsidRPr="00150637">
        <w:rPr>
          <w:rFonts w:cs="Arial"/>
          <w:sz w:val="18"/>
          <w:szCs w:val="18"/>
          <w:lang w:val="en-US"/>
        </w:rPr>
        <w:t>EIA</w:t>
      </w:r>
      <w:proofErr w:type="spellEnd"/>
      <w:r w:rsidRPr="00150637">
        <w:rPr>
          <w:rFonts w:cs="Arial"/>
          <w:sz w:val="18"/>
          <w:szCs w:val="18"/>
          <w:lang w:val="en-US"/>
        </w:rPr>
        <w:t xml:space="preserve"> and the Politics of Avoidance’ (1994) February, </w:t>
      </w:r>
      <w:r w:rsidRPr="00150637">
        <w:rPr>
          <w:rFonts w:cs="Arial"/>
          <w:i/>
          <w:sz w:val="18"/>
          <w:szCs w:val="18"/>
          <w:lang w:val="en-US"/>
        </w:rPr>
        <w:t>Environmental and Planning Law Journal</w:t>
      </w:r>
      <w:r w:rsidRPr="00150637">
        <w:rPr>
          <w:rFonts w:cs="Arial"/>
          <w:sz w:val="18"/>
          <w:szCs w:val="18"/>
          <w:lang w:val="en-US"/>
        </w:rPr>
        <w:t xml:space="preserve"> 71; </w:t>
      </w:r>
      <w:r w:rsidRPr="00150637">
        <w:rPr>
          <w:rFonts w:cs="Arial"/>
          <w:sz w:val="18"/>
          <w:szCs w:val="18"/>
        </w:rPr>
        <w:t xml:space="preserve">Brad Jessup, 'Victoria and the Channel Deepening Project’ (draft copy) in Tim </w:t>
      </w:r>
      <w:proofErr w:type="spellStart"/>
      <w:r w:rsidRPr="00150637">
        <w:rPr>
          <w:rFonts w:cs="Arial"/>
          <w:sz w:val="18"/>
          <w:szCs w:val="18"/>
        </w:rPr>
        <w:t>Bonyhady</w:t>
      </w:r>
      <w:proofErr w:type="spellEnd"/>
      <w:r w:rsidRPr="00150637">
        <w:rPr>
          <w:rFonts w:cs="Arial"/>
          <w:sz w:val="18"/>
          <w:szCs w:val="18"/>
        </w:rPr>
        <w:t xml:space="preserve"> and Andrew Macintosh (</w:t>
      </w:r>
      <w:proofErr w:type="spellStart"/>
      <w:r w:rsidRPr="00150637">
        <w:rPr>
          <w:rFonts w:cs="Arial"/>
          <w:sz w:val="18"/>
          <w:szCs w:val="18"/>
        </w:rPr>
        <w:t>eds</w:t>
      </w:r>
      <w:proofErr w:type="spellEnd"/>
      <w:r w:rsidRPr="00150637">
        <w:rPr>
          <w:rFonts w:cs="Arial"/>
          <w:sz w:val="18"/>
          <w:szCs w:val="18"/>
        </w:rPr>
        <w:t xml:space="preserve">) </w:t>
      </w:r>
      <w:r w:rsidRPr="00150637">
        <w:rPr>
          <w:rFonts w:cs="Arial"/>
          <w:i/>
          <w:sz w:val="18"/>
          <w:szCs w:val="18"/>
        </w:rPr>
        <w:t>Mills, Mines &amp; Other Controversies: The Environmental Assessment of Major Projects</w:t>
      </w:r>
      <w:r w:rsidRPr="00150637">
        <w:rPr>
          <w:rFonts w:cs="Arial"/>
          <w:sz w:val="18"/>
          <w:szCs w:val="18"/>
        </w:rPr>
        <w:t xml:space="preserve"> (2010).</w:t>
      </w:r>
    </w:p>
  </w:footnote>
  <w:footnote w:id="150">
    <w:p w:rsidR="00946D6B" w:rsidRPr="00150637" w:rsidRDefault="00946D6B" w:rsidP="007F6140">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Pr>
          <w:rFonts w:cs="Arial"/>
          <w:sz w:val="18"/>
          <w:szCs w:val="18"/>
        </w:rPr>
        <w:t>A</w:t>
      </w:r>
      <w:r w:rsidRPr="00150637">
        <w:rPr>
          <w:rFonts w:cs="Arial"/>
          <w:sz w:val="18"/>
          <w:szCs w:val="18"/>
        </w:rPr>
        <w:t xml:space="preserve">vailable </w:t>
      </w:r>
      <w:r>
        <w:rPr>
          <w:rFonts w:cs="Arial"/>
          <w:sz w:val="18"/>
          <w:szCs w:val="18"/>
        </w:rPr>
        <w:t>at</w:t>
      </w:r>
      <w:r w:rsidRPr="00150637">
        <w:rPr>
          <w:rFonts w:cs="Arial"/>
          <w:sz w:val="18"/>
          <w:szCs w:val="18"/>
        </w:rPr>
        <w:t xml:space="preserve">: </w:t>
      </w:r>
      <w:hyperlink r:id="rId71" w:history="1">
        <w:r w:rsidRPr="00150637">
          <w:rPr>
            <w:rStyle w:val="Hyperlink"/>
            <w:rFonts w:cs="Arial"/>
            <w:color w:val="auto"/>
            <w:sz w:val="18"/>
            <w:szCs w:val="18"/>
          </w:rPr>
          <w:t>http://www.edovic.org.au/law_reform/submissions_and_issues_papers/environmental_effects_statement</w:t>
        </w:r>
      </w:hyperlink>
      <w:r w:rsidRPr="00150637">
        <w:rPr>
          <w:rFonts w:cs="Arial"/>
          <w:sz w:val="18"/>
          <w:szCs w:val="18"/>
        </w:rPr>
        <w:t xml:space="preserve">. See also </w:t>
      </w:r>
      <w:bookmarkStart w:id="46" w:name="OLE_LINK3"/>
      <w:proofErr w:type="spellStart"/>
      <w:r w:rsidRPr="00150637">
        <w:rPr>
          <w:rFonts w:cs="Arial"/>
          <w:sz w:val="18"/>
          <w:szCs w:val="18"/>
          <w:lang w:val="en-US"/>
        </w:rPr>
        <w:t>Samitha</w:t>
      </w:r>
      <w:proofErr w:type="spellEnd"/>
      <w:r w:rsidRPr="00150637">
        <w:rPr>
          <w:rFonts w:cs="Arial"/>
          <w:sz w:val="18"/>
          <w:szCs w:val="18"/>
          <w:lang w:val="en-US"/>
        </w:rPr>
        <w:t xml:space="preserve"> </w:t>
      </w:r>
      <w:proofErr w:type="spellStart"/>
      <w:r w:rsidRPr="00150637">
        <w:rPr>
          <w:rFonts w:cs="Arial"/>
          <w:sz w:val="18"/>
          <w:szCs w:val="18"/>
          <w:lang w:val="en-US"/>
        </w:rPr>
        <w:t>Rao</w:t>
      </w:r>
      <w:proofErr w:type="spellEnd"/>
      <w:r w:rsidRPr="00150637">
        <w:rPr>
          <w:rFonts w:cs="Arial"/>
          <w:sz w:val="18"/>
          <w:szCs w:val="18"/>
          <w:lang w:val="en-US"/>
        </w:rPr>
        <w:t xml:space="preserve">, ‘Reforming the Environment Assessment Process in Victoria’ (2010) 1 </w:t>
      </w:r>
      <w:r w:rsidRPr="00150637">
        <w:rPr>
          <w:rFonts w:cs="Arial"/>
          <w:i/>
          <w:iCs/>
          <w:sz w:val="18"/>
          <w:szCs w:val="18"/>
          <w:lang w:val="en-US"/>
        </w:rPr>
        <w:t>National Environmental Law Review</w:t>
      </w:r>
      <w:r w:rsidRPr="00150637">
        <w:rPr>
          <w:rFonts w:cs="Arial"/>
          <w:sz w:val="18"/>
          <w:szCs w:val="18"/>
          <w:lang w:val="en-US"/>
        </w:rPr>
        <w:t xml:space="preserve"> 34</w:t>
      </w:r>
      <w:bookmarkEnd w:id="46"/>
      <w:r w:rsidRPr="00150637">
        <w:rPr>
          <w:rFonts w:cs="Arial"/>
          <w:sz w:val="18"/>
          <w:szCs w:val="18"/>
          <w:lang w:val="en-US"/>
        </w:rPr>
        <w:t>.</w:t>
      </w:r>
      <w:r w:rsidRPr="00150637">
        <w:rPr>
          <w:rFonts w:cs="Arial"/>
          <w:sz w:val="18"/>
          <w:szCs w:val="18"/>
        </w:rPr>
        <w:t xml:space="preserve"> </w:t>
      </w:r>
    </w:p>
  </w:footnote>
  <w:footnote w:id="151">
    <w:p w:rsidR="00946D6B" w:rsidRPr="004D6F76" w:rsidRDefault="00946D6B">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See </w:t>
      </w:r>
      <w:hyperlink r:id="rId72" w:anchor=".UUj5Gld35I0" w:history="1">
        <w:r w:rsidRPr="00150637">
          <w:rPr>
            <w:rStyle w:val="Hyperlink"/>
            <w:rFonts w:cs="Arial"/>
            <w:sz w:val="18"/>
            <w:szCs w:val="18"/>
            <w:lang w:val="en-US"/>
          </w:rPr>
          <w:t>http://www.vcec.vic.gov.au/CA256EAF001C7B21/pages/vcec-inquiries-current-inquiry-into-a-state-based-reform-agenda#.UUj5Gld35I0</w:t>
        </w:r>
      </w:hyperlink>
      <w:r w:rsidRPr="00150637">
        <w:rPr>
          <w:rFonts w:cs="Arial"/>
          <w:sz w:val="18"/>
          <w:szCs w:val="18"/>
          <w:lang w:val="en-US"/>
        </w:rPr>
        <w:t xml:space="preserve"> </w:t>
      </w:r>
    </w:p>
  </w:footnote>
  <w:footnote w:id="152">
    <w:p w:rsidR="00946D6B" w:rsidRPr="00150637" w:rsidRDefault="00946D6B" w:rsidP="007F6140">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Page 1 of the information paper. </w:t>
      </w:r>
    </w:p>
  </w:footnote>
  <w:footnote w:id="153">
    <w:p w:rsidR="00946D6B" w:rsidRPr="00150637" w:rsidRDefault="00946D6B" w:rsidP="00CC119D">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Environment and Natural Resources Committee, ‘Inquiry into the Environment Effects Statement Process in Victoria’ (September 2011), Parliamentary Paper No. 59 Session 2010-11. </w:t>
      </w:r>
    </w:p>
  </w:footnote>
  <w:footnote w:id="154">
    <w:p w:rsidR="00946D6B" w:rsidRPr="00150637" w:rsidRDefault="00946D6B" w:rsidP="00CC119D">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The </w:t>
      </w:r>
      <w:proofErr w:type="spellStart"/>
      <w:r w:rsidRPr="00150637">
        <w:rPr>
          <w:rFonts w:cs="Arial"/>
          <w:sz w:val="18"/>
          <w:szCs w:val="18"/>
          <w:lang w:val="en-US"/>
        </w:rPr>
        <w:t>EIA</w:t>
      </w:r>
      <w:proofErr w:type="spellEnd"/>
      <w:r w:rsidRPr="00150637">
        <w:rPr>
          <w:rFonts w:cs="Arial"/>
          <w:sz w:val="18"/>
          <w:szCs w:val="18"/>
          <w:lang w:val="en-US"/>
        </w:rPr>
        <w:t xml:space="preserve"> systems in Western Australia and the Federal Government are good examples of this.</w:t>
      </w:r>
    </w:p>
  </w:footnote>
  <w:footnote w:id="155">
    <w:p w:rsidR="00946D6B" w:rsidRPr="004D6F76" w:rsidRDefault="00946D6B">
      <w:pPr>
        <w:pStyle w:val="FootnoteText"/>
        <w:rPr>
          <w:rFonts w:cs="Arial"/>
          <w:sz w:val="18"/>
          <w:szCs w:val="18"/>
          <w:lang w:val="en-US"/>
        </w:rPr>
      </w:pPr>
      <w:r w:rsidRPr="00150637">
        <w:rPr>
          <w:rStyle w:val="FootnoteReference"/>
          <w:rFonts w:cs="Arial"/>
          <w:sz w:val="18"/>
          <w:szCs w:val="18"/>
        </w:rPr>
        <w:footnoteRef/>
      </w:r>
      <w:r w:rsidRPr="00150637">
        <w:rPr>
          <w:rFonts w:cs="Arial"/>
          <w:sz w:val="18"/>
          <w:szCs w:val="18"/>
        </w:rPr>
        <w:t xml:space="preserve"> </w:t>
      </w:r>
      <w:r>
        <w:rPr>
          <w:rFonts w:cs="Arial"/>
          <w:sz w:val="18"/>
          <w:szCs w:val="18"/>
        </w:rPr>
        <w:t xml:space="preserve">Victorian Government, Response to the </w:t>
      </w:r>
      <w:proofErr w:type="spellStart"/>
      <w:r>
        <w:rPr>
          <w:rFonts w:cs="Arial"/>
          <w:sz w:val="18"/>
          <w:szCs w:val="18"/>
        </w:rPr>
        <w:t>ENRC</w:t>
      </w:r>
      <w:proofErr w:type="spellEnd"/>
      <w:r>
        <w:rPr>
          <w:rFonts w:cs="Arial"/>
          <w:sz w:val="18"/>
          <w:szCs w:val="18"/>
        </w:rPr>
        <w:t xml:space="preserve"> Inquiry into the </w:t>
      </w:r>
      <w:proofErr w:type="spellStart"/>
      <w:r>
        <w:rPr>
          <w:rFonts w:cs="Arial"/>
          <w:sz w:val="18"/>
          <w:szCs w:val="18"/>
        </w:rPr>
        <w:t>EES</w:t>
      </w:r>
      <w:proofErr w:type="spellEnd"/>
      <w:r>
        <w:rPr>
          <w:rFonts w:cs="Arial"/>
          <w:sz w:val="18"/>
          <w:szCs w:val="18"/>
        </w:rPr>
        <w:t xml:space="preserve"> Process (March 2012), available at: </w:t>
      </w:r>
      <w:hyperlink r:id="rId73" w:history="1">
        <w:r w:rsidRPr="00CC6842">
          <w:rPr>
            <w:rStyle w:val="Hyperlink"/>
            <w:rFonts w:cs="Arial"/>
            <w:sz w:val="18"/>
            <w:szCs w:val="18"/>
          </w:rPr>
          <w:t>http://www.parliament.vic.gov.au/images/stories/committees/enrc/EES/Govt_Response_to_the_ENRC_Inquiry_into_the_Environment_Effects_Statement_Process_in_Victoria_1_March_2012.pdf</w:t>
        </w:r>
      </w:hyperlink>
      <w:r>
        <w:rPr>
          <w:rFonts w:cs="Arial"/>
          <w:sz w:val="18"/>
          <w:szCs w:val="18"/>
        </w:rPr>
        <w:t xml:space="preserve">. </w:t>
      </w:r>
    </w:p>
  </w:footnote>
  <w:footnote w:id="15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Australian Network of Environmental Defenders Offices, </w:t>
      </w:r>
      <w:r w:rsidRPr="00150637">
        <w:rPr>
          <w:rFonts w:cs="Arial"/>
          <w:i/>
          <w:sz w:val="18"/>
          <w:szCs w:val="18"/>
        </w:rPr>
        <w:t>Background Briefing Paper: Environmental Standards &amp; Their Implementation In Law</w:t>
      </w:r>
      <w:r w:rsidRPr="00150637">
        <w:rPr>
          <w:rFonts w:cs="Arial"/>
          <w:sz w:val="18"/>
          <w:szCs w:val="18"/>
        </w:rPr>
        <w:t xml:space="preserve"> (June 2012), at </w:t>
      </w:r>
      <w:hyperlink r:id="rId74" w:history="1">
        <w:r w:rsidRPr="00150637">
          <w:rPr>
            <w:rStyle w:val="Hyperlink"/>
            <w:rFonts w:cs="Arial"/>
            <w:color w:val="auto"/>
            <w:sz w:val="18"/>
            <w:szCs w:val="18"/>
          </w:rPr>
          <w:t>http://</w:t>
        </w:r>
        <w:proofErr w:type="spellStart"/>
        <w:r w:rsidRPr="00150637">
          <w:rPr>
            <w:rStyle w:val="Hyperlink"/>
            <w:rFonts w:cs="Arial"/>
            <w:color w:val="auto"/>
            <w:sz w:val="18"/>
            <w:szCs w:val="18"/>
          </w:rPr>
          <w:t>www.edo.org.au</w:t>
        </w:r>
        <w:proofErr w:type="spellEnd"/>
        <w:r w:rsidRPr="00150637">
          <w:rPr>
            <w:rStyle w:val="Hyperlink"/>
            <w:rFonts w:cs="Arial"/>
            <w:color w:val="auto"/>
            <w:sz w:val="18"/>
            <w:szCs w:val="18"/>
          </w:rPr>
          <w:t>/policy/</w:t>
        </w:r>
        <w:proofErr w:type="spellStart"/>
        <w:r w:rsidRPr="00150637">
          <w:rPr>
            <w:rStyle w:val="Hyperlink"/>
            <w:rFonts w:cs="Arial"/>
            <w:color w:val="auto"/>
            <w:sz w:val="18"/>
            <w:szCs w:val="18"/>
          </w:rPr>
          <w:t>policy.html</w:t>
        </w:r>
        <w:proofErr w:type="spellEnd"/>
      </w:hyperlink>
      <w:r w:rsidRPr="00150637">
        <w:rPr>
          <w:rFonts w:cs="Arial"/>
          <w:sz w:val="18"/>
          <w:szCs w:val="18"/>
        </w:rPr>
        <w:t xml:space="preserve">. </w:t>
      </w:r>
    </w:p>
  </w:footnote>
  <w:footnote w:id="157">
    <w:p w:rsidR="00946D6B" w:rsidRPr="00150637" w:rsidRDefault="00946D6B" w:rsidP="00006551">
      <w:pPr>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w:t>
      </w:r>
      <w:r w:rsidRPr="00150637">
        <w:rPr>
          <w:rFonts w:cs="Arial"/>
          <w:i/>
          <w:sz w:val="18"/>
          <w:szCs w:val="18"/>
        </w:rPr>
        <w:t>Environment Protection and Biodiversity Conservation Act 1999</w:t>
      </w:r>
      <w:r w:rsidRPr="00150637">
        <w:rPr>
          <w:rFonts w:cs="Arial"/>
          <w:sz w:val="18"/>
          <w:szCs w:val="18"/>
        </w:rPr>
        <w:t xml:space="preserve"> (</w:t>
      </w:r>
      <w:proofErr w:type="spellStart"/>
      <w:r w:rsidRPr="00150637">
        <w:rPr>
          <w:rFonts w:cs="Arial"/>
          <w:sz w:val="18"/>
          <w:szCs w:val="18"/>
        </w:rPr>
        <w:t>Cth</w:t>
      </w:r>
      <w:proofErr w:type="spellEnd"/>
      <w:r w:rsidRPr="00150637">
        <w:rPr>
          <w:rFonts w:cs="Arial"/>
          <w:sz w:val="18"/>
          <w:szCs w:val="18"/>
        </w:rPr>
        <w:t>) (</w:t>
      </w:r>
      <w:proofErr w:type="spellStart"/>
      <w:r w:rsidRPr="00150637">
        <w:rPr>
          <w:rFonts w:cs="Arial"/>
          <w:sz w:val="18"/>
          <w:szCs w:val="18"/>
        </w:rPr>
        <w:t>EPBC</w:t>
      </w:r>
      <w:proofErr w:type="spellEnd"/>
      <w:r w:rsidRPr="00150637">
        <w:rPr>
          <w:rFonts w:cs="Arial"/>
          <w:sz w:val="18"/>
          <w:szCs w:val="18"/>
        </w:rPr>
        <w:t xml:space="preserve"> Act), sections 3 and </w:t>
      </w:r>
      <w:proofErr w:type="spellStart"/>
      <w:r w:rsidRPr="00150637">
        <w:rPr>
          <w:rFonts w:cs="Arial"/>
          <w:sz w:val="18"/>
          <w:szCs w:val="18"/>
        </w:rPr>
        <w:t>3A</w:t>
      </w:r>
      <w:proofErr w:type="spellEnd"/>
      <w:r w:rsidRPr="00150637">
        <w:rPr>
          <w:rFonts w:cs="Arial"/>
          <w:sz w:val="18"/>
          <w:szCs w:val="18"/>
        </w:rPr>
        <w:t xml:space="preserve">; see also </w:t>
      </w:r>
      <w:r w:rsidRPr="00150637">
        <w:rPr>
          <w:rFonts w:cs="Arial"/>
          <w:i/>
          <w:sz w:val="18"/>
          <w:szCs w:val="18"/>
        </w:rPr>
        <w:t>Protection of the Environment Administration Act 1991</w:t>
      </w:r>
      <w:r w:rsidRPr="00150637">
        <w:rPr>
          <w:rFonts w:cs="Arial"/>
          <w:sz w:val="18"/>
          <w:szCs w:val="18"/>
        </w:rPr>
        <w:t xml:space="preserve"> (NSW), s 6. The aim of </w:t>
      </w:r>
      <w:proofErr w:type="spellStart"/>
      <w:r w:rsidRPr="00150637">
        <w:rPr>
          <w:rFonts w:cs="Arial"/>
          <w:sz w:val="18"/>
          <w:szCs w:val="18"/>
        </w:rPr>
        <w:t>ESD</w:t>
      </w:r>
      <w:proofErr w:type="spellEnd"/>
      <w:r w:rsidRPr="00150637">
        <w:rPr>
          <w:rFonts w:cs="Arial"/>
          <w:sz w:val="18"/>
          <w:szCs w:val="18"/>
        </w:rPr>
        <w:t xml:space="preserve"> is to achieve a level of development that meets the needs of the present without compromising the ability of future generations to meet their own needs. See World Commission on Environment and Development, </w:t>
      </w:r>
      <w:r w:rsidRPr="00150637">
        <w:rPr>
          <w:rFonts w:cs="Arial"/>
          <w:i/>
          <w:sz w:val="18"/>
          <w:szCs w:val="18"/>
        </w:rPr>
        <w:t xml:space="preserve">Our Common Future </w:t>
      </w:r>
      <w:r w:rsidRPr="00150637">
        <w:rPr>
          <w:rFonts w:cs="Arial"/>
          <w:sz w:val="18"/>
          <w:szCs w:val="18"/>
        </w:rPr>
        <w:t xml:space="preserve">(1987), at 43. Principles of </w:t>
      </w:r>
      <w:proofErr w:type="spellStart"/>
      <w:r w:rsidRPr="00150637">
        <w:rPr>
          <w:rFonts w:cs="Arial"/>
          <w:sz w:val="18"/>
          <w:szCs w:val="18"/>
        </w:rPr>
        <w:t>ESD</w:t>
      </w:r>
      <w:proofErr w:type="spellEnd"/>
      <w:r w:rsidRPr="00150637">
        <w:rPr>
          <w:rFonts w:cs="Arial"/>
          <w:sz w:val="18"/>
          <w:szCs w:val="18"/>
        </w:rPr>
        <w:t xml:space="preserve"> include: the precautionary principle; </w:t>
      </w:r>
      <w:proofErr w:type="spellStart"/>
      <w:r w:rsidRPr="00150637">
        <w:rPr>
          <w:rFonts w:cs="Arial"/>
          <w:sz w:val="18"/>
          <w:szCs w:val="18"/>
        </w:rPr>
        <w:t>i</w:t>
      </w:r>
      <w:r w:rsidRPr="00150637">
        <w:rPr>
          <w:rFonts w:cs="Arial"/>
          <w:sz w:val="18"/>
          <w:szCs w:val="18"/>
          <w:lang w:val="en-US"/>
        </w:rPr>
        <w:t>ntergenerational</w:t>
      </w:r>
      <w:proofErr w:type="spellEnd"/>
      <w:r w:rsidRPr="00150637">
        <w:rPr>
          <w:rFonts w:cs="Arial"/>
          <w:sz w:val="18"/>
          <w:szCs w:val="18"/>
          <w:lang w:val="en-US"/>
        </w:rPr>
        <w:t xml:space="preserve"> and intra-generational equity</w:t>
      </w:r>
      <w:r w:rsidRPr="00150637">
        <w:rPr>
          <w:rFonts w:cs="Arial"/>
          <w:sz w:val="18"/>
          <w:szCs w:val="18"/>
        </w:rPr>
        <w:t>; c</w:t>
      </w:r>
      <w:proofErr w:type="spellStart"/>
      <w:r w:rsidRPr="00150637">
        <w:rPr>
          <w:rFonts w:cs="Arial"/>
          <w:sz w:val="18"/>
          <w:szCs w:val="18"/>
          <w:lang w:val="en-US"/>
        </w:rPr>
        <w:t>onservation</w:t>
      </w:r>
      <w:proofErr w:type="spellEnd"/>
      <w:r w:rsidRPr="00150637">
        <w:rPr>
          <w:rFonts w:cs="Arial"/>
          <w:sz w:val="18"/>
          <w:szCs w:val="18"/>
          <w:lang w:val="en-US"/>
        </w:rPr>
        <w:t xml:space="preserve"> of biological diversity and ecological integrity as a fundamental consideration; </w:t>
      </w:r>
      <w:proofErr w:type="spellStart"/>
      <w:r w:rsidRPr="00150637">
        <w:rPr>
          <w:rFonts w:cs="Arial"/>
          <w:sz w:val="18"/>
          <w:szCs w:val="18"/>
          <w:lang w:val="en-US"/>
        </w:rPr>
        <w:t>i</w:t>
      </w:r>
      <w:r w:rsidRPr="00150637">
        <w:rPr>
          <w:rFonts w:cs="Arial"/>
          <w:sz w:val="18"/>
          <w:szCs w:val="18"/>
        </w:rPr>
        <w:t>mproved</w:t>
      </w:r>
      <w:proofErr w:type="spellEnd"/>
      <w:r w:rsidRPr="00150637">
        <w:rPr>
          <w:rFonts w:cs="Arial"/>
          <w:sz w:val="18"/>
          <w:szCs w:val="18"/>
        </w:rPr>
        <w:t xml:space="preserve"> environmental valuation, pricing and incentive mechanisms</w:t>
      </w:r>
      <w:r w:rsidRPr="00150637">
        <w:rPr>
          <w:rFonts w:cs="Arial"/>
          <w:sz w:val="18"/>
          <w:szCs w:val="18"/>
          <w:lang w:val="en-US"/>
        </w:rPr>
        <w:t xml:space="preserve"> (for example, </w:t>
      </w:r>
      <w:proofErr w:type="spellStart"/>
      <w:r w:rsidRPr="00150637">
        <w:rPr>
          <w:rFonts w:cs="Arial"/>
          <w:sz w:val="18"/>
          <w:szCs w:val="18"/>
          <w:lang w:val="en-US"/>
        </w:rPr>
        <w:t>internalising</w:t>
      </w:r>
      <w:proofErr w:type="spellEnd"/>
      <w:r w:rsidRPr="00150637">
        <w:rPr>
          <w:rFonts w:cs="Arial"/>
          <w:sz w:val="18"/>
          <w:szCs w:val="18"/>
          <w:lang w:val="en-US"/>
        </w:rPr>
        <w:t xml:space="preserve"> environmental costs and adopting the ‘polluter pays’ principle).</w:t>
      </w:r>
    </w:p>
  </w:footnote>
  <w:footnote w:id="158">
    <w:p w:rsidR="00946D6B" w:rsidRPr="00150637" w:rsidRDefault="00946D6B" w:rsidP="00006551">
      <w:pPr>
        <w:pStyle w:val="FootnoteText"/>
        <w:widowControl w:val="0"/>
        <w:rPr>
          <w:rFonts w:cs="Arial"/>
          <w:sz w:val="18"/>
          <w:szCs w:val="18"/>
        </w:rPr>
      </w:pPr>
      <w:r w:rsidRPr="00150637">
        <w:rPr>
          <w:rStyle w:val="FootnoteReference"/>
          <w:rFonts w:cs="Arial"/>
          <w:sz w:val="18"/>
          <w:szCs w:val="18"/>
        </w:rPr>
        <w:footnoteRef/>
      </w:r>
      <w:r w:rsidRPr="00150637">
        <w:rPr>
          <w:rFonts w:cs="Arial"/>
          <w:sz w:val="18"/>
          <w:szCs w:val="18"/>
        </w:rPr>
        <w:t xml:space="preserve"> For example, the Hawke review recommended a robust, scientific ‘improve or maintain’ test (with regard to environment and heritage) be adopted when approving a class of action under an endorsed policy, plan or practice. See Report of the Independent Review of the </w:t>
      </w:r>
      <w:proofErr w:type="spellStart"/>
      <w:r w:rsidRPr="00150637">
        <w:rPr>
          <w:rFonts w:cs="Arial"/>
          <w:sz w:val="18"/>
          <w:szCs w:val="18"/>
        </w:rPr>
        <w:t>EPBC</w:t>
      </w:r>
      <w:proofErr w:type="spellEnd"/>
      <w:r w:rsidRPr="00150637">
        <w:rPr>
          <w:rFonts w:cs="Arial"/>
          <w:sz w:val="18"/>
          <w:szCs w:val="18"/>
        </w:rPr>
        <w:t xml:space="preserve"> Act (2009), recommendation 6(2)(b)(ii). Several NSW environmental assessment processes adopt a test that actions cannot be approved unless they ‘improve or maintain’ environmental outcomes. This includes the </w:t>
      </w:r>
      <w:proofErr w:type="spellStart"/>
      <w:r w:rsidRPr="00150637">
        <w:rPr>
          <w:rFonts w:cs="Arial"/>
          <w:sz w:val="18"/>
          <w:szCs w:val="18"/>
        </w:rPr>
        <w:t>Biobanking</w:t>
      </w:r>
      <w:proofErr w:type="spellEnd"/>
      <w:r w:rsidRPr="00150637">
        <w:rPr>
          <w:rFonts w:cs="Arial"/>
          <w:sz w:val="18"/>
          <w:szCs w:val="18"/>
        </w:rPr>
        <w:t xml:space="preserve"> offsets scheme under the </w:t>
      </w:r>
      <w:r w:rsidRPr="00150637">
        <w:rPr>
          <w:rFonts w:cs="Arial"/>
          <w:i/>
          <w:sz w:val="18"/>
          <w:szCs w:val="18"/>
        </w:rPr>
        <w:t>Threatened Species Conservation Act 1995</w:t>
      </w:r>
      <w:r w:rsidRPr="00150637">
        <w:rPr>
          <w:rFonts w:cs="Arial"/>
          <w:sz w:val="18"/>
          <w:szCs w:val="18"/>
        </w:rPr>
        <w:t xml:space="preserve"> (NSW), and the </w:t>
      </w:r>
      <w:r w:rsidRPr="00150637">
        <w:rPr>
          <w:rFonts w:cs="Arial"/>
          <w:i/>
          <w:sz w:val="18"/>
          <w:szCs w:val="18"/>
        </w:rPr>
        <w:t xml:space="preserve">Native Vegetation Act 2003 </w:t>
      </w:r>
      <w:r w:rsidRPr="00150637">
        <w:rPr>
          <w:rFonts w:cs="Arial"/>
          <w:sz w:val="18"/>
          <w:szCs w:val="18"/>
        </w:rPr>
        <w:t xml:space="preserve">(NSW) which regulates land clearing.  Similarly, a </w:t>
      </w:r>
      <w:r w:rsidRPr="00150637">
        <w:rPr>
          <w:rFonts w:cs="Arial"/>
          <w:bCs/>
          <w:sz w:val="18"/>
          <w:szCs w:val="18"/>
        </w:rPr>
        <w:t>standard of “net environmental benefit” has been put forward in Western Australia and Victoria in the context of biodiversity offsetting</w:t>
      </w:r>
      <w:r w:rsidRPr="00150637">
        <w:rPr>
          <w:rFonts w:cs="Arial"/>
          <w:sz w:val="18"/>
          <w:szCs w:val="18"/>
        </w:rPr>
        <w:t>.</w:t>
      </w:r>
      <w:r w:rsidRPr="00150637">
        <w:rPr>
          <w:rFonts w:cs="Arial"/>
          <w:bCs/>
          <w:sz w:val="18"/>
          <w:szCs w:val="18"/>
        </w:rPr>
        <w:t xml:space="preserve"> See </w:t>
      </w:r>
      <w:proofErr w:type="spellStart"/>
      <w:r w:rsidRPr="00150637">
        <w:rPr>
          <w:rFonts w:cs="Arial"/>
          <w:bCs/>
          <w:sz w:val="18"/>
          <w:szCs w:val="18"/>
        </w:rPr>
        <w:t>eg</w:t>
      </w:r>
      <w:proofErr w:type="spellEnd"/>
      <w:r w:rsidRPr="00150637">
        <w:rPr>
          <w:rFonts w:cs="Arial"/>
          <w:bCs/>
          <w:sz w:val="18"/>
          <w:szCs w:val="18"/>
        </w:rPr>
        <w:t xml:space="preserve">, </w:t>
      </w:r>
      <w:proofErr w:type="spellStart"/>
      <w:r w:rsidRPr="00150637">
        <w:rPr>
          <w:rFonts w:cs="Arial"/>
          <w:sz w:val="18"/>
          <w:szCs w:val="18"/>
        </w:rPr>
        <w:t>EPA</w:t>
      </w:r>
      <w:proofErr w:type="spellEnd"/>
      <w:r w:rsidRPr="00150637">
        <w:rPr>
          <w:rFonts w:cs="Arial"/>
          <w:sz w:val="18"/>
          <w:szCs w:val="18"/>
        </w:rPr>
        <w:t xml:space="preserve"> Victoria, </w:t>
      </w:r>
      <w:r w:rsidRPr="00150637">
        <w:rPr>
          <w:rFonts w:cs="Arial"/>
          <w:i/>
          <w:sz w:val="18"/>
          <w:szCs w:val="18"/>
        </w:rPr>
        <w:t xml:space="preserve">Discussion Paper: Environmental Offsets </w:t>
      </w:r>
      <w:r w:rsidRPr="00150637">
        <w:rPr>
          <w:rFonts w:cs="Arial"/>
          <w:sz w:val="18"/>
          <w:szCs w:val="18"/>
        </w:rPr>
        <w:t xml:space="preserve">(2008), </w:t>
      </w:r>
      <w:hyperlink r:id="rId75" w:history="1">
        <w:r w:rsidRPr="00150637">
          <w:rPr>
            <w:rStyle w:val="Hyperlink"/>
            <w:rFonts w:cs="Arial"/>
            <w:color w:val="auto"/>
            <w:sz w:val="18"/>
            <w:szCs w:val="18"/>
          </w:rPr>
          <w:t>http://epanote2.epa.vic.gov.au/EPA/publications.nsf/2f1c2625731746aa4a256ce90001cbb5/cfa2d441a0e31fb7ca2574670004b739/$FILE/1202.3.pdf</w:t>
        </w:r>
      </w:hyperlink>
    </w:p>
  </w:footnote>
  <w:footnote w:id="15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EDO NSW Green Paper submission is found at </w:t>
      </w:r>
      <w:hyperlink r:id="rId76" w:anchor="4" w:history="1">
        <w:proofErr w:type="spellStart"/>
        <w:r w:rsidRPr="00150637">
          <w:rPr>
            <w:rStyle w:val="Hyperlink"/>
            <w:rFonts w:cs="Arial"/>
            <w:color w:val="auto"/>
            <w:sz w:val="18"/>
            <w:szCs w:val="18"/>
          </w:rPr>
          <w:t>www.edo.org.au</w:t>
        </w:r>
        <w:proofErr w:type="spellEnd"/>
        <w:r w:rsidRPr="00150637">
          <w:rPr>
            <w:rStyle w:val="Hyperlink"/>
            <w:rFonts w:cs="Arial"/>
            <w:color w:val="auto"/>
            <w:sz w:val="18"/>
            <w:szCs w:val="18"/>
          </w:rPr>
          <w:t>/</w:t>
        </w:r>
        <w:proofErr w:type="spellStart"/>
        <w:r w:rsidRPr="00150637">
          <w:rPr>
            <w:rStyle w:val="Hyperlink"/>
            <w:rFonts w:cs="Arial"/>
            <w:color w:val="auto"/>
            <w:sz w:val="18"/>
            <w:szCs w:val="18"/>
          </w:rPr>
          <w:t>edonsw</w:t>
        </w:r>
        <w:proofErr w:type="spellEnd"/>
        <w:r w:rsidRPr="00150637">
          <w:rPr>
            <w:rStyle w:val="Hyperlink"/>
            <w:rFonts w:cs="Arial"/>
            <w:color w:val="auto"/>
            <w:sz w:val="18"/>
            <w:szCs w:val="18"/>
          </w:rPr>
          <w:t>/site/</w:t>
        </w:r>
        <w:proofErr w:type="spellStart"/>
        <w:r w:rsidRPr="00150637">
          <w:rPr>
            <w:rStyle w:val="Hyperlink"/>
            <w:rFonts w:cs="Arial"/>
            <w:color w:val="auto"/>
            <w:sz w:val="18"/>
            <w:szCs w:val="18"/>
          </w:rPr>
          <w:t>policy_submissions.php#4</w:t>
        </w:r>
        <w:proofErr w:type="spellEnd"/>
      </w:hyperlink>
      <w:r w:rsidRPr="00150637">
        <w:rPr>
          <w:rFonts w:cs="Arial"/>
          <w:sz w:val="18"/>
          <w:szCs w:val="18"/>
        </w:rPr>
        <w:t xml:space="preserve">. </w:t>
      </w:r>
    </w:p>
  </w:footnote>
  <w:footnote w:id="160">
    <w:p w:rsidR="00946D6B" w:rsidRPr="00150637" w:rsidRDefault="00946D6B">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r w:rsidRPr="00150637">
        <w:rPr>
          <w:rFonts w:cs="Arial"/>
          <w:sz w:val="18"/>
          <w:szCs w:val="18"/>
          <w:lang w:val="en-US"/>
        </w:rPr>
        <w:t xml:space="preserve">Original page references from the submission are </w:t>
      </w:r>
      <w:proofErr w:type="spellStart"/>
      <w:r w:rsidRPr="00150637">
        <w:rPr>
          <w:rFonts w:cs="Arial"/>
          <w:sz w:val="18"/>
          <w:szCs w:val="18"/>
          <w:lang w:val="en-US"/>
        </w:rPr>
        <w:t>pp</w:t>
      </w:r>
      <w:proofErr w:type="spellEnd"/>
      <w:r w:rsidRPr="00150637">
        <w:rPr>
          <w:rFonts w:cs="Arial"/>
          <w:sz w:val="18"/>
          <w:szCs w:val="18"/>
          <w:lang w:val="en-US"/>
        </w:rPr>
        <w:t xml:space="preserve"> 42-44, 37-40, 48-50, 50-51 and 52-53, respectively.</w:t>
      </w:r>
    </w:p>
  </w:footnote>
  <w:footnote w:id="16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w:t>
      </w:r>
      <w:proofErr w:type="spellStart"/>
      <w:r w:rsidRPr="00150637">
        <w:rPr>
          <w:rFonts w:cs="Arial"/>
          <w:sz w:val="18"/>
          <w:szCs w:val="18"/>
        </w:rPr>
        <w:t>pp</w:t>
      </w:r>
      <w:proofErr w:type="spellEnd"/>
      <w:r w:rsidRPr="00150637">
        <w:rPr>
          <w:rFonts w:cs="Arial"/>
          <w:sz w:val="18"/>
          <w:szCs w:val="18"/>
        </w:rPr>
        <w:t xml:space="preserve"> 58-59.</w:t>
      </w:r>
    </w:p>
  </w:footnote>
  <w:footnote w:id="162">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Section </w:t>
      </w:r>
      <w:proofErr w:type="spellStart"/>
      <w:r w:rsidRPr="00150637">
        <w:rPr>
          <w:rFonts w:cs="Arial"/>
          <w:sz w:val="18"/>
          <w:szCs w:val="18"/>
        </w:rPr>
        <w:t>75M</w:t>
      </w:r>
      <w:proofErr w:type="spellEnd"/>
      <w:r w:rsidRPr="00150637">
        <w:rPr>
          <w:rFonts w:cs="Arial"/>
          <w:sz w:val="18"/>
          <w:szCs w:val="18"/>
        </w:rPr>
        <w:t xml:space="preserve">, </w:t>
      </w:r>
      <w:proofErr w:type="spellStart"/>
      <w:r w:rsidRPr="00150637">
        <w:rPr>
          <w:rFonts w:cs="Arial"/>
          <w:sz w:val="18"/>
          <w:szCs w:val="18"/>
        </w:rPr>
        <w:t>EP&amp;A</w:t>
      </w:r>
      <w:proofErr w:type="spellEnd"/>
      <w:r w:rsidRPr="00150637">
        <w:rPr>
          <w:rFonts w:cs="Arial"/>
          <w:sz w:val="18"/>
          <w:szCs w:val="18"/>
        </w:rPr>
        <w:t xml:space="preserve"> Act (now repealed). See EDO NSW </w:t>
      </w:r>
      <w:r w:rsidRPr="00150637">
        <w:rPr>
          <w:rFonts w:cs="Arial"/>
          <w:i/>
          <w:sz w:val="18"/>
          <w:szCs w:val="18"/>
        </w:rPr>
        <w:t>Major Projects Tool Kit</w:t>
      </w:r>
      <w:r w:rsidRPr="00150637">
        <w:rPr>
          <w:rFonts w:cs="Arial"/>
          <w:sz w:val="18"/>
          <w:szCs w:val="18"/>
        </w:rPr>
        <w:t xml:space="preserve"> (2010).</w:t>
      </w:r>
    </w:p>
  </w:footnote>
  <w:footnote w:id="163">
    <w:p w:rsidR="00946D6B" w:rsidRPr="00150637" w:rsidRDefault="00946D6B" w:rsidP="00006551">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When determining whether to approve a concept plan, the Minister was required to decide what further assessment would be required before final approval was given. Final project applications for stages or elements of the concept plan could be determined by the Minister or by the local council</w:t>
      </w:r>
    </w:p>
  </w:footnote>
  <w:footnote w:id="16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Section </w:t>
      </w:r>
      <w:proofErr w:type="spellStart"/>
      <w:r w:rsidRPr="00150637">
        <w:rPr>
          <w:rFonts w:cs="Arial"/>
          <w:sz w:val="18"/>
          <w:szCs w:val="18"/>
        </w:rPr>
        <w:t>75M</w:t>
      </w:r>
      <w:proofErr w:type="spellEnd"/>
      <w:r w:rsidRPr="00150637">
        <w:rPr>
          <w:rFonts w:cs="Arial"/>
          <w:sz w:val="18"/>
          <w:szCs w:val="18"/>
        </w:rPr>
        <w:t>(</w:t>
      </w:r>
      <w:proofErr w:type="spellStart"/>
      <w:r w:rsidRPr="00150637">
        <w:rPr>
          <w:rFonts w:cs="Arial"/>
          <w:sz w:val="18"/>
          <w:szCs w:val="18"/>
        </w:rPr>
        <w:t>3A</w:t>
      </w:r>
      <w:proofErr w:type="spellEnd"/>
      <w:r w:rsidRPr="00150637">
        <w:rPr>
          <w:rFonts w:cs="Arial"/>
          <w:sz w:val="18"/>
          <w:szCs w:val="18"/>
        </w:rPr>
        <w:t>) (now repealed).</w:t>
      </w:r>
    </w:p>
  </w:footnote>
  <w:footnote w:id="16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joint submission (March 2012), response to Issues Paper Q’s </w:t>
      </w:r>
      <w:proofErr w:type="spellStart"/>
      <w:r w:rsidRPr="00150637">
        <w:rPr>
          <w:rFonts w:cs="Arial"/>
          <w:sz w:val="18"/>
          <w:szCs w:val="18"/>
        </w:rPr>
        <w:t>A12</w:t>
      </w:r>
      <w:proofErr w:type="spellEnd"/>
      <w:r w:rsidRPr="00150637">
        <w:rPr>
          <w:rFonts w:cs="Arial"/>
          <w:sz w:val="18"/>
          <w:szCs w:val="18"/>
        </w:rPr>
        <w:t xml:space="preserve"> and </w:t>
      </w:r>
      <w:proofErr w:type="spellStart"/>
      <w:r w:rsidRPr="00150637">
        <w:rPr>
          <w:rFonts w:cs="Arial"/>
          <w:sz w:val="18"/>
          <w:szCs w:val="18"/>
        </w:rPr>
        <w:t>D31</w:t>
      </w:r>
      <w:proofErr w:type="spellEnd"/>
      <w:r w:rsidRPr="00150637">
        <w:rPr>
          <w:rFonts w:cs="Arial"/>
          <w:sz w:val="18"/>
          <w:szCs w:val="18"/>
        </w:rPr>
        <w:t xml:space="preserve"> (</w:t>
      </w:r>
      <w:proofErr w:type="spellStart"/>
      <w:r w:rsidRPr="00150637">
        <w:rPr>
          <w:rFonts w:cs="Arial"/>
          <w:sz w:val="18"/>
          <w:szCs w:val="18"/>
        </w:rPr>
        <w:t>pp</w:t>
      </w:r>
      <w:proofErr w:type="spellEnd"/>
      <w:r w:rsidRPr="00150637">
        <w:rPr>
          <w:rFonts w:cs="Arial"/>
          <w:sz w:val="18"/>
          <w:szCs w:val="18"/>
        </w:rPr>
        <w:t xml:space="preserve"> 38, 62).</w:t>
      </w:r>
    </w:p>
  </w:footnote>
  <w:footnote w:id="16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Green Paper needs clarification on this point (p 58): ‘As discussed in Chapter 7, the introduction of state planning principles will provide a better strategic framework in which to assess state significant proposals…’ Does ‘state planning principles’ refer to high-level NSW Planning Policies, or something different?</w:t>
      </w:r>
    </w:p>
  </w:footnote>
  <w:footnote w:id="16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47.</w:t>
      </w:r>
    </w:p>
  </w:footnote>
  <w:footnote w:id="16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EDO NSW, NSW Legislative Council Inquiry into </w:t>
      </w:r>
      <w:proofErr w:type="spellStart"/>
      <w:r w:rsidRPr="00150637">
        <w:rPr>
          <w:rFonts w:cs="Arial"/>
          <w:sz w:val="18"/>
          <w:szCs w:val="18"/>
        </w:rPr>
        <w:t>CSG</w:t>
      </w:r>
      <w:proofErr w:type="spellEnd"/>
      <w:r w:rsidRPr="00150637">
        <w:rPr>
          <w:rFonts w:cs="Arial"/>
          <w:sz w:val="18"/>
          <w:szCs w:val="18"/>
        </w:rPr>
        <w:t xml:space="preserve"> Impacts, </w:t>
      </w:r>
      <w:r w:rsidRPr="00150637">
        <w:rPr>
          <w:rStyle w:val="h51"/>
          <w:rFonts w:ascii="Arial" w:hAnsi="Arial" w:cs="Arial"/>
          <w:b w:val="0"/>
        </w:rPr>
        <w:t>responses to questions on notice</w:t>
      </w:r>
      <w:r w:rsidRPr="00150637">
        <w:rPr>
          <w:rFonts w:cs="Arial"/>
          <w:b/>
          <w:sz w:val="18"/>
          <w:szCs w:val="18"/>
        </w:rPr>
        <w:br/>
      </w:r>
      <w:r w:rsidRPr="00150637">
        <w:rPr>
          <w:rFonts w:cs="Arial"/>
          <w:sz w:val="18"/>
          <w:szCs w:val="18"/>
        </w:rPr>
        <w:t xml:space="preserve">(January 2012), </w:t>
      </w:r>
      <w:proofErr w:type="spellStart"/>
      <w:r w:rsidRPr="00150637">
        <w:rPr>
          <w:rFonts w:cs="Arial"/>
          <w:sz w:val="18"/>
          <w:szCs w:val="18"/>
        </w:rPr>
        <w:t>pp</w:t>
      </w:r>
      <w:proofErr w:type="spellEnd"/>
      <w:r w:rsidRPr="00150637">
        <w:rPr>
          <w:rFonts w:cs="Arial"/>
          <w:sz w:val="18"/>
          <w:szCs w:val="18"/>
        </w:rPr>
        <w:t xml:space="preserve"> 10-14, at </w:t>
      </w:r>
      <w:hyperlink r:id="rId77" w:history="1">
        <w:r w:rsidRPr="00150637">
          <w:rPr>
            <w:rStyle w:val="Hyperlink"/>
            <w:rFonts w:cs="Arial"/>
            <w:color w:val="auto"/>
            <w:sz w:val="18"/>
            <w:szCs w:val="18"/>
          </w:rPr>
          <w:t>http://www.edo.org.au/edonsw/site/pdf/subs/120119csg_responses_questions_on_notice.pdf</w:t>
        </w:r>
      </w:hyperlink>
      <w:r w:rsidRPr="00150637">
        <w:rPr>
          <w:rStyle w:val="Hyperlink"/>
          <w:rFonts w:cs="Arial"/>
          <w:color w:val="auto"/>
          <w:sz w:val="18"/>
          <w:szCs w:val="18"/>
        </w:rPr>
        <w:t xml:space="preserve">. </w:t>
      </w:r>
      <w:r w:rsidRPr="00150637">
        <w:rPr>
          <w:rFonts w:cs="Arial"/>
          <w:sz w:val="18"/>
          <w:szCs w:val="18"/>
        </w:rPr>
        <w:t xml:space="preserve"> </w:t>
      </w:r>
    </w:p>
  </w:footnote>
  <w:footnote w:id="16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Green Paper proposes, for example, strategic compatibility certificate would be followed by consent authority determination ‘after the consideration of community views’ (p 53-54).</w:t>
      </w:r>
    </w:p>
  </w:footnote>
  <w:footnote w:id="17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w:t>
      </w:r>
      <w:proofErr w:type="spellStart"/>
      <w:r w:rsidRPr="00150637">
        <w:rPr>
          <w:rFonts w:cs="Arial"/>
          <w:sz w:val="18"/>
          <w:szCs w:val="18"/>
        </w:rPr>
        <w:t>pp</w:t>
      </w:r>
      <w:proofErr w:type="spellEnd"/>
      <w:r w:rsidRPr="00150637">
        <w:rPr>
          <w:rFonts w:cs="Arial"/>
          <w:sz w:val="18"/>
          <w:szCs w:val="18"/>
        </w:rPr>
        <w:t xml:space="preserve"> 54 and 66.</w:t>
      </w:r>
    </w:p>
  </w:footnote>
  <w:footnote w:id="17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Green Paper, Figure 14 flowchart, p 55. The first box states ‘Development proposed consistent with </w:t>
      </w:r>
      <w:r w:rsidRPr="00150637">
        <w:rPr>
          <w:rFonts w:cs="Arial"/>
          <w:i/>
          <w:sz w:val="18"/>
          <w:szCs w:val="18"/>
        </w:rPr>
        <w:t>State</w:t>
      </w:r>
      <w:r w:rsidRPr="00150637">
        <w:rPr>
          <w:rFonts w:cs="Arial"/>
          <w:sz w:val="18"/>
          <w:szCs w:val="18"/>
        </w:rPr>
        <w:t xml:space="preserve"> or regional/subregional planning strategies’. (emphasis added)</w:t>
      </w:r>
    </w:p>
  </w:footnote>
  <w:footnote w:id="172">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Green Paper notes these reforms seek to overcome ‘delay or failure to implement metropolitan and regional strategic planning at the local level.’</w:t>
      </w:r>
    </w:p>
  </w:footnote>
  <w:footnote w:id="173">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48; see also </w:t>
      </w:r>
      <w:proofErr w:type="spellStart"/>
      <w:r w:rsidRPr="00150637">
        <w:rPr>
          <w:rFonts w:cs="Arial"/>
          <w:sz w:val="18"/>
          <w:szCs w:val="18"/>
        </w:rPr>
        <w:t>pp</w:t>
      </w:r>
      <w:proofErr w:type="spellEnd"/>
      <w:r w:rsidRPr="00150637">
        <w:rPr>
          <w:rFonts w:cs="Arial"/>
          <w:sz w:val="18"/>
          <w:szCs w:val="18"/>
        </w:rPr>
        <w:t xml:space="preserve"> 53-54.</w:t>
      </w:r>
    </w:p>
  </w:footnote>
  <w:footnote w:id="17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Joint submission (March 2012), p 58, response to Issues Paper Q. </w:t>
      </w:r>
      <w:proofErr w:type="spellStart"/>
      <w:r w:rsidRPr="00150637">
        <w:rPr>
          <w:rFonts w:cs="Arial"/>
          <w:sz w:val="18"/>
          <w:szCs w:val="18"/>
        </w:rPr>
        <w:t>D8</w:t>
      </w:r>
      <w:proofErr w:type="spellEnd"/>
      <w:r w:rsidRPr="00150637">
        <w:rPr>
          <w:rFonts w:cs="Arial"/>
          <w:sz w:val="18"/>
          <w:szCs w:val="18"/>
        </w:rPr>
        <w:t>.</w:t>
      </w:r>
    </w:p>
  </w:footnote>
  <w:footnote w:id="175">
    <w:p w:rsidR="00946D6B" w:rsidRPr="00150637" w:rsidRDefault="00946D6B" w:rsidP="00006551">
      <w:pPr>
        <w:rPr>
          <w:rFonts w:cs="Arial"/>
          <w:sz w:val="18"/>
          <w:szCs w:val="18"/>
        </w:rPr>
      </w:pPr>
      <w:r w:rsidRPr="00150637">
        <w:rPr>
          <w:rStyle w:val="FootnoteReference"/>
          <w:rFonts w:cs="Arial"/>
          <w:sz w:val="18"/>
          <w:szCs w:val="18"/>
        </w:rPr>
        <w:footnoteRef/>
      </w:r>
      <w:r w:rsidRPr="00150637">
        <w:rPr>
          <w:rFonts w:cs="Arial"/>
          <w:sz w:val="18"/>
          <w:szCs w:val="18"/>
        </w:rPr>
        <w:t xml:space="preserve"> For example, in </w:t>
      </w:r>
      <w:proofErr w:type="spellStart"/>
      <w:r w:rsidRPr="00150637">
        <w:rPr>
          <w:rFonts w:cs="Arial"/>
          <w:i/>
          <w:sz w:val="18"/>
          <w:szCs w:val="18"/>
        </w:rPr>
        <w:t>Appwam</w:t>
      </w:r>
      <w:proofErr w:type="spellEnd"/>
      <w:r w:rsidRPr="00150637">
        <w:rPr>
          <w:rFonts w:cs="Arial"/>
          <w:i/>
          <w:sz w:val="18"/>
          <w:szCs w:val="18"/>
        </w:rPr>
        <w:t xml:space="preserve"> Pty Ltd v Ashfield Council </w:t>
      </w:r>
      <w:r w:rsidRPr="00150637">
        <w:rPr>
          <w:rFonts w:cs="Arial"/>
          <w:sz w:val="18"/>
          <w:szCs w:val="18"/>
        </w:rPr>
        <w:t xml:space="preserve">[2011] </w:t>
      </w:r>
      <w:proofErr w:type="spellStart"/>
      <w:r w:rsidRPr="00150637">
        <w:rPr>
          <w:rFonts w:cs="Arial"/>
          <w:sz w:val="18"/>
          <w:szCs w:val="18"/>
        </w:rPr>
        <w:t>NSWLEC</w:t>
      </w:r>
      <w:proofErr w:type="spellEnd"/>
      <w:r w:rsidRPr="00150637">
        <w:rPr>
          <w:rFonts w:cs="Arial"/>
          <w:sz w:val="18"/>
          <w:szCs w:val="18"/>
        </w:rPr>
        <w:t xml:space="preserve"> 1001, the Court was required to assess a development on the interface of industrial and residential sites. Commissioner Morris found [at 37]: “</w:t>
      </w:r>
      <w:r w:rsidRPr="00150637">
        <w:rPr>
          <w:rFonts w:cs="Arial"/>
          <w:i/>
          <w:sz w:val="18"/>
          <w:szCs w:val="18"/>
        </w:rPr>
        <w:t>The redevelopment of land, which is zoned for industrial purposes at the interface with a residential area, presents design challenges to ensure that the different uses can function without adverse impacts being caused to the amenity of residents of those areas whilst maintaining efficient operations for the industrial business. These constraints can mean that it is not always possible to optimise the development controls that apply to such an industrial site and not adversely affect the amenity of adjacent residents</w:t>
      </w:r>
      <w:r w:rsidRPr="00150637">
        <w:rPr>
          <w:rFonts w:cs="Arial"/>
          <w:sz w:val="18"/>
          <w:szCs w:val="18"/>
        </w:rPr>
        <w:t>”.</w:t>
      </w:r>
    </w:p>
  </w:footnote>
  <w:footnote w:id="17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55.</w:t>
      </w:r>
    </w:p>
  </w:footnote>
  <w:footnote w:id="17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55.</w:t>
      </w:r>
    </w:p>
  </w:footnote>
  <w:footnote w:id="17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Green Paper, </w:t>
      </w:r>
      <w:proofErr w:type="spellStart"/>
      <w:r w:rsidRPr="00150637">
        <w:rPr>
          <w:rFonts w:cs="Arial"/>
          <w:sz w:val="18"/>
          <w:szCs w:val="18"/>
        </w:rPr>
        <w:t>pp</w:t>
      </w:r>
      <w:proofErr w:type="spellEnd"/>
      <w:r w:rsidRPr="00150637">
        <w:rPr>
          <w:rFonts w:cs="Arial"/>
          <w:sz w:val="18"/>
          <w:szCs w:val="18"/>
        </w:rPr>
        <w:t xml:space="preserve"> 18 and 29.</w:t>
      </w:r>
    </w:p>
  </w:footnote>
  <w:footnote w:id="17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the </w:t>
      </w:r>
      <w:r w:rsidRPr="00150637">
        <w:rPr>
          <w:rFonts w:cs="Arial"/>
          <w:i/>
          <w:sz w:val="18"/>
          <w:szCs w:val="18"/>
        </w:rPr>
        <w:t>Mining Act 1992</w:t>
      </w:r>
      <w:r w:rsidRPr="00150637">
        <w:rPr>
          <w:rFonts w:cs="Arial"/>
          <w:sz w:val="18"/>
          <w:szCs w:val="18"/>
        </w:rPr>
        <w:t xml:space="preserve"> (NSW) specifies general powers to refuse applications, and includes examples of reasons for doing so (without limiting the power’s generality) – for example </w:t>
      </w:r>
      <w:proofErr w:type="spellStart"/>
      <w:r w:rsidRPr="00150637">
        <w:rPr>
          <w:rFonts w:cs="Arial"/>
          <w:sz w:val="18"/>
          <w:szCs w:val="18"/>
        </w:rPr>
        <w:t>ss</w:t>
      </w:r>
      <w:proofErr w:type="spellEnd"/>
      <w:r w:rsidRPr="00150637">
        <w:rPr>
          <w:rFonts w:cs="Arial"/>
          <w:sz w:val="18"/>
          <w:szCs w:val="18"/>
        </w:rPr>
        <w:t xml:space="preserve"> 22, 23(3), 41, 63. See also the </w:t>
      </w:r>
      <w:r w:rsidRPr="00150637">
        <w:rPr>
          <w:rFonts w:cs="Arial"/>
          <w:i/>
          <w:sz w:val="18"/>
          <w:szCs w:val="18"/>
        </w:rPr>
        <w:t>Petroleum (Onshore) Act 1991</w:t>
      </w:r>
      <w:r w:rsidRPr="00150637">
        <w:rPr>
          <w:rFonts w:cs="Arial"/>
          <w:sz w:val="18"/>
          <w:szCs w:val="18"/>
        </w:rPr>
        <w:t xml:space="preserve"> (NSW), </w:t>
      </w:r>
      <w:proofErr w:type="spellStart"/>
      <w:r w:rsidRPr="00150637">
        <w:rPr>
          <w:rFonts w:cs="Arial"/>
          <w:sz w:val="18"/>
          <w:szCs w:val="18"/>
        </w:rPr>
        <w:t>ss</w:t>
      </w:r>
      <w:proofErr w:type="spellEnd"/>
      <w:r w:rsidRPr="00150637">
        <w:rPr>
          <w:rFonts w:cs="Arial"/>
          <w:sz w:val="18"/>
          <w:szCs w:val="18"/>
        </w:rPr>
        <w:t xml:space="preserve"> 19, 21 and 22.</w:t>
      </w:r>
    </w:p>
  </w:footnote>
  <w:footnote w:id="18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Green Paper, p 55.</w:t>
      </w:r>
    </w:p>
  </w:footnote>
  <w:footnote w:id="18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This Unit would be established in the Planning Department: ‘to act as a central coordinating body for obtaining concurrences from other government departments and instrumentalities’. The Unit’s involvement would be triggered once a specified period has elapsed since the concurrence authority received the project referral (for example 45, 55 or 65 days). See Independent Review Panel, Vol. 1, recommendations 76-91 (</w:t>
      </w:r>
      <w:proofErr w:type="spellStart"/>
      <w:r w:rsidRPr="00150637">
        <w:rPr>
          <w:rFonts w:cs="Arial"/>
          <w:sz w:val="18"/>
          <w:szCs w:val="18"/>
        </w:rPr>
        <w:t>pp</w:t>
      </w:r>
      <w:proofErr w:type="spellEnd"/>
      <w:r w:rsidRPr="00150637">
        <w:rPr>
          <w:rFonts w:cs="Arial"/>
          <w:sz w:val="18"/>
          <w:szCs w:val="18"/>
        </w:rPr>
        <w:t xml:space="preserve"> 9-10).</w:t>
      </w:r>
    </w:p>
  </w:footnote>
  <w:footnote w:id="182">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EDO NSW, </w:t>
      </w:r>
      <w:r w:rsidRPr="00150637">
        <w:rPr>
          <w:rFonts w:cs="Arial"/>
          <w:i/>
          <w:sz w:val="18"/>
          <w:szCs w:val="18"/>
        </w:rPr>
        <w:t>Major Projects Toolkit: A voice for the community</w:t>
      </w:r>
      <w:r w:rsidRPr="00150637">
        <w:rPr>
          <w:rFonts w:cs="Arial"/>
          <w:sz w:val="18"/>
          <w:szCs w:val="18"/>
        </w:rPr>
        <w:t xml:space="preserve"> (2010), funded by City of Sydney.</w:t>
      </w:r>
    </w:p>
  </w:footnote>
  <w:footnote w:id="183">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Green Paper, p 55.</w:t>
      </w:r>
    </w:p>
  </w:footnote>
  <w:footnote w:id="18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Review Panel recommendation 86.</w:t>
      </w:r>
    </w:p>
  </w:footnote>
  <w:footnote w:id="18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Proportionality of impact assessment remains a Government objective (Green Paper, p 47).</w:t>
      </w:r>
    </w:p>
  </w:footnote>
  <w:footnote w:id="18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a threshold of impact ‘triggers’ a need for expert agency consideration and agreement.</w:t>
      </w:r>
    </w:p>
  </w:footnote>
  <w:footnote w:id="18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For example, s </w:t>
      </w:r>
      <w:proofErr w:type="spellStart"/>
      <w:r w:rsidRPr="00150637">
        <w:rPr>
          <w:rFonts w:cs="Arial"/>
          <w:sz w:val="18"/>
          <w:szCs w:val="18"/>
        </w:rPr>
        <w:t>89J</w:t>
      </w:r>
      <w:proofErr w:type="spellEnd"/>
      <w:r w:rsidRPr="00150637">
        <w:rPr>
          <w:rFonts w:cs="Arial"/>
          <w:sz w:val="18"/>
          <w:szCs w:val="18"/>
        </w:rPr>
        <w:t xml:space="preserve">-K of the </w:t>
      </w:r>
      <w:proofErr w:type="spellStart"/>
      <w:r w:rsidRPr="00150637">
        <w:rPr>
          <w:rFonts w:cs="Arial"/>
          <w:i/>
          <w:iCs/>
          <w:sz w:val="18"/>
          <w:szCs w:val="18"/>
        </w:rPr>
        <w:t>EP&amp;A</w:t>
      </w:r>
      <w:proofErr w:type="spellEnd"/>
      <w:r w:rsidRPr="00150637">
        <w:rPr>
          <w:rFonts w:cs="Arial"/>
          <w:i/>
          <w:iCs/>
          <w:sz w:val="18"/>
          <w:szCs w:val="18"/>
        </w:rPr>
        <w:t xml:space="preserve"> Act</w:t>
      </w:r>
      <w:r w:rsidRPr="00150637">
        <w:rPr>
          <w:rFonts w:cs="Arial"/>
          <w:iCs/>
          <w:sz w:val="18"/>
          <w:szCs w:val="18"/>
        </w:rPr>
        <w:t xml:space="preserve"> provides exemptions for the following:</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the concurrence under Part 3 of the Coastal Protection Act 1979 of the Minister administering that Part of that Act,</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a permit under section 201, 205 or 219 of the Fisheries Management Act 1994,</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an approval under Part 4, or an excavation permit under section 139, of the Heritage Act 1977</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an Aboriginal heritage impact permit under s 90 of the National Parks and Wildlife Act 1974</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an authorisation referred to in section 12 of the Native Vegetation Act 2003 (or under any Act repealed by that Act) to clear native vegetation or State protected land,</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 xml:space="preserve">a bush fire safety authority under section </w:t>
      </w:r>
      <w:proofErr w:type="spellStart"/>
      <w:r w:rsidRPr="00150637">
        <w:rPr>
          <w:rFonts w:cs="Arial"/>
          <w:i/>
          <w:iCs/>
          <w:sz w:val="18"/>
          <w:szCs w:val="18"/>
        </w:rPr>
        <w:t>100B</w:t>
      </w:r>
      <w:proofErr w:type="spellEnd"/>
      <w:r w:rsidRPr="00150637">
        <w:rPr>
          <w:rFonts w:cs="Arial"/>
          <w:i/>
          <w:iCs/>
          <w:sz w:val="18"/>
          <w:szCs w:val="18"/>
        </w:rPr>
        <w:t xml:space="preserve"> of the Rural Fires Act 1997,</w:t>
      </w:r>
    </w:p>
    <w:p w:rsidR="00946D6B" w:rsidRPr="00150637" w:rsidRDefault="00946D6B" w:rsidP="00006551">
      <w:pPr>
        <w:pStyle w:val="FootnoteText"/>
        <w:numPr>
          <w:ilvl w:val="0"/>
          <w:numId w:val="8"/>
        </w:numPr>
        <w:rPr>
          <w:rFonts w:cs="Arial"/>
          <w:i/>
          <w:iCs/>
          <w:sz w:val="18"/>
          <w:szCs w:val="18"/>
        </w:rPr>
      </w:pPr>
      <w:r w:rsidRPr="00150637">
        <w:rPr>
          <w:rFonts w:cs="Arial"/>
          <w:i/>
          <w:iCs/>
          <w:sz w:val="18"/>
          <w:szCs w:val="18"/>
        </w:rPr>
        <w:t xml:space="preserve">a water use approval under section 89, a water management work approval under section 90 or an activity approval (other than an aquifer interference approval) under section 91 of the Water Management Act 2000. </w:t>
      </w:r>
    </w:p>
    <w:p w:rsidR="00946D6B" w:rsidRPr="00150637" w:rsidRDefault="00946D6B" w:rsidP="00006551">
      <w:pPr>
        <w:pStyle w:val="FootnoteText"/>
        <w:rPr>
          <w:rFonts w:cs="Arial"/>
          <w:i/>
          <w:iCs/>
          <w:sz w:val="18"/>
          <w:szCs w:val="18"/>
        </w:rPr>
      </w:pPr>
      <w:r w:rsidRPr="00150637">
        <w:rPr>
          <w:rFonts w:cs="Arial"/>
          <w:i/>
          <w:iCs/>
          <w:sz w:val="18"/>
          <w:szCs w:val="18"/>
        </w:rPr>
        <w:t xml:space="preserve">Furthermore, the following authorisations cannot be refused if they are necessary for carrying out the </w:t>
      </w:r>
      <w:proofErr w:type="spellStart"/>
      <w:r w:rsidRPr="00150637">
        <w:rPr>
          <w:rFonts w:cs="Arial"/>
          <w:i/>
          <w:iCs/>
          <w:sz w:val="18"/>
          <w:szCs w:val="18"/>
        </w:rPr>
        <w:t>SSD</w:t>
      </w:r>
      <w:proofErr w:type="spellEnd"/>
      <w:r w:rsidRPr="00150637">
        <w:rPr>
          <w:rFonts w:cs="Arial"/>
          <w:i/>
          <w:iCs/>
          <w:sz w:val="18"/>
          <w:szCs w:val="18"/>
        </w:rPr>
        <w:t xml:space="preserve"> that is authorised by a development consent under Part 4, Div. 4.1:</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an aquaculture permit under section 144 of the Fisheries Management Act 1994,</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an approval under section 15 of the Mine Subsidence Compensation Act 1961,</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a mining lease under the Mining Act 1992,</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a production lease under the Petroleum (Onshore) Act 1991,</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an environment protection licence under Chapter 3 of the Protection of the Environment Operations Act 1997 (for any of the purposes referred to in section 43 of that Act),</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 xml:space="preserve">a consent under section 138 of the Roads Act 1993, </w:t>
      </w:r>
    </w:p>
    <w:p w:rsidR="00946D6B" w:rsidRPr="00150637" w:rsidRDefault="00946D6B" w:rsidP="00006551">
      <w:pPr>
        <w:pStyle w:val="FootnoteText"/>
        <w:numPr>
          <w:ilvl w:val="0"/>
          <w:numId w:val="9"/>
        </w:numPr>
        <w:rPr>
          <w:rFonts w:cs="Arial"/>
          <w:i/>
          <w:iCs/>
          <w:sz w:val="18"/>
          <w:szCs w:val="18"/>
        </w:rPr>
      </w:pPr>
      <w:r w:rsidRPr="00150637">
        <w:rPr>
          <w:rFonts w:cs="Arial"/>
          <w:i/>
          <w:iCs/>
          <w:sz w:val="18"/>
          <w:szCs w:val="18"/>
        </w:rPr>
        <w:t>a licence under the Pipelines Act 1967.</w:t>
      </w:r>
    </w:p>
  </w:footnote>
  <w:footnote w:id="18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56.</w:t>
      </w:r>
    </w:p>
  </w:footnote>
  <w:footnote w:id="18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Independent Review Panel, Vol. 1, recommendations 66-75, with specific focus in rec. 72: </w:t>
      </w:r>
    </w:p>
    <w:p w:rsidR="00946D6B" w:rsidRPr="00150637" w:rsidRDefault="00946D6B" w:rsidP="00006551">
      <w:pPr>
        <w:pStyle w:val="FootnoteText"/>
        <w:rPr>
          <w:rFonts w:cs="Arial"/>
          <w:i/>
          <w:sz w:val="18"/>
          <w:szCs w:val="18"/>
        </w:rPr>
      </w:pPr>
      <w:r w:rsidRPr="00150637">
        <w:rPr>
          <w:rFonts w:cs="Arial"/>
          <w:i/>
          <w:sz w:val="18"/>
          <w:szCs w:val="18"/>
        </w:rPr>
        <w:t>The factors to be specifically taken into account during an assessment process are: Aboriginal heritage; air quality; biodiversity; climate change projections; employment creation; housing affordability; human health and liveability; non-indigenous heritage; social impacts; soils; water and the water cycle.</w:t>
      </w:r>
    </w:p>
  </w:footnote>
  <w:footnote w:id="19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Independent Review Panel, recommendation 73.</w:t>
      </w:r>
    </w:p>
  </w:footnote>
  <w:footnote w:id="19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Independent Review Panel, recommendation 75.</w:t>
      </w:r>
    </w:p>
  </w:footnote>
  <w:footnote w:id="192">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58.</w:t>
      </w:r>
    </w:p>
  </w:footnote>
  <w:footnote w:id="193">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EDO NSW, </w:t>
      </w:r>
      <w:r w:rsidRPr="00150637">
        <w:rPr>
          <w:rFonts w:cs="Arial"/>
          <w:i/>
          <w:sz w:val="18"/>
          <w:szCs w:val="18"/>
        </w:rPr>
        <w:t xml:space="preserve">Ticking the Box – </w:t>
      </w:r>
      <w:r w:rsidRPr="00150637">
        <w:rPr>
          <w:rFonts w:cs="Arial"/>
          <w:bCs/>
          <w:i/>
          <w:sz w:val="18"/>
          <w:szCs w:val="18"/>
        </w:rPr>
        <w:t xml:space="preserve">Flaws in the Environmental Assessment of Coal Seam Gas Exploration Activities </w:t>
      </w:r>
      <w:r w:rsidRPr="00150637">
        <w:rPr>
          <w:rFonts w:cs="Arial"/>
          <w:bCs/>
          <w:sz w:val="18"/>
          <w:szCs w:val="18"/>
        </w:rPr>
        <w:t>(November 2011). This report contains a number of case studies highlighting inadequacies in the current Review of Environmental Factors (</w:t>
      </w:r>
      <w:proofErr w:type="spellStart"/>
      <w:r w:rsidRPr="00150637">
        <w:rPr>
          <w:rFonts w:cs="Arial"/>
          <w:bCs/>
          <w:sz w:val="18"/>
          <w:szCs w:val="18"/>
        </w:rPr>
        <w:t>REFs</w:t>
      </w:r>
      <w:proofErr w:type="spellEnd"/>
      <w:r w:rsidRPr="00150637">
        <w:rPr>
          <w:rFonts w:cs="Arial"/>
          <w:bCs/>
          <w:sz w:val="18"/>
          <w:szCs w:val="18"/>
        </w:rPr>
        <w:t>) process.</w:t>
      </w:r>
    </w:p>
  </w:footnote>
  <w:footnote w:id="19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NCC</w:t>
      </w:r>
      <w:proofErr w:type="spellEnd"/>
      <w:r w:rsidRPr="00150637">
        <w:rPr>
          <w:rFonts w:cs="Arial"/>
          <w:sz w:val="18"/>
          <w:szCs w:val="18"/>
        </w:rPr>
        <w:t>, EDO and TEC (March 2012), p 20, ‘Improvement in the integrity of environmental impact assessment’</w:t>
      </w:r>
    </w:p>
  </w:footnote>
  <w:footnote w:id="19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ICAC</w:t>
      </w:r>
      <w:proofErr w:type="spellEnd"/>
      <w:r w:rsidRPr="00150637">
        <w:rPr>
          <w:rFonts w:cs="Arial"/>
          <w:sz w:val="18"/>
          <w:szCs w:val="18"/>
        </w:rPr>
        <w:t xml:space="preserve">, </w:t>
      </w:r>
      <w:r w:rsidRPr="00150637">
        <w:rPr>
          <w:rFonts w:cs="Arial"/>
          <w:i/>
          <w:sz w:val="18"/>
          <w:szCs w:val="18"/>
        </w:rPr>
        <w:t>Anti-corruption safeguards and the NSW planning system</w:t>
      </w:r>
      <w:r w:rsidRPr="00150637">
        <w:rPr>
          <w:rFonts w:cs="Arial"/>
          <w:sz w:val="18"/>
          <w:szCs w:val="18"/>
        </w:rPr>
        <w:t xml:space="preserve"> (2012), p 22: </w:t>
      </w:r>
      <w:r w:rsidRPr="00150637">
        <w:rPr>
          <w:rFonts w:cs="Arial"/>
          <w:i/>
          <w:sz w:val="18"/>
          <w:szCs w:val="18"/>
        </w:rPr>
        <w:t xml:space="preserve">The limited availability of third party appeal rights under the </w:t>
      </w:r>
      <w:proofErr w:type="spellStart"/>
      <w:r w:rsidRPr="00150637">
        <w:rPr>
          <w:rFonts w:cs="Arial"/>
          <w:i/>
          <w:sz w:val="18"/>
          <w:szCs w:val="18"/>
        </w:rPr>
        <w:t>EP&amp;A</w:t>
      </w:r>
      <w:proofErr w:type="spellEnd"/>
      <w:r w:rsidRPr="00150637">
        <w:rPr>
          <w:rFonts w:cs="Arial"/>
          <w:i/>
          <w:sz w:val="18"/>
          <w:szCs w:val="18"/>
        </w:rPr>
        <w:t xml:space="preserve"> Act means that an important check on executive government is absent. [These] rights have the potential to deter corrupt approaches by minimising the chance that any favouritism sought will succeed. The absence of third party appeals creates an opportunity for corrupt conduct to occur…</w:t>
      </w:r>
    </w:p>
  </w:footnote>
  <w:footnote w:id="19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Green Paper, p 66.</w:t>
      </w:r>
    </w:p>
  </w:footnote>
  <w:footnote w:id="19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joint submission (March 2012), from p 75, response to Issues Paper Part E.</w:t>
      </w:r>
    </w:p>
  </w:footnote>
  <w:footnote w:id="19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Independent Review Panel, recommendations 25-26:</w:t>
      </w:r>
    </w:p>
    <w:p w:rsidR="00946D6B" w:rsidRPr="00150637" w:rsidRDefault="00946D6B" w:rsidP="00006551">
      <w:pPr>
        <w:autoSpaceDE w:val="0"/>
        <w:autoSpaceDN w:val="0"/>
        <w:adjustRightInd w:val="0"/>
        <w:rPr>
          <w:rFonts w:cs="Arial"/>
          <w:i/>
          <w:sz w:val="18"/>
          <w:szCs w:val="18"/>
        </w:rPr>
      </w:pPr>
      <w:r w:rsidRPr="00150637">
        <w:rPr>
          <w:rFonts w:cs="Arial"/>
          <w:i/>
          <w:sz w:val="18"/>
          <w:szCs w:val="18"/>
        </w:rPr>
        <w:t>25. The establishment of a new right of third party appeal to be confined to a person or entity who lodged an objection to the proposed dispensation and who, on appeal, can demonstrate a direct adverse effect by the granting of the dispensation.</w:t>
      </w:r>
    </w:p>
    <w:p w:rsidR="00946D6B" w:rsidRPr="00150637" w:rsidRDefault="00946D6B" w:rsidP="00006551">
      <w:pPr>
        <w:autoSpaceDE w:val="0"/>
        <w:autoSpaceDN w:val="0"/>
        <w:adjustRightInd w:val="0"/>
        <w:rPr>
          <w:rFonts w:cs="Arial"/>
          <w:i/>
          <w:sz w:val="18"/>
          <w:szCs w:val="18"/>
        </w:rPr>
      </w:pPr>
      <w:r w:rsidRPr="00150637">
        <w:rPr>
          <w:rFonts w:cs="Arial"/>
          <w:i/>
          <w:sz w:val="18"/>
          <w:szCs w:val="18"/>
        </w:rPr>
        <w:t>26. All objectors must be advised of any approval granting dispensation from compliance</w:t>
      </w:r>
    </w:p>
    <w:p w:rsidR="00946D6B" w:rsidRPr="00150637" w:rsidRDefault="00946D6B" w:rsidP="00006551">
      <w:pPr>
        <w:autoSpaceDE w:val="0"/>
        <w:autoSpaceDN w:val="0"/>
        <w:adjustRightInd w:val="0"/>
        <w:ind w:left="720"/>
        <w:rPr>
          <w:rFonts w:cs="Arial"/>
          <w:i/>
          <w:sz w:val="18"/>
          <w:szCs w:val="18"/>
        </w:rPr>
      </w:pPr>
      <w:r w:rsidRPr="00150637">
        <w:rPr>
          <w:rFonts w:cs="Arial"/>
          <w:i/>
          <w:sz w:val="18"/>
          <w:szCs w:val="18"/>
        </w:rPr>
        <w:t>with a development standard and of the limited scope of permitted third party appeal rights against the granted dispensation.</w:t>
      </w:r>
    </w:p>
  </w:footnote>
  <w:footnote w:id="19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w:t>
      </w:r>
      <w:proofErr w:type="spellStart"/>
      <w:r w:rsidRPr="00150637">
        <w:rPr>
          <w:rFonts w:cs="Arial"/>
          <w:sz w:val="18"/>
          <w:szCs w:val="18"/>
        </w:rPr>
        <w:t>ICAC</w:t>
      </w:r>
      <w:proofErr w:type="spellEnd"/>
      <w:r w:rsidRPr="00150637">
        <w:rPr>
          <w:rFonts w:cs="Arial"/>
          <w:sz w:val="18"/>
          <w:szCs w:val="18"/>
        </w:rPr>
        <w:t xml:space="preserve">, </w:t>
      </w:r>
      <w:r w:rsidRPr="00150637">
        <w:rPr>
          <w:rFonts w:cs="Arial"/>
          <w:i/>
          <w:sz w:val="18"/>
          <w:szCs w:val="18"/>
        </w:rPr>
        <w:t>Anti-corruption safeguards and the NSW planning system</w:t>
      </w:r>
      <w:r w:rsidRPr="00150637">
        <w:rPr>
          <w:rFonts w:cs="Arial"/>
          <w:sz w:val="18"/>
          <w:szCs w:val="18"/>
        </w:rPr>
        <w:t xml:space="preserve"> (February 2012), recommendation 15. See further Independent Review Panel, ‘NSW Planning System Review Response’, Vol. 2, p 66.</w:t>
      </w:r>
    </w:p>
  </w:footnote>
  <w:footnote w:id="200">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0.57% (indicative) as a proportion of development determinations. See Department of Planning, </w:t>
      </w:r>
      <w:r w:rsidRPr="00150637">
        <w:rPr>
          <w:rFonts w:cs="Arial"/>
          <w:i/>
          <w:sz w:val="18"/>
          <w:szCs w:val="18"/>
        </w:rPr>
        <w:t>Local Development Performance Monitoring 2010-11</w:t>
      </w:r>
      <w:r w:rsidRPr="00150637">
        <w:rPr>
          <w:rFonts w:cs="Arial"/>
          <w:sz w:val="18"/>
          <w:szCs w:val="18"/>
        </w:rPr>
        <w:t xml:space="preserve">, p 80, Table 6-1, at </w:t>
      </w:r>
      <w:hyperlink r:id="rId78" w:history="1">
        <w:r w:rsidRPr="00150637">
          <w:rPr>
            <w:rStyle w:val="Hyperlink"/>
            <w:rFonts w:cs="Arial"/>
            <w:color w:val="auto"/>
            <w:sz w:val="18"/>
            <w:szCs w:val="18"/>
          </w:rPr>
          <w:t>http://www.planning.nsw.gov.au/LinkClick.aspx?fileticket=29mGD0zKm9c%3d&amp;tabid=74&amp;language=en-AU</w:t>
        </w:r>
      </w:hyperlink>
      <w:r w:rsidRPr="00150637">
        <w:rPr>
          <w:rFonts w:cs="Arial"/>
          <w:sz w:val="18"/>
          <w:szCs w:val="18"/>
        </w:rPr>
        <w:t xml:space="preserve">. </w:t>
      </w:r>
    </w:p>
  </w:footnote>
  <w:footnote w:id="201">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Department of Planning, </w:t>
      </w:r>
      <w:r w:rsidRPr="00150637">
        <w:rPr>
          <w:rFonts w:cs="Arial"/>
          <w:i/>
          <w:sz w:val="18"/>
          <w:szCs w:val="18"/>
        </w:rPr>
        <w:t>Local Development Performance Monitoring 2010-11</w:t>
      </w:r>
      <w:r w:rsidRPr="00150637">
        <w:rPr>
          <w:rFonts w:cs="Arial"/>
          <w:sz w:val="18"/>
          <w:szCs w:val="18"/>
        </w:rPr>
        <w:t xml:space="preserve">, </w:t>
      </w:r>
      <w:proofErr w:type="spellStart"/>
      <w:r w:rsidRPr="00150637">
        <w:rPr>
          <w:rFonts w:cs="Arial"/>
          <w:sz w:val="18"/>
          <w:szCs w:val="18"/>
        </w:rPr>
        <w:t>pp</w:t>
      </w:r>
      <w:proofErr w:type="spellEnd"/>
      <w:r w:rsidRPr="00150637">
        <w:rPr>
          <w:rFonts w:cs="Arial"/>
          <w:sz w:val="18"/>
          <w:szCs w:val="18"/>
        </w:rPr>
        <w:t xml:space="preserve"> 80-81.</w:t>
      </w:r>
    </w:p>
  </w:footnote>
  <w:footnote w:id="202">
    <w:p w:rsidR="00946D6B" w:rsidRPr="00150637" w:rsidRDefault="00946D6B" w:rsidP="00006551">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A recent EDO paper See for example, EDO NSW, </w:t>
      </w:r>
      <w:r w:rsidRPr="00150637">
        <w:rPr>
          <w:rFonts w:cs="Arial"/>
          <w:i/>
          <w:sz w:val="18"/>
          <w:szCs w:val="18"/>
        </w:rPr>
        <w:t>NSW Planning System’s Sustainability Failures</w:t>
      </w:r>
      <w:r w:rsidRPr="00150637">
        <w:rPr>
          <w:rFonts w:cs="Arial"/>
          <w:sz w:val="18"/>
          <w:szCs w:val="18"/>
        </w:rPr>
        <w:t xml:space="preserve"> (February 2012), at </w:t>
      </w:r>
      <w:hyperlink r:id="rId79" w:history="1">
        <w:r w:rsidRPr="00150637">
          <w:rPr>
            <w:rStyle w:val="Hyperlink"/>
            <w:rFonts w:cs="Arial"/>
            <w:color w:val="auto"/>
            <w:sz w:val="18"/>
            <w:szCs w:val="18"/>
          </w:rPr>
          <w:t>http://www.edo.org.au/edonsw/site/pdf/misc/120209planning_law_reform_cases.pdf</w:t>
        </w:r>
      </w:hyperlink>
      <w:r w:rsidRPr="00150637">
        <w:rPr>
          <w:rFonts w:cs="Arial"/>
          <w:sz w:val="18"/>
          <w:szCs w:val="18"/>
        </w:rPr>
        <w:t xml:space="preserve">. This paper documents three case studies where third party merits appeal rights were not available to challenge large and controversial developments, despite significant community concern.  </w:t>
      </w:r>
      <w:r w:rsidRPr="00150637">
        <w:rPr>
          <w:rFonts w:cs="Arial"/>
          <w:sz w:val="18"/>
          <w:szCs w:val="18"/>
          <w:lang w:eastAsia="en-AU"/>
        </w:rPr>
        <w:t xml:space="preserve">The </w:t>
      </w:r>
      <w:proofErr w:type="spellStart"/>
      <w:r w:rsidRPr="00150637">
        <w:rPr>
          <w:rFonts w:cs="Arial"/>
          <w:i/>
          <w:sz w:val="18"/>
          <w:szCs w:val="18"/>
          <w:lang w:eastAsia="en-AU"/>
        </w:rPr>
        <w:t>Huntlee</w:t>
      </w:r>
      <w:proofErr w:type="spellEnd"/>
      <w:r w:rsidRPr="00150637">
        <w:rPr>
          <w:rFonts w:cs="Arial"/>
          <w:sz w:val="18"/>
          <w:szCs w:val="18"/>
          <w:lang w:eastAsia="en-AU"/>
        </w:rPr>
        <w:t xml:space="preserve"> (residential development) and </w:t>
      </w:r>
      <w:r w:rsidRPr="00150637">
        <w:rPr>
          <w:rFonts w:cs="Arial"/>
          <w:i/>
          <w:sz w:val="18"/>
          <w:szCs w:val="18"/>
          <w:lang w:eastAsia="en-AU"/>
        </w:rPr>
        <w:t>Bega Wood Pellet Mill</w:t>
      </w:r>
      <w:r w:rsidRPr="00150637">
        <w:rPr>
          <w:rFonts w:cs="Arial"/>
          <w:sz w:val="18"/>
          <w:szCs w:val="18"/>
          <w:lang w:eastAsia="en-AU"/>
        </w:rPr>
        <w:t xml:space="preserve"> cases did not involve designated development, and so did not have merits appeal rights. The </w:t>
      </w:r>
      <w:r w:rsidRPr="00150637">
        <w:rPr>
          <w:rFonts w:cs="Arial"/>
          <w:i/>
          <w:sz w:val="18"/>
          <w:szCs w:val="18"/>
          <w:lang w:eastAsia="en-AU"/>
        </w:rPr>
        <w:t>Haughton</w:t>
      </w:r>
      <w:r w:rsidRPr="00150637">
        <w:rPr>
          <w:rFonts w:cs="Arial"/>
          <w:sz w:val="18"/>
          <w:szCs w:val="18"/>
          <w:lang w:eastAsia="en-AU"/>
        </w:rPr>
        <w:t xml:space="preserve"> power stations case involved designated development, but as they were deemed ‘critical infrastructure’ no merits appeal rights existed.</w:t>
      </w:r>
    </w:p>
  </w:footnote>
  <w:footnote w:id="203">
    <w:p w:rsidR="00946D6B" w:rsidRPr="00150637" w:rsidRDefault="00946D6B" w:rsidP="00006551">
      <w:pPr>
        <w:autoSpaceDE w:val="0"/>
        <w:autoSpaceDN w:val="0"/>
        <w:adjustRightInd w:val="0"/>
        <w:rPr>
          <w:rFonts w:cs="Arial"/>
          <w:sz w:val="18"/>
          <w:szCs w:val="18"/>
        </w:rPr>
      </w:pPr>
      <w:r w:rsidRPr="00150637">
        <w:rPr>
          <w:rStyle w:val="FootnoteReference"/>
          <w:rFonts w:cs="Arial"/>
          <w:sz w:val="18"/>
          <w:szCs w:val="18"/>
        </w:rPr>
        <w:footnoteRef/>
      </w:r>
      <w:r w:rsidRPr="00150637">
        <w:rPr>
          <w:rFonts w:cs="Arial"/>
          <w:sz w:val="18"/>
          <w:szCs w:val="18"/>
        </w:rPr>
        <w:t xml:space="preserve"> Independent Review Panel, recommendation 120: </w:t>
      </w:r>
      <w:r w:rsidRPr="00150637">
        <w:rPr>
          <w:rFonts w:cs="Arial"/>
          <w:i/>
          <w:sz w:val="18"/>
          <w:szCs w:val="18"/>
        </w:rPr>
        <w:t xml:space="preserve">The open standing provisions in section 123 of the </w:t>
      </w:r>
      <w:r w:rsidRPr="00150637">
        <w:rPr>
          <w:rFonts w:cs="Arial"/>
          <w:i/>
          <w:iCs/>
          <w:sz w:val="18"/>
          <w:szCs w:val="18"/>
        </w:rPr>
        <w:t xml:space="preserve">Environmental Planning and Assessment Act 1979 </w:t>
      </w:r>
      <w:r w:rsidRPr="00150637">
        <w:rPr>
          <w:rFonts w:cs="Arial"/>
          <w:i/>
          <w:sz w:val="18"/>
          <w:szCs w:val="18"/>
        </w:rPr>
        <w:t>be incorporated in the proposed Sustainable Planning Act. An</w:t>
      </w:r>
      <w:r w:rsidRPr="00150637">
        <w:rPr>
          <w:rFonts w:cs="Arial"/>
          <w:i/>
          <w:iCs/>
          <w:sz w:val="18"/>
          <w:szCs w:val="18"/>
        </w:rPr>
        <w:t xml:space="preserve"> </w:t>
      </w:r>
      <w:r w:rsidRPr="00150637">
        <w:rPr>
          <w:rFonts w:cs="Arial"/>
          <w:i/>
          <w:sz w:val="18"/>
          <w:szCs w:val="18"/>
        </w:rPr>
        <w:t>appropriate way should be provided to ensure early and effective intervention against</w:t>
      </w:r>
      <w:r w:rsidRPr="00150637">
        <w:rPr>
          <w:rFonts w:cs="Arial"/>
          <w:i/>
          <w:iCs/>
          <w:sz w:val="18"/>
          <w:szCs w:val="18"/>
        </w:rPr>
        <w:t xml:space="preserve"> </w:t>
      </w:r>
      <w:r w:rsidRPr="00150637">
        <w:rPr>
          <w:rFonts w:cs="Arial"/>
          <w:i/>
          <w:sz w:val="18"/>
          <w:szCs w:val="18"/>
        </w:rPr>
        <w:t>unapproved activities that are having (or have the potential to have) significant impacts in a locality.</w:t>
      </w:r>
    </w:p>
  </w:footnote>
  <w:footnote w:id="204">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This reflects the </w:t>
      </w:r>
      <w:proofErr w:type="spellStart"/>
      <w:r w:rsidRPr="00150637">
        <w:rPr>
          <w:rFonts w:cs="Arial"/>
          <w:sz w:val="18"/>
          <w:szCs w:val="18"/>
        </w:rPr>
        <w:t>ESD</w:t>
      </w:r>
      <w:proofErr w:type="spellEnd"/>
      <w:r w:rsidRPr="00150637">
        <w:rPr>
          <w:rFonts w:cs="Arial"/>
          <w:sz w:val="18"/>
          <w:szCs w:val="18"/>
        </w:rPr>
        <w:t xml:space="preserve"> principle of ‘improved valuation, pricing and incentive mechanisms’:</w:t>
      </w:r>
    </w:p>
    <w:p w:rsidR="00946D6B" w:rsidRPr="00150637" w:rsidRDefault="00946D6B" w:rsidP="00006551">
      <w:pPr>
        <w:pStyle w:val="FootnoteText"/>
        <w:rPr>
          <w:rFonts w:cs="Arial"/>
          <w:i/>
          <w:sz w:val="18"/>
          <w:szCs w:val="18"/>
        </w:rPr>
      </w:pPr>
      <w:r w:rsidRPr="00150637">
        <w:rPr>
          <w:rFonts w:cs="Arial"/>
          <w:i/>
          <w:sz w:val="18"/>
          <w:szCs w:val="18"/>
        </w:rPr>
        <w:t xml:space="preserve">(iii) environmental goals, having been established, should be pursued in the most cost effective way, by establishing incentive structures, including market mechanisms, that enable those best placed to maximise benefits or minimise costs to develop their own solutions and responses to environmental problems. </w:t>
      </w:r>
      <w:r w:rsidRPr="00150637">
        <w:rPr>
          <w:rFonts w:cs="Arial"/>
          <w:sz w:val="18"/>
          <w:szCs w:val="18"/>
        </w:rPr>
        <w:t xml:space="preserve">See </w:t>
      </w:r>
      <w:r w:rsidRPr="00150637">
        <w:rPr>
          <w:rFonts w:cs="Arial"/>
          <w:i/>
          <w:sz w:val="18"/>
          <w:szCs w:val="18"/>
        </w:rPr>
        <w:t>Protection of the Environment Administration Act 1991</w:t>
      </w:r>
      <w:r w:rsidRPr="00150637">
        <w:rPr>
          <w:rFonts w:cs="Arial"/>
          <w:sz w:val="18"/>
          <w:szCs w:val="18"/>
        </w:rPr>
        <w:t xml:space="preserve"> (NSW), s 6(2)(d).</w:t>
      </w:r>
    </w:p>
  </w:footnote>
  <w:footnote w:id="205">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Growth Management Queensland, </w:t>
      </w:r>
      <w:r w:rsidRPr="00150637">
        <w:rPr>
          <w:rFonts w:cs="Arial"/>
          <w:i/>
          <w:sz w:val="18"/>
          <w:szCs w:val="18"/>
        </w:rPr>
        <w:t xml:space="preserve">Green Door Information Paper, </w:t>
      </w:r>
      <w:r w:rsidRPr="00150637">
        <w:rPr>
          <w:rFonts w:cs="Arial"/>
          <w:sz w:val="18"/>
          <w:szCs w:val="18"/>
        </w:rPr>
        <w:t>July 2011. In early 2012, the Green Door initiative was merged into the Major Projects Office (now Development Facilitation Services).</w:t>
      </w:r>
    </w:p>
  </w:footnote>
  <w:footnote w:id="206">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Siobhan </w:t>
      </w:r>
      <w:proofErr w:type="spellStart"/>
      <w:r w:rsidRPr="00150637">
        <w:rPr>
          <w:rFonts w:cs="Arial"/>
          <w:sz w:val="18"/>
          <w:szCs w:val="18"/>
        </w:rPr>
        <w:t>Toohill</w:t>
      </w:r>
      <w:proofErr w:type="spellEnd"/>
      <w:r w:rsidRPr="00150637">
        <w:rPr>
          <w:rFonts w:cs="Arial"/>
          <w:sz w:val="18"/>
          <w:szCs w:val="18"/>
        </w:rPr>
        <w:t xml:space="preserve">, “Embedding Sustainability at </w:t>
      </w:r>
      <w:proofErr w:type="spellStart"/>
      <w:r w:rsidRPr="00150637">
        <w:rPr>
          <w:rFonts w:cs="Arial"/>
          <w:sz w:val="18"/>
          <w:szCs w:val="18"/>
        </w:rPr>
        <w:t>Stockland</w:t>
      </w:r>
      <w:proofErr w:type="spellEnd"/>
      <w:r w:rsidRPr="00150637">
        <w:rPr>
          <w:rFonts w:cs="Arial"/>
          <w:sz w:val="18"/>
          <w:szCs w:val="18"/>
        </w:rPr>
        <w:t xml:space="preserve">”, Centre for Social Impact: </w:t>
      </w:r>
      <w:hyperlink r:id="rId80" w:history="1">
        <w:r w:rsidRPr="00150637">
          <w:rPr>
            <w:rStyle w:val="Hyperlink"/>
            <w:rFonts w:cs="Arial"/>
            <w:color w:val="auto"/>
            <w:sz w:val="18"/>
            <w:szCs w:val="18"/>
          </w:rPr>
          <w:t>http://www.csi.edu.au/site/Knowledge_Centre/Asset.aspx?assetid=c9627ec3f646d127</w:t>
        </w:r>
      </w:hyperlink>
      <w:r w:rsidRPr="00150637">
        <w:rPr>
          <w:rFonts w:cs="Arial"/>
          <w:sz w:val="18"/>
          <w:szCs w:val="18"/>
        </w:rPr>
        <w:t xml:space="preserve">.   </w:t>
      </w:r>
    </w:p>
  </w:footnote>
  <w:footnote w:id="207">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See for example, COAG Communique, April 2012.</w:t>
      </w:r>
    </w:p>
  </w:footnote>
  <w:footnote w:id="208">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As with restrictions on </w:t>
      </w:r>
      <w:proofErr w:type="spellStart"/>
      <w:r w:rsidRPr="00150637">
        <w:rPr>
          <w:rFonts w:cs="Arial"/>
          <w:sz w:val="18"/>
          <w:szCs w:val="18"/>
        </w:rPr>
        <w:t>LEPs</w:t>
      </w:r>
      <w:proofErr w:type="spellEnd"/>
      <w:r w:rsidRPr="00150637">
        <w:rPr>
          <w:rFonts w:cs="Arial"/>
          <w:sz w:val="18"/>
          <w:szCs w:val="18"/>
        </w:rPr>
        <w:t xml:space="preserve"> imposing </w:t>
      </w:r>
      <w:r w:rsidRPr="00150637">
        <w:rPr>
          <w:rFonts w:cs="Arial"/>
          <w:sz w:val="18"/>
          <w:szCs w:val="18"/>
          <w:lang w:val="en-US"/>
        </w:rPr>
        <w:t xml:space="preserve">more stringent </w:t>
      </w:r>
      <w:r w:rsidRPr="00150637">
        <w:rPr>
          <w:rFonts w:cs="Arial"/>
          <w:sz w:val="18"/>
          <w:szCs w:val="18"/>
        </w:rPr>
        <w:t>housing construction standards</w:t>
      </w:r>
      <w:r w:rsidRPr="00150637">
        <w:rPr>
          <w:rFonts w:cs="Arial"/>
          <w:sz w:val="18"/>
          <w:szCs w:val="18"/>
          <w:lang w:val="en-US"/>
        </w:rPr>
        <w:t xml:space="preserve"> than </w:t>
      </w:r>
      <w:proofErr w:type="spellStart"/>
      <w:r w:rsidRPr="00150637">
        <w:rPr>
          <w:rFonts w:cs="Arial"/>
          <w:sz w:val="18"/>
          <w:szCs w:val="18"/>
          <w:lang w:val="en-US"/>
        </w:rPr>
        <w:t>BASIX</w:t>
      </w:r>
      <w:proofErr w:type="spellEnd"/>
      <w:r w:rsidRPr="00150637">
        <w:rPr>
          <w:rFonts w:cs="Arial"/>
          <w:sz w:val="18"/>
          <w:szCs w:val="18"/>
          <w:lang w:val="en-US"/>
        </w:rPr>
        <w:t xml:space="preserve"> (see above).</w:t>
      </w:r>
    </w:p>
  </w:footnote>
  <w:footnote w:id="209">
    <w:p w:rsidR="00946D6B" w:rsidRPr="00150637" w:rsidRDefault="00946D6B" w:rsidP="00006551">
      <w:pPr>
        <w:pStyle w:val="FootnoteText"/>
        <w:rPr>
          <w:rFonts w:cs="Arial"/>
          <w:sz w:val="18"/>
          <w:szCs w:val="18"/>
        </w:rPr>
      </w:pPr>
      <w:r w:rsidRPr="00150637">
        <w:rPr>
          <w:rStyle w:val="FootnoteReference"/>
          <w:rFonts w:cs="Arial"/>
          <w:sz w:val="18"/>
          <w:szCs w:val="18"/>
        </w:rPr>
        <w:footnoteRef/>
      </w:r>
      <w:r w:rsidRPr="00150637">
        <w:rPr>
          <w:rFonts w:cs="Arial"/>
          <w:sz w:val="18"/>
          <w:szCs w:val="18"/>
        </w:rPr>
        <w:t xml:space="preserve"> The policy aimed to accelerate decisions for development proposals that are identified to be the most sustainable in Queensland, emerged from a 2010 cross-sectoral summit on population growth. The principles relate to exemplary planning processes; ecological processes (including improved potable water use; reduction in waste; increase in ecosystem quality and production of energy from renewable sources and a reduction in carbon footprint); economic development and community wellbeing.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D6B" w:rsidRDefault="00946D6B" w:rsidP="002C6FAA">
    <w:pPr>
      <w:pStyle w:val="Header"/>
      <w:jc w:val="right"/>
    </w:pPr>
    <w:r>
      <w:rPr>
        <w:noProof/>
        <w:lang w:eastAsia="en-AU"/>
      </w:rPr>
      <mc:AlternateContent>
        <mc:Choice Requires="wps">
          <w:drawing>
            <wp:anchor distT="0" distB="0" distL="114300" distR="114300" simplePos="0" relativeHeight="251657728" behindDoc="0" locked="0" layoutInCell="0" allowOverlap="1">
              <wp:simplePos x="0" y="0"/>
              <wp:positionH relativeFrom="column">
                <wp:posOffset>-259080</wp:posOffset>
              </wp:positionH>
              <wp:positionV relativeFrom="paragraph">
                <wp:posOffset>235585</wp:posOffset>
              </wp:positionV>
              <wp:extent cx="4177665" cy="822960"/>
              <wp:effectExtent l="7620" t="6985" r="571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7665" cy="822960"/>
                      </a:xfrm>
                      <a:prstGeom prst="rect">
                        <a:avLst/>
                      </a:prstGeom>
                      <a:solidFill>
                        <a:srgbClr val="000000"/>
                      </a:solidFill>
                      <a:ln w="9525">
                        <a:solidFill>
                          <a:srgbClr val="000000"/>
                        </a:solidFill>
                        <a:miter lim="800000"/>
                        <a:headEnd/>
                        <a:tailEnd/>
                      </a:ln>
                    </wps:spPr>
                    <wps:txbx>
                      <w:txbxContent>
                        <w:p w:rsidR="00946D6B" w:rsidRPr="000B7F9D" w:rsidRDefault="00946D6B" w:rsidP="002C6FAA">
                          <w:pPr>
                            <w:shd w:val="clear" w:color="auto" w:fill="000000"/>
                            <w:jc w:val="center"/>
                            <w:rPr>
                              <w:rFonts w:ascii="Impact" w:hAnsi="Impact"/>
                              <w:sz w:val="44"/>
                              <w:szCs w:val="44"/>
                            </w:rPr>
                          </w:pPr>
                          <w:r>
                            <w:rPr>
                              <w:rFonts w:ascii="Impact" w:hAnsi="Impact"/>
                              <w:sz w:val="44"/>
                              <w:szCs w:val="44"/>
                            </w:rPr>
                            <w:t>Australian N</w:t>
                          </w:r>
                          <w:r w:rsidRPr="000B7F9D">
                            <w:rPr>
                              <w:rFonts w:ascii="Impact" w:hAnsi="Impact"/>
                              <w:sz w:val="44"/>
                              <w:szCs w:val="44"/>
                            </w:rPr>
                            <w:t xml:space="preserve">etwork of </w:t>
                          </w:r>
                        </w:p>
                        <w:p w:rsidR="00946D6B" w:rsidRPr="000B7F9D" w:rsidRDefault="00946D6B" w:rsidP="002C6FAA">
                          <w:pPr>
                            <w:shd w:val="clear" w:color="auto" w:fill="000000"/>
                            <w:jc w:val="center"/>
                            <w:rPr>
                              <w:rFonts w:ascii="Impact" w:hAnsi="Impact"/>
                              <w:sz w:val="44"/>
                              <w:szCs w:val="44"/>
                            </w:rPr>
                          </w:pPr>
                          <w:r>
                            <w:rPr>
                              <w:rFonts w:ascii="Impact" w:hAnsi="Impact"/>
                              <w:sz w:val="44"/>
                              <w:szCs w:val="44"/>
                            </w:rPr>
                            <w:t>Environmental D</w:t>
                          </w:r>
                          <w:r w:rsidRPr="000B7F9D">
                            <w:rPr>
                              <w:rFonts w:ascii="Impact" w:hAnsi="Impact"/>
                              <w:sz w:val="44"/>
                              <w:szCs w:val="44"/>
                            </w:rPr>
                            <w:t xml:space="preserve">efender’s </w:t>
                          </w:r>
                          <w:r>
                            <w:rPr>
                              <w:rFonts w:ascii="Impact" w:hAnsi="Impact"/>
                              <w:sz w:val="44"/>
                              <w:szCs w:val="44"/>
                            </w:rPr>
                            <w:t>O</w:t>
                          </w:r>
                          <w:r w:rsidRPr="000B7F9D">
                            <w:rPr>
                              <w:rFonts w:ascii="Impact" w:hAnsi="Impact"/>
                              <w:sz w:val="44"/>
                              <w:szCs w:val="44"/>
                            </w:rPr>
                            <w:t>ffices</w:t>
                          </w:r>
                        </w:p>
                        <w:p w:rsidR="00946D6B" w:rsidRDefault="00946D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4pt;margin-top:18.55pt;width:328.95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" o:allowincell="f" fillcolor="black">
              <v:textbox>
                <w:txbxContent>
                  <w:p w:rsidR="00946D6B" w:rsidRPr="000B7F9D" w:rsidRDefault="00946D6B" w:rsidP="002C6FAA">
                    <w:pPr>
                      <w:shd w:val="clear" w:color="auto" w:fill="000000"/>
                      <w:jc w:val="center"/>
                      <w:rPr>
                        <w:rFonts w:ascii="Impact" w:hAnsi="Impact"/>
                        <w:sz w:val="44"/>
                        <w:szCs w:val="44"/>
                      </w:rPr>
                    </w:pPr>
                    <w:r>
                      <w:rPr>
                        <w:rFonts w:ascii="Impact" w:hAnsi="Impact"/>
                        <w:sz w:val="44"/>
                        <w:szCs w:val="44"/>
                      </w:rPr>
                      <w:t>Australian N</w:t>
                    </w:r>
                    <w:r w:rsidRPr="000B7F9D">
                      <w:rPr>
                        <w:rFonts w:ascii="Impact" w:hAnsi="Impact"/>
                        <w:sz w:val="44"/>
                        <w:szCs w:val="44"/>
                      </w:rPr>
                      <w:t xml:space="preserve">etwork of </w:t>
                    </w:r>
                  </w:p>
                  <w:p w:rsidR="00946D6B" w:rsidRPr="000B7F9D" w:rsidRDefault="00946D6B" w:rsidP="002C6FAA">
                    <w:pPr>
                      <w:shd w:val="clear" w:color="auto" w:fill="000000"/>
                      <w:jc w:val="center"/>
                      <w:rPr>
                        <w:rFonts w:ascii="Impact" w:hAnsi="Impact"/>
                        <w:sz w:val="44"/>
                        <w:szCs w:val="44"/>
                      </w:rPr>
                    </w:pPr>
                    <w:r>
                      <w:rPr>
                        <w:rFonts w:ascii="Impact" w:hAnsi="Impact"/>
                        <w:sz w:val="44"/>
                        <w:szCs w:val="44"/>
                      </w:rPr>
                      <w:t>Environmental D</w:t>
                    </w:r>
                    <w:r w:rsidRPr="000B7F9D">
                      <w:rPr>
                        <w:rFonts w:ascii="Impact" w:hAnsi="Impact"/>
                        <w:sz w:val="44"/>
                        <w:szCs w:val="44"/>
                      </w:rPr>
                      <w:t xml:space="preserve">efender’s </w:t>
                    </w:r>
                    <w:r>
                      <w:rPr>
                        <w:rFonts w:ascii="Impact" w:hAnsi="Impact"/>
                        <w:sz w:val="44"/>
                        <w:szCs w:val="44"/>
                      </w:rPr>
                      <w:t>O</w:t>
                    </w:r>
                    <w:r w:rsidRPr="000B7F9D">
                      <w:rPr>
                        <w:rFonts w:ascii="Impact" w:hAnsi="Impact"/>
                        <w:sz w:val="44"/>
                        <w:szCs w:val="44"/>
                      </w:rPr>
                      <w:t>ffices</w:t>
                    </w:r>
                  </w:p>
                  <w:p w:rsidR="00946D6B" w:rsidRDefault="00946D6B"/>
                </w:txbxContent>
              </v:textbox>
            </v:shape>
          </w:pict>
        </mc:Fallback>
      </mc:AlternateContent>
    </w:r>
    <w:r>
      <w:rPr>
        <w:noProof/>
        <w:lang w:eastAsia="en-AU"/>
      </w:rPr>
      <w:drawing>
        <wp:inline distT="0" distB="0" distL="0" distR="0">
          <wp:extent cx="1543050" cy="1466850"/>
          <wp:effectExtent l="0" t="0" r="0" b="0"/>
          <wp:docPr id="1" name="Picture 1" descr="ANEDO logo +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EDO logo +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466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A35"/>
    <w:multiLevelType w:val="hybridMultilevel"/>
    <w:tmpl w:val="4D563B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5F552F"/>
    <w:multiLevelType w:val="hybridMultilevel"/>
    <w:tmpl w:val="6C405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E5512D"/>
    <w:multiLevelType w:val="hybridMultilevel"/>
    <w:tmpl w:val="C3FC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C44620"/>
    <w:multiLevelType w:val="hybridMultilevel"/>
    <w:tmpl w:val="9DCC4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07974BD6"/>
    <w:multiLevelType w:val="hybridMultilevel"/>
    <w:tmpl w:val="65E69D64"/>
    <w:lvl w:ilvl="0" w:tplc="6D3E3B4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8294EFF"/>
    <w:multiLevelType w:val="hybridMultilevel"/>
    <w:tmpl w:val="9762314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8902174"/>
    <w:multiLevelType w:val="hybridMultilevel"/>
    <w:tmpl w:val="2944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964631F"/>
    <w:multiLevelType w:val="hybridMultilevel"/>
    <w:tmpl w:val="A44C9CC0"/>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09A07F97"/>
    <w:multiLevelType w:val="hybridMultilevel"/>
    <w:tmpl w:val="2F6EF2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0B974A74"/>
    <w:multiLevelType w:val="hybridMultilevel"/>
    <w:tmpl w:val="092C1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0BCB0C76"/>
    <w:multiLevelType w:val="hybridMultilevel"/>
    <w:tmpl w:val="04C2ED40"/>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0E9F229A"/>
    <w:multiLevelType w:val="hybridMultilevel"/>
    <w:tmpl w:val="482AC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ED545E5"/>
    <w:multiLevelType w:val="hybridMultilevel"/>
    <w:tmpl w:val="200275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0E3031F"/>
    <w:multiLevelType w:val="hybridMultilevel"/>
    <w:tmpl w:val="C5387E9A"/>
    <w:lvl w:ilvl="0" w:tplc="6D3E3B4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112F70CC"/>
    <w:multiLevelType w:val="hybridMultilevel"/>
    <w:tmpl w:val="2230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3F96B52"/>
    <w:multiLevelType w:val="hybridMultilevel"/>
    <w:tmpl w:val="0BB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71238DB"/>
    <w:multiLevelType w:val="hybridMultilevel"/>
    <w:tmpl w:val="B666E05E"/>
    <w:lvl w:ilvl="0" w:tplc="776CC9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B9C5677"/>
    <w:multiLevelType w:val="hybridMultilevel"/>
    <w:tmpl w:val="97FACF9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CC84E5F"/>
    <w:multiLevelType w:val="hybridMultilevel"/>
    <w:tmpl w:val="B4B2A3B2"/>
    <w:lvl w:ilvl="0" w:tplc="6D3E3B4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1E0847B7"/>
    <w:multiLevelType w:val="hybridMultilevel"/>
    <w:tmpl w:val="D9E6C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EB53301"/>
    <w:multiLevelType w:val="hybridMultilevel"/>
    <w:tmpl w:val="D60C0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203C5D5A"/>
    <w:multiLevelType w:val="hybridMultilevel"/>
    <w:tmpl w:val="20C2F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10C7C34"/>
    <w:multiLevelType w:val="hybridMultilevel"/>
    <w:tmpl w:val="713EC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FAE65CF"/>
    <w:multiLevelType w:val="hybridMultilevel"/>
    <w:tmpl w:val="2160B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1BD536F"/>
    <w:multiLevelType w:val="hybridMultilevel"/>
    <w:tmpl w:val="37B80226"/>
    <w:lvl w:ilvl="0" w:tplc="CDE2ED00">
      <w:start w:val="1"/>
      <w:numFmt w:val="decimal"/>
      <w:lvlText w:val="%1."/>
      <w:lvlJc w:val="left"/>
      <w:pPr>
        <w:ind w:left="720" w:hanging="360"/>
      </w:pPr>
      <w:rPr>
        <w:rFonts w:ascii="Arial" w:eastAsia="Calibri"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29A7E09"/>
    <w:multiLevelType w:val="hybridMultilevel"/>
    <w:tmpl w:val="C586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2CE543D"/>
    <w:multiLevelType w:val="hybridMultilevel"/>
    <w:tmpl w:val="F3000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E631B3F"/>
    <w:multiLevelType w:val="hybridMultilevel"/>
    <w:tmpl w:val="D04A5560"/>
    <w:lvl w:ilvl="0" w:tplc="BDEEDF94">
      <w:start w:val="1"/>
      <w:numFmt w:val="lowerRoman"/>
      <w:lvlText w:val="%1)"/>
      <w:lvlJc w:val="left"/>
      <w:pPr>
        <w:ind w:left="720" w:hanging="360"/>
      </w:pPr>
      <w:rPr>
        <w:rFonts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F154D68"/>
    <w:multiLevelType w:val="hybridMultilevel"/>
    <w:tmpl w:val="87484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F50174D"/>
    <w:multiLevelType w:val="hybridMultilevel"/>
    <w:tmpl w:val="534A91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nsid w:val="41BB7400"/>
    <w:multiLevelType w:val="hybridMultilevel"/>
    <w:tmpl w:val="DBBC7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nsid w:val="481462EC"/>
    <w:multiLevelType w:val="hybridMultilevel"/>
    <w:tmpl w:val="4E208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86352E1"/>
    <w:multiLevelType w:val="hybridMultilevel"/>
    <w:tmpl w:val="8FD2F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9352CBB"/>
    <w:multiLevelType w:val="hybridMultilevel"/>
    <w:tmpl w:val="61F8F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97024DB"/>
    <w:multiLevelType w:val="hybridMultilevel"/>
    <w:tmpl w:val="3BB88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4A1370EE"/>
    <w:multiLevelType w:val="hybridMultilevel"/>
    <w:tmpl w:val="A91C4C5A"/>
    <w:lvl w:ilvl="0" w:tplc="ED98A7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4ACA6235"/>
    <w:multiLevelType w:val="hybridMultilevel"/>
    <w:tmpl w:val="A1746858"/>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B6104C1"/>
    <w:multiLevelType w:val="hybridMultilevel"/>
    <w:tmpl w:val="0CA0B886"/>
    <w:lvl w:ilvl="0" w:tplc="6D3E3B4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E6B1E03"/>
    <w:multiLevelType w:val="hybridMultilevel"/>
    <w:tmpl w:val="2EF28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52FB325E"/>
    <w:multiLevelType w:val="hybridMultilevel"/>
    <w:tmpl w:val="0A747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40B65FE"/>
    <w:multiLevelType w:val="hybridMultilevel"/>
    <w:tmpl w:val="B3C2D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42">
    <w:nsid w:val="54D41CD9"/>
    <w:multiLevelType w:val="hybridMultilevel"/>
    <w:tmpl w:val="AEEE8B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nsid w:val="56745E05"/>
    <w:multiLevelType w:val="hybridMultilevel"/>
    <w:tmpl w:val="4F562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6AF372F"/>
    <w:multiLevelType w:val="hybridMultilevel"/>
    <w:tmpl w:val="96829C90"/>
    <w:lvl w:ilvl="0" w:tplc="6D3E3B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58033C0C"/>
    <w:multiLevelType w:val="hybridMultilevel"/>
    <w:tmpl w:val="A182A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BEA61BD"/>
    <w:multiLevelType w:val="hybridMultilevel"/>
    <w:tmpl w:val="CB2266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nsid w:val="5D6D73F6"/>
    <w:multiLevelType w:val="hybridMultilevel"/>
    <w:tmpl w:val="34CCBF9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Times New Roman"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Times New Roman" w:hint="default"/>
      </w:rPr>
    </w:lvl>
    <w:lvl w:ilvl="8" w:tplc="0C090005">
      <w:start w:val="1"/>
      <w:numFmt w:val="bullet"/>
      <w:lvlText w:val=""/>
      <w:lvlJc w:val="left"/>
      <w:pPr>
        <w:ind w:left="6120" w:hanging="360"/>
      </w:pPr>
      <w:rPr>
        <w:rFonts w:ascii="Wingdings" w:hAnsi="Wingdings" w:hint="default"/>
      </w:rPr>
    </w:lvl>
  </w:abstractNum>
  <w:abstractNum w:abstractNumId="48">
    <w:nsid w:val="634D4795"/>
    <w:multiLevelType w:val="hybridMultilevel"/>
    <w:tmpl w:val="DE666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3AA401C"/>
    <w:multiLevelType w:val="hybridMultilevel"/>
    <w:tmpl w:val="548836F6"/>
    <w:lvl w:ilvl="0" w:tplc="6D3E3B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63F57A77"/>
    <w:multiLevelType w:val="hybridMultilevel"/>
    <w:tmpl w:val="6F849190"/>
    <w:lvl w:ilvl="0" w:tplc="6D3E3B4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55360F8"/>
    <w:multiLevelType w:val="hybridMultilevel"/>
    <w:tmpl w:val="CD92D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676E3B6D"/>
    <w:multiLevelType w:val="hybridMultilevel"/>
    <w:tmpl w:val="1C9869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6D6E5529"/>
    <w:multiLevelType w:val="hybridMultilevel"/>
    <w:tmpl w:val="BC861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nsid w:val="6D8F5F6B"/>
    <w:multiLevelType w:val="hybridMultilevel"/>
    <w:tmpl w:val="8EF2759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nsid w:val="6DEA760A"/>
    <w:multiLevelType w:val="hybridMultilevel"/>
    <w:tmpl w:val="817C0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6EEE712D"/>
    <w:multiLevelType w:val="hybridMultilevel"/>
    <w:tmpl w:val="3D0EB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14D6E97"/>
    <w:multiLevelType w:val="hybridMultilevel"/>
    <w:tmpl w:val="C2EA2428"/>
    <w:lvl w:ilvl="0" w:tplc="6D3E3B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1AC21CB"/>
    <w:multiLevelType w:val="hybridMultilevel"/>
    <w:tmpl w:val="55BEE932"/>
    <w:lvl w:ilvl="0" w:tplc="6D3E3B4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3BC4A8F"/>
    <w:multiLevelType w:val="hybridMultilevel"/>
    <w:tmpl w:val="820A4C42"/>
    <w:lvl w:ilvl="0" w:tplc="6D3E3B4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43C7B30"/>
    <w:multiLevelType w:val="hybridMultilevel"/>
    <w:tmpl w:val="FD961AB6"/>
    <w:lvl w:ilvl="0" w:tplc="7D189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748F5247"/>
    <w:multiLevelType w:val="hybridMultilevel"/>
    <w:tmpl w:val="16E8FFD4"/>
    <w:lvl w:ilvl="0" w:tplc="6D3E3B4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nsid w:val="76573690"/>
    <w:multiLevelType w:val="hybridMultilevel"/>
    <w:tmpl w:val="D2F818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
    <w:nsid w:val="77165826"/>
    <w:multiLevelType w:val="hybridMultilevel"/>
    <w:tmpl w:val="C868D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8077694"/>
    <w:multiLevelType w:val="hybridMultilevel"/>
    <w:tmpl w:val="91EA5F24"/>
    <w:lvl w:ilvl="0" w:tplc="49E0726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79702356"/>
    <w:multiLevelType w:val="hybridMultilevel"/>
    <w:tmpl w:val="C01C9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7BEA02FE"/>
    <w:multiLevelType w:val="hybridMultilevel"/>
    <w:tmpl w:val="FC7A7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7">
    <w:nsid w:val="7C06514B"/>
    <w:multiLevelType w:val="hybridMultilevel"/>
    <w:tmpl w:val="02A487BA"/>
    <w:lvl w:ilvl="0" w:tplc="04090005">
      <w:start w:val="1"/>
      <w:numFmt w:val="bullet"/>
      <w:lvlText w:val=""/>
      <w:lvlJc w:val="left"/>
      <w:pPr>
        <w:tabs>
          <w:tab w:val="num" w:pos="360"/>
        </w:tabs>
        <w:ind w:left="360" w:hanging="360"/>
      </w:pPr>
      <w:rPr>
        <w:rFonts w:ascii="Wingdings" w:hAnsi="Wingdings" w:hint="default"/>
      </w:rPr>
    </w:lvl>
    <w:lvl w:ilvl="1" w:tplc="0C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nsid w:val="7FE96B59"/>
    <w:multiLevelType w:val="hybridMultilevel"/>
    <w:tmpl w:val="29121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6"/>
  </w:num>
  <w:num w:numId="2">
    <w:abstractNumId w:val="51"/>
  </w:num>
  <w:num w:numId="3">
    <w:abstractNumId w:val="11"/>
  </w:num>
  <w:num w:numId="4">
    <w:abstractNumId w:val="38"/>
  </w:num>
  <w:num w:numId="5">
    <w:abstractNumId w:val="41"/>
  </w:num>
  <w:num w:numId="6">
    <w:abstractNumId w:val="2"/>
  </w:num>
  <w:num w:numId="7">
    <w:abstractNumId w:val="56"/>
  </w:num>
  <w:num w:numId="8">
    <w:abstractNumId w:val="16"/>
  </w:num>
  <w:num w:numId="9">
    <w:abstractNumId w:val="60"/>
  </w:num>
  <w:num w:numId="10">
    <w:abstractNumId w:val="39"/>
  </w:num>
  <w:num w:numId="11">
    <w:abstractNumId w:val="67"/>
  </w:num>
  <w:num w:numId="12">
    <w:abstractNumId w:val="1"/>
  </w:num>
  <w:num w:numId="13">
    <w:abstractNumId w:val="12"/>
  </w:num>
  <w:num w:numId="14">
    <w:abstractNumId w:val="47"/>
  </w:num>
  <w:num w:numId="15">
    <w:abstractNumId w:val="53"/>
  </w:num>
  <w:num w:numId="16">
    <w:abstractNumId w:val="30"/>
  </w:num>
  <w:num w:numId="17">
    <w:abstractNumId w:val="14"/>
  </w:num>
  <w:num w:numId="18">
    <w:abstractNumId w:val="65"/>
  </w:num>
  <w:num w:numId="19">
    <w:abstractNumId w:val="28"/>
  </w:num>
  <w:num w:numId="20">
    <w:abstractNumId w:val="9"/>
  </w:num>
  <w:num w:numId="21">
    <w:abstractNumId w:val="29"/>
  </w:num>
  <w:num w:numId="22">
    <w:abstractNumId w:val="8"/>
  </w:num>
  <w:num w:numId="23">
    <w:abstractNumId w:val="63"/>
  </w:num>
  <w:num w:numId="24">
    <w:abstractNumId w:val="45"/>
  </w:num>
  <w:num w:numId="25">
    <w:abstractNumId w:val="64"/>
  </w:num>
  <w:num w:numId="26">
    <w:abstractNumId w:val="23"/>
  </w:num>
  <w:num w:numId="27">
    <w:abstractNumId w:val="52"/>
  </w:num>
  <w:num w:numId="28">
    <w:abstractNumId w:val="26"/>
  </w:num>
  <w:num w:numId="29">
    <w:abstractNumId w:val="0"/>
  </w:num>
  <w:num w:numId="30">
    <w:abstractNumId w:val="13"/>
  </w:num>
  <w:num w:numId="31">
    <w:abstractNumId w:val="19"/>
  </w:num>
  <w:num w:numId="32">
    <w:abstractNumId w:val="55"/>
  </w:num>
  <w:num w:numId="33">
    <w:abstractNumId w:val="22"/>
  </w:num>
  <w:num w:numId="34">
    <w:abstractNumId w:val="42"/>
  </w:num>
  <w:num w:numId="35">
    <w:abstractNumId w:val="40"/>
  </w:num>
  <w:num w:numId="36">
    <w:abstractNumId w:val="68"/>
  </w:num>
  <w:num w:numId="37">
    <w:abstractNumId w:val="10"/>
  </w:num>
  <w:num w:numId="38">
    <w:abstractNumId w:val="34"/>
  </w:num>
  <w:num w:numId="39">
    <w:abstractNumId w:val="62"/>
  </w:num>
  <w:num w:numId="40">
    <w:abstractNumId w:val="32"/>
  </w:num>
  <w:num w:numId="41">
    <w:abstractNumId w:val="58"/>
  </w:num>
  <w:num w:numId="42">
    <w:abstractNumId w:val="61"/>
  </w:num>
  <w:num w:numId="43">
    <w:abstractNumId w:val="46"/>
  </w:num>
  <w:num w:numId="44">
    <w:abstractNumId w:val="27"/>
  </w:num>
  <w:num w:numId="45">
    <w:abstractNumId w:val="4"/>
  </w:num>
  <w:num w:numId="46">
    <w:abstractNumId w:val="37"/>
  </w:num>
  <w:num w:numId="47">
    <w:abstractNumId w:val="36"/>
  </w:num>
  <w:num w:numId="48">
    <w:abstractNumId w:val="18"/>
  </w:num>
  <w:num w:numId="49">
    <w:abstractNumId w:val="44"/>
  </w:num>
  <w:num w:numId="50">
    <w:abstractNumId w:val="50"/>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54"/>
  </w:num>
  <w:num w:numId="54">
    <w:abstractNumId w:val="3"/>
  </w:num>
  <w:num w:numId="55">
    <w:abstractNumId w:val="20"/>
  </w:num>
  <w:num w:numId="56">
    <w:abstractNumId w:val="33"/>
  </w:num>
  <w:num w:numId="57">
    <w:abstractNumId w:val="43"/>
  </w:num>
  <w:num w:numId="58">
    <w:abstractNumId w:val="53"/>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lvlOverride w:ilvl="2"/>
    <w:lvlOverride w:ilvl="3"/>
    <w:lvlOverride w:ilvl="4"/>
    <w:lvlOverride w:ilvl="5"/>
    <w:lvlOverride w:ilvl="6"/>
    <w:lvlOverride w:ilvl="7"/>
    <w:lvlOverride w:ilvl="8"/>
  </w:num>
  <w:num w:numId="61">
    <w:abstractNumId w:val="68"/>
  </w:num>
  <w:num w:numId="62">
    <w:abstractNumId w:val="36"/>
  </w:num>
  <w:num w:numId="63">
    <w:abstractNumId w:val="62"/>
  </w:num>
  <w:num w:numId="64">
    <w:abstractNumId w:val="8"/>
  </w:num>
  <w:num w:numId="65">
    <w:abstractNumId w:val="3"/>
  </w:num>
  <w:num w:numId="66">
    <w:abstractNumId w:val="27"/>
    <w:lvlOverride w:ilvl="0">
      <w:startOverride w:val="1"/>
    </w:lvlOverride>
    <w:lvlOverride w:ilvl="1"/>
    <w:lvlOverride w:ilvl="2"/>
    <w:lvlOverride w:ilvl="3"/>
    <w:lvlOverride w:ilvl="4"/>
    <w:lvlOverride w:ilvl="5"/>
    <w:lvlOverride w:ilvl="6"/>
    <w:lvlOverride w:ilvl="7"/>
    <w:lvlOverride w:ilvl="8"/>
  </w:num>
  <w:num w:numId="67">
    <w:abstractNumId w:val="10"/>
  </w:num>
  <w:num w:numId="68">
    <w:abstractNumId w:val="32"/>
  </w:num>
  <w:num w:numId="69">
    <w:abstractNumId w:val="40"/>
  </w:num>
  <w:num w:numId="70">
    <w:abstractNumId w:val="37"/>
    <w:lvlOverride w:ilvl="0">
      <w:startOverride w:val="1"/>
    </w:lvlOverride>
    <w:lvlOverride w:ilvl="1"/>
    <w:lvlOverride w:ilvl="2"/>
    <w:lvlOverride w:ilvl="3"/>
    <w:lvlOverride w:ilvl="4"/>
    <w:lvlOverride w:ilvl="5"/>
    <w:lvlOverride w:ilvl="6"/>
    <w:lvlOverride w:ilvl="7"/>
    <w:lvlOverride w:ilvl="8"/>
  </w:num>
  <w:num w:numId="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num>
  <w:num w:numId="73">
    <w:abstractNumId w:val="6"/>
  </w:num>
  <w:num w:numId="74">
    <w:abstractNumId w:val="35"/>
  </w:num>
  <w:num w:numId="75">
    <w:abstractNumId w:val="24"/>
  </w:num>
  <w:num w:numId="76">
    <w:abstractNumId w:val="48"/>
  </w:num>
  <w:num w:numId="77">
    <w:abstractNumId w:val="59"/>
  </w:num>
  <w:num w:numId="78">
    <w:abstractNumId w:val="25"/>
  </w:num>
  <w:num w:numId="79">
    <w:abstractNumId w:val="31"/>
  </w:num>
  <w:num w:numId="80">
    <w:abstractNumId w:val="15"/>
  </w:num>
  <w:num w:numId="81">
    <w:abstractNumId w:val="49"/>
  </w:num>
  <w:num w:numId="82">
    <w:abstractNumId w:val="57"/>
  </w:num>
  <w:num w:numId="83">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37"/>
    <w:rsid w:val="00000292"/>
    <w:rsid w:val="000013C5"/>
    <w:rsid w:val="0000354B"/>
    <w:rsid w:val="00006551"/>
    <w:rsid w:val="000132D0"/>
    <w:rsid w:val="00014614"/>
    <w:rsid w:val="000209F4"/>
    <w:rsid w:val="0003218F"/>
    <w:rsid w:val="000323BC"/>
    <w:rsid w:val="00035157"/>
    <w:rsid w:val="00040456"/>
    <w:rsid w:val="000407C6"/>
    <w:rsid w:val="00041325"/>
    <w:rsid w:val="000475B9"/>
    <w:rsid w:val="00057285"/>
    <w:rsid w:val="00060174"/>
    <w:rsid w:val="00070682"/>
    <w:rsid w:val="00071F84"/>
    <w:rsid w:val="000813BD"/>
    <w:rsid w:val="000823FE"/>
    <w:rsid w:val="00082C3A"/>
    <w:rsid w:val="00094CDB"/>
    <w:rsid w:val="00094F8B"/>
    <w:rsid w:val="000A472F"/>
    <w:rsid w:val="000A4743"/>
    <w:rsid w:val="000A4913"/>
    <w:rsid w:val="000B1564"/>
    <w:rsid w:val="000B3832"/>
    <w:rsid w:val="000B7F9D"/>
    <w:rsid w:val="000C0590"/>
    <w:rsid w:val="000C05E9"/>
    <w:rsid w:val="000C5A82"/>
    <w:rsid w:val="000D5C1C"/>
    <w:rsid w:val="000E3B13"/>
    <w:rsid w:val="000E62C2"/>
    <w:rsid w:val="001001E1"/>
    <w:rsid w:val="00103138"/>
    <w:rsid w:val="001071FD"/>
    <w:rsid w:val="00107910"/>
    <w:rsid w:val="00116972"/>
    <w:rsid w:val="00120066"/>
    <w:rsid w:val="00121AE0"/>
    <w:rsid w:val="00122E8F"/>
    <w:rsid w:val="00126956"/>
    <w:rsid w:val="00126BBD"/>
    <w:rsid w:val="00131FD9"/>
    <w:rsid w:val="001342F8"/>
    <w:rsid w:val="0013580F"/>
    <w:rsid w:val="00136324"/>
    <w:rsid w:val="001409FC"/>
    <w:rsid w:val="001418EB"/>
    <w:rsid w:val="001455DD"/>
    <w:rsid w:val="00150637"/>
    <w:rsid w:val="00151942"/>
    <w:rsid w:val="00154D13"/>
    <w:rsid w:val="00155FC1"/>
    <w:rsid w:val="001629E8"/>
    <w:rsid w:val="0016371C"/>
    <w:rsid w:val="00166513"/>
    <w:rsid w:val="001837DC"/>
    <w:rsid w:val="00186CEF"/>
    <w:rsid w:val="001900F8"/>
    <w:rsid w:val="001A2B1A"/>
    <w:rsid w:val="001A4932"/>
    <w:rsid w:val="001A5FA5"/>
    <w:rsid w:val="001A7AD6"/>
    <w:rsid w:val="001B10E7"/>
    <w:rsid w:val="001B247F"/>
    <w:rsid w:val="001C1BB4"/>
    <w:rsid w:val="001D2130"/>
    <w:rsid w:val="001D3FD4"/>
    <w:rsid w:val="001E137C"/>
    <w:rsid w:val="001E6A6A"/>
    <w:rsid w:val="001E6D41"/>
    <w:rsid w:val="001F325F"/>
    <w:rsid w:val="001F387D"/>
    <w:rsid w:val="001F4B02"/>
    <w:rsid w:val="001F55B5"/>
    <w:rsid w:val="0020308D"/>
    <w:rsid w:val="002036E1"/>
    <w:rsid w:val="002063CC"/>
    <w:rsid w:val="00206A19"/>
    <w:rsid w:val="00207B1A"/>
    <w:rsid w:val="00207ECD"/>
    <w:rsid w:val="00210573"/>
    <w:rsid w:val="002107C4"/>
    <w:rsid w:val="0021135D"/>
    <w:rsid w:val="002260F9"/>
    <w:rsid w:val="00232EA8"/>
    <w:rsid w:val="00234736"/>
    <w:rsid w:val="0024106C"/>
    <w:rsid w:val="002443FF"/>
    <w:rsid w:val="00245128"/>
    <w:rsid w:val="00252D79"/>
    <w:rsid w:val="00254A28"/>
    <w:rsid w:val="00261145"/>
    <w:rsid w:val="0026156A"/>
    <w:rsid w:val="0026215A"/>
    <w:rsid w:val="00267B9A"/>
    <w:rsid w:val="00272400"/>
    <w:rsid w:val="002725F7"/>
    <w:rsid w:val="00275A14"/>
    <w:rsid w:val="00275BC5"/>
    <w:rsid w:val="00280E94"/>
    <w:rsid w:val="002812F1"/>
    <w:rsid w:val="0028200D"/>
    <w:rsid w:val="00284E11"/>
    <w:rsid w:val="002907C6"/>
    <w:rsid w:val="002974E2"/>
    <w:rsid w:val="002A5878"/>
    <w:rsid w:val="002A7D7C"/>
    <w:rsid w:val="002B3C55"/>
    <w:rsid w:val="002C3CD3"/>
    <w:rsid w:val="002C468F"/>
    <w:rsid w:val="002C4866"/>
    <w:rsid w:val="002C6FAA"/>
    <w:rsid w:val="002D15BD"/>
    <w:rsid w:val="002D55E7"/>
    <w:rsid w:val="002D5F5D"/>
    <w:rsid w:val="002D6119"/>
    <w:rsid w:val="002E2625"/>
    <w:rsid w:val="002E4693"/>
    <w:rsid w:val="002E7050"/>
    <w:rsid w:val="002F1A11"/>
    <w:rsid w:val="00303B53"/>
    <w:rsid w:val="0030537E"/>
    <w:rsid w:val="00307ABA"/>
    <w:rsid w:val="00312252"/>
    <w:rsid w:val="00312519"/>
    <w:rsid w:val="00313255"/>
    <w:rsid w:val="003203B8"/>
    <w:rsid w:val="0032267F"/>
    <w:rsid w:val="00322935"/>
    <w:rsid w:val="00326B70"/>
    <w:rsid w:val="00327692"/>
    <w:rsid w:val="0033379D"/>
    <w:rsid w:val="00333FDA"/>
    <w:rsid w:val="0034033E"/>
    <w:rsid w:val="003404DA"/>
    <w:rsid w:val="00341166"/>
    <w:rsid w:val="00346B24"/>
    <w:rsid w:val="00350CCD"/>
    <w:rsid w:val="0035183C"/>
    <w:rsid w:val="00372A13"/>
    <w:rsid w:val="003740BA"/>
    <w:rsid w:val="0037449A"/>
    <w:rsid w:val="00382D6C"/>
    <w:rsid w:val="003868A7"/>
    <w:rsid w:val="00390C2E"/>
    <w:rsid w:val="0039119D"/>
    <w:rsid w:val="00391751"/>
    <w:rsid w:val="0039451E"/>
    <w:rsid w:val="003A131E"/>
    <w:rsid w:val="003A2B7E"/>
    <w:rsid w:val="003A6C4A"/>
    <w:rsid w:val="003B61CD"/>
    <w:rsid w:val="003B7063"/>
    <w:rsid w:val="003D0DB4"/>
    <w:rsid w:val="003D278F"/>
    <w:rsid w:val="003D4257"/>
    <w:rsid w:val="003D5431"/>
    <w:rsid w:val="003D697E"/>
    <w:rsid w:val="003E4BB4"/>
    <w:rsid w:val="003E51B5"/>
    <w:rsid w:val="003E7E10"/>
    <w:rsid w:val="003F415A"/>
    <w:rsid w:val="00400C2D"/>
    <w:rsid w:val="0040589A"/>
    <w:rsid w:val="00406F13"/>
    <w:rsid w:val="0040744A"/>
    <w:rsid w:val="00407DC9"/>
    <w:rsid w:val="0041264B"/>
    <w:rsid w:val="00414D2E"/>
    <w:rsid w:val="0042305A"/>
    <w:rsid w:val="00423797"/>
    <w:rsid w:val="004241A6"/>
    <w:rsid w:val="004257E8"/>
    <w:rsid w:val="00425D5D"/>
    <w:rsid w:val="00433928"/>
    <w:rsid w:val="004341CD"/>
    <w:rsid w:val="00437F5D"/>
    <w:rsid w:val="004407EA"/>
    <w:rsid w:val="00452A25"/>
    <w:rsid w:val="00456D4B"/>
    <w:rsid w:val="00461C32"/>
    <w:rsid w:val="00465613"/>
    <w:rsid w:val="00486475"/>
    <w:rsid w:val="00493157"/>
    <w:rsid w:val="00494E40"/>
    <w:rsid w:val="00497CD2"/>
    <w:rsid w:val="004A30B9"/>
    <w:rsid w:val="004B01AF"/>
    <w:rsid w:val="004B4CC1"/>
    <w:rsid w:val="004B7B24"/>
    <w:rsid w:val="004C2763"/>
    <w:rsid w:val="004C3884"/>
    <w:rsid w:val="004D005E"/>
    <w:rsid w:val="004D05DD"/>
    <w:rsid w:val="004D19AD"/>
    <w:rsid w:val="004D2307"/>
    <w:rsid w:val="004D5F37"/>
    <w:rsid w:val="004D6F76"/>
    <w:rsid w:val="004E1510"/>
    <w:rsid w:val="004E60CD"/>
    <w:rsid w:val="004E7043"/>
    <w:rsid w:val="004F66DB"/>
    <w:rsid w:val="0050414E"/>
    <w:rsid w:val="005115D4"/>
    <w:rsid w:val="00514244"/>
    <w:rsid w:val="005154B1"/>
    <w:rsid w:val="00520255"/>
    <w:rsid w:val="005256B1"/>
    <w:rsid w:val="0053192F"/>
    <w:rsid w:val="00532002"/>
    <w:rsid w:val="00533EDE"/>
    <w:rsid w:val="0053587A"/>
    <w:rsid w:val="00537877"/>
    <w:rsid w:val="0055484C"/>
    <w:rsid w:val="005550EB"/>
    <w:rsid w:val="00556ACD"/>
    <w:rsid w:val="005603EA"/>
    <w:rsid w:val="00561D64"/>
    <w:rsid w:val="0056501E"/>
    <w:rsid w:val="005734CC"/>
    <w:rsid w:val="005736B3"/>
    <w:rsid w:val="005778FB"/>
    <w:rsid w:val="00580446"/>
    <w:rsid w:val="00580FFE"/>
    <w:rsid w:val="00581344"/>
    <w:rsid w:val="00582F54"/>
    <w:rsid w:val="00590E11"/>
    <w:rsid w:val="005A0C2A"/>
    <w:rsid w:val="005A11EB"/>
    <w:rsid w:val="005A76DC"/>
    <w:rsid w:val="005B6AF3"/>
    <w:rsid w:val="005D4092"/>
    <w:rsid w:val="005E4130"/>
    <w:rsid w:val="005E4444"/>
    <w:rsid w:val="005E716D"/>
    <w:rsid w:val="005E7BB8"/>
    <w:rsid w:val="005F2A84"/>
    <w:rsid w:val="005F3233"/>
    <w:rsid w:val="005F4D42"/>
    <w:rsid w:val="0060050B"/>
    <w:rsid w:val="00601367"/>
    <w:rsid w:val="00602E92"/>
    <w:rsid w:val="00604F3E"/>
    <w:rsid w:val="006076CF"/>
    <w:rsid w:val="00611947"/>
    <w:rsid w:val="00613E97"/>
    <w:rsid w:val="0061426C"/>
    <w:rsid w:val="006158E9"/>
    <w:rsid w:val="0063102C"/>
    <w:rsid w:val="00632827"/>
    <w:rsid w:val="0063373C"/>
    <w:rsid w:val="00634C86"/>
    <w:rsid w:val="00636A2E"/>
    <w:rsid w:val="00642785"/>
    <w:rsid w:val="006448D6"/>
    <w:rsid w:val="00645554"/>
    <w:rsid w:val="00646255"/>
    <w:rsid w:val="006473B8"/>
    <w:rsid w:val="006543DF"/>
    <w:rsid w:val="00655558"/>
    <w:rsid w:val="00662376"/>
    <w:rsid w:val="00665014"/>
    <w:rsid w:val="00672FBE"/>
    <w:rsid w:val="00674247"/>
    <w:rsid w:val="00674CD8"/>
    <w:rsid w:val="00674F30"/>
    <w:rsid w:val="006755FB"/>
    <w:rsid w:val="006861CF"/>
    <w:rsid w:val="00686478"/>
    <w:rsid w:val="006870F1"/>
    <w:rsid w:val="00691745"/>
    <w:rsid w:val="006931CC"/>
    <w:rsid w:val="006940EC"/>
    <w:rsid w:val="0069597D"/>
    <w:rsid w:val="00695C23"/>
    <w:rsid w:val="00695E02"/>
    <w:rsid w:val="006961C5"/>
    <w:rsid w:val="0069632B"/>
    <w:rsid w:val="00697035"/>
    <w:rsid w:val="006A0A1A"/>
    <w:rsid w:val="006A3C69"/>
    <w:rsid w:val="006A6A3C"/>
    <w:rsid w:val="006B4903"/>
    <w:rsid w:val="006C5340"/>
    <w:rsid w:val="006D0DE4"/>
    <w:rsid w:val="006D1B57"/>
    <w:rsid w:val="006D3991"/>
    <w:rsid w:val="006D439D"/>
    <w:rsid w:val="006D52FD"/>
    <w:rsid w:val="006D7460"/>
    <w:rsid w:val="006D77AC"/>
    <w:rsid w:val="006E2759"/>
    <w:rsid w:val="006E3793"/>
    <w:rsid w:val="006E7103"/>
    <w:rsid w:val="006F1D9F"/>
    <w:rsid w:val="006F283D"/>
    <w:rsid w:val="006F6778"/>
    <w:rsid w:val="00701C7D"/>
    <w:rsid w:val="00702ADD"/>
    <w:rsid w:val="00704F10"/>
    <w:rsid w:val="00705734"/>
    <w:rsid w:val="00705814"/>
    <w:rsid w:val="007066D8"/>
    <w:rsid w:val="007066DE"/>
    <w:rsid w:val="00706802"/>
    <w:rsid w:val="0071178B"/>
    <w:rsid w:val="007211F2"/>
    <w:rsid w:val="007232CC"/>
    <w:rsid w:val="0072502C"/>
    <w:rsid w:val="0072568C"/>
    <w:rsid w:val="00731FFA"/>
    <w:rsid w:val="007373C9"/>
    <w:rsid w:val="00744084"/>
    <w:rsid w:val="00744171"/>
    <w:rsid w:val="00745A1B"/>
    <w:rsid w:val="007474E8"/>
    <w:rsid w:val="00766239"/>
    <w:rsid w:val="0078014B"/>
    <w:rsid w:val="00782B66"/>
    <w:rsid w:val="00783021"/>
    <w:rsid w:val="00784E93"/>
    <w:rsid w:val="00787DFD"/>
    <w:rsid w:val="0079440D"/>
    <w:rsid w:val="007A2B92"/>
    <w:rsid w:val="007A3BAB"/>
    <w:rsid w:val="007A6726"/>
    <w:rsid w:val="007A6DF3"/>
    <w:rsid w:val="007A73F4"/>
    <w:rsid w:val="007B4AD8"/>
    <w:rsid w:val="007B4EF3"/>
    <w:rsid w:val="007B4F65"/>
    <w:rsid w:val="007B580D"/>
    <w:rsid w:val="007D288A"/>
    <w:rsid w:val="007D47B5"/>
    <w:rsid w:val="007D5F9B"/>
    <w:rsid w:val="007D6443"/>
    <w:rsid w:val="007D6654"/>
    <w:rsid w:val="007E10A7"/>
    <w:rsid w:val="007E6E72"/>
    <w:rsid w:val="007F0787"/>
    <w:rsid w:val="007F6140"/>
    <w:rsid w:val="007F7A24"/>
    <w:rsid w:val="00802824"/>
    <w:rsid w:val="0080463E"/>
    <w:rsid w:val="00811174"/>
    <w:rsid w:val="008123DB"/>
    <w:rsid w:val="008136FA"/>
    <w:rsid w:val="00820114"/>
    <w:rsid w:val="00820D38"/>
    <w:rsid w:val="008222E8"/>
    <w:rsid w:val="00823470"/>
    <w:rsid w:val="00825220"/>
    <w:rsid w:val="00825E2F"/>
    <w:rsid w:val="00826CA3"/>
    <w:rsid w:val="008272D0"/>
    <w:rsid w:val="00827763"/>
    <w:rsid w:val="00836466"/>
    <w:rsid w:val="00840EF0"/>
    <w:rsid w:val="008430F4"/>
    <w:rsid w:val="008453A2"/>
    <w:rsid w:val="0084712D"/>
    <w:rsid w:val="0085576C"/>
    <w:rsid w:val="008577AF"/>
    <w:rsid w:val="00857B66"/>
    <w:rsid w:val="00861A68"/>
    <w:rsid w:val="008629D3"/>
    <w:rsid w:val="00862E47"/>
    <w:rsid w:val="00865743"/>
    <w:rsid w:val="0086602C"/>
    <w:rsid w:val="00873A37"/>
    <w:rsid w:val="008742EF"/>
    <w:rsid w:val="00880220"/>
    <w:rsid w:val="00880A28"/>
    <w:rsid w:val="00882BBE"/>
    <w:rsid w:val="008855EC"/>
    <w:rsid w:val="0088660E"/>
    <w:rsid w:val="00893AF7"/>
    <w:rsid w:val="008A02C4"/>
    <w:rsid w:val="008A07F1"/>
    <w:rsid w:val="008A139F"/>
    <w:rsid w:val="008A145C"/>
    <w:rsid w:val="008A18C4"/>
    <w:rsid w:val="008A1A26"/>
    <w:rsid w:val="008A1E17"/>
    <w:rsid w:val="008A32B9"/>
    <w:rsid w:val="008A4977"/>
    <w:rsid w:val="008B6620"/>
    <w:rsid w:val="008B79E6"/>
    <w:rsid w:val="008C04FF"/>
    <w:rsid w:val="008C481E"/>
    <w:rsid w:val="008C49A5"/>
    <w:rsid w:val="008C7DBA"/>
    <w:rsid w:val="008D7334"/>
    <w:rsid w:val="008E117A"/>
    <w:rsid w:val="008E372F"/>
    <w:rsid w:val="008E6F2D"/>
    <w:rsid w:val="008E6F71"/>
    <w:rsid w:val="008E7358"/>
    <w:rsid w:val="008E75D2"/>
    <w:rsid w:val="008F7D6E"/>
    <w:rsid w:val="00901416"/>
    <w:rsid w:val="00907A3C"/>
    <w:rsid w:val="00911EA7"/>
    <w:rsid w:val="009131EF"/>
    <w:rsid w:val="009305B5"/>
    <w:rsid w:val="009366F5"/>
    <w:rsid w:val="00937405"/>
    <w:rsid w:val="00946D6B"/>
    <w:rsid w:val="0094763F"/>
    <w:rsid w:val="009513D9"/>
    <w:rsid w:val="0095371B"/>
    <w:rsid w:val="00957034"/>
    <w:rsid w:val="00964CCD"/>
    <w:rsid w:val="00966818"/>
    <w:rsid w:val="00966C2C"/>
    <w:rsid w:val="00966E31"/>
    <w:rsid w:val="00981C2E"/>
    <w:rsid w:val="00981F50"/>
    <w:rsid w:val="009856EB"/>
    <w:rsid w:val="00987620"/>
    <w:rsid w:val="00990200"/>
    <w:rsid w:val="00992DA1"/>
    <w:rsid w:val="009950ED"/>
    <w:rsid w:val="009973AA"/>
    <w:rsid w:val="009A2125"/>
    <w:rsid w:val="009A311F"/>
    <w:rsid w:val="009A4D3E"/>
    <w:rsid w:val="009A5D84"/>
    <w:rsid w:val="009A7DA9"/>
    <w:rsid w:val="009B00E5"/>
    <w:rsid w:val="009B0116"/>
    <w:rsid w:val="009B3472"/>
    <w:rsid w:val="009B5379"/>
    <w:rsid w:val="009C52E3"/>
    <w:rsid w:val="009C685B"/>
    <w:rsid w:val="009C70FF"/>
    <w:rsid w:val="009D369F"/>
    <w:rsid w:val="009D3BBF"/>
    <w:rsid w:val="009D511F"/>
    <w:rsid w:val="009D5DF3"/>
    <w:rsid w:val="009E7B65"/>
    <w:rsid w:val="009F1D13"/>
    <w:rsid w:val="009F3712"/>
    <w:rsid w:val="009F4A4B"/>
    <w:rsid w:val="00A03A28"/>
    <w:rsid w:val="00A03F0A"/>
    <w:rsid w:val="00A077CB"/>
    <w:rsid w:val="00A103BE"/>
    <w:rsid w:val="00A1041F"/>
    <w:rsid w:val="00A10BFC"/>
    <w:rsid w:val="00A11238"/>
    <w:rsid w:val="00A123FB"/>
    <w:rsid w:val="00A1458F"/>
    <w:rsid w:val="00A1550A"/>
    <w:rsid w:val="00A16ED6"/>
    <w:rsid w:val="00A21476"/>
    <w:rsid w:val="00A23DC6"/>
    <w:rsid w:val="00A2721F"/>
    <w:rsid w:val="00A4165F"/>
    <w:rsid w:val="00A42354"/>
    <w:rsid w:val="00A426E8"/>
    <w:rsid w:val="00A44837"/>
    <w:rsid w:val="00A466F3"/>
    <w:rsid w:val="00A46B10"/>
    <w:rsid w:val="00A47C0A"/>
    <w:rsid w:val="00A50364"/>
    <w:rsid w:val="00A557AA"/>
    <w:rsid w:val="00A61271"/>
    <w:rsid w:val="00A64889"/>
    <w:rsid w:val="00A67203"/>
    <w:rsid w:val="00A67A23"/>
    <w:rsid w:val="00A67BF7"/>
    <w:rsid w:val="00A71C3C"/>
    <w:rsid w:val="00A7211D"/>
    <w:rsid w:val="00A73B17"/>
    <w:rsid w:val="00A761AB"/>
    <w:rsid w:val="00A82FE7"/>
    <w:rsid w:val="00A842F5"/>
    <w:rsid w:val="00A850F1"/>
    <w:rsid w:val="00A85117"/>
    <w:rsid w:val="00A92BD5"/>
    <w:rsid w:val="00A97F94"/>
    <w:rsid w:val="00AA1119"/>
    <w:rsid w:val="00AA175F"/>
    <w:rsid w:val="00AC43ED"/>
    <w:rsid w:val="00AC72AD"/>
    <w:rsid w:val="00AD4F8B"/>
    <w:rsid w:val="00AD501F"/>
    <w:rsid w:val="00AE005B"/>
    <w:rsid w:val="00AE0F41"/>
    <w:rsid w:val="00AE62F1"/>
    <w:rsid w:val="00AF036E"/>
    <w:rsid w:val="00AF101C"/>
    <w:rsid w:val="00AF2C97"/>
    <w:rsid w:val="00AF362A"/>
    <w:rsid w:val="00AF5D67"/>
    <w:rsid w:val="00AF76F3"/>
    <w:rsid w:val="00B0373B"/>
    <w:rsid w:val="00B042A3"/>
    <w:rsid w:val="00B06FBA"/>
    <w:rsid w:val="00B07481"/>
    <w:rsid w:val="00B11890"/>
    <w:rsid w:val="00B1525B"/>
    <w:rsid w:val="00B208F2"/>
    <w:rsid w:val="00B22FB8"/>
    <w:rsid w:val="00B23B38"/>
    <w:rsid w:val="00B244B3"/>
    <w:rsid w:val="00B30260"/>
    <w:rsid w:val="00B30BDE"/>
    <w:rsid w:val="00B30DD7"/>
    <w:rsid w:val="00B31062"/>
    <w:rsid w:val="00B320EB"/>
    <w:rsid w:val="00B331C9"/>
    <w:rsid w:val="00B34EED"/>
    <w:rsid w:val="00B40914"/>
    <w:rsid w:val="00B41F60"/>
    <w:rsid w:val="00B52A06"/>
    <w:rsid w:val="00B52E21"/>
    <w:rsid w:val="00B56D67"/>
    <w:rsid w:val="00B61C87"/>
    <w:rsid w:val="00B6378B"/>
    <w:rsid w:val="00B63943"/>
    <w:rsid w:val="00B64265"/>
    <w:rsid w:val="00B67EBB"/>
    <w:rsid w:val="00B702BE"/>
    <w:rsid w:val="00B71548"/>
    <w:rsid w:val="00B7348D"/>
    <w:rsid w:val="00B76875"/>
    <w:rsid w:val="00B7767E"/>
    <w:rsid w:val="00B77A6D"/>
    <w:rsid w:val="00B81B02"/>
    <w:rsid w:val="00B8554B"/>
    <w:rsid w:val="00B85711"/>
    <w:rsid w:val="00B8723B"/>
    <w:rsid w:val="00B91B52"/>
    <w:rsid w:val="00B9277E"/>
    <w:rsid w:val="00B96ED9"/>
    <w:rsid w:val="00B9743E"/>
    <w:rsid w:val="00BA0F7F"/>
    <w:rsid w:val="00BA298C"/>
    <w:rsid w:val="00BA3887"/>
    <w:rsid w:val="00BA71D0"/>
    <w:rsid w:val="00BB0C85"/>
    <w:rsid w:val="00BB0F17"/>
    <w:rsid w:val="00BB574A"/>
    <w:rsid w:val="00BB6DE7"/>
    <w:rsid w:val="00BC69C6"/>
    <w:rsid w:val="00BC77DC"/>
    <w:rsid w:val="00BD15B6"/>
    <w:rsid w:val="00BD185F"/>
    <w:rsid w:val="00BD2680"/>
    <w:rsid w:val="00BD3219"/>
    <w:rsid w:val="00BD6B11"/>
    <w:rsid w:val="00BD72F5"/>
    <w:rsid w:val="00BD762C"/>
    <w:rsid w:val="00C01CEF"/>
    <w:rsid w:val="00C06910"/>
    <w:rsid w:val="00C173A0"/>
    <w:rsid w:val="00C23F14"/>
    <w:rsid w:val="00C4002E"/>
    <w:rsid w:val="00C44398"/>
    <w:rsid w:val="00C47215"/>
    <w:rsid w:val="00C47C80"/>
    <w:rsid w:val="00C47F63"/>
    <w:rsid w:val="00C51158"/>
    <w:rsid w:val="00C511E3"/>
    <w:rsid w:val="00C542AC"/>
    <w:rsid w:val="00C61917"/>
    <w:rsid w:val="00C6350E"/>
    <w:rsid w:val="00C75974"/>
    <w:rsid w:val="00C775CA"/>
    <w:rsid w:val="00C81B81"/>
    <w:rsid w:val="00C8259F"/>
    <w:rsid w:val="00C83AAE"/>
    <w:rsid w:val="00C91E55"/>
    <w:rsid w:val="00C935F2"/>
    <w:rsid w:val="00C97D91"/>
    <w:rsid w:val="00CA00E6"/>
    <w:rsid w:val="00CA6C57"/>
    <w:rsid w:val="00CA6E4A"/>
    <w:rsid w:val="00CB0257"/>
    <w:rsid w:val="00CB03A8"/>
    <w:rsid w:val="00CB2981"/>
    <w:rsid w:val="00CB7D56"/>
    <w:rsid w:val="00CB7E46"/>
    <w:rsid w:val="00CC0165"/>
    <w:rsid w:val="00CC119D"/>
    <w:rsid w:val="00CC11DF"/>
    <w:rsid w:val="00CC2C6E"/>
    <w:rsid w:val="00CC4616"/>
    <w:rsid w:val="00CC5749"/>
    <w:rsid w:val="00CC741D"/>
    <w:rsid w:val="00CC7E3E"/>
    <w:rsid w:val="00CD1AC0"/>
    <w:rsid w:val="00CD2125"/>
    <w:rsid w:val="00CD2B41"/>
    <w:rsid w:val="00CD41AC"/>
    <w:rsid w:val="00CD6E96"/>
    <w:rsid w:val="00CE1F6D"/>
    <w:rsid w:val="00CE5394"/>
    <w:rsid w:val="00CE558A"/>
    <w:rsid w:val="00D03B23"/>
    <w:rsid w:val="00D03CC6"/>
    <w:rsid w:val="00D05567"/>
    <w:rsid w:val="00D0695C"/>
    <w:rsid w:val="00D12780"/>
    <w:rsid w:val="00D14A6D"/>
    <w:rsid w:val="00D168F2"/>
    <w:rsid w:val="00D221B3"/>
    <w:rsid w:val="00D23DD4"/>
    <w:rsid w:val="00D2702B"/>
    <w:rsid w:val="00D312CD"/>
    <w:rsid w:val="00D32C32"/>
    <w:rsid w:val="00D33123"/>
    <w:rsid w:val="00D347DD"/>
    <w:rsid w:val="00D35461"/>
    <w:rsid w:val="00D35CBD"/>
    <w:rsid w:val="00D41C58"/>
    <w:rsid w:val="00D44E3A"/>
    <w:rsid w:val="00D458DE"/>
    <w:rsid w:val="00D5179B"/>
    <w:rsid w:val="00D56EDB"/>
    <w:rsid w:val="00D60A9A"/>
    <w:rsid w:val="00D60B46"/>
    <w:rsid w:val="00D65285"/>
    <w:rsid w:val="00D659FD"/>
    <w:rsid w:val="00D727C7"/>
    <w:rsid w:val="00D73E08"/>
    <w:rsid w:val="00D74C7B"/>
    <w:rsid w:val="00D76A41"/>
    <w:rsid w:val="00D76F72"/>
    <w:rsid w:val="00D808E9"/>
    <w:rsid w:val="00D81977"/>
    <w:rsid w:val="00D83A06"/>
    <w:rsid w:val="00D84902"/>
    <w:rsid w:val="00D86739"/>
    <w:rsid w:val="00D92461"/>
    <w:rsid w:val="00D93C7C"/>
    <w:rsid w:val="00D97A1F"/>
    <w:rsid w:val="00DA3692"/>
    <w:rsid w:val="00DB13E2"/>
    <w:rsid w:val="00DB79F9"/>
    <w:rsid w:val="00DB7C69"/>
    <w:rsid w:val="00DC01A3"/>
    <w:rsid w:val="00DD1BBF"/>
    <w:rsid w:val="00DD62EC"/>
    <w:rsid w:val="00DD6504"/>
    <w:rsid w:val="00DD6EB4"/>
    <w:rsid w:val="00DE5F4F"/>
    <w:rsid w:val="00DF7699"/>
    <w:rsid w:val="00E024FC"/>
    <w:rsid w:val="00E13370"/>
    <w:rsid w:val="00E149A3"/>
    <w:rsid w:val="00E15991"/>
    <w:rsid w:val="00E15CC8"/>
    <w:rsid w:val="00E20A47"/>
    <w:rsid w:val="00E20D2E"/>
    <w:rsid w:val="00E2289C"/>
    <w:rsid w:val="00E2412D"/>
    <w:rsid w:val="00E306AD"/>
    <w:rsid w:val="00E30A11"/>
    <w:rsid w:val="00E31F8F"/>
    <w:rsid w:val="00E32660"/>
    <w:rsid w:val="00E41C9C"/>
    <w:rsid w:val="00E440BB"/>
    <w:rsid w:val="00E50EE6"/>
    <w:rsid w:val="00E521EB"/>
    <w:rsid w:val="00E54B21"/>
    <w:rsid w:val="00E570CD"/>
    <w:rsid w:val="00E64FEF"/>
    <w:rsid w:val="00E676D6"/>
    <w:rsid w:val="00E815F7"/>
    <w:rsid w:val="00E831BA"/>
    <w:rsid w:val="00E8565D"/>
    <w:rsid w:val="00E865E8"/>
    <w:rsid w:val="00E95327"/>
    <w:rsid w:val="00E970E2"/>
    <w:rsid w:val="00EA041C"/>
    <w:rsid w:val="00EA2CDB"/>
    <w:rsid w:val="00EA71FD"/>
    <w:rsid w:val="00EB2D78"/>
    <w:rsid w:val="00EB7D7D"/>
    <w:rsid w:val="00EC0D5F"/>
    <w:rsid w:val="00EC110A"/>
    <w:rsid w:val="00EC1A1E"/>
    <w:rsid w:val="00ED0A21"/>
    <w:rsid w:val="00ED4FF3"/>
    <w:rsid w:val="00ED52AF"/>
    <w:rsid w:val="00ED757C"/>
    <w:rsid w:val="00EE1CF4"/>
    <w:rsid w:val="00EE27DF"/>
    <w:rsid w:val="00EE4781"/>
    <w:rsid w:val="00EF33A6"/>
    <w:rsid w:val="00EF34F2"/>
    <w:rsid w:val="00EF59C1"/>
    <w:rsid w:val="00F019E5"/>
    <w:rsid w:val="00F10B64"/>
    <w:rsid w:val="00F167D3"/>
    <w:rsid w:val="00F179EC"/>
    <w:rsid w:val="00F23644"/>
    <w:rsid w:val="00F27E3C"/>
    <w:rsid w:val="00F32CA9"/>
    <w:rsid w:val="00F41BA1"/>
    <w:rsid w:val="00F510E3"/>
    <w:rsid w:val="00F60ECB"/>
    <w:rsid w:val="00F642C7"/>
    <w:rsid w:val="00F64D6A"/>
    <w:rsid w:val="00F702DD"/>
    <w:rsid w:val="00F72656"/>
    <w:rsid w:val="00F73DF5"/>
    <w:rsid w:val="00F83F9B"/>
    <w:rsid w:val="00F855A7"/>
    <w:rsid w:val="00F86869"/>
    <w:rsid w:val="00F86A57"/>
    <w:rsid w:val="00F90686"/>
    <w:rsid w:val="00FA0283"/>
    <w:rsid w:val="00FA3CA3"/>
    <w:rsid w:val="00FB66E6"/>
    <w:rsid w:val="00FB6C67"/>
    <w:rsid w:val="00FC01AB"/>
    <w:rsid w:val="00FC04CA"/>
    <w:rsid w:val="00FC26E2"/>
    <w:rsid w:val="00FC6BB1"/>
    <w:rsid w:val="00FD6E74"/>
    <w:rsid w:val="00FD72C1"/>
    <w:rsid w:val="00FE072D"/>
    <w:rsid w:val="00FF0FD0"/>
    <w:rsid w:val="00FF3684"/>
    <w:rsid w:val="00FF4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List Bullet" w:qFormat="1"/>
    <w:lsdException w:name="Title" w:qFormat="1"/>
    <w:lsdException w:name="Body Text" w:uiPriority="99"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EDO 2013"/>
    <w:qFormat/>
    <w:rsid w:val="000813BD"/>
    <w:rPr>
      <w:rFonts w:ascii="Arial" w:hAnsi="Arial"/>
      <w:sz w:val="22"/>
      <w:szCs w:val="24"/>
      <w:lang w:eastAsia="en-US"/>
    </w:rPr>
  </w:style>
  <w:style w:type="paragraph" w:styleId="Heading1">
    <w:name w:val="heading 1"/>
    <w:basedOn w:val="PolicyHeading1"/>
    <w:next w:val="Normal"/>
    <w:link w:val="Heading1Char"/>
    <w:qFormat/>
    <w:rsid w:val="000B7F9D"/>
    <w:pPr>
      <w:outlineLvl w:val="0"/>
    </w:pPr>
  </w:style>
  <w:style w:type="paragraph" w:styleId="Heading2">
    <w:name w:val="heading 2"/>
    <w:basedOn w:val="Normal"/>
    <w:next w:val="Normal"/>
    <w:link w:val="Heading2Char"/>
    <w:qFormat/>
    <w:rsid w:val="002C6FAA"/>
    <w:pPr>
      <w:keepNext/>
      <w:spacing w:before="240" w:after="120"/>
      <w:outlineLvl w:val="1"/>
    </w:pPr>
    <w:rPr>
      <w:rFonts w:cs="Arial"/>
      <w:b/>
      <w:bCs/>
      <w:i/>
      <w:iCs/>
      <w:sz w:val="24"/>
      <w:szCs w:val="28"/>
    </w:rPr>
  </w:style>
  <w:style w:type="paragraph" w:styleId="Heading3">
    <w:name w:val="heading 3"/>
    <w:basedOn w:val="Normal"/>
    <w:link w:val="Heading3Char"/>
    <w:qFormat/>
    <w:rsid w:val="002C6FAA"/>
    <w:pPr>
      <w:spacing w:before="120" w:after="120"/>
      <w:outlineLvl w:val="2"/>
    </w:pPr>
    <w:rPr>
      <w:b/>
      <w:bCs/>
      <w:szCs w:val="27"/>
      <w:u w:val="single"/>
    </w:rPr>
  </w:style>
  <w:style w:type="paragraph" w:styleId="Heading4">
    <w:name w:val="heading 4"/>
    <w:basedOn w:val="Normal"/>
    <w:next w:val="Normal"/>
    <w:link w:val="Heading4Char"/>
    <w:uiPriority w:val="9"/>
    <w:unhideWhenUsed/>
    <w:qFormat/>
    <w:rsid w:val="008A18C4"/>
    <w:pPr>
      <w:keepNext/>
      <w:keepLines/>
      <w:spacing w:before="200" w:line="276" w:lineRule="auto"/>
      <w:outlineLvl w:val="3"/>
    </w:pPr>
    <w:rPr>
      <w:rFonts w:ascii="Cambria" w:hAnsi="Cambria"/>
      <w:b/>
      <w:bCs/>
      <w:i/>
      <w:iCs/>
      <w:color w:val="4F81B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1E3"/>
    <w:rPr>
      <w:color w:val="0000FF"/>
      <w:u w:val="single"/>
    </w:rPr>
  </w:style>
  <w:style w:type="paragraph" w:styleId="NormalWeb">
    <w:name w:val="Normal (Web)"/>
    <w:basedOn w:val="Normal"/>
    <w:rsid w:val="00C511E3"/>
    <w:pPr>
      <w:spacing w:before="100" w:beforeAutospacing="1" w:after="100" w:afterAutospacing="1"/>
    </w:pPr>
    <w:rPr>
      <w:lang w:val="en-US"/>
    </w:rPr>
  </w:style>
  <w:style w:type="paragraph" w:styleId="FootnoteText">
    <w:name w:val="footnote text"/>
    <w:aliases w:val="fn"/>
    <w:basedOn w:val="Normal"/>
    <w:link w:val="FootnoteTextChar"/>
    <w:rsid w:val="00121AE0"/>
    <w:rPr>
      <w:sz w:val="20"/>
      <w:szCs w:val="20"/>
    </w:rPr>
  </w:style>
  <w:style w:type="character" w:styleId="FootnoteReference">
    <w:name w:val="footnote reference"/>
    <w:rsid w:val="00121AE0"/>
    <w:rPr>
      <w:vertAlign w:val="superscript"/>
    </w:rPr>
  </w:style>
  <w:style w:type="paragraph" w:customStyle="1" w:styleId="Default">
    <w:name w:val="Default"/>
    <w:rsid w:val="00514244"/>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aliases w:val="fn Char"/>
    <w:link w:val="FootnoteText"/>
    <w:rsid w:val="00701C7D"/>
    <w:rPr>
      <w:lang w:val="en-AU" w:eastAsia="en-US" w:bidi="ar-SA"/>
    </w:rPr>
  </w:style>
  <w:style w:type="paragraph" w:styleId="Footer">
    <w:name w:val="footer"/>
    <w:basedOn w:val="Normal"/>
    <w:link w:val="FooterChar"/>
    <w:rsid w:val="00D23DD4"/>
    <w:pPr>
      <w:tabs>
        <w:tab w:val="center" w:pos="4320"/>
        <w:tab w:val="right" w:pos="8640"/>
      </w:tabs>
    </w:pPr>
  </w:style>
  <w:style w:type="character" w:styleId="PageNumber">
    <w:name w:val="page number"/>
    <w:basedOn w:val="DefaultParagraphFont"/>
    <w:rsid w:val="00D23DD4"/>
  </w:style>
  <w:style w:type="paragraph" w:styleId="BalloonText">
    <w:name w:val="Balloon Text"/>
    <w:basedOn w:val="Normal"/>
    <w:semiHidden/>
    <w:rsid w:val="00F60ECB"/>
    <w:rPr>
      <w:rFonts w:ascii="Tahoma" w:hAnsi="Tahoma" w:cs="Tahoma"/>
      <w:sz w:val="16"/>
      <w:szCs w:val="16"/>
    </w:rPr>
  </w:style>
  <w:style w:type="character" w:styleId="CommentReference">
    <w:name w:val="annotation reference"/>
    <w:semiHidden/>
    <w:rsid w:val="002443FF"/>
    <w:rPr>
      <w:sz w:val="16"/>
      <w:szCs w:val="16"/>
    </w:rPr>
  </w:style>
  <w:style w:type="paragraph" w:styleId="CommentText">
    <w:name w:val="annotation text"/>
    <w:basedOn w:val="Normal"/>
    <w:link w:val="CommentTextChar"/>
    <w:uiPriority w:val="99"/>
    <w:semiHidden/>
    <w:rsid w:val="002443FF"/>
    <w:rPr>
      <w:sz w:val="20"/>
      <w:szCs w:val="20"/>
    </w:rPr>
  </w:style>
  <w:style w:type="paragraph" w:styleId="CommentSubject">
    <w:name w:val="annotation subject"/>
    <w:basedOn w:val="CommentText"/>
    <w:next w:val="CommentText"/>
    <w:semiHidden/>
    <w:rsid w:val="002443FF"/>
    <w:rPr>
      <w:b/>
      <w:bCs/>
    </w:rPr>
  </w:style>
  <w:style w:type="character" w:customStyle="1" w:styleId="menulink1">
    <w:name w:val="menulink1"/>
    <w:rsid w:val="002C468F"/>
    <w:rPr>
      <w:rFonts w:ascii="Arial" w:hAnsi="Arial" w:cs="Arial" w:hint="default"/>
      <w:b/>
      <w:bCs/>
      <w:strike w:val="0"/>
      <w:dstrike w:val="0"/>
      <w:color w:val="000000"/>
      <w:sz w:val="22"/>
      <w:szCs w:val="22"/>
      <w:u w:val="none"/>
      <w:effect w:val="none"/>
    </w:rPr>
  </w:style>
  <w:style w:type="paragraph" w:styleId="Header">
    <w:name w:val="header"/>
    <w:basedOn w:val="Normal"/>
    <w:link w:val="HeaderChar"/>
    <w:uiPriority w:val="99"/>
    <w:rsid w:val="00E32660"/>
    <w:pPr>
      <w:tabs>
        <w:tab w:val="center" w:pos="4153"/>
        <w:tab w:val="right" w:pos="8306"/>
      </w:tabs>
    </w:pPr>
  </w:style>
  <w:style w:type="paragraph" w:customStyle="1" w:styleId="Policycoverpagetext">
    <w:name w:val="Policy cover page text"/>
    <w:basedOn w:val="Normal"/>
    <w:autoRedefine/>
    <w:rsid w:val="00E32660"/>
    <w:pPr>
      <w:spacing w:after="120"/>
    </w:pPr>
    <w:rPr>
      <w:rFonts w:ascii="Garamond" w:hAnsi="Garamond"/>
    </w:rPr>
  </w:style>
  <w:style w:type="character" w:customStyle="1" w:styleId="Heading1Char">
    <w:name w:val="Heading 1 Char"/>
    <w:link w:val="Heading1"/>
    <w:rsid w:val="000B7F9D"/>
    <w:rPr>
      <w:rFonts w:ascii="Arial" w:hAnsi="Arial" w:cs="Arial"/>
      <w:b/>
      <w:sz w:val="28"/>
      <w:szCs w:val="28"/>
      <w:shd w:val="clear" w:color="auto" w:fill="E0E0E0"/>
      <w:lang w:eastAsia="en-US"/>
    </w:rPr>
  </w:style>
  <w:style w:type="paragraph" w:customStyle="1" w:styleId="PolicyHeading1">
    <w:name w:val="Policy Heading 1"/>
    <w:basedOn w:val="Normal"/>
    <w:rsid w:val="002C6FAA"/>
    <w:pPr>
      <w:pBdr>
        <w:top w:val="single" w:sz="4" w:space="1" w:color="auto"/>
        <w:left w:val="single" w:sz="4" w:space="4" w:color="auto"/>
        <w:bottom w:val="single" w:sz="4" w:space="1" w:color="auto"/>
        <w:right w:val="single" w:sz="4" w:space="4" w:color="auto"/>
      </w:pBdr>
      <w:shd w:val="clear" w:color="auto" w:fill="E0E0E0"/>
      <w:jc w:val="both"/>
    </w:pPr>
    <w:rPr>
      <w:rFonts w:cs="Arial"/>
      <w:b/>
      <w:sz w:val="28"/>
      <w:szCs w:val="28"/>
    </w:rPr>
  </w:style>
  <w:style w:type="paragraph" w:customStyle="1" w:styleId="PolicyHeading2">
    <w:name w:val="Policy Heading 2"/>
    <w:basedOn w:val="Heading3"/>
    <w:rsid w:val="00861A68"/>
    <w:pPr>
      <w:pBdr>
        <w:top w:val="single" w:sz="4" w:space="1" w:color="auto"/>
        <w:left w:val="single" w:sz="4" w:space="4" w:color="auto"/>
        <w:bottom w:val="single" w:sz="4" w:space="1" w:color="auto"/>
        <w:right w:val="single" w:sz="4" w:space="4" w:color="auto"/>
      </w:pBdr>
      <w:shd w:val="clear" w:color="auto" w:fill="E0E0E0"/>
      <w:spacing w:before="0" w:after="0"/>
      <w:jc w:val="both"/>
    </w:pPr>
    <w:rPr>
      <w:rFonts w:ascii="Garamond" w:hAnsi="Garamond"/>
      <w:sz w:val="24"/>
      <w:szCs w:val="24"/>
    </w:rPr>
  </w:style>
  <w:style w:type="paragraph" w:styleId="ListParagraph">
    <w:name w:val="List Paragraph"/>
    <w:aliases w:val="List Paragraph1,Recommendation,List Paragraph11"/>
    <w:basedOn w:val="Normal"/>
    <w:link w:val="ListParagraphChar"/>
    <w:uiPriority w:val="34"/>
    <w:qFormat/>
    <w:rsid w:val="002D55E7"/>
    <w:pPr>
      <w:spacing w:after="200" w:line="276" w:lineRule="auto"/>
      <w:ind w:left="720"/>
      <w:contextualSpacing/>
    </w:pPr>
    <w:rPr>
      <w:rFonts w:ascii="Calibri" w:eastAsia="Calibri" w:hAnsi="Calibri"/>
      <w:szCs w:val="22"/>
    </w:rPr>
  </w:style>
  <w:style w:type="character" w:customStyle="1" w:styleId="ListParagraphChar">
    <w:name w:val="List Paragraph Char"/>
    <w:aliases w:val="List Paragraph1 Char,Recommendation Char,List Paragraph11 Char"/>
    <w:link w:val="ListParagraph"/>
    <w:uiPriority w:val="34"/>
    <w:locked/>
    <w:rsid w:val="00070682"/>
    <w:rPr>
      <w:rFonts w:ascii="Calibri" w:eastAsia="Calibri" w:hAnsi="Calibri"/>
      <w:sz w:val="22"/>
      <w:szCs w:val="22"/>
      <w:lang w:eastAsia="en-US"/>
    </w:rPr>
  </w:style>
  <w:style w:type="paragraph" w:styleId="BodyText">
    <w:name w:val="Body Text"/>
    <w:aliases w:val="Body Text1"/>
    <w:link w:val="BodyTextChar"/>
    <w:uiPriority w:val="99"/>
    <w:qFormat/>
    <w:rsid w:val="002C3CD3"/>
    <w:pPr>
      <w:spacing w:before="240" w:line="320" w:lineRule="atLeast"/>
      <w:jc w:val="both"/>
    </w:pPr>
    <w:rPr>
      <w:sz w:val="26"/>
    </w:rPr>
  </w:style>
  <w:style w:type="character" w:customStyle="1" w:styleId="BodyTextChar">
    <w:name w:val="Body Text Char"/>
    <w:aliases w:val="Body Text1 Char"/>
    <w:link w:val="BodyText"/>
    <w:uiPriority w:val="99"/>
    <w:rsid w:val="002C3CD3"/>
    <w:rPr>
      <w:sz w:val="26"/>
    </w:rPr>
  </w:style>
  <w:style w:type="paragraph" w:styleId="ListBullet">
    <w:name w:val="List Bullet"/>
    <w:basedOn w:val="BodyText"/>
    <w:link w:val="ListBulletChar"/>
    <w:qFormat/>
    <w:rsid w:val="002C3CD3"/>
    <w:pPr>
      <w:numPr>
        <w:numId w:val="5"/>
      </w:numPr>
      <w:spacing w:before="120"/>
    </w:pPr>
  </w:style>
  <w:style w:type="character" w:customStyle="1" w:styleId="ListBulletChar">
    <w:name w:val="List Bullet Char"/>
    <w:link w:val="ListBullet"/>
    <w:rsid w:val="002C3CD3"/>
    <w:rPr>
      <w:sz w:val="26"/>
    </w:rPr>
  </w:style>
  <w:style w:type="character" w:customStyle="1" w:styleId="Heading4Char">
    <w:name w:val="Heading 4 Char"/>
    <w:link w:val="Heading4"/>
    <w:uiPriority w:val="9"/>
    <w:rsid w:val="008A18C4"/>
    <w:rPr>
      <w:rFonts w:ascii="Cambria" w:hAnsi="Cambria"/>
      <w:b/>
      <w:bCs/>
      <w:i/>
      <w:iCs/>
      <w:color w:val="4F81BD"/>
      <w:sz w:val="22"/>
      <w:szCs w:val="22"/>
      <w:lang w:eastAsia="en-US"/>
    </w:rPr>
  </w:style>
  <w:style w:type="character" w:customStyle="1" w:styleId="CommentTextChar">
    <w:name w:val="Comment Text Char"/>
    <w:link w:val="CommentText"/>
    <w:uiPriority w:val="99"/>
    <w:semiHidden/>
    <w:rsid w:val="008A18C4"/>
    <w:rPr>
      <w:rFonts w:ascii="Arial" w:hAnsi="Arial"/>
      <w:lang w:eastAsia="en-US"/>
    </w:rPr>
  </w:style>
  <w:style w:type="character" w:customStyle="1" w:styleId="h51">
    <w:name w:val="h51"/>
    <w:rsid w:val="008A18C4"/>
    <w:rPr>
      <w:rFonts w:ascii="Verdana" w:hAnsi="Verdana" w:hint="default"/>
      <w:b/>
      <w:bCs/>
      <w:sz w:val="18"/>
      <w:szCs w:val="18"/>
    </w:rPr>
  </w:style>
  <w:style w:type="character" w:styleId="FollowedHyperlink">
    <w:name w:val="FollowedHyperlink"/>
    <w:rsid w:val="006B4903"/>
    <w:rPr>
      <w:color w:val="800080"/>
      <w:u w:val="single"/>
    </w:rPr>
  </w:style>
  <w:style w:type="character" w:customStyle="1" w:styleId="FooterChar">
    <w:name w:val="Footer Char"/>
    <w:link w:val="Footer"/>
    <w:rsid w:val="000C5A82"/>
    <w:rPr>
      <w:rFonts w:ascii="Arial" w:hAnsi="Arial"/>
      <w:sz w:val="22"/>
      <w:szCs w:val="24"/>
      <w:lang w:eastAsia="en-US"/>
    </w:rPr>
  </w:style>
  <w:style w:type="character" w:customStyle="1" w:styleId="Heading2Char">
    <w:name w:val="Heading 2 Char"/>
    <w:link w:val="Heading2"/>
    <w:rsid w:val="007B4AD8"/>
    <w:rPr>
      <w:rFonts w:ascii="Arial" w:hAnsi="Arial" w:cs="Arial"/>
      <w:b/>
      <w:bCs/>
      <w:i/>
      <w:iCs/>
      <w:sz w:val="24"/>
      <w:szCs w:val="28"/>
      <w:lang w:eastAsia="en-US"/>
    </w:rPr>
  </w:style>
  <w:style w:type="character" w:customStyle="1" w:styleId="Heading3Char">
    <w:name w:val="Heading 3 Char"/>
    <w:link w:val="Heading3"/>
    <w:rsid w:val="007B4AD8"/>
    <w:rPr>
      <w:rFonts w:ascii="Arial" w:hAnsi="Arial"/>
      <w:b/>
      <w:bCs/>
      <w:sz w:val="22"/>
      <w:szCs w:val="27"/>
      <w:u w:val="single"/>
      <w:lang w:eastAsia="en-US"/>
    </w:rPr>
  </w:style>
  <w:style w:type="paragraph" w:styleId="TOCHeading">
    <w:name w:val="TOC Heading"/>
    <w:basedOn w:val="Heading1"/>
    <w:next w:val="Normal"/>
    <w:uiPriority w:val="39"/>
    <w:semiHidden/>
    <w:unhideWhenUsed/>
    <w:qFormat/>
    <w:rsid w:val="00126956"/>
    <w:pPr>
      <w:keepNext/>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MS Gothic" w:hAnsi="Cambria" w:cs="Times New Roman"/>
      <w:bCs/>
      <w:color w:val="365F91"/>
      <w:lang w:val="en-US" w:eastAsia="ja-JP"/>
    </w:rPr>
  </w:style>
  <w:style w:type="paragraph" w:styleId="TOC1">
    <w:name w:val="toc 1"/>
    <w:basedOn w:val="Normal"/>
    <w:next w:val="Normal"/>
    <w:autoRedefine/>
    <w:uiPriority w:val="39"/>
    <w:rsid w:val="002D15BD"/>
    <w:pPr>
      <w:tabs>
        <w:tab w:val="right" w:leader="dot" w:pos="8660"/>
      </w:tabs>
      <w:spacing w:before="120" w:after="120"/>
    </w:pPr>
    <w:rPr>
      <w:b/>
      <w:noProof/>
    </w:rPr>
  </w:style>
  <w:style w:type="paragraph" w:styleId="TOC2">
    <w:name w:val="toc 2"/>
    <w:basedOn w:val="Normal"/>
    <w:next w:val="Normal"/>
    <w:autoRedefine/>
    <w:uiPriority w:val="39"/>
    <w:rsid w:val="00126956"/>
    <w:pPr>
      <w:ind w:left="220"/>
    </w:pPr>
  </w:style>
  <w:style w:type="paragraph" w:styleId="TOC3">
    <w:name w:val="toc 3"/>
    <w:basedOn w:val="Normal"/>
    <w:next w:val="Normal"/>
    <w:autoRedefine/>
    <w:uiPriority w:val="39"/>
    <w:rsid w:val="00126956"/>
    <w:pPr>
      <w:ind w:left="440"/>
    </w:pPr>
  </w:style>
  <w:style w:type="character" w:styleId="Strong">
    <w:name w:val="Strong"/>
    <w:uiPriority w:val="22"/>
    <w:qFormat/>
    <w:rsid w:val="00D60B46"/>
    <w:rPr>
      <w:b/>
      <w:bCs/>
    </w:rPr>
  </w:style>
  <w:style w:type="paragraph" w:styleId="PlainText">
    <w:name w:val="Plain Text"/>
    <w:basedOn w:val="Normal"/>
    <w:link w:val="PlainTextChar"/>
    <w:uiPriority w:val="99"/>
    <w:unhideWhenUsed/>
    <w:rsid w:val="00827763"/>
    <w:rPr>
      <w:rFonts w:ascii="Calibri" w:eastAsia="Calibri" w:hAnsi="Calibri" w:cs="Consolas"/>
      <w:szCs w:val="21"/>
    </w:rPr>
  </w:style>
  <w:style w:type="character" w:customStyle="1" w:styleId="PlainTextChar">
    <w:name w:val="Plain Text Char"/>
    <w:basedOn w:val="DefaultParagraphFont"/>
    <w:link w:val="PlainText"/>
    <w:uiPriority w:val="99"/>
    <w:rsid w:val="00827763"/>
    <w:rPr>
      <w:rFonts w:ascii="Calibri" w:eastAsia="Calibri" w:hAnsi="Calibri" w:cs="Consolas"/>
      <w:sz w:val="22"/>
      <w:szCs w:val="21"/>
      <w:lang w:eastAsia="en-US"/>
    </w:rPr>
  </w:style>
  <w:style w:type="character" w:styleId="Emphasis">
    <w:name w:val="Emphasis"/>
    <w:uiPriority w:val="20"/>
    <w:qFormat/>
    <w:rsid w:val="00D73E08"/>
    <w:rPr>
      <w:i/>
      <w:iCs/>
    </w:rPr>
  </w:style>
  <w:style w:type="character" w:customStyle="1" w:styleId="FootnoteTextChar1">
    <w:name w:val="Footnote Text Char1"/>
    <w:aliases w:val="fn Char1"/>
    <w:semiHidden/>
    <w:locked/>
    <w:rsid w:val="00D73E08"/>
    <w:rPr>
      <w:lang w:val="en-US" w:eastAsia="en-US"/>
    </w:rPr>
  </w:style>
  <w:style w:type="character" w:customStyle="1" w:styleId="HeaderChar">
    <w:name w:val="Header Char"/>
    <w:link w:val="Header"/>
    <w:uiPriority w:val="99"/>
    <w:rsid w:val="0023473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List Bullet" w:qFormat="1"/>
    <w:lsdException w:name="Title" w:qFormat="1"/>
    <w:lsdException w:name="Body Text" w:uiPriority="99"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EDO 2013"/>
    <w:qFormat/>
    <w:rsid w:val="000813BD"/>
    <w:rPr>
      <w:rFonts w:ascii="Arial" w:hAnsi="Arial"/>
      <w:sz w:val="22"/>
      <w:szCs w:val="24"/>
      <w:lang w:eastAsia="en-US"/>
    </w:rPr>
  </w:style>
  <w:style w:type="paragraph" w:styleId="Heading1">
    <w:name w:val="heading 1"/>
    <w:basedOn w:val="PolicyHeading1"/>
    <w:next w:val="Normal"/>
    <w:link w:val="Heading1Char"/>
    <w:qFormat/>
    <w:rsid w:val="000B7F9D"/>
    <w:pPr>
      <w:outlineLvl w:val="0"/>
    </w:pPr>
  </w:style>
  <w:style w:type="paragraph" w:styleId="Heading2">
    <w:name w:val="heading 2"/>
    <w:basedOn w:val="Normal"/>
    <w:next w:val="Normal"/>
    <w:link w:val="Heading2Char"/>
    <w:qFormat/>
    <w:rsid w:val="002C6FAA"/>
    <w:pPr>
      <w:keepNext/>
      <w:spacing w:before="240" w:after="120"/>
      <w:outlineLvl w:val="1"/>
    </w:pPr>
    <w:rPr>
      <w:rFonts w:cs="Arial"/>
      <w:b/>
      <w:bCs/>
      <w:i/>
      <w:iCs/>
      <w:sz w:val="24"/>
      <w:szCs w:val="28"/>
    </w:rPr>
  </w:style>
  <w:style w:type="paragraph" w:styleId="Heading3">
    <w:name w:val="heading 3"/>
    <w:basedOn w:val="Normal"/>
    <w:link w:val="Heading3Char"/>
    <w:qFormat/>
    <w:rsid w:val="002C6FAA"/>
    <w:pPr>
      <w:spacing w:before="120" w:after="120"/>
      <w:outlineLvl w:val="2"/>
    </w:pPr>
    <w:rPr>
      <w:b/>
      <w:bCs/>
      <w:szCs w:val="27"/>
      <w:u w:val="single"/>
    </w:rPr>
  </w:style>
  <w:style w:type="paragraph" w:styleId="Heading4">
    <w:name w:val="heading 4"/>
    <w:basedOn w:val="Normal"/>
    <w:next w:val="Normal"/>
    <w:link w:val="Heading4Char"/>
    <w:uiPriority w:val="9"/>
    <w:unhideWhenUsed/>
    <w:qFormat/>
    <w:rsid w:val="008A18C4"/>
    <w:pPr>
      <w:keepNext/>
      <w:keepLines/>
      <w:spacing w:before="200" w:line="276" w:lineRule="auto"/>
      <w:outlineLvl w:val="3"/>
    </w:pPr>
    <w:rPr>
      <w:rFonts w:ascii="Cambria" w:hAnsi="Cambria"/>
      <w:b/>
      <w:bCs/>
      <w:i/>
      <w:iCs/>
      <w:color w:val="4F81B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1E3"/>
    <w:rPr>
      <w:color w:val="0000FF"/>
      <w:u w:val="single"/>
    </w:rPr>
  </w:style>
  <w:style w:type="paragraph" w:styleId="NormalWeb">
    <w:name w:val="Normal (Web)"/>
    <w:basedOn w:val="Normal"/>
    <w:rsid w:val="00C511E3"/>
    <w:pPr>
      <w:spacing w:before="100" w:beforeAutospacing="1" w:after="100" w:afterAutospacing="1"/>
    </w:pPr>
    <w:rPr>
      <w:lang w:val="en-US"/>
    </w:rPr>
  </w:style>
  <w:style w:type="paragraph" w:styleId="FootnoteText">
    <w:name w:val="footnote text"/>
    <w:aliases w:val="fn"/>
    <w:basedOn w:val="Normal"/>
    <w:link w:val="FootnoteTextChar"/>
    <w:rsid w:val="00121AE0"/>
    <w:rPr>
      <w:sz w:val="20"/>
      <w:szCs w:val="20"/>
    </w:rPr>
  </w:style>
  <w:style w:type="character" w:styleId="FootnoteReference">
    <w:name w:val="footnote reference"/>
    <w:rsid w:val="00121AE0"/>
    <w:rPr>
      <w:vertAlign w:val="superscript"/>
    </w:rPr>
  </w:style>
  <w:style w:type="paragraph" w:customStyle="1" w:styleId="Default">
    <w:name w:val="Default"/>
    <w:rsid w:val="00514244"/>
    <w:pPr>
      <w:autoSpaceDE w:val="0"/>
      <w:autoSpaceDN w:val="0"/>
      <w:adjustRightInd w:val="0"/>
    </w:pPr>
    <w:rPr>
      <w:rFonts w:ascii="Arial" w:hAnsi="Arial" w:cs="Arial"/>
      <w:color w:val="000000"/>
      <w:sz w:val="24"/>
      <w:szCs w:val="24"/>
      <w:lang w:val="en-US" w:eastAsia="en-US"/>
    </w:rPr>
  </w:style>
  <w:style w:type="character" w:customStyle="1" w:styleId="FootnoteTextChar">
    <w:name w:val="Footnote Text Char"/>
    <w:aliases w:val="fn Char"/>
    <w:link w:val="FootnoteText"/>
    <w:rsid w:val="00701C7D"/>
    <w:rPr>
      <w:lang w:val="en-AU" w:eastAsia="en-US" w:bidi="ar-SA"/>
    </w:rPr>
  </w:style>
  <w:style w:type="paragraph" w:styleId="Footer">
    <w:name w:val="footer"/>
    <w:basedOn w:val="Normal"/>
    <w:link w:val="FooterChar"/>
    <w:rsid w:val="00D23DD4"/>
    <w:pPr>
      <w:tabs>
        <w:tab w:val="center" w:pos="4320"/>
        <w:tab w:val="right" w:pos="8640"/>
      </w:tabs>
    </w:pPr>
  </w:style>
  <w:style w:type="character" w:styleId="PageNumber">
    <w:name w:val="page number"/>
    <w:basedOn w:val="DefaultParagraphFont"/>
    <w:rsid w:val="00D23DD4"/>
  </w:style>
  <w:style w:type="paragraph" w:styleId="BalloonText">
    <w:name w:val="Balloon Text"/>
    <w:basedOn w:val="Normal"/>
    <w:semiHidden/>
    <w:rsid w:val="00F60ECB"/>
    <w:rPr>
      <w:rFonts w:ascii="Tahoma" w:hAnsi="Tahoma" w:cs="Tahoma"/>
      <w:sz w:val="16"/>
      <w:szCs w:val="16"/>
    </w:rPr>
  </w:style>
  <w:style w:type="character" w:styleId="CommentReference">
    <w:name w:val="annotation reference"/>
    <w:semiHidden/>
    <w:rsid w:val="002443FF"/>
    <w:rPr>
      <w:sz w:val="16"/>
      <w:szCs w:val="16"/>
    </w:rPr>
  </w:style>
  <w:style w:type="paragraph" w:styleId="CommentText">
    <w:name w:val="annotation text"/>
    <w:basedOn w:val="Normal"/>
    <w:link w:val="CommentTextChar"/>
    <w:uiPriority w:val="99"/>
    <w:semiHidden/>
    <w:rsid w:val="002443FF"/>
    <w:rPr>
      <w:sz w:val="20"/>
      <w:szCs w:val="20"/>
    </w:rPr>
  </w:style>
  <w:style w:type="paragraph" w:styleId="CommentSubject">
    <w:name w:val="annotation subject"/>
    <w:basedOn w:val="CommentText"/>
    <w:next w:val="CommentText"/>
    <w:semiHidden/>
    <w:rsid w:val="002443FF"/>
    <w:rPr>
      <w:b/>
      <w:bCs/>
    </w:rPr>
  </w:style>
  <w:style w:type="character" w:customStyle="1" w:styleId="menulink1">
    <w:name w:val="menulink1"/>
    <w:rsid w:val="002C468F"/>
    <w:rPr>
      <w:rFonts w:ascii="Arial" w:hAnsi="Arial" w:cs="Arial" w:hint="default"/>
      <w:b/>
      <w:bCs/>
      <w:strike w:val="0"/>
      <w:dstrike w:val="0"/>
      <w:color w:val="000000"/>
      <w:sz w:val="22"/>
      <w:szCs w:val="22"/>
      <w:u w:val="none"/>
      <w:effect w:val="none"/>
    </w:rPr>
  </w:style>
  <w:style w:type="paragraph" w:styleId="Header">
    <w:name w:val="header"/>
    <w:basedOn w:val="Normal"/>
    <w:link w:val="HeaderChar"/>
    <w:uiPriority w:val="99"/>
    <w:rsid w:val="00E32660"/>
    <w:pPr>
      <w:tabs>
        <w:tab w:val="center" w:pos="4153"/>
        <w:tab w:val="right" w:pos="8306"/>
      </w:tabs>
    </w:pPr>
  </w:style>
  <w:style w:type="paragraph" w:customStyle="1" w:styleId="Policycoverpagetext">
    <w:name w:val="Policy cover page text"/>
    <w:basedOn w:val="Normal"/>
    <w:autoRedefine/>
    <w:rsid w:val="00E32660"/>
    <w:pPr>
      <w:spacing w:after="120"/>
    </w:pPr>
    <w:rPr>
      <w:rFonts w:ascii="Garamond" w:hAnsi="Garamond"/>
    </w:rPr>
  </w:style>
  <w:style w:type="character" w:customStyle="1" w:styleId="Heading1Char">
    <w:name w:val="Heading 1 Char"/>
    <w:link w:val="Heading1"/>
    <w:rsid w:val="000B7F9D"/>
    <w:rPr>
      <w:rFonts w:ascii="Arial" w:hAnsi="Arial" w:cs="Arial"/>
      <w:b/>
      <w:sz w:val="28"/>
      <w:szCs w:val="28"/>
      <w:shd w:val="clear" w:color="auto" w:fill="E0E0E0"/>
      <w:lang w:eastAsia="en-US"/>
    </w:rPr>
  </w:style>
  <w:style w:type="paragraph" w:customStyle="1" w:styleId="PolicyHeading1">
    <w:name w:val="Policy Heading 1"/>
    <w:basedOn w:val="Normal"/>
    <w:rsid w:val="002C6FAA"/>
    <w:pPr>
      <w:pBdr>
        <w:top w:val="single" w:sz="4" w:space="1" w:color="auto"/>
        <w:left w:val="single" w:sz="4" w:space="4" w:color="auto"/>
        <w:bottom w:val="single" w:sz="4" w:space="1" w:color="auto"/>
        <w:right w:val="single" w:sz="4" w:space="4" w:color="auto"/>
      </w:pBdr>
      <w:shd w:val="clear" w:color="auto" w:fill="E0E0E0"/>
      <w:jc w:val="both"/>
    </w:pPr>
    <w:rPr>
      <w:rFonts w:cs="Arial"/>
      <w:b/>
      <w:sz w:val="28"/>
      <w:szCs w:val="28"/>
    </w:rPr>
  </w:style>
  <w:style w:type="paragraph" w:customStyle="1" w:styleId="PolicyHeading2">
    <w:name w:val="Policy Heading 2"/>
    <w:basedOn w:val="Heading3"/>
    <w:rsid w:val="00861A68"/>
    <w:pPr>
      <w:pBdr>
        <w:top w:val="single" w:sz="4" w:space="1" w:color="auto"/>
        <w:left w:val="single" w:sz="4" w:space="4" w:color="auto"/>
        <w:bottom w:val="single" w:sz="4" w:space="1" w:color="auto"/>
        <w:right w:val="single" w:sz="4" w:space="4" w:color="auto"/>
      </w:pBdr>
      <w:shd w:val="clear" w:color="auto" w:fill="E0E0E0"/>
      <w:spacing w:before="0" w:after="0"/>
      <w:jc w:val="both"/>
    </w:pPr>
    <w:rPr>
      <w:rFonts w:ascii="Garamond" w:hAnsi="Garamond"/>
      <w:sz w:val="24"/>
      <w:szCs w:val="24"/>
    </w:rPr>
  </w:style>
  <w:style w:type="paragraph" w:styleId="ListParagraph">
    <w:name w:val="List Paragraph"/>
    <w:aliases w:val="List Paragraph1,Recommendation,List Paragraph11"/>
    <w:basedOn w:val="Normal"/>
    <w:link w:val="ListParagraphChar"/>
    <w:uiPriority w:val="34"/>
    <w:qFormat/>
    <w:rsid w:val="002D55E7"/>
    <w:pPr>
      <w:spacing w:after="200" w:line="276" w:lineRule="auto"/>
      <w:ind w:left="720"/>
      <w:contextualSpacing/>
    </w:pPr>
    <w:rPr>
      <w:rFonts w:ascii="Calibri" w:eastAsia="Calibri" w:hAnsi="Calibri"/>
      <w:szCs w:val="22"/>
    </w:rPr>
  </w:style>
  <w:style w:type="character" w:customStyle="1" w:styleId="ListParagraphChar">
    <w:name w:val="List Paragraph Char"/>
    <w:aliases w:val="List Paragraph1 Char,Recommendation Char,List Paragraph11 Char"/>
    <w:link w:val="ListParagraph"/>
    <w:uiPriority w:val="34"/>
    <w:locked/>
    <w:rsid w:val="00070682"/>
    <w:rPr>
      <w:rFonts w:ascii="Calibri" w:eastAsia="Calibri" w:hAnsi="Calibri"/>
      <w:sz w:val="22"/>
      <w:szCs w:val="22"/>
      <w:lang w:eastAsia="en-US"/>
    </w:rPr>
  </w:style>
  <w:style w:type="paragraph" w:styleId="BodyText">
    <w:name w:val="Body Text"/>
    <w:aliases w:val="Body Text1"/>
    <w:link w:val="BodyTextChar"/>
    <w:uiPriority w:val="99"/>
    <w:qFormat/>
    <w:rsid w:val="002C3CD3"/>
    <w:pPr>
      <w:spacing w:before="240" w:line="320" w:lineRule="atLeast"/>
      <w:jc w:val="both"/>
    </w:pPr>
    <w:rPr>
      <w:sz w:val="26"/>
    </w:rPr>
  </w:style>
  <w:style w:type="character" w:customStyle="1" w:styleId="BodyTextChar">
    <w:name w:val="Body Text Char"/>
    <w:aliases w:val="Body Text1 Char"/>
    <w:link w:val="BodyText"/>
    <w:uiPriority w:val="99"/>
    <w:rsid w:val="002C3CD3"/>
    <w:rPr>
      <w:sz w:val="26"/>
    </w:rPr>
  </w:style>
  <w:style w:type="paragraph" w:styleId="ListBullet">
    <w:name w:val="List Bullet"/>
    <w:basedOn w:val="BodyText"/>
    <w:link w:val="ListBulletChar"/>
    <w:qFormat/>
    <w:rsid w:val="002C3CD3"/>
    <w:pPr>
      <w:numPr>
        <w:numId w:val="5"/>
      </w:numPr>
      <w:spacing w:before="120"/>
    </w:pPr>
  </w:style>
  <w:style w:type="character" w:customStyle="1" w:styleId="ListBulletChar">
    <w:name w:val="List Bullet Char"/>
    <w:link w:val="ListBullet"/>
    <w:rsid w:val="002C3CD3"/>
    <w:rPr>
      <w:sz w:val="26"/>
    </w:rPr>
  </w:style>
  <w:style w:type="character" w:customStyle="1" w:styleId="Heading4Char">
    <w:name w:val="Heading 4 Char"/>
    <w:link w:val="Heading4"/>
    <w:uiPriority w:val="9"/>
    <w:rsid w:val="008A18C4"/>
    <w:rPr>
      <w:rFonts w:ascii="Cambria" w:hAnsi="Cambria"/>
      <w:b/>
      <w:bCs/>
      <w:i/>
      <w:iCs/>
      <w:color w:val="4F81BD"/>
      <w:sz w:val="22"/>
      <w:szCs w:val="22"/>
      <w:lang w:eastAsia="en-US"/>
    </w:rPr>
  </w:style>
  <w:style w:type="character" w:customStyle="1" w:styleId="CommentTextChar">
    <w:name w:val="Comment Text Char"/>
    <w:link w:val="CommentText"/>
    <w:uiPriority w:val="99"/>
    <w:semiHidden/>
    <w:rsid w:val="008A18C4"/>
    <w:rPr>
      <w:rFonts w:ascii="Arial" w:hAnsi="Arial"/>
      <w:lang w:eastAsia="en-US"/>
    </w:rPr>
  </w:style>
  <w:style w:type="character" w:customStyle="1" w:styleId="h51">
    <w:name w:val="h51"/>
    <w:rsid w:val="008A18C4"/>
    <w:rPr>
      <w:rFonts w:ascii="Verdana" w:hAnsi="Verdana" w:hint="default"/>
      <w:b/>
      <w:bCs/>
      <w:sz w:val="18"/>
      <w:szCs w:val="18"/>
    </w:rPr>
  </w:style>
  <w:style w:type="character" w:styleId="FollowedHyperlink">
    <w:name w:val="FollowedHyperlink"/>
    <w:rsid w:val="006B4903"/>
    <w:rPr>
      <w:color w:val="800080"/>
      <w:u w:val="single"/>
    </w:rPr>
  </w:style>
  <w:style w:type="character" w:customStyle="1" w:styleId="FooterChar">
    <w:name w:val="Footer Char"/>
    <w:link w:val="Footer"/>
    <w:rsid w:val="000C5A82"/>
    <w:rPr>
      <w:rFonts w:ascii="Arial" w:hAnsi="Arial"/>
      <w:sz w:val="22"/>
      <w:szCs w:val="24"/>
      <w:lang w:eastAsia="en-US"/>
    </w:rPr>
  </w:style>
  <w:style w:type="character" w:customStyle="1" w:styleId="Heading2Char">
    <w:name w:val="Heading 2 Char"/>
    <w:link w:val="Heading2"/>
    <w:rsid w:val="007B4AD8"/>
    <w:rPr>
      <w:rFonts w:ascii="Arial" w:hAnsi="Arial" w:cs="Arial"/>
      <w:b/>
      <w:bCs/>
      <w:i/>
      <w:iCs/>
      <w:sz w:val="24"/>
      <w:szCs w:val="28"/>
      <w:lang w:eastAsia="en-US"/>
    </w:rPr>
  </w:style>
  <w:style w:type="character" w:customStyle="1" w:styleId="Heading3Char">
    <w:name w:val="Heading 3 Char"/>
    <w:link w:val="Heading3"/>
    <w:rsid w:val="007B4AD8"/>
    <w:rPr>
      <w:rFonts w:ascii="Arial" w:hAnsi="Arial"/>
      <w:b/>
      <w:bCs/>
      <w:sz w:val="22"/>
      <w:szCs w:val="27"/>
      <w:u w:val="single"/>
      <w:lang w:eastAsia="en-US"/>
    </w:rPr>
  </w:style>
  <w:style w:type="paragraph" w:styleId="TOCHeading">
    <w:name w:val="TOC Heading"/>
    <w:basedOn w:val="Heading1"/>
    <w:next w:val="Normal"/>
    <w:uiPriority w:val="39"/>
    <w:semiHidden/>
    <w:unhideWhenUsed/>
    <w:qFormat/>
    <w:rsid w:val="00126956"/>
    <w:pPr>
      <w:keepNext/>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MS Gothic" w:hAnsi="Cambria" w:cs="Times New Roman"/>
      <w:bCs/>
      <w:color w:val="365F91"/>
      <w:lang w:val="en-US" w:eastAsia="ja-JP"/>
    </w:rPr>
  </w:style>
  <w:style w:type="paragraph" w:styleId="TOC1">
    <w:name w:val="toc 1"/>
    <w:basedOn w:val="Normal"/>
    <w:next w:val="Normal"/>
    <w:autoRedefine/>
    <w:uiPriority w:val="39"/>
    <w:rsid w:val="002D15BD"/>
    <w:pPr>
      <w:tabs>
        <w:tab w:val="right" w:leader="dot" w:pos="8660"/>
      </w:tabs>
      <w:spacing w:before="120" w:after="120"/>
    </w:pPr>
    <w:rPr>
      <w:b/>
      <w:noProof/>
    </w:rPr>
  </w:style>
  <w:style w:type="paragraph" w:styleId="TOC2">
    <w:name w:val="toc 2"/>
    <w:basedOn w:val="Normal"/>
    <w:next w:val="Normal"/>
    <w:autoRedefine/>
    <w:uiPriority w:val="39"/>
    <w:rsid w:val="00126956"/>
    <w:pPr>
      <w:ind w:left="220"/>
    </w:pPr>
  </w:style>
  <w:style w:type="paragraph" w:styleId="TOC3">
    <w:name w:val="toc 3"/>
    <w:basedOn w:val="Normal"/>
    <w:next w:val="Normal"/>
    <w:autoRedefine/>
    <w:uiPriority w:val="39"/>
    <w:rsid w:val="00126956"/>
    <w:pPr>
      <w:ind w:left="440"/>
    </w:pPr>
  </w:style>
  <w:style w:type="character" w:styleId="Strong">
    <w:name w:val="Strong"/>
    <w:uiPriority w:val="22"/>
    <w:qFormat/>
    <w:rsid w:val="00D60B46"/>
    <w:rPr>
      <w:b/>
      <w:bCs/>
    </w:rPr>
  </w:style>
  <w:style w:type="paragraph" w:styleId="PlainText">
    <w:name w:val="Plain Text"/>
    <w:basedOn w:val="Normal"/>
    <w:link w:val="PlainTextChar"/>
    <w:uiPriority w:val="99"/>
    <w:unhideWhenUsed/>
    <w:rsid w:val="00827763"/>
    <w:rPr>
      <w:rFonts w:ascii="Calibri" w:eastAsia="Calibri" w:hAnsi="Calibri" w:cs="Consolas"/>
      <w:szCs w:val="21"/>
    </w:rPr>
  </w:style>
  <w:style w:type="character" w:customStyle="1" w:styleId="PlainTextChar">
    <w:name w:val="Plain Text Char"/>
    <w:basedOn w:val="DefaultParagraphFont"/>
    <w:link w:val="PlainText"/>
    <w:uiPriority w:val="99"/>
    <w:rsid w:val="00827763"/>
    <w:rPr>
      <w:rFonts w:ascii="Calibri" w:eastAsia="Calibri" w:hAnsi="Calibri" w:cs="Consolas"/>
      <w:sz w:val="22"/>
      <w:szCs w:val="21"/>
      <w:lang w:eastAsia="en-US"/>
    </w:rPr>
  </w:style>
  <w:style w:type="character" w:styleId="Emphasis">
    <w:name w:val="Emphasis"/>
    <w:uiPriority w:val="20"/>
    <w:qFormat/>
    <w:rsid w:val="00D73E08"/>
    <w:rPr>
      <w:i/>
      <w:iCs/>
    </w:rPr>
  </w:style>
  <w:style w:type="character" w:customStyle="1" w:styleId="FootnoteTextChar1">
    <w:name w:val="Footnote Text Char1"/>
    <w:aliases w:val="fn Char1"/>
    <w:semiHidden/>
    <w:locked/>
    <w:rsid w:val="00D73E08"/>
    <w:rPr>
      <w:lang w:val="en-US" w:eastAsia="en-US"/>
    </w:rPr>
  </w:style>
  <w:style w:type="character" w:customStyle="1" w:styleId="HeaderChar">
    <w:name w:val="Header Char"/>
    <w:link w:val="Header"/>
    <w:uiPriority w:val="99"/>
    <w:rsid w:val="0023473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7217">
      <w:bodyDiv w:val="1"/>
      <w:marLeft w:val="0"/>
      <w:marRight w:val="0"/>
      <w:marTop w:val="0"/>
      <w:marBottom w:val="0"/>
      <w:divBdr>
        <w:top w:val="none" w:sz="0" w:space="0" w:color="auto"/>
        <w:left w:val="none" w:sz="0" w:space="0" w:color="auto"/>
        <w:bottom w:val="none" w:sz="0" w:space="0" w:color="auto"/>
        <w:right w:val="none" w:sz="0" w:space="0" w:color="auto"/>
      </w:divBdr>
    </w:div>
    <w:div w:id="67702050">
      <w:bodyDiv w:val="1"/>
      <w:marLeft w:val="0"/>
      <w:marRight w:val="0"/>
      <w:marTop w:val="0"/>
      <w:marBottom w:val="0"/>
      <w:divBdr>
        <w:top w:val="none" w:sz="0" w:space="0" w:color="auto"/>
        <w:left w:val="none" w:sz="0" w:space="0" w:color="auto"/>
        <w:bottom w:val="none" w:sz="0" w:space="0" w:color="auto"/>
        <w:right w:val="none" w:sz="0" w:space="0" w:color="auto"/>
      </w:divBdr>
    </w:div>
    <w:div w:id="87892487">
      <w:bodyDiv w:val="1"/>
      <w:marLeft w:val="0"/>
      <w:marRight w:val="0"/>
      <w:marTop w:val="0"/>
      <w:marBottom w:val="0"/>
      <w:divBdr>
        <w:top w:val="none" w:sz="0" w:space="0" w:color="auto"/>
        <w:left w:val="none" w:sz="0" w:space="0" w:color="auto"/>
        <w:bottom w:val="none" w:sz="0" w:space="0" w:color="auto"/>
        <w:right w:val="none" w:sz="0" w:space="0" w:color="auto"/>
      </w:divBdr>
    </w:div>
    <w:div w:id="108552864">
      <w:bodyDiv w:val="1"/>
      <w:marLeft w:val="0"/>
      <w:marRight w:val="0"/>
      <w:marTop w:val="0"/>
      <w:marBottom w:val="0"/>
      <w:divBdr>
        <w:top w:val="none" w:sz="0" w:space="0" w:color="auto"/>
        <w:left w:val="none" w:sz="0" w:space="0" w:color="auto"/>
        <w:bottom w:val="none" w:sz="0" w:space="0" w:color="auto"/>
        <w:right w:val="none" w:sz="0" w:space="0" w:color="auto"/>
      </w:divBdr>
    </w:div>
    <w:div w:id="154536868">
      <w:bodyDiv w:val="1"/>
      <w:marLeft w:val="0"/>
      <w:marRight w:val="0"/>
      <w:marTop w:val="0"/>
      <w:marBottom w:val="0"/>
      <w:divBdr>
        <w:top w:val="none" w:sz="0" w:space="0" w:color="auto"/>
        <w:left w:val="none" w:sz="0" w:space="0" w:color="auto"/>
        <w:bottom w:val="none" w:sz="0" w:space="0" w:color="auto"/>
        <w:right w:val="none" w:sz="0" w:space="0" w:color="auto"/>
      </w:divBdr>
    </w:div>
    <w:div w:id="168183107">
      <w:bodyDiv w:val="1"/>
      <w:marLeft w:val="0"/>
      <w:marRight w:val="0"/>
      <w:marTop w:val="0"/>
      <w:marBottom w:val="0"/>
      <w:divBdr>
        <w:top w:val="none" w:sz="0" w:space="0" w:color="auto"/>
        <w:left w:val="none" w:sz="0" w:space="0" w:color="auto"/>
        <w:bottom w:val="none" w:sz="0" w:space="0" w:color="auto"/>
        <w:right w:val="none" w:sz="0" w:space="0" w:color="auto"/>
      </w:divBdr>
    </w:div>
    <w:div w:id="170264067">
      <w:bodyDiv w:val="1"/>
      <w:marLeft w:val="0"/>
      <w:marRight w:val="0"/>
      <w:marTop w:val="0"/>
      <w:marBottom w:val="0"/>
      <w:divBdr>
        <w:top w:val="none" w:sz="0" w:space="0" w:color="auto"/>
        <w:left w:val="none" w:sz="0" w:space="0" w:color="auto"/>
        <w:bottom w:val="none" w:sz="0" w:space="0" w:color="auto"/>
        <w:right w:val="none" w:sz="0" w:space="0" w:color="auto"/>
      </w:divBdr>
    </w:div>
    <w:div w:id="186725419">
      <w:bodyDiv w:val="1"/>
      <w:marLeft w:val="0"/>
      <w:marRight w:val="0"/>
      <w:marTop w:val="0"/>
      <w:marBottom w:val="0"/>
      <w:divBdr>
        <w:top w:val="none" w:sz="0" w:space="0" w:color="auto"/>
        <w:left w:val="none" w:sz="0" w:space="0" w:color="auto"/>
        <w:bottom w:val="none" w:sz="0" w:space="0" w:color="auto"/>
        <w:right w:val="none" w:sz="0" w:space="0" w:color="auto"/>
      </w:divBdr>
    </w:div>
    <w:div w:id="192964284">
      <w:bodyDiv w:val="1"/>
      <w:marLeft w:val="0"/>
      <w:marRight w:val="0"/>
      <w:marTop w:val="0"/>
      <w:marBottom w:val="0"/>
      <w:divBdr>
        <w:top w:val="none" w:sz="0" w:space="0" w:color="auto"/>
        <w:left w:val="none" w:sz="0" w:space="0" w:color="auto"/>
        <w:bottom w:val="none" w:sz="0" w:space="0" w:color="auto"/>
        <w:right w:val="none" w:sz="0" w:space="0" w:color="auto"/>
      </w:divBdr>
    </w:div>
    <w:div w:id="209994767">
      <w:bodyDiv w:val="1"/>
      <w:marLeft w:val="0"/>
      <w:marRight w:val="0"/>
      <w:marTop w:val="0"/>
      <w:marBottom w:val="0"/>
      <w:divBdr>
        <w:top w:val="none" w:sz="0" w:space="0" w:color="auto"/>
        <w:left w:val="none" w:sz="0" w:space="0" w:color="auto"/>
        <w:bottom w:val="none" w:sz="0" w:space="0" w:color="auto"/>
        <w:right w:val="none" w:sz="0" w:space="0" w:color="auto"/>
      </w:divBdr>
    </w:div>
    <w:div w:id="232393255">
      <w:bodyDiv w:val="1"/>
      <w:marLeft w:val="0"/>
      <w:marRight w:val="0"/>
      <w:marTop w:val="0"/>
      <w:marBottom w:val="0"/>
      <w:divBdr>
        <w:top w:val="none" w:sz="0" w:space="0" w:color="auto"/>
        <w:left w:val="none" w:sz="0" w:space="0" w:color="auto"/>
        <w:bottom w:val="none" w:sz="0" w:space="0" w:color="auto"/>
        <w:right w:val="none" w:sz="0" w:space="0" w:color="auto"/>
      </w:divBdr>
    </w:div>
    <w:div w:id="259221416">
      <w:bodyDiv w:val="1"/>
      <w:marLeft w:val="0"/>
      <w:marRight w:val="0"/>
      <w:marTop w:val="0"/>
      <w:marBottom w:val="0"/>
      <w:divBdr>
        <w:top w:val="none" w:sz="0" w:space="0" w:color="auto"/>
        <w:left w:val="none" w:sz="0" w:space="0" w:color="auto"/>
        <w:bottom w:val="none" w:sz="0" w:space="0" w:color="auto"/>
        <w:right w:val="none" w:sz="0" w:space="0" w:color="auto"/>
      </w:divBdr>
    </w:div>
    <w:div w:id="268320009">
      <w:bodyDiv w:val="1"/>
      <w:marLeft w:val="0"/>
      <w:marRight w:val="0"/>
      <w:marTop w:val="0"/>
      <w:marBottom w:val="0"/>
      <w:divBdr>
        <w:top w:val="none" w:sz="0" w:space="0" w:color="auto"/>
        <w:left w:val="none" w:sz="0" w:space="0" w:color="auto"/>
        <w:bottom w:val="none" w:sz="0" w:space="0" w:color="auto"/>
        <w:right w:val="none" w:sz="0" w:space="0" w:color="auto"/>
      </w:divBdr>
    </w:div>
    <w:div w:id="272591400">
      <w:bodyDiv w:val="1"/>
      <w:marLeft w:val="0"/>
      <w:marRight w:val="0"/>
      <w:marTop w:val="0"/>
      <w:marBottom w:val="0"/>
      <w:divBdr>
        <w:top w:val="none" w:sz="0" w:space="0" w:color="auto"/>
        <w:left w:val="none" w:sz="0" w:space="0" w:color="auto"/>
        <w:bottom w:val="none" w:sz="0" w:space="0" w:color="auto"/>
        <w:right w:val="none" w:sz="0" w:space="0" w:color="auto"/>
      </w:divBdr>
    </w:div>
    <w:div w:id="272903027">
      <w:bodyDiv w:val="1"/>
      <w:marLeft w:val="0"/>
      <w:marRight w:val="0"/>
      <w:marTop w:val="0"/>
      <w:marBottom w:val="0"/>
      <w:divBdr>
        <w:top w:val="none" w:sz="0" w:space="0" w:color="auto"/>
        <w:left w:val="none" w:sz="0" w:space="0" w:color="auto"/>
        <w:bottom w:val="none" w:sz="0" w:space="0" w:color="auto"/>
        <w:right w:val="none" w:sz="0" w:space="0" w:color="auto"/>
      </w:divBdr>
    </w:div>
    <w:div w:id="275985073">
      <w:bodyDiv w:val="1"/>
      <w:marLeft w:val="0"/>
      <w:marRight w:val="0"/>
      <w:marTop w:val="0"/>
      <w:marBottom w:val="0"/>
      <w:divBdr>
        <w:top w:val="none" w:sz="0" w:space="0" w:color="auto"/>
        <w:left w:val="none" w:sz="0" w:space="0" w:color="auto"/>
        <w:bottom w:val="none" w:sz="0" w:space="0" w:color="auto"/>
        <w:right w:val="none" w:sz="0" w:space="0" w:color="auto"/>
      </w:divBdr>
    </w:div>
    <w:div w:id="299267700">
      <w:bodyDiv w:val="1"/>
      <w:marLeft w:val="0"/>
      <w:marRight w:val="0"/>
      <w:marTop w:val="0"/>
      <w:marBottom w:val="0"/>
      <w:divBdr>
        <w:top w:val="none" w:sz="0" w:space="0" w:color="auto"/>
        <w:left w:val="none" w:sz="0" w:space="0" w:color="auto"/>
        <w:bottom w:val="none" w:sz="0" w:space="0" w:color="auto"/>
        <w:right w:val="none" w:sz="0" w:space="0" w:color="auto"/>
      </w:divBdr>
    </w:div>
    <w:div w:id="319844402">
      <w:bodyDiv w:val="1"/>
      <w:marLeft w:val="0"/>
      <w:marRight w:val="0"/>
      <w:marTop w:val="0"/>
      <w:marBottom w:val="0"/>
      <w:divBdr>
        <w:top w:val="none" w:sz="0" w:space="0" w:color="auto"/>
        <w:left w:val="none" w:sz="0" w:space="0" w:color="auto"/>
        <w:bottom w:val="none" w:sz="0" w:space="0" w:color="auto"/>
        <w:right w:val="none" w:sz="0" w:space="0" w:color="auto"/>
      </w:divBdr>
    </w:div>
    <w:div w:id="370688977">
      <w:bodyDiv w:val="1"/>
      <w:marLeft w:val="0"/>
      <w:marRight w:val="0"/>
      <w:marTop w:val="0"/>
      <w:marBottom w:val="0"/>
      <w:divBdr>
        <w:top w:val="none" w:sz="0" w:space="0" w:color="auto"/>
        <w:left w:val="none" w:sz="0" w:space="0" w:color="auto"/>
        <w:bottom w:val="none" w:sz="0" w:space="0" w:color="auto"/>
        <w:right w:val="none" w:sz="0" w:space="0" w:color="auto"/>
      </w:divBdr>
    </w:div>
    <w:div w:id="411395138">
      <w:bodyDiv w:val="1"/>
      <w:marLeft w:val="0"/>
      <w:marRight w:val="0"/>
      <w:marTop w:val="0"/>
      <w:marBottom w:val="0"/>
      <w:divBdr>
        <w:top w:val="none" w:sz="0" w:space="0" w:color="auto"/>
        <w:left w:val="none" w:sz="0" w:space="0" w:color="auto"/>
        <w:bottom w:val="none" w:sz="0" w:space="0" w:color="auto"/>
        <w:right w:val="none" w:sz="0" w:space="0" w:color="auto"/>
      </w:divBdr>
    </w:div>
    <w:div w:id="420102337">
      <w:bodyDiv w:val="1"/>
      <w:marLeft w:val="0"/>
      <w:marRight w:val="0"/>
      <w:marTop w:val="0"/>
      <w:marBottom w:val="0"/>
      <w:divBdr>
        <w:top w:val="none" w:sz="0" w:space="0" w:color="auto"/>
        <w:left w:val="none" w:sz="0" w:space="0" w:color="auto"/>
        <w:bottom w:val="none" w:sz="0" w:space="0" w:color="auto"/>
        <w:right w:val="none" w:sz="0" w:space="0" w:color="auto"/>
      </w:divBdr>
    </w:div>
    <w:div w:id="450518199">
      <w:bodyDiv w:val="1"/>
      <w:marLeft w:val="0"/>
      <w:marRight w:val="0"/>
      <w:marTop w:val="0"/>
      <w:marBottom w:val="0"/>
      <w:divBdr>
        <w:top w:val="none" w:sz="0" w:space="0" w:color="auto"/>
        <w:left w:val="none" w:sz="0" w:space="0" w:color="auto"/>
        <w:bottom w:val="none" w:sz="0" w:space="0" w:color="auto"/>
        <w:right w:val="none" w:sz="0" w:space="0" w:color="auto"/>
      </w:divBdr>
    </w:div>
    <w:div w:id="455099949">
      <w:bodyDiv w:val="1"/>
      <w:marLeft w:val="0"/>
      <w:marRight w:val="0"/>
      <w:marTop w:val="0"/>
      <w:marBottom w:val="0"/>
      <w:divBdr>
        <w:top w:val="none" w:sz="0" w:space="0" w:color="auto"/>
        <w:left w:val="none" w:sz="0" w:space="0" w:color="auto"/>
        <w:bottom w:val="none" w:sz="0" w:space="0" w:color="auto"/>
        <w:right w:val="none" w:sz="0" w:space="0" w:color="auto"/>
      </w:divBdr>
    </w:div>
    <w:div w:id="457576296">
      <w:bodyDiv w:val="1"/>
      <w:marLeft w:val="0"/>
      <w:marRight w:val="0"/>
      <w:marTop w:val="0"/>
      <w:marBottom w:val="0"/>
      <w:divBdr>
        <w:top w:val="none" w:sz="0" w:space="0" w:color="auto"/>
        <w:left w:val="none" w:sz="0" w:space="0" w:color="auto"/>
        <w:bottom w:val="none" w:sz="0" w:space="0" w:color="auto"/>
        <w:right w:val="none" w:sz="0" w:space="0" w:color="auto"/>
      </w:divBdr>
    </w:div>
    <w:div w:id="480537606">
      <w:bodyDiv w:val="1"/>
      <w:marLeft w:val="0"/>
      <w:marRight w:val="0"/>
      <w:marTop w:val="0"/>
      <w:marBottom w:val="0"/>
      <w:divBdr>
        <w:top w:val="none" w:sz="0" w:space="0" w:color="auto"/>
        <w:left w:val="none" w:sz="0" w:space="0" w:color="auto"/>
        <w:bottom w:val="none" w:sz="0" w:space="0" w:color="auto"/>
        <w:right w:val="none" w:sz="0" w:space="0" w:color="auto"/>
      </w:divBdr>
    </w:div>
    <w:div w:id="504168979">
      <w:bodyDiv w:val="1"/>
      <w:marLeft w:val="0"/>
      <w:marRight w:val="0"/>
      <w:marTop w:val="0"/>
      <w:marBottom w:val="0"/>
      <w:divBdr>
        <w:top w:val="none" w:sz="0" w:space="0" w:color="auto"/>
        <w:left w:val="none" w:sz="0" w:space="0" w:color="auto"/>
        <w:bottom w:val="none" w:sz="0" w:space="0" w:color="auto"/>
        <w:right w:val="none" w:sz="0" w:space="0" w:color="auto"/>
      </w:divBdr>
    </w:div>
    <w:div w:id="535240300">
      <w:bodyDiv w:val="1"/>
      <w:marLeft w:val="0"/>
      <w:marRight w:val="0"/>
      <w:marTop w:val="0"/>
      <w:marBottom w:val="0"/>
      <w:divBdr>
        <w:top w:val="none" w:sz="0" w:space="0" w:color="auto"/>
        <w:left w:val="none" w:sz="0" w:space="0" w:color="auto"/>
        <w:bottom w:val="none" w:sz="0" w:space="0" w:color="auto"/>
        <w:right w:val="none" w:sz="0" w:space="0" w:color="auto"/>
      </w:divBdr>
    </w:div>
    <w:div w:id="547453484">
      <w:bodyDiv w:val="1"/>
      <w:marLeft w:val="0"/>
      <w:marRight w:val="0"/>
      <w:marTop w:val="0"/>
      <w:marBottom w:val="0"/>
      <w:divBdr>
        <w:top w:val="none" w:sz="0" w:space="0" w:color="auto"/>
        <w:left w:val="none" w:sz="0" w:space="0" w:color="auto"/>
        <w:bottom w:val="none" w:sz="0" w:space="0" w:color="auto"/>
        <w:right w:val="none" w:sz="0" w:space="0" w:color="auto"/>
      </w:divBdr>
    </w:div>
    <w:div w:id="555556497">
      <w:bodyDiv w:val="1"/>
      <w:marLeft w:val="0"/>
      <w:marRight w:val="0"/>
      <w:marTop w:val="0"/>
      <w:marBottom w:val="0"/>
      <w:divBdr>
        <w:top w:val="none" w:sz="0" w:space="0" w:color="auto"/>
        <w:left w:val="none" w:sz="0" w:space="0" w:color="auto"/>
        <w:bottom w:val="none" w:sz="0" w:space="0" w:color="auto"/>
        <w:right w:val="none" w:sz="0" w:space="0" w:color="auto"/>
      </w:divBdr>
    </w:div>
    <w:div w:id="556015350">
      <w:bodyDiv w:val="1"/>
      <w:marLeft w:val="0"/>
      <w:marRight w:val="0"/>
      <w:marTop w:val="0"/>
      <w:marBottom w:val="0"/>
      <w:divBdr>
        <w:top w:val="none" w:sz="0" w:space="0" w:color="auto"/>
        <w:left w:val="none" w:sz="0" w:space="0" w:color="auto"/>
        <w:bottom w:val="none" w:sz="0" w:space="0" w:color="auto"/>
        <w:right w:val="none" w:sz="0" w:space="0" w:color="auto"/>
      </w:divBdr>
    </w:div>
    <w:div w:id="560217163">
      <w:bodyDiv w:val="1"/>
      <w:marLeft w:val="0"/>
      <w:marRight w:val="0"/>
      <w:marTop w:val="0"/>
      <w:marBottom w:val="0"/>
      <w:divBdr>
        <w:top w:val="none" w:sz="0" w:space="0" w:color="auto"/>
        <w:left w:val="none" w:sz="0" w:space="0" w:color="auto"/>
        <w:bottom w:val="none" w:sz="0" w:space="0" w:color="auto"/>
        <w:right w:val="none" w:sz="0" w:space="0" w:color="auto"/>
      </w:divBdr>
    </w:div>
    <w:div w:id="564145953">
      <w:bodyDiv w:val="1"/>
      <w:marLeft w:val="0"/>
      <w:marRight w:val="0"/>
      <w:marTop w:val="0"/>
      <w:marBottom w:val="0"/>
      <w:divBdr>
        <w:top w:val="none" w:sz="0" w:space="0" w:color="auto"/>
        <w:left w:val="none" w:sz="0" w:space="0" w:color="auto"/>
        <w:bottom w:val="none" w:sz="0" w:space="0" w:color="auto"/>
        <w:right w:val="none" w:sz="0" w:space="0" w:color="auto"/>
      </w:divBdr>
    </w:div>
    <w:div w:id="584144870">
      <w:bodyDiv w:val="1"/>
      <w:marLeft w:val="0"/>
      <w:marRight w:val="0"/>
      <w:marTop w:val="0"/>
      <w:marBottom w:val="0"/>
      <w:divBdr>
        <w:top w:val="none" w:sz="0" w:space="0" w:color="auto"/>
        <w:left w:val="none" w:sz="0" w:space="0" w:color="auto"/>
        <w:bottom w:val="none" w:sz="0" w:space="0" w:color="auto"/>
        <w:right w:val="none" w:sz="0" w:space="0" w:color="auto"/>
      </w:divBdr>
    </w:div>
    <w:div w:id="590309392">
      <w:bodyDiv w:val="1"/>
      <w:marLeft w:val="0"/>
      <w:marRight w:val="0"/>
      <w:marTop w:val="0"/>
      <w:marBottom w:val="0"/>
      <w:divBdr>
        <w:top w:val="none" w:sz="0" w:space="0" w:color="auto"/>
        <w:left w:val="none" w:sz="0" w:space="0" w:color="auto"/>
        <w:bottom w:val="none" w:sz="0" w:space="0" w:color="auto"/>
        <w:right w:val="none" w:sz="0" w:space="0" w:color="auto"/>
      </w:divBdr>
    </w:div>
    <w:div w:id="609624544">
      <w:bodyDiv w:val="1"/>
      <w:marLeft w:val="0"/>
      <w:marRight w:val="0"/>
      <w:marTop w:val="0"/>
      <w:marBottom w:val="0"/>
      <w:divBdr>
        <w:top w:val="none" w:sz="0" w:space="0" w:color="auto"/>
        <w:left w:val="none" w:sz="0" w:space="0" w:color="auto"/>
        <w:bottom w:val="none" w:sz="0" w:space="0" w:color="auto"/>
        <w:right w:val="none" w:sz="0" w:space="0" w:color="auto"/>
      </w:divBdr>
    </w:div>
    <w:div w:id="613250500">
      <w:bodyDiv w:val="1"/>
      <w:marLeft w:val="0"/>
      <w:marRight w:val="0"/>
      <w:marTop w:val="0"/>
      <w:marBottom w:val="0"/>
      <w:divBdr>
        <w:top w:val="none" w:sz="0" w:space="0" w:color="auto"/>
        <w:left w:val="none" w:sz="0" w:space="0" w:color="auto"/>
        <w:bottom w:val="none" w:sz="0" w:space="0" w:color="auto"/>
        <w:right w:val="none" w:sz="0" w:space="0" w:color="auto"/>
      </w:divBdr>
    </w:div>
    <w:div w:id="644504945">
      <w:bodyDiv w:val="1"/>
      <w:marLeft w:val="0"/>
      <w:marRight w:val="0"/>
      <w:marTop w:val="0"/>
      <w:marBottom w:val="0"/>
      <w:divBdr>
        <w:top w:val="none" w:sz="0" w:space="0" w:color="auto"/>
        <w:left w:val="none" w:sz="0" w:space="0" w:color="auto"/>
        <w:bottom w:val="none" w:sz="0" w:space="0" w:color="auto"/>
        <w:right w:val="none" w:sz="0" w:space="0" w:color="auto"/>
      </w:divBdr>
    </w:div>
    <w:div w:id="674841234">
      <w:bodyDiv w:val="1"/>
      <w:marLeft w:val="0"/>
      <w:marRight w:val="0"/>
      <w:marTop w:val="0"/>
      <w:marBottom w:val="0"/>
      <w:divBdr>
        <w:top w:val="none" w:sz="0" w:space="0" w:color="auto"/>
        <w:left w:val="none" w:sz="0" w:space="0" w:color="auto"/>
        <w:bottom w:val="none" w:sz="0" w:space="0" w:color="auto"/>
        <w:right w:val="none" w:sz="0" w:space="0" w:color="auto"/>
      </w:divBdr>
    </w:div>
    <w:div w:id="692995462">
      <w:bodyDiv w:val="1"/>
      <w:marLeft w:val="0"/>
      <w:marRight w:val="0"/>
      <w:marTop w:val="0"/>
      <w:marBottom w:val="0"/>
      <w:divBdr>
        <w:top w:val="none" w:sz="0" w:space="0" w:color="auto"/>
        <w:left w:val="none" w:sz="0" w:space="0" w:color="auto"/>
        <w:bottom w:val="none" w:sz="0" w:space="0" w:color="auto"/>
        <w:right w:val="none" w:sz="0" w:space="0" w:color="auto"/>
      </w:divBdr>
    </w:div>
    <w:div w:id="705370594">
      <w:bodyDiv w:val="1"/>
      <w:marLeft w:val="0"/>
      <w:marRight w:val="0"/>
      <w:marTop w:val="0"/>
      <w:marBottom w:val="0"/>
      <w:divBdr>
        <w:top w:val="none" w:sz="0" w:space="0" w:color="auto"/>
        <w:left w:val="none" w:sz="0" w:space="0" w:color="auto"/>
        <w:bottom w:val="none" w:sz="0" w:space="0" w:color="auto"/>
        <w:right w:val="none" w:sz="0" w:space="0" w:color="auto"/>
      </w:divBdr>
    </w:div>
    <w:div w:id="768937412">
      <w:bodyDiv w:val="1"/>
      <w:marLeft w:val="0"/>
      <w:marRight w:val="0"/>
      <w:marTop w:val="0"/>
      <w:marBottom w:val="0"/>
      <w:divBdr>
        <w:top w:val="none" w:sz="0" w:space="0" w:color="auto"/>
        <w:left w:val="none" w:sz="0" w:space="0" w:color="auto"/>
        <w:bottom w:val="none" w:sz="0" w:space="0" w:color="auto"/>
        <w:right w:val="none" w:sz="0" w:space="0" w:color="auto"/>
      </w:divBdr>
    </w:div>
    <w:div w:id="780341007">
      <w:bodyDiv w:val="1"/>
      <w:marLeft w:val="0"/>
      <w:marRight w:val="0"/>
      <w:marTop w:val="0"/>
      <w:marBottom w:val="0"/>
      <w:divBdr>
        <w:top w:val="none" w:sz="0" w:space="0" w:color="auto"/>
        <w:left w:val="none" w:sz="0" w:space="0" w:color="auto"/>
        <w:bottom w:val="none" w:sz="0" w:space="0" w:color="auto"/>
        <w:right w:val="none" w:sz="0" w:space="0" w:color="auto"/>
      </w:divBdr>
    </w:div>
    <w:div w:id="825589631">
      <w:bodyDiv w:val="1"/>
      <w:marLeft w:val="0"/>
      <w:marRight w:val="0"/>
      <w:marTop w:val="0"/>
      <w:marBottom w:val="0"/>
      <w:divBdr>
        <w:top w:val="none" w:sz="0" w:space="0" w:color="auto"/>
        <w:left w:val="none" w:sz="0" w:space="0" w:color="auto"/>
        <w:bottom w:val="none" w:sz="0" w:space="0" w:color="auto"/>
        <w:right w:val="none" w:sz="0" w:space="0" w:color="auto"/>
      </w:divBdr>
    </w:div>
    <w:div w:id="828710583">
      <w:bodyDiv w:val="1"/>
      <w:marLeft w:val="0"/>
      <w:marRight w:val="0"/>
      <w:marTop w:val="0"/>
      <w:marBottom w:val="0"/>
      <w:divBdr>
        <w:top w:val="none" w:sz="0" w:space="0" w:color="auto"/>
        <w:left w:val="none" w:sz="0" w:space="0" w:color="auto"/>
        <w:bottom w:val="none" w:sz="0" w:space="0" w:color="auto"/>
        <w:right w:val="none" w:sz="0" w:space="0" w:color="auto"/>
      </w:divBdr>
    </w:div>
    <w:div w:id="831141035">
      <w:bodyDiv w:val="1"/>
      <w:marLeft w:val="0"/>
      <w:marRight w:val="0"/>
      <w:marTop w:val="0"/>
      <w:marBottom w:val="0"/>
      <w:divBdr>
        <w:top w:val="none" w:sz="0" w:space="0" w:color="auto"/>
        <w:left w:val="none" w:sz="0" w:space="0" w:color="auto"/>
        <w:bottom w:val="none" w:sz="0" w:space="0" w:color="auto"/>
        <w:right w:val="none" w:sz="0" w:space="0" w:color="auto"/>
      </w:divBdr>
    </w:div>
    <w:div w:id="860438229">
      <w:bodyDiv w:val="1"/>
      <w:marLeft w:val="0"/>
      <w:marRight w:val="0"/>
      <w:marTop w:val="0"/>
      <w:marBottom w:val="0"/>
      <w:divBdr>
        <w:top w:val="none" w:sz="0" w:space="0" w:color="auto"/>
        <w:left w:val="none" w:sz="0" w:space="0" w:color="auto"/>
        <w:bottom w:val="none" w:sz="0" w:space="0" w:color="auto"/>
        <w:right w:val="none" w:sz="0" w:space="0" w:color="auto"/>
      </w:divBdr>
    </w:div>
    <w:div w:id="866336439">
      <w:bodyDiv w:val="1"/>
      <w:marLeft w:val="0"/>
      <w:marRight w:val="0"/>
      <w:marTop w:val="0"/>
      <w:marBottom w:val="0"/>
      <w:divBdr>
        <w:top w:val="none" w:sz="0" w:space="0" w:color="auto"/>
        <w:left w:val="none" w:sz="0" w:space="0" w:color="auto"/>
        <w:bottom w:val="none" w:sz="0" w:space="0" w:color="auto"/>
        <w:right w:val="none" w:sz="0" w:space="0" w:color="auto"/>
      </w:divBdr>
    </w:div>
    <w:div w:id="876161899">
      <w:bodyDiv w:val="1"/>
      <w:marLeft w:val="0"/>
      <w:marRight w:val="0"/>
      <w:marTop w:val="0"/>
      <w:marBottom w:val="0"/>
      <w:divBdr>
        <w:top w:val="none" w:sz="0" w:space="0" w:color="auto"/>
        <w:left w:val="none" w:sz="0" w:space="0" w:color="auto"/>
        <w:bottom w:val="none" w:sz="0" w:space="0" w:color="auto"/>
        <w:right w:val="none" w:sz="0" w:space="0" w:color="auto"/>
      </w:divBdr>
    </w:div>
    <w:div w:id="890313342">
      <w:bodyDiv w:val="1"/>
      <w:marLeft w:val="0"/>
      <w:marRight w:val="0"/>
      <w:marTop w:val="0"/>
      <w:marBottom w:val="0"/>
      <w:divBdr>
        <w:top w:val="none" w:sz="0" w:space="0" w:color="auto"/>
        <w:left w:val="none" w:sz="0" w:space="0" w:color="auto"/>
        <w:bottom w:val="none" w:sz="0" w:space="0" w:color="auto"/>
        <w:right w:val="none" w:sz="0" w:space="0" w:color="auto"/>
      </w:divBdr>
    </w:div>
    <w:div w:id="902332261">
      <w:bodyDiv w:val="1"/>
      <w:marLeft w:val="0"/>
      <w:marRight w:val="0"/>
      <w:marTop w:val="0"/>
      <w:marBottom w:val="0"/>
      <w:divBdr>
        <w:top w:val="none" w:sz="0" w:space="0" w:color="auto"/>
        <w:left w:val="none" w:sz="0" w:space="0" w:color="auto"/>
        <w:bottom w:val="none" w:sz="0" w:space="0" w:color="auto"/>
        <w:right w:val="none" w:sz="0" w:space="0" w:color="auto"/>
      </w:divBdr>
    </w:div>
    <w:div w:id="908081794">
      <w:bodyDiv w:val="1"/>
      <w:marLeft w:val="0"/>
      <w:marRight w:val="0"/>
      <w:marTop w:val="0"/>
      <w:marBottom w:val="0"/>
      <w:divBdr>
        <w:top w:val="none" w:sz="0" w:space="0" w:color="auto"/>
        <w:left w:val="none" w:sz="0" w:space="0" w:color="auto"/>
        <w:bottom w:val="none" w:sz="0" w:space="0" w:color="auto"/>
        <w:right w:val="none" w:sz="0" w:space="0" w:color="auto"/>
      </w:divBdr>
    </w:div>
    <w:div w:id="932318518">
      <w:bodyDiv w:val="1"/>
      <w:marLeft w:val="0"/>
      <w:marRight w:val="0"/>
      <w:marTop w:val="0"/>
      <w:marBottom w:val="0"/>
      <w:divBdr>
        <w:top w:val="none" w:sz="0" w:space="0" w:color="auto"/>
        <w:left w:val="none" w:sz="0" w:space="0" w:color="auto"/>
        <w:bottom w:val="none" w:sz="0" w:space="0" w:color="auto"/>
        <w:right w:val="none" w:sz="0" w:space="0" w:color="auto"/>
      </w:divBdr>
      <w:divsChild>
        <w:div w:id="1629890731">
          <w:marLeft w:val="0"/>
          <w:marRight w:val="0"/>
          <w:marTop w:val="0"/>
          <w:marBottom w:val="0"/>
          <w:divBdr>
            <w:top w:val="none" w:sz="0" w:space="0" w:color="auto"/>
            <w:left w:val="none" w:sz="0" w:space="0" w:color="auto"/>
            <w:bottom w:val="none" w:sz="0" w:space="0" w:color="auto"/>
            <w:right w:val="none" w:sz="0" w:space="0" w:color="auto"/>
          </w:divBdr>
        </w:div>
        <w:div w:id="1272517893">
          <w:marLeft w:val="0"/>
          <w:marRight w:val="0"/>
          <w:marTop w:val="0"/>
          <w:marBottom w:val="0"/>
          <w:divBdr>
            <w:top w:val="none" w:sz="0" w:space="0" w:color="auto"/>
            <w:left w:val="none" w:sz="0" w:space="0" w:color="auto"/>
            <w:bottom w:val="none" w:sz="0" w:space="0" w:color="auto"/>
            <w:right w:val="none" w:sz="0" w:space="0" w:color="auto"/>
          </w:divBdr>
        </w:div>
        <w:div w:id="1911841652">
          <w:marLeft w:val="0"/>
          <w:marRight w:val="0"/>
          <w:marTop w:val="0"/>
          <w:marBottom w:val="0"/>
          <w:divBdr>
            <w:top w:val="none" w:sz="0" w:space="0" w:color="auto"/>
            <w:left w:val="none" w:sz="0" w:space="0" w:color="auto"/>
            <w:bottom w:val="none" w:sz="0" w:space="0" w:color="auto"/>
            <w:right w:val="none" w:sz="0" w:space="0" w:color="auto"/>
          </w:divBdr>
        </w:div>
        <w:div w:id="1959024501">
          <w:marLeft w:val="0"/>
          <w:marRight w:val="0"/>
          <w:marTop w:val="0"/>
          <w:marBottom w:val="0"/>
          <w:divBdr>
            <w:top w:val="none" w:sz="0" w:space="0" w:color="auto"/>
            <w:left w:val="none" w:sz="0" w:space="0" w:color="auto"/>
            <w:bottom w:val="none" w:sz="0" w:space="0" w:color="auto"/>
            <w:right w:val="none" w:sz="0" w:space="0" w:color="auto"/>
          </w:divBdr>
        </w:div>
      </w:divsChild>
    </w:div>
    <w:div w:id="951088645">
      <w:bodyDiv w:val="1"/>
      <w:marLeft w:val="0"/>
      <w:marRight w:val="0"/>
      <w:marTop w:val="0"/>
      <w:marBottom w:val="0"/>
      <w:divBdr>
        <w:top w:val="none" w:sz="0" w:space="0" w:color="auto"/>
        <w:left w:val="none" w:sz="0" w:space="0" w:color="auto"/>
        <w:bottom w:val="none" w:sz="0" w:space="0" w:color="auto"/>
        <w:right w:val="none" w:sz="0" w:space="0" w:color="auto"/>
      </w:divBdr>
      <w:divsChild>
        <w:div w:id="878005740">
          <w:marLeft w:val="0"/>
          <w:marRight w:val="0"/>
          <w:marTop w:val="0"/>
          <w:marBottom w:val="0"/>
          <w:divBdr>
            <w:top w:val="none" w:sz="0" w:space="0" w:color="auto"/>
            <w:left w:val="none" w:sz="0" w:space="0" w:color="auto"/>
            <w:bottom w:val="none" w:sz="0" w:space="0" w:color="auto"/>
            <w:right w:val="none" w:sz="0" w:space="0" w:color="auto"/>
          </w:divBdr>
        </w:div>
        <w:div w:id="106701047">
          <w:marLeft w:val="0"/>
          <w:marRight w:val="0"/>
          <w:marTop w:val="0"/>
          <w:marBottom w:val="0"/>
          <w:divBdr>
            <w:top w:val="none" w:sz="0" w:space="0" w:color="auto"/>
            <w:left w:val="none" w:sz="0" w:space="0" w:color="auto"/>
            <w:bottom w:val="none" w:sz="0" w:space="0" w:color="auto"/>
            <w:right w:val="none" w:sz="0" w:space="0" w:color="auto"/>
          </w:divBdr>
        </w:div>
        <w:div w:id="984774062">
          <w:marLeft w:val="0"/>
          <w:marRight w:val="0"/>
          <w:marTop w:val="0"/>
          <w:marBottom w:val="0"/>
          <w:divBdr>
            <w:top w:val="none" w:sz="0" w:space="0" w:color="auto"/>
            <w:left w:val="none" w:sz="0" w:space="0" w:color="auto"/>
            <w:bottom w:val="none" w:sz="0" w:space="0" w:color="auto"/>
            <w:right w:val="none" w:sz="0" w:space="0" w:color="auto"/>
          </w:divBdr>
        </w:div>
      </w:divsChild>
    </w:div>
    <w:div w:id="952174698">
      <w:bodyDiv w:val="1"/>
      <w:marLeft w:val="0"/>
      <w:marRight w:val="0"/>
      <w:marTop w:val="0"/>
      <w:marBottom w:val="0"/>
      <w:divBdr>
        <w:top w:val="none" w:sz="0" w:space="0" w:color="auto"/>
        <w:left w:val="none" w:sz="0" w:space="0" w:color="auto"/>
        <w:bottom w:val="none" w:sz="0" w:space="0" w:color="auto"/>
        <w:right w:val="none" w:sz="0" w:space="0" w:color="auto"/>
      </w:divBdr>
    </w:div>
    <w:div w:id="960066772">
      <w:bodyDiv w:val="1"/>
      <w:marLeft w:val="0"/>
      <w:marRight w:val="0"/>
      <w:marTop w:val="0"/>
      <w:marBottom w:val="0"/>
      <w:divBdr>
        <w:top w:val="none" w:sz="0" w:space="0" w:color="auto"/>
        <w:left w:val="none" w:sz="0" w:space="0" w:color="auto"/>
        <w:bottom w:val="none" w:sz="0" w:space="0" w:color="auto"/>
        <w:right w:val="none" w:sz="0" w:space="0" w:color="auto"/>
      </w:divBdr>
    </w:div>
    <w:div w:id="963538548">
      <w:bodyDiv w:val="1"/>
      <w:marLeft w:val="0"/>
      <w:marRight w:val="0"/>
      <w:marTop w:val="0"/>
      <w:marBottom w:val="0"/>
      <w:divBdr>
        <w:top w:val="none" w:sz="0" w:space="0" w:color="auto"/>
        <w:left w:val="none" w:sz="0" w:space="0" w:color="auto"/>
        <w:bottom w:val="none" w:sz="0" w:space="0" w:color="auto"/>
        <w:right w:val="none" w:sz="0" w:space="0" w:color="auto"/>
      </w:divBdr>
    </w:div>
    <w:div w:id="965087744">
      <w:bodyDiv w:val="1"/>
      <w:marLeft w:val="0"/>
      <w:marRight w:val="0"/>
      <w:marTop w:val="0"/>
      <w:marBottom w:val="0"/>
      <w:divBdr>
        <w:top w:val="none" w:sz="0" w:space="0" w:color="auto"/>
        <w:left w:val="none" w:sz="0" w:space="0" w:color="auto"/>
        <w:bottom w:val="none" w:sz="0" w:space="0" w:color="auto"/>
        <w:right w:val="none" w:sz="0" w:space="0" w:color="auto"/>
      </w:divBdr>
    </w:div>
    <w:div w:id="966933912">
      <w:bodyDiv w:val="1"/>
      <w:marLeft w:val="0"/>
      <w:marRight w:val="0"/>
      <w:marTop w:val="0"/>
      <w:marBottom w:val="0"/>
      <w:divBdr>
        <w:top w:val="none" w:sz="0" w:space="0" w:color="auto"/>
        <w:left w:val="none" w:sz="0" w:space="0" w:color="auto"/>
        <w:bottom w:val="none" w:sz="0" w:space="0" w:color="auto"/>
        <w:right w:val="none" w:sz="0" w:space="0" w:color="auto"/>
      </w:divBdr>
    </w:div>
    <w:div w:id="974794863">
      <w:bodyDiv w:val="1"/>
      <w:marLeft w:val="0"/>
      <w:marRight w:val="0"/>
      <w:marTop w:val="0"/>
      <w:marBottom w:val="0"/>
      <w:divBdr>
        <w:top w:val="none" w:sz="0" w:space="0" w:color="auto"/>
        <w:left w:val="none" w:sz="0" w:space="0" w:color="auto"/>
        <w:bottom w:val="none" w:sz="0" w:space="0" w:color="auto"/>
        <w:right w:val="none" w:sz="0" w:space="0" w:color="auto"/>
      </w:divBdr>
    </w:div>
    <w:div w:id="980886513">
      <w:bodyDiv w:val="1"/>
      <w:marLeft w:val="0"/>
      <w:marRight w:val="0"/>
      <w:marTop w:val="0"/>
      <w:marBottom w:val="0"/>
      <w:divBdr>
        <w:top w:val="none" w:sz="0" w:space="0" w:color="auto"/>
        <w:left w:val="none" w:sz="0" w:space="0" w:color="auto"/>
        <w:bottom w:val="none" w:sz="0" w:space="0" w:color="auto"/>
        <w:right w:val="none" w:sz="0" w:space="0" w:color="auto"/>
      </w:divBdr>
    </w:div>
    <w:div w:id="1021247641">
      <w:bodyDiv w:val="1"/>
      <w:marLeft w:val="0"/>
      <w:marRight w:val="0"/>
      <w:marTop w:val="0"/>
      <w:marBottom w:val="0"/>
      <w:divBdr>
        <w:top w:val="none" w:sz="0" w:space="0" w:color="auto"/>
        <w:left w:val="none" w:sz="0" w:space="0" w:color="auto"/>
        <w:bottom w:val="none" w:sz="0" w:space="0" w:color="auto"/>
        <w:right w:val="none" w:sz="0" w:space="0" w:color="auto"/>
      </w:divBdr>
    </w:div>
    <w:div w:id="1052923284">
      <w:bodyDiv w:val="1"/>
      <w:marLeft w:val="0"/>
      <w:marRight w:val="0"/>
      <w:marTop w:val="0"/>
      <w:marBottom w:val="0"/>
      <w:divBdr>
        <w:top w:val="none" w:sz="0" w:space="0" w:color="auto"/>
        <w:left w:val="none" w:sz="0" w:space="0" w:color="auto"/>
        <w:bottom w:val="none" w:sz="0" w:space="0" w:color="auto"/>
        <w:right w:val="none" w:sz="0" w:space="0" w:color="auto"/>
      </w:divBdr>
    </w:div>
    <w:div w:id="1067916916">
      <w:bodyDiv w:val="1"/>
      <w:marLeft w:val="0"/>
      <w:marRight w:val="0"/>
      <w:marTop w:val="0"/>
      <w:marBottom w:val="0"/>
      <w:divBdr>
        <w:top w:val="none" w:sz="0" w:space="0" w:color="auto"/>
        <w:left w:val="none" w:sz="0" w:space="0" w:color="auto"/>
        <w:bottom w:val="none" w:sz="0" w:space="0" w:color="auto"/>
        <w:right w:val="none" w:sz="0" w:space="0" w:color="auto"/>
      </w:divBdr>
      <w:divsChild>
        <w:div w:id="724568501">
          <w:marLeft w:val="0"/>
          <w:marRight w:val="0"/>
          <w:marTop w:val="0"/>
          <w:marBottom w:val="0"/>
          <w:divBdr>
            <w:top w:val="none" w:sz="0" w:space="0" w:color="auto"/>
            <w:left w:val="none" w:sz="0" w:space="0" w:color="auto"/>
            <w:bottom w:val="none" w:sz="0" w:space="0" w:color="auto"/>
            <w:right w:val="none" w:sz="0" w:space="0" w:color="auto"/>
          </w:divBdr>
        </w:div>
        <w:div w:id="1922450413">
          <w:marLeft w:val="0"/>
          <w:marRight w:val="0"/>
          <w:marTop w:val="0"/>
          <w:marBottom w:val="0"/>
          <w:divBdr>
            <w:top w:val="none" w:sz="0" w:space="0" w:color="auto"/>
            <w:left w:val="none" w:sz="0" w:space="0" w:color="auto"/>
            <w:bottom w:val="none" w:sz="0" w:space="0" w:color="auto"/>
            <w:right w:val="none" w:sz="0" w:space="0" w:color="auto"/>
          </w:divBdr>
        </w:div>
        <w:div w:id="30615431">
          <w:marLeft w:val="0"/>
          <w:marRight w:val="0"/>
          <w:marTop w:val="0"/>
          <w:marBottom w:val="0"/>
          <w:divBdr>
            <w:top w:val="none" w:sz="0" w:space="0" w:color="auto"/>
            <w:left w:val="none" w:sz="0" w:space="0" w:color="auto"/>
            <w:bottom w:val="none" w:sz="0" w:space="0" w:color="auto"/>
            <w:right w:val="none" w:sz="0" w:space="0" w:color="auto"/>
          </w:divBdr>
        </w:div>
        <w:div w:id="1912159691">
          <w:marLeft w:val="0"/>
          <w:marRight w:val="0"/>
          <w:marTop w:val="0"/>
          <w:marBottom w:val="0"/>
          <w:divBdr>
            <w:top w:val="none" w:sz="0" w:space="0" w:color="auto"/>
            <w:left w:val="none" w:sz="0" w:space="0" w:color="auto"/>
            <w:bottom w:val="none" w:sz="0" w:space="0" w:color="auto"/>
            <w:right w:val="none" w:sz="0" w:space="0" w:color="auto"/>
          </w:divBdr>
        </w:div>
      </w:divsChild>
    </w:div>
    <w:div w:id="1104422160">
      <w:bodyDiv w:val="1"/>
      <w:marLeft w:val="0"/>
      <w:marRight w:val="0"/>
      <w:marTop w:val="0"/>
      <w:marBottom w:val="0"/>
      <w:divBdr>
        <w:top w:val="none" w:sz="0" w:space="0" w:color="auto"/>
        <w:left w:val="none" w:sz="0" w:space="0" w:color="auto"/>
        <w:bottom w:val="none" w:sz="0" w:space="0" w:color="auto"/>
        <w:right w:val="none" w:sz="0" w:space="0" w:color="auto"/>
      </w:divBdr>
    </w:div>
    <w:div w:id="1121607641">
      <w:bodyDiv w:val="1"/>
      <w:marLeft w:val="0"/>
      <w:marRight w:val="0"/>
      <w:marTop w:val="0"/>
      <w:marBottom w:val="0"/>
      <w:divBdr>
        <w:top w:val="none" w:sz="0" w:space="0" w:color="auto"/>
        <w:left w:val="none" w:sz="0" w:space="0" w:color="auto"/>
        <w:bottom w:val="none" w:sz="0" w:space="0" w:color="auto"/>
        <w:right w:val="none" w:sz="0" w:space="0" w:color="auto"/>
      </w:divBdr>
    </w:div>
    <w:div w:id="1126318047">
      <w:bodyDiv w:val="1"/>
      <w:marLeft w:val="0"/>
      <w:marRight w:val="0"/>
      <w:marTop w:val="0"/>
      <w:marBottom w:val="0"/>
      <w:divBdr>
        <w:top w:val="none" w:sz="0" w:space="0" w:color="auto"/>
        <w:left w:val="none" w:sz="0" w:space="0" w:color="auto"/>
        <w:bottom w:val="none" w:sz="0" w:space="0" w:color="auto"/>
        <w:right w:val="none" w:sz="0" w:space="0" w:color="auto"/>
      </w:divBdr>
    </w:div>
    <w:div w:id="1135486601">
      <w:bodyDiv w:val="1"/>
      <w:marLeft w:val="0"/>
      <w:marRight w:val="0"/>
      <w:marTop w:val="0"/>
      <w:marBottom w:val="0"/>
      <w:divBdr>
        <w:top w:val="none" w:sz="0" w:space="0" w:color="auto"/>
        <w:left w:val="none" w:sz="0" w:space="0" w:color="auto"/>
        <w:bottom w:val="none" w:sz="0" w:space="0" w:color="auto"/>
        <w:right w:val="none" w:sz="0" w:space="0" w:color="auto"/>
      </w:divBdr>
    </w:div>
    <w:div w:id="1142582496">
      <w:bodyDiv w:val="1"/>
      <w:marLeft w:val="0"/>
      <w:marRight w:val="0"/>
      <w:marTop w:val="0"/>
      <w:marBottom w:val="0"/>
      <w:divBdr>
        <w:top w:val="none" w:sz="0" w:space="0" w:color="auto"/>
        <w:left w:val="none" w:sz="0" w:space="0" w:color="auto"/>
        <w:bottom w:val="none" w:sz="0" w:space="0" w:color="auto"/>
        <w:right w:val="none" w:sz="0" w:space="0" w:color="auto"/>
      </w:divBdr>
    </w:div>
    <w:div w:id="1157501398">
      <w:bodyDiv w:val="1"/>
      <w:marLeft w:val="0"/>
      <w:marRight w:val="0"/>
      <w:marTop w:val="0"/>
      <w:marBottom w:val="0"/>
      <w:divBdr>
        <w:top w:val="none" w:sz="0" w:space="0" w:color="auto"/>
        <w:left w:val="none" w:sz="0" w:space="0" w:color="auto"/>
        <w:bottom w:val="none" w:sz="0" w:space="0" w:color="auto"/>
        <w:right w:val="none" w:sz="0" w:space="0" w:color="auto"/>
      </w:divBdr>
      <w:divsChild>
        <w:div w:id="60307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277917">
      <w:bodyDiv w:val="1"/>
      <w:marLeft w:val="0"/>
      <w:marRight w:val="0"/>
      <w:marTop w:val="0"/>
      <w:marBottom w:val="0"/>
      <w:divBdr>
        <w:top w:val="none" w:sz="0" w:space="0" w:color="auto"/>
        <w:left w:val="none" w:sz="0" w:space="0" w:color="auto"/>
        <w:bottom w:val="none" w:sz="0" w:space="0" w:color="auto"/>
        <w:right w:val="none" w:sz="0" w:space="0" w:color="auto"/>
      </w:divBdr>
      <w:divsChild>
        <w:div w:id="1726559868">
          <w:marLeft w:val="0"/>
          <w:marRight w:val="0"/>
          <w:marTop w:val="0"/>
          <w:marBottom w:val="0"/>
          <w:divBdr>
            <w:top w:val="none" w:sz="0" w:space="0" w:color="auto"/>
            <w:left w:val="none" w:sz="0" w:space="0" w:color="auto"/>
            <w:bottom w:val="none" w:sz="0" w:space="0" w:color="auto"/>
            <w:right w:val="none" w:sz="0" w:space="0" w:color="auto"/>
          </w:divBdr>
        </w:div>
        <w:div w:id="1273825577">
          <w:marLeft w:val="0"/>
          <w:marRight w:val="0"/>
          <w:marTop w:val="0"/>
          <w:marBottom w:val="0"/>
          <w:divBdr>
            <w:top w:val="none" w:sz="0" w:space="0" w:color="auto"/>
            <w:left w:val="none" w:sz="0" w:space="0" w:color="auto"/>
            <w:bottom w:val="none" w:sz="0" w:space="0" w:color="auto"/>
            <w:right w:val="none" w:sz="0" w:space="0" w:color="auto"/>
          </w:divBdr>
        </w:div>
        <w:div w:id="1960837476">
          <w:marLeft w:val="0"/>
          <w:marRight w:val="0"/>
          <w:marTop w:val="0"/>
          <w:marBottom w:val="0"/>
          <w:divBdr>
            <w:top w:val="none" w:sz="0" w:space="0" w:color="auto"/>
            <w:left w:val="none" w:sz="0" w:space="0" w:color="auto"/>
            <w:bottom w:val="none" w:sz="0" w:space="0" w:color="auto"/>
            <w:right w:val="none" w:sz="0" w:space="0" w:color="auto"/>
          </w:divBdr>
        </w:div>
        <w:div w:id="1408458737">
          <w:marLeft w:val="0"/>
          <w:marRight w:val="0"/>
          <w:marTop w:val="0"/>
          <w:marBottom w:val="0"/>
          <w:divBdr>
            <w:top w:val="none" w:sz="0" w:space="0" w:color="auto"/>
            <w:left w:val="none" w:sz="0" w:space="0" w:color="auto"/>
            <w:bottom w:val="none" w:sz="0" w:space="0" w:color="auto"/>
            <w:right w:val="none" w:sz="0" w:space="0" w:color="auto"/>
          </w:divBdr>
        </w:div>
      </w:divsChild>
    </w:div>
    <w:div w:id="1178421819">
      <w:bodyDiv w:val="1"/>
      <w:marLeft w:val="0"/>
      <w:marRight w:val="0"/>
      <w:marTop w:val="0"/>
      <w:marBottom w:val="0"/>
      <w:divBdr>
        <w:top w:val="none" w:sz="0" w:space="0" w:color="auto"/>
        <w:left w:val="none" w:sz="0" w:space="0" w:color="auto"/>
        <w:bottom w:val="none" w:sz="0" w:space="0" w:color="auto"/>
        <w:right w:val="none" w:sz="0" w:space="0" w:color="auto"/>
      </w:divBdr>
    </w:div>
    <w:div w:id="1179849571">
      <w:bodyDiv w:val="1"/>
      <w:marLeft w:val="0"/>
      <w:marRight w:val="0"/>
      <w:marTop w:val="0"/>
      <w:marBottom w:val="0"/>
      <w:divBdr>
        <w:top w:val="none" w:sz="0" w:space="0" w:color="auto"/>
        <w:left w:val="none" w:sz="0" w:space="0" w:color="auto"/>
        <w:bottom w:val="none" w:sz="0" w:space="0" w:color="auto"/>
        <w:right w:val="none" w:sz="0" w:space="0" w:color="auto"/>
      </w:divBdr>
    </w:div>
    <w:div w:id="1189685208">
      <w:bodyDiv w:val="1"/>
      <w:marLeft w:val="0"/>
      <w:marRight w:val="0"/>
      <w:marTop w:val="0"/>
      <w:marBottom w:val="0"/>
      <w:divBdr>
        <w:top w:val="none" w:sz="0" w:space="0" w:color="auto"/>
        <w:left w:val="none" w:sz="0" w:space="0" w:color="auto"/>
        <w:bottom w:val="none" w:sz="0" w:space="0" w:color="auto"/>
        <w:right w:val="none" w:sz="0" w:space="0" w:color="auto"/>
      </w:divBdr>
    </w:div>
    <w:div w:id="1191262473">
      <w:bodyDiv w:val="1"/>
      <w:marLeft w:val="0"/>
      <w:marRight w:val="0"/>
      <w:marTop w:val="0"/>
      <w:marBottom w:val="0"/>
      <w:divBdr>
        <w:top w:val="none" w:sz="0" w:space="0" w:color="auto"/>
        <w:left w:val="none" w:sz="0" w:space="0" w:color="auto"/>
        <w:bottom w:val="none" w:sz="0" w:space="0" w:color="auto"/>
        <w:right w:val="none" w:sz="0" w:space="0" w:color="auto"/>
      </w:divBdr>
    </w:div>
    <w:div w:id="1204707919">
      <w:bodyDiv w:val="1"/>
      <w:marLeft w:val="0"/>
      <w:marRight w:val="0"/>
      <w:marTop w:val="0"/>
      <w:marBottom w:val="0"/>
      <w:divBdr>
        <w:top w:val="none" w:sz="0" w:space="0" w:color="auto"/>
        <w:left w:val="none" w:sz="0" w:space="0" w:color="auto"/>
        <w:bottom w:val="none" w:sz="0" w:space="0" w:color="auto"/>
        <w:right w:val="none" w:sz="0" w:space="0" w:color="auto"/>
      </w:divBdr>
    </w:div>
    <w:div w:id="1215386442">
      <w:bodyDiv w:val="1"/>
      <w:marLeft w:val="0"/>
      <w:marRight w:val="0"/>
      <w:marTop w:val="0"/>
      <w:marBottom w:val="0"/>
      <w:divBdr>
        <w:top w:val="none" w:sz="0" w:space="0" w:color="auto"/>
        <w:left w:val="none" w:sz="0" w:space="0" w:color="auto"/>
        <w:bottom w:val="none" w:sz="0" w:space="0" w:color="auto"/>
        <w:right w:val="none" w:sz="0" w:space="0" w:color="auto"/>
      </w:divBdr>
    </w:div>
    <w:div w:id="1216696619">
      <w:bodyDiv w:val="1"/>
      <w:marLeft w:val="0"/>
      <w:marRight w:val="0"/>
      <w:marTop w:val="0"/>
      <w:marBottom w:val="0"/>
      <w:divBdr>
        <w:top w:val="none" w:sz="0" w:space="0" w:color="auto"/>
        <w:left w:val="none" w:sz="0" w:space="0" w:color="auto"/>
        <w:bottom w:val="none" w:sz="0" w:space="0" w:color="auto"/>
        <w:right w:val="none" w:sz="0" w:space="0" w:color="auto"/>
      </w:divBdr>
    </w:div>
    <w:div w:id="1218081322">
      <w:bodyDiv w:val="1"/>
      <w:marLeft w:val="0"/>
      <w:marRight w:val="0"/>
      <w:marTop w:val="0"/>
      <w:marBottom w:val="0"/>
      <w:divBdr>
        <w:top w:val="none" w:sz="0" w:space="0" w:color="auto"/>
        <w:left w:val="none" w:sz="0" w:space="0" w:color="auto"/>
        <w:bottom w:val="none" w:sz="0" w:space="0" w:color="auto"/>
        <w:right w:val="none" w:sz="0" w:space="0" w:color="auto"/>
      </w:divBdr>
    </w:div>
    <w:div w:id="1222253056">
      <w:bodyDiv w:val="1"/>
      <w:marLeft w:val="0"/>
      <w:marRight w:val="0"/>
      <w:marTop w:val="0"/>
      <w:marBottom w:val="0"/>
      <w:divBdr>
        <w:top w:val="none" w:sz="0" w:space="0" w:color="auto"/>
        <w:left w:val="none" w:sz="0" w:space="0" w:color="auto"/>
        <w:bottom w:val="none" w:sz="0" w:space="0" w:color="auto"/>
        <w:right w:val="none" w:sz="0" w:space="0" w:color="auto"/>
      </w:divBdr>
    </w:div>
    <w:div w:id="1242328503">
      <w:bodyDiv w:val="1"/>
      <w:marLeft w:val="0"/>
      <w:marRight w:val="0"/>
      <w:marTop w:val="0"/>
      <w:marBottom w:val="0"/>
      <w:divBdr>
        <w:top w:val="none" w:sz="0" w:space="0" w:color="auto"/>
        <w:left w:val="none" w:sz="0" w:space="0" w:color="auto"/>
        <w:bottom w:val="none" w:sz="0" w:space="0" w:color="auto"/>
        <w:right w:val="none" w:sz="0" w:space="0" w:color="auto"/>
      </w:divBdr>
    </w:div>
    <w:div w:id="1264075161">
      <w:bodyDiv w:val="1"/>
      <w:marLeft w:val="0"/>
      <w:marRight w:val="0"/>
      <w:marTop w:val="0"/>
      <w:marBottom w:val="0"/>
      <w:divBdr>
        <w:top w:val="none" w:sz="0" w:space="0" w:color="auto"/>
        <w:left w:val="none" w:sz="0" w:space="0" w:color="auto"/>
        <w:bottom w:val="none" w:sz="0" w:space="0" w:color="auto"/>
        <w:right w:val="none" w:sz="0" w:space="0" w:color="auto"/>
      </w:divBdr>
    </w:div>
    <w:div w:id="1271358794">
      <w:bodyDiv w:val="1"/>
      <w:marLeft w:val="0"/>
      <w:marRight w:val="0"/>
      <w:marTop w:val="0"/>
      <w:marBottom w:val="0"/>
      <w:divBdr>
        <w:top w:val="none" w:sz="0" w:space="0" w:color="auto"/>
        <w:left w:val="none" w:sz="0" w:space="0" w:color="auto"/>
        <w:bottom w:val="none" w:sz="0" w:space="0" w:color="auto"/>
        <w:right w:val="none" w:sz="0" w:space="0" w:color="auto"/>
      </w:divBdr>
    </w:div>
    <w:div w:id="1274091631">
      <w:bodyDiv w:val="1"/>
      <w:marLeft w:val="0"/>
      <w:marRight w:val="0"/>
      <w:marTop w:val="0"/>
      <w:marBottom w:val="0"/>
      <w:divBdr>
        <w:top w:val="none" w:sz="0" w:space="0" w:color="auto"/>
        <w:left w:val="none" w:sz="0" w:space="0" w:color="auto"/>
        <w:bottom w:val="none" w:sz="0" w:space="0" w:color="auto"/>
        <w:right w:val="none" w:sz="0" w:space="0" w:color="auto"/>
      </w:divBdr>
    </w:div>
    <w:div w:id="1305355972">
      <w:bodyDiv w:val="1"/>
      <w:marLeft w:val="0"/>
      <w:marRight w:val="0"/>
      <w:marTop w:val="0"/>
      <w:marBottom w:val="0"/>
      <w:divBdr>
        <w:top w:val="none" w:sz="0" w:space="0" w:color="auto"/>
        <w:left w:val="none" w:sz="0" w:space="0" w:color="auto"/>
        <w:bottom w:val="none" w:sz="0" w:space="0" w:color="auto"/>
        <w:right w:val="none" w:sz="0" w:space="0" w:color="auto"/>
      </w:divBdr>
    </w:div>
    <w:div w:id="1305507288">
      <w:bodyDiv w:val="1"/>
      <w:marLeft w:val="0"/>
      <w:marRight w:val="0"/>
      <w:marTop w:val="0"/>
      <w:marBottom w:val="0"/>
      <w:divBdr>
        <w:top w:val="none" w:sz="0" w:space="0" w:color="auto"/>
        <w:left w:val="none" w:sz="0" w:space="0" w:color="auto"/>
        <w:bottom w:val="none" w:sz="0" w:space="0" w:color="auto"/>
        <w:right w:val="none" w:sz="0" w:space="0" w:color="auto"/>
      </w:divBdr>
    </w:div>
    <w:div w:id="1319070416">
      <w:bodyDiv w:val="1"/>
      <w:marLeft w:val="0"/>
      <w:marRight w:val="0"/>
      <w:marTop w:val="0"/>
      <w:marBottom w:val="0"/>
      <w:divBdr>
        <w:top w:val="none" w:sz="0" w:space="0" w:color="auto"/>
        <w:left w:val="none" w:sz="0" w:space="0" w:color="auto"/>
        <w:bottom w:val="none" w:sz="0" w:space="0" w:color="auto"/>
        <w:right w:val="none" w:sz="0" w:space="0" w:color="auto"/>
      </w:divBdr>
    </w:div>
    <w:div w:id="1332756748">
      <w:bodyDiv w:val="1"/>
      <w:marLeft w:val="0"/>
      <w:marRight w:val="0"/>
      <w:marTop w:val="0"/>
      <w:marBottom w:val="0"/>
      <w:divBdr>
        <w:top w:val="none" w:sz="0" w:space="0" w:color="auto"/>
        <w:left w:val="none" w:sz="0" w:space="0" w:color="auto"/>
        <w:bottom w:val="none" w:sz="0" w:space="0" w:color="auto"/>
        <w:right w:val="none" w:sz="0" w:space="0" w:color="auto"/>
      </w:divBdr>
    </w:div>
    <w:div w:id="1364818053">
      <w:bodyDiv w:val="1"/>
      <w:marLeft w:val="0"/>
      <w:marRight w:val="0"/>
      <w:marTop w:val="0"/>
      <w:marBottom w:val="0"/>
      <w:divBdr>
        <w:top w:val="none" w:sz="0" w:space="0" w:color="auto"/>
        <w:left w:val="none" w:sz="0" w:space="0" w:color="auto"/>
        <w:bottom w:val="none" w:sz="0" w:space="0" w:color="auto"/>
        <w:right w:val="none" w:sz="0" w:space="0" w:color="auto"/>
      </w:divBdr>
    </w:div>
    <w:div w:id="1369993295">
      <w:bodyDiv w:val="1"/>
      <w:marLeft w:val="0"/>
      <w:marRight w:val="0"/>
      <w:marTop w:val="0"/>
      <w:marBottom w:val="0"/>
      <w:divBdr>
        <w:top w:val="none" w:sz="0" w:space="0" w:color="auto"/>
        <w:left w:val="none" w:sz="0" w:space="0" w:color="auto"/>
        <w:bottom w:val="none" w:sz="0" w:space="0" w:color="auto"/>
        <w:right w:val="none" w:sz="0" w:space="0" w:color="auto"/>
      </w:divBdr>
    </w:div>
    <w:div w:id="1383212160">
      <w:bodyDiv w:val="1"/>
      <w:marLeft w:val="0"/>
      <w:marRight w:val="0"/>
      <w:marTop w:val="0"/>
      <w:marBottom w:val="0"/>
      <w:divBdr>
        <w:top w:val="none" w:sz="0" w:space="0" w:color="auto"/>
        <w:left w:val="none" w:sz="0" w:space="0" w:color="auto"/>
        <w:bottom w:val="none" w:sz="0" w:space="0" w:color="auto"/>
        <w:right w:val="none" w:sz="0" w:space="0" w:color="auto"/>
      </w:divBdr>
    </w:div>
    <w:div w:id="1392970735">
      <w:bodyDiv w:val="1"/>
      <w:marLeft w:val="0"/>
      <w:marRight w:val="0"/>
      <w:marTop w:val="0"/>
      <w:marBottom w:val="0"/>
      <w:divBdr>
        <w:top w:val="none" w:sz="0" w:space="0" w:color="auto"/>
        <w:left w:val="none" w:sz="0" w:space="0" w:color="auto"/>
        <w:bottom w:val="none" w:sz="0" w:space="0" w:color="auto"/>
        <w:right w:val="none" w:sz="0" w:space="0" w:color="auto"/>
      </w:divBdr>
    </w:div>
    <w:div w:id="1419255579">
      <w:bodyDiv w:val="1"/>
      <w:marLeft w:val="0"/>
      <w:marRight w:val="0"/>
      <w:marTop w:val="0"/>
      <w:marBottom w:val="0"/>
      <w:divBdr>
        <w:top w:val="none" w:sz="0" w:space="0" w:color="auto"/>
        <w:left w:val="none" w:sz="0" w:space="0" w:color="auto"/>
        <w:bottom w:val="none" w:sz="0" w:space="0" w:color="auto"/>
        <w:right w:val="none" w:sz="0" w:space="0" w:color="auto"/>
      </w:divBdr>
    </w:div>
    <w:div w:id="1426074825">
      <w:bodyDiv w:val="1"/>
      <w:marLeft w:val="0"/>
      <w:marRight w:val="0"/>
      <w:marTop w:val="0"/>
      <w:marBottom w:val="0"/>
      <w:divBdr>
        <w:top w:val="none" w:sz="0" w:space="0" w:color="auto"/>
        <w:left w:val="none" w:sz="0" w:space="0" w:color="auto"/>
        <w:bottom w:val="none" w:sz="0" w:space="0" w:color="auto"/>
        <w:right w:val="none" w:sz="0" w:space="0" w:color="auto"/>
      </w:divBdr>
    </w:div>
    <w:div w:id="1436364649">
      <w:bodyDiv w:val="1"/>
      <w:marLeft w:val="0"/>
      <w:marRight w:val="0"/>
      <w:marTop w:val="0"/>
      <w:marBottom w:val="0"/>
      <w:divBdr>
        <w:top w:val="none" w:sz="0" w:space="0" w:color="auto"/>
        <w:left w:val="none" w:sz="0" w:space="0" w:color="auto"/>
        <w:bottom w:val="none" w:sz="0" w:space="0" w:color="auto"/>
        <w:right w:val="none" w:sz="0" w:space="0" w:color="auto"/>
      </w:divBdr>
    </w:div>
    <w:div w:id="1462729830">
      <w:bodyDiv w:val="1"/>
      <w:marLeft w:val="0"/>
      <w:marRight w:val="0"/>
      <w:marTop w:val="0"/>
      <w:marBottom w:val="0"/>
      <w:divBdr>
        <w:top w:val="none" w:sz="0" w:space="0" w:color="auto"/>
        <w:left w:val="none" w:sz="0" w:space="0" w:color="auto"/>
        <w:bottom w:val="none" w:sz="0" w:space="0" w:color="auto"/>
        <w:right w:val="none" w:sz="0" w:space="0" w:color="auto"/>
      </w:divBdr>
    </w:div>
    <w:div w:id="1464079384">
      <w:bodyDiv w:val="1"/>
      <w:marLeft w:val="0"/>
      <w:marRight w:val="0"/>
      <w:marTop w:val="0"/>
      <w:marBottom w:val="0"/>
      <w:divBdr>
        <w:top w:val="none" w:sz="0" w:space="0" w:color="auto"/>
        <w:left w:val="none" w:sz="0" w:space="0" w:color="auto"/>
        <w:bottom w:val="none" w:sz="0" w:space="0" w:color="auto"/>
        <w:right w:val="none" w:sz="0" w:space="0" w:color="auto"/>
      </w:divBdr>
    </w:div>
    <w:div w:id="1472281798">
      <w:bodyDiv w:val="1"/>
      <w:marLeft w:val="0"/>
      <w:marRight w:val="0"/>
      <w:marTop w:val="0"/>
      <w:marBottom w:val="0"/>
      <w:divBdr>
        <w:top w:val="none" w:sz="0" w:space="0" w:color="auto"/>
        <w:left w:val="none" w:sz="0" w:space="0" w:color="auto"/>
        <w:bottom w:val="none" w:sz="0" w:space="0" w:color="auto"/>
        <w:right w:val="none" w:sz="0" w:space="0" w:color="auto"/>
      </w:divBdr>
    </w:div>
    <w:div w:id="1473133653">
      <w:bodyDiv w:val="1"/>
      <w:marLeft w:val="0"/>
      <w:marRight w:val="0"/>
      <w:marTop w:val="0"/>
      <w:marBottom w:val="0"/>
      <w:divBdr>
        <w:top w:val="none" w:sz="0" w:space="0" w:color="auto"/>
        <w:left w:val="none" w:sz="0" w:space="0" w:color="auto"/>
        <w:bottom w:val="none" w:sz="0" w:space="0" w:color="auto"/>
        <w:right w:val="none" w:sz="0" w:space="0" w:color="auto"/>
      </w:divBdr>
    </w:div>
    <w:div w:id="1487437533">
      <w:bodyDiv w:val="1"/>
      <w:marLeft w:val="0"/>
      <w:marRight w:val="0"/>
      <w:marTop w:val="0"/>
      <w:marBottom w:val="0"/>
      <w:divBdr>
        <w:top w:val="none" w:sz="0" w:space="0" w:color="auto"/>
        <w:left w:val="none" w:sz="0" w:space="0" w:color="auto"/>
        <w:bottom w:val="none" w:sz="0" w:space="0" w:color="auto"/>
        <w:right w:val="none" w:sz="0" w:space="0" w:color="auto"/>
      </w:divBdr>
    </w:div>
    <w:div w:id="1489051417">
      <w:bodyDiv w:val="1"/>
      <w:marLeft w:val="0"/>
      <w:marRight w:val="0"/>
      <w:marTop w:val="0"/>
      <w:marBottom w:val="0"/>
      <w:divBdr>
        <w:top w:val="none" w:sz="0" w:space="0" w:color="auto"/>
        <w:left w:val="none" w:sz="0" w:space="0" w:color="auto"/>
        <w:bottom w:val="none" w:sz="0" w:space="0" w:color="auto"/>
        <w:right w:val="none" w:sz="0" w:space="0" w:color="auto"/>
      </w:divBdr>
    </w:div>
    <w:div w:id="1497921481">
      <w:bodyDiv w:val="1"/>
      <w:marLeft w:val="0"/>
      <w:marRight w:val="0"/>
      <w:marTop w:val="0"/>
      <w:marBottom w:val="0"/>
      <w:divBdr>
        <w:top w:val="none" w:sz="0" w:space="0" w:color="auto"/>
        <w:left w:val="none" w:sz="0" w:space="0" w:color="auto"/>
        <w:bottom w:val="none" w:sz="0" w:space="0" w:color="auto"/>
        <w:right w:val="none" w:sz="0" w:space="0" w:color="auto"/>
      </w:divBdr>
    </w:div>
    <w:div w:id="1498037928">
      <w:bodyDiv w:val="1"/>
      <w:marLeft w:val="0"/>
      <w:marRight w:val="0"/>
      <w:marTop w:val="0"/>
      <w:marBottom w:val="0"/>
      <w:divBdr>
        <w:top w:val="none" w:sz="0" w:space="0" w:color="auto"/>
        <w:left w:val="none" w:sz="0" w:space="0" w:color="auto"/>
        <w:bottom w:val="none" w:sz="0" w:space="0" w:color="auto"/>
        <w:right w:val="none" w:sz="0" w:space="0" w:color="auto"/>
      </w:divBdr>
    </w:div>
    <w:div w:id="1506288116">
      <w:bodyDiv w:val="1"/>
      <w:marLeft w:val="0"/>
      <w:marRight w:val="0"/>
      <w:marTop w:val="0"/>
      <w:marBottom w:val="0"/>
      <w:divBdr>
        <w:top w:val="none" w:sz="0" w:space="0" w:color="auto"/>
        <w:left w:val="none" w:sz="0" w:space="0" w:color="auto"/>
        <w:bottom w:val="none" w:sz="0" w:space="0" w:color="auto"/>
        <w:right w:val="none" w:sz="0" w:space="0" w:color="auto"/>
      </w:divBdr>
    </w:div>
    <w:div w:id="1523320903">
      <w:bodyDiv w:val="1"/>
      <w:marLeft w:val="0"/>
      <w:marRight w:val="0"/>
      <w:marTop w:val="0"/>
      <w:marBottom w:val="0"/>
      <w:divBdr>
        <w:top w:val="none" w:sz="0" w:space="0" w:color="auto"/>
        <w:left w:val="none" w:sz="0" w:space="0" w:color="auto"/>
        <w:bottom w:val="none" w:sz="0" w:space="0" w:color="auto"/>
        <w:right w:val="none" w:sz="0" w:space="0" w:color="auto"/>
      </w:divBdr>
    </w:div>
    <w:div w:id="1544780714">
      <w:bodyDiv w:val="1"/>
      <w:marLeft w:val="0"/>
      <w:marRight w:val="0"/>
      <w:marTop w:val="0"/>
      <w:marBottom w:val="0"/>
      <w:divBdr>
        <w:top w:val="none" w:sz="0" w:space="0" w:color="auto"/>
        <w:left w:val="none" w:sz="0" w:space="0" w:color="auto"/>
        <w:bottom w:val="none" w:sz="0" w:space="0" w:color="auto"/>
        <w:right w:val="none" w:sz="0" w:space="0" w:color="auto"/>
      </w:divBdr>
    </w:div>
    <w:div w:id="1548451660">
      <w:bodyDiv w:val="1"/>
      <w:marLeft w:val="0"/>
      <w:marRight w:val="0"/>
      <w:marTop w:val="0"/>
      <w:marBottom w:val="0"/>
      <w:divBdr>
        <w:top w:val="none" w:sz="0" w:space="0" w:color="auto"/>
        <w:left w:val="none" w:sz="0" w:space="0" w:color="auto"/>
        <w:bottom w:val="none" w:sz="0" w:space="0" w:color="auto"/>
        <w:right w:val="none" w:sz="0" w:space="0" w:color="auto"/>
      </w:divBdr>
    </w:div>
    <w:div w:id="1596934118">
      <w:bodyDiv w:val="1"/>
      <w:marLeft w:val="0"/>
      <w:marRight w:val="0"/>
      <w:marTop w:val="0"/>
      <w:marBottom w:val="0"/>
      <w:divBdr>
        <w:top w:val="none" w:sz="0" w:space="0" w:color="auto"/>
        <w:left w:val="none" w:sz="0" w:space="0" w:color="auto"/>
        <w:bottom w:val="none" w:sz="0" w:space="0" w:color="auto"/>
        <w:right w:val="none" w:sz="0" w:space="0" w:color="auto"/>
      </w:divBdr>
    </w:div>
    <w:div w:id="1628706518">
      <w:bodyDiv w:val="1"/>
      <w:marLeft w:val="0"/>
      <w:marRight w:val="0"/>
      <w:marTop w:val="0"/>
      <w:marBottom w:val="0"/>
      <w:divBdr>
        <w:top w:val="none" w:sz="0" w:space="0" w:color="auto"/>
        <w:left w:val="none" w:sz="0" w:space="0" w:color="auto"/>
        <w:bottom w:val="none" w:sz="0" w:space="0" w:color="auto"/>
        <w:right w:val="none" w:sz="0" w:space="0" w:color="auto"/>
      </w:divBdr>
    </w:div>
    <w:div w:id="1643727875">
      <w:bodyDiv w:val="1"/>
      <w:marLeft w:val="0"/>
      <w:marRight w:val="0"/>
      <w:marTop w:val="0"/>
      <w:marBottom w:val="0"/>
      <w:divBdr>
        <w:top w:val="none" w:sz="0" w:space="0" w:color="auto"/>
        <w:left w:val="none" w:sz="0" w:space="0" w:color="auto"/>
        <w:bottom w:val="none" w:sz="0" w:space="0" w:color="auto"/>
        <w:right w:val="none" w:sz="0" w:space="0" w:color="auto"/>
      </w:divBdr>
    </w:div>
    <w:div w:id="1664355274">
      <w:bodyDiv w:val="1"/>
      <w:marLeft w:val="0"/>
      <w:marRight w:val="0"/>
      <w:marTop w:val="0"/>
      <w:marBottom w:val="0"/>
      <w:divBdr>
        <w:top w:val="none" w:sz="0" w:space="0" w:color="auto"/>
        <w:left w:val="none" w:sz="0" w:space="0" w:color="auto"/>
        <w:bottom w:val="none" w:sz="0" w:space="0" w:color="auto"/>
        <w:right w:val="none" w:sz="0" w:space="0" w:color="auto"/>
      </w:divBdr>
    </w:div>
    <w:div w:id="1675840132">
      <w:bodyDiv w:val="1"/>
      <w:marLeft w:val="0"/>
      <w:marRight w:val="0"/>
      <w:marTop w:val="0"/>
      <w:marBottom w:val="0"/>
      <w:divBdr>
        <w:top w:val="none" w:sz="0" w:space="0" w:color="auto"/>
        <w:left w:val="none" w:sz="0" w:space="0" w:color="auto"/>
        <w:bottom w:val="none" w:sz="0" w:space="0" w:color="auto"/>
        <w:right w:val="none" w:sz="0" w:space="0" w:color="auto"/>
      </w:divBdr>
    </w:div>
    <w:div w:id="1676684224">
      <w:bodyDiv w:val="1"/>
      <w:marLeft w:val="0"/>
      <w:marRight w:val="0"/>
      <w:marTop w:val="0"/>
      <w:marBottom w:val="0"/>
      <w:divBdr>
        <w:top w:val="none" w:sz="0" w:space="0" w:color="auto"/>
        <w:left w:val="none" w:sz="0" w:space="0" w:color="auto"/>
        <w:bottom w:val="none" w:sz="0" w:space="0" w:color="auto"/>
        <w:right w:val="none" w:sz="0" w:space="0" w:color="auto"/>
      </w:divBdr>
    </w:div>
    <w:div w:id="1710303251">
      <w:bodyDiv w:val="1"/>
      <w:marLeft w:val="0"/>
      <w:marRight w:val="0"/>
      <w:marTop w:val="0"/>
      <w:marBottom w:val="0"/>
      <w:divBdr>
        <w:top w:val="none" w:sz="0" w:space="0" w:color="auto"/>
        <w:left w:val="none" w:sz="0" w:space="0" w:color="auto"/>
        <w:bottom w:val="none" w:sz="0" w:space="0" w:color="auto"/>
        <w:right w:val="none" w:sz="0" w:space="0" w:color="auto"/>
      </w:divBdr>
    </w:div>
    <w:div w:id="1711109334">
      <w:bodyDiv w:val="1"/>
      <w:marLeft w:val="0"/>
      <w:marRight w:val="0"/>
      <w:marTop w:val="0"/>
      <w:marBottom w:val="0"/>
      <w:divBdr>
        <w:top w:val="none" w:sz="0" w:space="0" w:color="auto"/>
        <w:left w:val="none" w:sz="0" w:space="0" w:color="auto"/>
        <w:bottom w:val="none" w:sz="0" w:space="0" w:color="auto"/>
        <w:right w:val="none" w:sz="0" w:space="0" w:color="auto"/>
      </w:divBdr>
    </w:div>
    <w:div w:id="1717971703">
      <w:bodyDiv w:val="1"/>
      <w:marLeft w:val="0"/>
      <w:marRight w:val="0"/>
      <w:marTop w:val="0"/>
      <w:marBottom w:val="0"/>
      <w:divBdr>
        <w:top w:val="none" w:sz="0" w:space="0" w:color="auto"/>
        <w:left w:val="none" w:sz="0" w:space="0" w:color="auto"/>
        <w:bottom w:val="none" w:sz="0" w:space="0" w:color="auto"/>
        <w:right w:val="none" w:sz="0" w:space="0" w:color="auto"/>
      </w:divBdr>
    </w:div>
    <w:div w:id="1725830667">
      <w:bodyDiv w:val="1"/>
      <w:marLeft w:val="0"/>
      <w:marRight w:val="0"/>
      <w:marTop w:val="0"/>
      <w:marBottom w:val="0"/>
      <w:divBdr>
        <w:top w:val="none" w:sz="0" w:space="0" w:color="auto"/>
        <w:left w:val="none" w:sz="0" w:space="0" w:color="auto"/>
        <w:bottom w:val="none" w:sz="0" w:space="0" w:color="auto"/>
        <w:right w:val="none" w:sz="0" w:space="0" w:color="auto"/>
      </w:divBdr>
    </w:div>
    <w:div w:id="1743486171">
      <w:bodyDiv w:val="1"/>
      <w:marLeft w:val="0"/>
      <w:marRight w:val="0"/>
      <w:marTop w:val="0"/>
      <w:marBottom w:val="0"/>
      <w:divBdr>
        <w:top w:val="none" w:sz="0" w:space="0" w:color="auto"/>
        <w:left w:val="none" w:sz="0" w:space="0" w:color="auto"/>
        <w:bottom w:val="none" w:sz="0" w:space="0" w:color="auto"/>
        <w:right w:val="none" w:sz="0" w:space="0" w:color="auto"/>
      </w:divBdr>
    </w:div>
    <w:div w:id="1747652085">
      <w:bodyDiv w:val="1"/>
      <w:marLeft w:val="0"/>
      <w:marRight w:val="0"/>
      <w:marTop w:val="0"/>
      <w:marBottom w:val="0"/>
      <w:divBdr>
        <w:top w:val="none" w:sz="0" w:space="0" w:color="auto"/>
        <w:left w:val="none" w:sz="0" w:space="0" w:color="auto"/>
        <w:bottom w:val="none" w:sz="0" w:space="0" w:color="auto"/>
        <w:right w:val="none" w:sz="0" w:space="0" w:color="auto"/>
      </w:divBdr>
    </w:div>
    <w:div w:id="1748190222">
      <w:bodyDiv w:val="1"/>
      <w:marLeft w:val="0"/>
      <w:marRight w:val="0"/>
      <w:marTop w:val="0"/>
      <w:marBottom w:val="0"/>
      <w:divBdr>
        <w:top w:val="none" w:sz="0" w:space="0" w:color="auto"/>
        <w:left w:val="none" w:sz="0" w:space="0" w:color="auto"/>
        <w:bottom w:val="none" w:sz="0" w:space="0" w:color="auto"/>
        <w:right w:val="none" w:sz="0" w:space="0" w:color="auto"/>
      </w:divBdr>
    </w:div>
    <w:div w:id="1754737779">
      <w:bodyDiv w:val="1"/>
      <w:marLeft w:val="0"/>
      <w:marRight w:val="0"/>
      <w:marTop w:val="0"/>
      <w:marBottom w:val="0"/>
      <w:divBdr>
        <w:top w:val="none" w:sz="0" w:space="0" w:color="auto"/>
        <w:left w:val="none" w:sz="0" w:space="0" w:color="auto"/>
        <w:bottom w:val="none" w:sz="0" w:space="0" w:color="auto"/>
        <w:right w:val="none" w:sz="0" w:space="0" w:color="auto"/>
      </w:divBdr>
    </w:div>
    <w:div w:id="1803036052">
      <w:bodyDiv w:val="1"/>
      <w:marLeft w:val="0"/>
      <w:marRight w:val="0"/>
      <w:marTop w:val="0"/>
      <w:marBottom w:val="0"/>
      <w:divBdr>
        <w:top w:val="none" w:sz="0" w:space="0" w:color="auto"/>
        <w:left w:val="none" w:sz="0" w:space="0" w:color="auto"/>
        <w:bottom w:val="none" w:sz="0" w:space="0" w:color="auto"/>
        <w:right w:val="none" w:sz="0" w:space="0" w:color="auto"/>
      </w:divBdr>
    </w:div>
    <w:div w:id="1814104764">
      <w:bodyDiv w:val="1"/>
      <w:marLeft w:val="0"/>
      <w:marRight w:val="0"/>
      <w:marTop w:val="0"/>
      <w:marBottom w:val="0"/>
      <w:divBdr>
        <w:top w:val="none" w:sz="0" w:space="0" w:color="auto"/>
        <w:left w:val="none" w:sz="0" w:space="0" w:color="auto"/>
        <w:bottom w:val="none" w:sz="0" w:space="0" w:color="auto"/>
        <w:right w:val="none" w:sz="0" w:space="0" w:color="auto"/>
      </w:divBdr>
    </w:div>
    <w:div w:id="1817140247">
      <w:bodyDiv w:val="1"/>
      <w:marLeft w:val="0"/>
      <w:marRight w:val="0"/>
      <w:marTop w:val="0"/>
      <w:marBottom w:val="0"/>
      <w:divBdr>
        <w:top w:val="none" w:sz="0" w:space="0" w:color="auto"/>
        <w:left w:val="none" w:sz="0" w:space="0" w:color="auto"/>
        <w:bottom w:val="none" w:sz="0" w:space="0" w:color="auto"/>
        <w:right w:val="none" w:sz="0" w:space="0" w:color="auto"/>
      </w:divBdr>
    </w:div>
    <w:div w:id="1845506870">
      <w:bodyDiv w:val="1"/>
      <w:marLeft w:val="0"/>
      <w:marRight w:val="0"/>
      <w:marTop w:val="0"/>
      <w:marBottom w:val="0"/>
      <w:divBdr>
        <w:top w:val="none" w:sz="0" w:space="0" w:color="auto"/>
        <w:left w:val="none" w:sz="0" w:space="0" w:color="auto"/>
        <w:bottom w:val="none" w:sz="0" w:space="0" w:color="auto"/>
        <w:right w:val="none" w:sz="0" w:space="0" w:color="auto"/>
      </w:divBdr>
    </w:div>
    <w:div w:id="1860964535">
      <w:bodyDiv w:val="1"/>
      <w:marLeft w:val="0"/>
      <w:marRight w:val="0"/>
      <w:marTop w:val="0"/>
      <w:marBottom w:val="0"/>
      <w:divBdr>
        <w:top w:val="none" w:sz="0" w:space="0" w:color="auto"/>
        <w:left w:val="none" w:sz="0" w:space="0" w:color="auto"/>
        <w:bottom w:val="none" w:sz="0" w:space="0" w:color="auto"/>
        <w:right w:val="none" w:sz="0" w:space="0" w:color="auto"/>
      </w:divBdr>
    </w:div>
    <w:div w:id="1867214745">
      <w:bodyDiv w:val="1"/>
      <w:marLeft w:val="0"/>
      <w:marRight w:val="0"/>
      <w:marTop w:val="0"/>
      <w:marBottom w:val="0"/>
      <w:divBdr>
        <w:top w:val="none" w:sz="0" w:space="0" w:color="auto"/>
        <w:left w:val="none" w:sz="0" w:space="0" w:color="auto"/>
        <w:bottom w:val="none" w:sz="0" w:space="0" w:color="auto"/>
        <w:right w:val="none" w:sz="0" w:space="0" w:color="auto"/>
      </w:divBdr>
    </w:div>
    <w:div w:id="1907301292">
      <w:bodyDiv w:val="1"/>
      <w:marLeft w:val="0"/>
      <w:marRight w:val="0"/>
      <w:marTop w:val="0"/>
      <w:marBottom w:val="0"/>
      <w:divBdr>
        <w:top w:val="none" w:sz="0" w:space="0" w:color="auto"/>
        <w:left w:val="none" w:sz="0" w:space="0" w:color="auto"/>
        <w:bottom w:val="none" w:sz="0" w:space="0" w:color="auto"/>
        <w:right w:val="none" w:sz="0" w:space="0" w:color="auto"/>
      </w:divBdr>
    </w:div>
    <w:div w:id="1910000649">
      <w:bodyDiv w:val="1"/>
      <w:marLeft w:val="0"/>
      <w:marRight w:val="0"/>
      <w:marTop w:val="0"/>
      <w:marBottom w:val="0"/>
      <w:divBdr>
        <w:top w:val="none" w:sz="0" w:space="0" w:color="auto"/>
        <w:left w:val="none" w:sz="0" w:space="0" w:color="auto"/>
        <w:bottom w:val="none" w:sz="0" w:space="0" w:color="auto"/>
        <w:right w:val="none" w:sz="0" w:space="0" w:color="auto"/>
      </w:divBdr>
    </w:div>
    <w:div w:id="1919750643">
      <w:bodyDiv w:val="1"/>
      <w:marLeft w:val="0"/>
      <w:marRight w:val="0"/>
      <w:marTop w:val="0"/>
      <w:marBottom w:val="0"/>
      <w:divBdr>
        <w:top w:val="none" w:sz="0" w:space="0" w:color="auto"/>
        <w:left w:val="none" w:sz="0" w:space="0" w:color="auto"/>
        <w:bottom w:val="none" w:sz="0" w:space="0" w:color="auto"/>
        <w:right w:val="none" w:sz="0" w:space="0" w:color="auto"/>
      </w:divBdr>
    </w:div>
    <w:div w:id="1930195005">
      <w:bodyDiv w:val="1"/>
      <w:marLeft w:val="0"/>
      <w:marRight w:val="0"/>
      <w:marTop w:val="0"/>
      <w:marBottom w:val="0"/>
      <w:divBdr>
        <w:top w:val="none" w:sz="0" w:space="0" w:color="auto"/>
        <w:left w:val="none" w:sz="0" w:space="0" w:color="auto"/>
        <w:bottom w:val="none" w:sz="0" w:space="0" w:color="auto"/>
        <w:right w:val="none" w:sz="0" w:space="0" w:color="auto"/>
      </w:divBdr>
    </w:div>
    <w:div w:id="1949123150">
      <w:bodyDiv w:val="1"/>
      <w:marLeft w:val="0"/>
      <w:marRight w:val="0"/>
      <w:marTop w:val="0"/>
      <w:marBottom w:val="0"/>
      <w:divBdr>
        <w:top w:val="none" w:sz="0" w:space="0" w:color="auto"/>
        <w:left w:val="none" w:sz="0" w:space="0" w:color="auto"/>
        <w:bottom w:val="none" w:sz="0" w:space="0" w:color="auto"/>
        <w:right w:val="none" w:sz="0" w:space="0" w:color="auto"/>
      </w:divBdr>
    </w:div>
    <w:div w:id="1955600703">
      <w:bodyDiv w:val="1"/>
      <w:marLeft w:val="0"/>
      <w:marRight w:val="0"/>
      <w:marTop w:val="0"/>
      <w:marBottom w:val="0"/>
      <w:divBdr>
        <w:top w:val="none" w:sz="0" w:space="0" w:color="auto"/>
        <w:left w:val="none" w:sz="0" w:space="0" w:color="auto"/>
        <w:bottom w:val="none" w:sz="0" w:space="0" w:color="auto"/>
        <w:right w:val="none" w:sz="0" w:space="0" w:color="auto"/>
      </w:divBdr>
    </w:div>
    <w:div w:id="1964193845">
      <w:bodyDiv w:val="1"/>
      <w:marLeft w:val="0"/>
      <w:marRight w:val="0"/>
      <w:marTop w:val="0"/>
      <w:marBottom w:val="0"/>
      <w:divBdr>
        <w:top w:val="none" w:sz="0" w:space="0" w:color="auto"/>
        <w:left w:val="none" w:sz="0" w:space="0" w:color="auto"/>
        <w:bottom w:val="none" w:sz="0" w:space="0" w:color="auto"/>
        <w:right w:val="none" w:sz="0" w:space="0" w:color="auto"/>
      </w:divBdr>
    </w:div>
    <w:div w:id="1974015175">
      <w:bodyDiv w:val="1"/>
      <w:marLeft w:val="0"/>
      <w:marRight w:val="0"/>
      <w:marTop w:val="0"/>
      <w:marBottom w:val="0"/>
      <w:divBdr>
        <w:top w:val="none" w:sz="0" w:space="0" w:color="auto"/>
        <w:left w:val="none" w:sz="0" w:space="0" w:color="auto"/>
        <w:bottom w:val="none" w:sz="0" w:space="0" w:color="auto"/>
        <w:right w:val="none" w:sz="0" w:space="0" w:color="auto"/>
      </w:divBdr>
    </w:div>
    <w:div w:id="1978149033">
      <w:bodyDiv w:val="1"/>
      <w:marLeft w:val="0"/>
      <w:marRight w:val="0"/>
      <w:marTop w:val="0"/>
      <w:marBottom w:val="0"/>
      <w:divBdr>
        <w:top w:val="none" w:sz="0" w:space="0" w:color="auto"/>
        <w:left w:val="none" w:sz="0" w:space="0" w:color="auto"/>
        <w:bottom w:val="none" w:sz="0" w:space="0" w:color="auto"/>
        <w:right w:val="none" w:sz="0" w:space="0" w:color="auto"/>
      </w:divBdr>
    </w:div>
    <w:div w:id="1996638592">
      <w:bodyDiv w:val="1"/>
      <w:marLeft w:val="0"/>
      <w:marRight w:val="0"/>
      <w:marTop w:val="0"/>
      <w:marBottom w:val="0"/>
      <w:divBdr>
        <w:top w:val="none" w:sz="0" w:space="0" w:color="auto"/>
        <w:left w:val="none" w:sz="0" w:space="0" w:color="auto"/>
        <w:bottom w:val="none" w:sz="0" w:space="0" w:color="auto"/>
        <w:right w:val="none" w:sz="0" w:space="0" w:color="auto"/>
      </w:divBdr>
    </w:div>
    <w:div w:id="1997175195">
      <w:bodyDiv w:val="1"/>
      <w:marLeft w:val="0"/>
      <w:marRight w:val="0"/>
      <w:marTop w:val="0"/>
      <w:marBottom w:val="0"/>
      <w:divBdr>
        <w:top w:val="none" w:sz="0" w:space="0" w:color="auto"/>
        <w:left w:val="none" w:sz="0" w:space="0" w:color="auto"/>
        <w:bottom w:val="none" w:sz="0" w:space="0" w:color="auto"/>
        <w:right w:val="none" w:sz="0" w:space="0" w:color="auto"/>
      </w:divBdr>
    </w:div>
    <w:div w:id="2001809475">
      <w:bodyDiv w:val="1"/>
      <w:marLeft w:val="0"/>
      <w:marRight w:val="0"/>
      <w:marTop w:val="0"/>
      <w:marBottom w:val="0"/>
      <w:divBdr>
        <w:top w:val="none" w:sz="0" w:space="0" w:color="auto"/>
        <w:left w:val="none" w:sz="0" w:space="0" w:color="auto"/>
        <w:bottom w:val="none" w:sz="0" w:space="0" w:color="auto"/>
        <w:right w:val="none" w:sz="0" w:space="0" w:color="auto"/>
      </w:divBdr>
    </w:div>
    <w:div w:id="2009822498">
      <w:bodyDiv w:val="1"/>
      <w:marLeft w:val="0"/>
      <w:marRight w:val="0"/>
      <w:marTop w:val="0"/>
      <w:marBottom w:val="0"/>
      <w:divBdr>
        <w:top w:val="none" w:sz="0" w:space="0" w:color="auto"/>
        <w:left w:val="none" w:sz="0" w:space="0" w:color="auto"/>
        <w:bottom w:val="none" w:sz="0" w:space="0" w:color="auto"/>
        <w:right w:val="none" w:sz="0" w:space="0" w:color="auto"/>
      </w:divBdr>
    </w:div>
    <w:div w:id="2015841135">
      <w:bodyDiv w:val="1"/>
      <w:marLeft w:val="0"/>
      <w:marRight w:val="0"/>
      <w:marTop w:val="0"/>
      <w:marBottom w:val="0"/>
      <w:divBdr>
        <w:top w:val="none" w:sz="0" w:space="0" w:color="auto"/>
        <w:left w:val="none" w:sz="0" w:space="0" w:color="auto"/>
        <w:bottom w:val="none" w:sz="0" w:space="0" w:color="auto"/>
        <w:right w:val="none" w:sz="0" w:space="0" w:color="auto"/>
      </w:divBdr>
    </w:div>
    <w:div w:id="2045207858">
      <w:bodyDiv w:val="1"/>
      <w:marLeft w:val="0"/>
      <w:marRight w:val="0"/>
      <w:marTop w:val="0"/>
      <w:marBottom w:val="0"/>
      <w:divBdr>
        <w:top w:val="none" w:sz="0" w:space="0" w:color="auto"/>
        <w:left w:val="none" w:sz="0" w:space="0" w:color="auto"/>
        <w:bottom w:val="none" w:sz="0" w:space="0" w:color="auto"/>
        <w:right w:val="none" w:sz="0" w:space="0" w:color="auto"/>
      </w:divBdr>
    </w:div>
    <w:div w:id="2065372838">
      <w:bodyDiv w:val="1"/>
      <w:marLeft w:val="0"/>
      <w:marRight w:val="0"/>
      <w:marTop w:val="0"/>
      <w:marBottom w:val="0"/>
      <w:divBdr>
        <w:top w:val="none" w:sz="0" w:space="0" w:color="auto"/>
        <w:left w:val="none" w:sz="0" w:space="0" w:color="auto"/>
        <w:bottom w:val="none" w:sz="0" w:space="0" w:color="auto"/>
        <w:right w:val="none" w:sz="0" w:space="0" w:color="auto"/>
      </w:divBdr>
    </w:div>
    <w:div w:id="2078362204">
      <w:bodyDiv w:val="1"/>
      <w:marLeft w:val="0"/>
      <w:marRight w:val="0"/>
      <w:marTop w:val="0"/>
      <w:marBottom w:val="0"/>
      <w:divBdr>
        <w:top w:val="none" w:sz="0" w:space="0" w:color="auto"/>
        <w:left w:val="none" w:sz="0" w:space="0" w:color="auto"/>
        <w:bottom w:val="none" w:sz="0" w:space="0" w:color="auto"/>
        <w:right w:val="none" w:sz="0" w:space="0" w:color="auto"/>
      </w:divBdr>
    </w:div>
    <w:div w:id="2092583336">
      <w:bodyDiv w:val="1"/>
      <w:marLeft w:val="0"/>
      <w:marRight w:val="0"/>
      <w:marTop w:val="0"/>
      <w:marBottom w:val="0"/>
      <w:divBdr>
        <w:top w:val="none" w:sz="0" w:space="0" w:color="auto"/>
        <w:left w:val="none" w:sz="0" w:space="0" w:color="auto"/>
        <w:bottom w:val="none" w:sz="0" w:space="0" w:color="auto"/>
        <w:right w:val="none" w:sz="0" w:space="0" w:color="auto"/>
      </w:divBdr>
    </w:div>
    <w:div w:id="21049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o@nsw.edo.org.a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do@nsw.edo.org.au" TargetMode="External"/><Relationship Id="rId17" Type="http://schemas.openxmlformats.org/officeDocument/2006/relationships/hyperlink" Target="mailto:edowa@edowa.org.au" TargetMode="External"/><Relationship Id="rId2" Type="http://schemas.openxmlformats.org/officeDocument/2006/relationships/numbering" Target="numbering.xml"/><Relationship Id="rId16" Type="http://schemas.openxmlformats.org/officeDocument/2006/relationships/hyperlink" Target="mailto:edovic@edo.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o@nsw.edo.org.au" TargetMode="External"/><Relationship Id="rId5" Type="http://schemas.openxmlformats.org/officeDocument/2006/relationships/settings" Target="settings.xml"/><Relationship Id="rId15" Type="http://schemas.openxmlformats.org/officeDocument/2006/relationships/hyperlink" Target="mailto:edotas@edo.org.au" TargetMode="External"/><Relationship Id="rId10" Type="http://schemas.openxmlformats.org/officeDocument/2006/relationships/hyperlink" Target="mailto:edonsw@edonsw.org.a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edo@nsw.edo.org.au" TargetMode="External"/><Relationship Id="rId14" Type="http://schemas.openxmlformats.org/officeDocument/2006/relationships/hyperlink" Target="mailto:edo@nsw.edo.org.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www.coag.gov.au/meeting_outcomes" TargetMode="External"/><Relationship Id="rId18" Type="http://schemas.openxmlformats.org/officeDocument/2006/relationships/hyperlink" Target="http://www.environment.gov.au/about/esd/index.html" TargetMode="External"/><Relationship Id="rId26" Type="http://schemas.openxmlformats.org/officeDocument/2006/relationships/hyperlink" Target="http://www.edonsw.org.au" TargetMode="External"/><Relationship Id="rId39" Type="http://schemas.openxmlformats.org/officeDocument/2006/relationships/hyperlink" Target="http://www.environment.gov.au/epbc/publications/consultation-draft-cost-recovery.html" TargetMode="External"/><Relationship Id="rId21" Type="http://schemas.openxmlformats.org/officeDocument/2006/relationships/hyperlink" Target="http://www.edo.org.au" TargetMode="External"/><Relationship Id="rId34" Type="http://schemas.openxmlformats.org/officeDocument/2006/relationships/hyperlink" Target="http://www.teebweb.org" TargetMode="External"/><Relationship Id="rId42" Type="http://schemas.openxmlformats.org/officeDocument/2006/relationships/hyperlink" Target="http://whc.unesco.org/en/documents/117104" TargetMode="External"/><Relationship Id="rId47" Type="http://schemas.openxmlformats.org/officeDocument/2006/relationships/hyperlink" Target="http://www.iaia.org/publicdocuments/specialpublications/sp1.pdf" TargetMode="External"/><Relationship Id="rId50" Type="http://schemas.openxmlformats.org/officeDocument/2006/relationships/hyperlink" Target="http://www.edonsw.org.au" TargetMode="External"/><Relationship Id="rId55" Type="http://schemas.openxmlformats.org/officeDocument/2006/relationships/hyperlink" Target="http://www.teebweb.org" TargetMode="External"/><Relationship Id="rId63" Type="http://schemas.openxmlformats.org/officeDocument/2006/relationships/hyperlink" Target="http://www.coagreformcouncil.gov.au/reports/cities.cfm" TargetMode="External"/><Relationship Id="rId68" Type="http://schemas.openxmlformats.org/officeDocument/2006/relationships/hyperlink" Target="http://www.edo.org.au/edonsw/site/pdf/subs/120914A_New_Planning_System_for_NSW.pdf" TargetMode="External"/><Relationship Id="rId76" Type="http://schemas.openxmlformats.org/officeDocument/2006/relationships/hyperlink" Target="http://www.edo.org.au/edonsw/site/policy_submissions.php" TargetMode="External"/><Relationship Id="rId7" Type="http://schemas.openxmlformats.org/officeDocument/2006/relationships/hyperlink" Target="http://www.edo.org.au" TargetMode="External"/><Relationship Id="rId71" Type="http://schemas.openxmlformats.org/officeDocument/2006/relationships/hyperlink" Target="http://www.edovic.org.au/law_reform/submissions_and_issues_papers/environmental_effects_statement" TargetMode="External"/><Relationship Id="rId2" Type="http://schemas.openxmlformats.org/officeDocument/2006/relationships/hyperlink" Target="http://www.edo.org.au" TargetMode="External"/><Relationship Id="rId16" Type="http://schemas.openxmlformats.org/officeDocument/2006/relationships/hyperlink" Target="http://www.edovic.org.au" TargetMode="External"/><Relationship Id="rId29" Type="http://schemas.openxmlformats.org/officeDocument/2006/relationships/hyperlink" Target="http://www.couriermail.com.au" TargetMode="External"/><Relationship Id="rId11" Type="http://schemas.openxmlformats.org/officeDocument/2006/relationships/hyperlink" Target="http://www.finance.gov.au/deregulation/communique-12--april-12.html" TargetMode="External"/><Relationship Id="rId24" Type="http://schemas.openxmlformats.org/officeDocument/2006/relationships/hyperlink" Target="http://www.icac.gov.au" TargetMode="External"/><Relationship Id="rId32" Type="http://schemas.openxmlformats.org/officeDocument/2006/relationships/hyperlink" Target="http://www.pce.parliament.nz" TargetMode="External"/><Relationship Id="rId37" Type="http://schemas.openxmlformats.org/officeDocument/2006/relationships/hyperlink" Target="http://www.edo.org.au/edonsw/site/pdf/subs/060531finessub.pdf" TargetMode="External"/><Relationship Id="rId40" Type="http://schemas.openxmlformats.org/officeDocument/2006/relationships/hyperlink" Target="http://www.edonsw.org.au" TargetMode="External"/><Relationship Id="rId45" Type="http://schemas.openxmlformats.org/officeDocument/2006/relationships/hyperlink" Target="http://whc.unesco.org/en/decisions/4657/" TargetMode="External"/><Relationship Id="rId53" Type="http://schemas.openxmlformats.org/officeDocument/2006/relationships/hyperlink" Target="http://www.coagreformcouncil.gov.au/reports/cities.cfm" TargetMode="External"/><Relationship Id="rId58" Type="http://schemas.openxmlformats.org/officeDocument/2006/relationships/hyperlink" Target="http://www.environment.gov.au/sustainability/measuring/council.html" TargetMode="External"/><Relationship Id="rId66" Type="http://schemas.openxmlformats.org/officeDocument/2006/relationships/hyperlink" Target="http://www.edo.org.au/edonsw/site/policy_discussion.php" TargetMode="External"/><Relationship Id="rId74" Type="http://schemas.openxmlformats.org/officeDocument/2006/relationships/hyperlink" Target="http://www.edo.org.au/policy/policy.html" TargetMode="External"/><Relationship Id="rId79" Type="http://schemas.openxmlformats.org/officeDocument/2006/relationships/hyperlink" Target="http://www.edo.org.au/edonsw/site/pdf/misc/120209planning_law_reform_cases.pdf" TargetMode="External"/><Relationship Id="rId5" Type="http://schemas.openxmlformats.org/officeDocument/2006/relationships/hyperlink" Target="http://www.edo.org.au/policy/policy.html" TargetMode="External"/><Relationship Id="rId61" Type="http://schemas.openxmlformats.org/officeDocument/2006/relationships/hyperlink" Target="http://www.edovic.org.au/law-reform/submissions-and-reports" TargetMode="External"/><Relationship Id="rId10" Type="http://schemas.openxmlformats.org/officeDocument/2006/relationships/hyperlink" Target="http://www.environment.nsw.gov.au/community/whocares2012.htm" TargetMode="External"/><Relationship Id="rId19" Type="http://schemas.openxmlformats.org/officeDocument/2006/relationships/hyperlink" Target="http://www.environment.gov.au/about/esd/publications/strategy/index.html" TargetMode="External"/><Relationship Id="rId31" Type="http://schemas.openxmlformats.org/officeDocument/2006/relationships/hyperlink" Target="http://www.ecojustice.ca" TargetMode="External"/><Relationship Id="rId44" Type="http://schemas.openxmlformats.org/officeDocument/2006/relationships/hyperlink" Target="http://www.environment.gov.au/epbc/notices/assessments/great-barrier-reef.html" TargetMode="External"/><Relationship Id="rId52" Type="http://schemas.openxmlformats.org/officeDocument/2006/relationships/hyperlink" Target="http://www.environment.gov.au/soe/2011/report/future-reporting.html" TargetMode="External"/><Relationship Id="rId60" Type="http://schemas.openxmlformats.org/officeDocument/2006/relationships/hyperlink" Target="http://www.pce.parliament.nz" TargetMode="External"/><Relationship Id="rId65" Type="http://schemas.openxmlformats.org/officeDocument/2006/relationships/hyperlink" Target="http://www.wentworthgroup.org" TargetMode="External"/><Relationship Id="rId73" Type="http://schemas.openxmlformats.org/officeDocument/2006/relationships/hyperlink" Target="http://www.parliament.vic.gov.au/images/stories/committees/enrc/EES/Govt_Response_to_the_ENRC_Inquiry_into_the_Environment_Effects_Statement_Process_in_Victoria_1_March_2012.pdf" TargetMode="External"/><Relationship Id="rId78" Type="http://schemas.openxmlformats.org/officeDocument/2006/relationships/hyperlink" Target="http://www.planning.nsw.gov.au/LinkClick.aspx?fileticket=29mGD0zKm9c%3d&amp;tabid=74&amp;language=en-AU" TargetMode="External"/><Relationship Id="rId4" Type="http://schemas.openxmlformats.org/officeDocument/2006/relationships/hyperlink" Target="http://edo.org.au/edonsw/site/pdf/subs/120314ncc_edo_tec_joint_sub_planning_system_review_issues.pdf" TargetMode="External"/><Relationship Id="rId9" Type="http://schemas.openxmlformats.org/officeDocument/2006/relationships/hyperlink" Target="http://www.dpmc.gov.au/publications/baf/index.cfm" TargetMode="External"/><Relationship Id="rId14" Type="http://schemas.openxmlformats.org/officeDocument/2006/relationships/hyperlink" Target="http://www.pm.gov.au/press-office/council-australian-governments-business-advisory-forum-communiqu%C3%A9" TargetMode="External"/><Relationship Id="rId22" Type="http://schemas.openxmlformats.org/officeDocument/2006/relationships/hyperlink" Target="http://www.edo.org.au/edonsw/site/casework_key.php" TargetMode="External"/><Relationship Id="rId27" Type="http://schemas.openxmlformats.org/officeDocument/2006/relationships/hyperlink" Target="http://www.edonsw.org.au" TargetMode="External"/><Relationship Id="rId30" Type="http://schemas.openxmlformats.org/officeDocument/2006/relationships/hyperlink" Target="http://www.ecojustice.ca" TargetMode="External"/><Relationship Id="rId35" Type="http://schemas.openxmlformats.org/officeDocument/2006/relationships/hyperlink" Target="http://www.defra.gov.uk/environment/natural/whitepaper/" TargetMode="External"/><Relationship Id="rId43" Type="http://schemas.openxmlformats.org/officeDocument/2006/relationships/hyperlink" Target="http://www.planning.nsw.gov.au" TargetMode="External"/><Relationship Id="rId48" Type="http://schemas.openxmlformats.org/officeDocument/2006/relationships/hyperlink" Target="http://www.environment.gov.au/soe/2011/report/key-findings.html" TargetMode="External"/><Relationship Id="rId56" Type="http://schemas.openxmlformats.org/officeDocument/2006/relationships/hyperlink" Target="http://www.bom.gov.au/environment/activities/accounts.shtml" TargetMode="External"/><Relationship Id="rId64" Type="http://schemas.openxmlformats.org/officeDocument/2006/relationships/hyperlink" Target="http://www.edo.org.au/edonsw/site/policy_discussion.php" TargetMode="External"/><Relationship Id="rId69" Type="http://schemas.openxmlformats.org/officeDocument/2006/relationships/hyperlink" Target="http://www.2021.nsw.gov.au" TargetMode="External"/><Relationship Id="rId77" Type="http://schemas.openxmlformats.org/officeDocument/2006/relationships/hyperlink" Target="http://www.edo.org.au/edonsw/site/pdf/subs/120119csg_responses_questions_on_notice.pdf" TargetMode="External"/><Relationship Id="rId8" Type="http://schemas.openxmlformats.org/officeDocument/2006/relationships/hyperlink" Target="http://www.edovic.org.au" TargetMode="External"/><Relationship Id="rId51" Type="http://schemas.openxmlformats.org/officeDocument/2006/relationships/hyperlink" Target="http://www.edo.org.au/edonsw/site/pdf/subs/120119csg_responses_questions_on_notice.pdf" TargetMode="External"/><Relationship Id="rId72" Type="http://schemas.openxmlformats.org/officeDocument/2006/relationships/hyperlink" Target="http://www.vcec.vic.gov.au/CA256EAF001C7B21/pages/vcec-inquiries-current-inquiry-into-a-state-based-reform-agenda" TargetMode="External"/><Relationship Id="rId80" Type="http://schemas.openxmlformats.org/officeDocument/2006/relationships/hyperlink" Target="http://www.csi.edu.au/site/Knowledge_Centre/Asset.aspx?assetid=c9627ec3f646d127" TargetMode="External"/><Relationship Id="rId3" Type="http://schemas.openxmlformats.org/officeDocument/2006/relationships/hyperlink" Target="http://www.pc.gov.au" TargetMode="External"/><Relationship Id="rId12" Type="http://schemas.openxmlformats.org/officeDocument/2006/relationships/hyperlink" Target="http://www.environment.gov.au" TargetMode="External"/><Relationship Id="rId17" Type="http://schemas.openxmlformats.org/officeDocument/2006/relationships/hyperlink" Target="http://www.treasury.gov.au" TargetMode="External"/><Relationship Id="rId25" Type="http://schemas.openxmlformats.org/officeDocument/2006/relationships/hyperlink" Target="http://www.edo.org.au" TargetMode="External"/><Relationship Id="rId33" Type="http://schemas.openxmlformats.org/officeDocument/2006/relationships/hyperlink" Target="http://dx.doi.org/10.1787/5kg0tflmzx34-en" TargetMode="External"/><Relationship Id="rId38" Type="http://schemas.openxmlformats.org/officeDocument/2006/relationships/hyperlink" Target="http://www.lawlink.nsw.gov.au/lawlink/lec/ll_lec.nsf/vwFiles/Speech_26May06_Preston.pdf/$file/Speech_26May06_Preston.pdf" TargetMode="External"/><Relationship Id="rId46" Type="http://schemas.openxmlformats.org/officeDocument/2006/relationships/hyperlink" Target="http://www.environment.gov.au/minister/burke/2013/mr20130201.html" TargetMode="External"/><Relationship Id="rId59" Type="http://schemas.openxmlformats.org/officeDocument/2006/relationships/hyperlink" Target="http://www.defra.gov.uk/naturalcapitalcommittee/" TargetMode="External"/><Relationship Id="rId67" Type="http://schemas.openxmlformats.org/officeDocument/2006/relationships/hyperlink" Target="http://www.edo.org.au/edonsw/site/factsh/fs02_3_1b.php" TargetMode="External"/><Relationship Id="rId20" Type="http://schemas.openxmlformats.org/officeDocument/2006/relationships/hyperlink" Target="http://www.majorcities.gov.au" TargetMode="External"/><Relationship Id="rId41" Type="http://schemas.openxmlformats.org/officeDocument/2006/relationships/hyperlink" Target="http://www.aila.org.au/greeninfrastructure/" TargetMode="External"/><Relationship Id="rId54" Type="http://schemas.openxmlformats.org/officeDocument/2006/relationships/hyperlink" Target="http://www.nrc.nsw.gov.au/WorkWeDo/StandardAndTargets/State-wideTargets.aspx" TargetMode="External"/><Relationship Id="rId62" Type="http://schemas.openxmlformats.org/officeDocument/2006/relationships/hyperlink" Target="http://abs.gov.au/ausstats/abs@.nsf/Lookup/by%20Subject/1370.0.55.001~2012~Main%20Features~Biodiversity~21" TargetMode="External"/><Relationship Id="rId70" Type="http://schemas.openxmlformats.org/officeDocument/2006/relationships/hyperlink" Target="http://www.planning.nsw.gov.au" TargetMode="External"/><Relationship Id="rId75" Type="http://schemas.openxmlformats.org/officeDocument/2006/relationships/hyperlink" Target="http://epanote2.epa.vic.gov.au/EPA/publications.nsf/2f1c2625731746aa4a256ce90001cbb5/cfa2d441a0e31fb7ca2574670004b739/$FILE/1202.3.pdf" TargetMode="External"/><Relationship Id="rId1" Type="http://schemas.openxmlformats.org/officeDocument/2006/relationships/hyperlink" Target="http://www.pc.gov.au/projects/study/major-projects" TargetMode="External"/><Relationship Id="rId6" Type="http://schemas.openxmlformats.org/officeDocument/2006/relationships/hyperlink" Target="http://www.edo.org.au/policy/121123-COAG-Cth-accreditation-standards-ANEDO-submission.docx" TargetMode="External"/><Relationship Id="rId15" Type="http://schemas.openxmlformats.org/officeDocument/2006/relationships/hyperlink" Target="http://www.bca.com.au/Content/101965.aspx" TargetMode="External"/><Relationship Id="rId23" Type="http://schemas.openxmlformats.org/officeDocument/2006/relationships/hyperlink" Target="http://www.wri.org/project/earth-summit-rio-2012" TargetMode="External"/><Relationship Id="rId28" Type="http://schemas.openxmlformats.org/officeDocument/2006/relationships/hyperlink" Target="http://www.environment.gov.au/minister/burke/2012/mr20120614b.html" TargetMode="External"/><Relationship Id="rId36" Type="http://schemas.openxmlformats.org/officeDocument/2006/relationships/hyperlink" Target="http://www.edovic.org.au/law-reform/major-reports/framework-for-action" TargetMode="External"/><Relationship Id="rId49" Type="http://schemas.openxmlformats.org/officeDocument/2006/relationships/hyperlink" Target="http://www.edo.org.au" TargetMode="External"/><Relationship Id="rId57" Type="http://schemas.openxmlformats.org/officeDocument/2006/relationships/hyperlink" Target="http://www.wentworthgrou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CA6F2-EA0B-47BC-8E36-8C81B58F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18717</Words>
  <Characters>117631</Characters>
  <Application>Microsoft Office Word</Application>
  <DocSecurity>0</DocSecurity>
  <Lines>980</Lines>
  <Paragraphs>272</Paragraphs>
  <ScaleCrop>false</ScaleCrop>
  <HeadingPairs>
    <vt:vector size="2" baseType="variant">
      <vt:variant>
        <vt:lpstr>Title</vt:lpstr>
      </vt:variant>
      <vt:variant>
        <vt:i4>1</vt:i4>
      </vt:variant>
    </vt:vector>
  </HeadingPairs>
  <TitlesOfParts>
    <vt:vector size="1" baseType="lpstr">
      <vt:lpstr>Submission 14 - Australian Network of Environmental Defender's Offices - Major Project Development Assessment Processes - Commissioned study</vt:lpstr>
    </vt:vector>
  </TitlesOfParts>
  <Company>Australian Network of Environmental Defender's Offices</Company>
  <LinksUpToDate>false</LinksUpToDate>
  <CharactersWithSpaces>136076</CharactersWithSpaces>
  <SharedDoc>false</SharedDoc>
  <HLinks>
    <vt:vector size="54" baseType="variant">
      <vt:variant>
        <vt:i4>721016</vt:i4>
      </vt:variant>
      <vt:variant>
        <vt:i4>28</vt:i4>
      </vt:variant>
      <vt:variant>
        <vt:i4>0</vt:i4>
      </vt:variant>
      <vt:variant>
        <vt:i4>5</vt:i4>
      </vt:variant>
      <vt:variant>
        <vt:lpwstr>mailto:edowa@edowa.org.au</vt:lpwstr>
      </vt:variant>
      <vt:variant>
        <vt:lpwstr/>
      </vt:variant>
      <vt:variant>
        <vt:i4>2228312</vt:i4>
      </vt:variant>
      <vt:variant>
        <vt:i4>25</vt:i4>
      </vt:variant>
      <vt:variant>
        <vt:i4>0</vt:i4>
      </vt:variant>
      <vt:variant>
        <vt:i4>5</vt:i4>
      </vt:variant>
      <vt:variant>
        <vt:lpwstr>mailto:edovic@edo.org.au</vt:lpwstr>
      </vt:variant>
      <vt:variant>
        <vt:lpwstr/>
      </vt:variant>
      <vt:variant>
        <vt:i4>2752586</vt:i4>
      </vt:variant>
      <vt:variant>
        <vt:i4>22</vt:i4>
      </vt:variant>
      <vt:variant>
        <vt:i4>0</vt:i4>
      </vt:variant>
      <vt:variant>
        <vt:i4>5</vt:i4>
      </vt:variant>
      <vt:variant>
        <vt:lpwstr>mailto:edotas@edo.org.au</vt:lpwstr>
      </vt:variant>
      <vt:variant>
        <vt:lpwstr/>
      </vt:variant>
      <vt:variant>
        <vt:i4>1179685</vt:i4>
      </vt:variant>
      <vt:variant>
        <vt:i4>19</vt:i4>
      </vt:variant>
      <vt:variant>
        <vt:i4>0</vt:i4>
      </vt:variant>
      <vt:variant>
        <vt:i4>5</vt:i4>
      </vt:variant>
      <vt:variant>
        <vt:lpwstr>mailto:edo@nsw.edo.org.au</vt:lpwstr>
      </vt:variant>
      <vt:variant>
        <vt:lpwstr/>
      </vt:variant>
      <vt:variant>
        <vt:i4>1179685</vt:i4>
      </vt:variant>
      <vt:variant>
        <vt:i4>16</vt:i4>
      </vt:variant>
      <vt:variant>
        <vt:i4>0</vt:i4>
      </vt:variant>
      <vt:variant>
        <vt:i4>5</vt:i4>
      </vt:variant>
      <vt:variant>
        <vt:lpwstr>mailto:edo@nsw.edo.org.au</vt:lpwstr>
      </vt:variant>
      <vt:variant>
        <vt:lpwstr/>
      </vt:variant>
      <vt:variant>
        <vt:i4>1179685</vt:i4>
      </vt:variant>
      <vt:variant>
        <vt:i4>13</vt:i4>
      </vt:variant>
      <vt:variant>
        <vt:i4>0</vt:i4>
      </vt:variant>
      <vt:variant>
        <vt:i4>5</vt:i4>
      </vt:variant>
      <vt:variant>
        <vt:lpwstr>mailto:edo@nsw.edo.org.au</vt:lpwstr>
      </vt:variant>
      <vt:variant>
        <vt:lpwstr/>
      </vt:variant>
      <vt:variant>
        <vt:i4>1179685</vt:i4>
      </vt:variant>
      <vt:variant>
        <vt:i4>10</vt:i4>
      </vt:variant>
      <vt:variant>
        <vt:i4>0</vt:i4>
      </vt:variant>
      <vt:variant>
        <vt:i4>5</vt:i4>
      </vt:variant>
      <vt:variant>
        <vt:lpwstr>mailto:edo@nsw.edo.org.au</vt:lpwstr>
      </vt:variant>
      <vt:variant>
        <vt:lpwstr/>
      </vt:variant>
      <vt:variant>
        <vt:i4>5177404</vt:i4>
      </vt:variant>
      <vt:variant>
        <vt:i4>7</vt:i4>
      </vt:variant>
      <vt:variant>
        <vt:i4>0</vt:i4>
      </vt:variant>
      <vt:variant>
        <vt:i4>5</vt:i4>
      </vt:variant>
      <vt:variant>
        <vt:lpwstr>mailto:edonsw@edonsw.org.au</vt:lpwstr>
      </vt:variant>
      <vt:variant>
        <vt:lpwstr/>
      </vt:variant>
      <vt:variant>
        <vt:i4>1179685</vt:i4>
      </vt:variant>
      <vt:variant>
        <vt:i4>4</vt:i4>
      </vt:variant>
      <vt:variant>
        <vt:i4>0</vt:i4>
      </vt:variant>
      <vt:variant>
        <vt:i4>5</vt:i4>
      </vt:variant>
      <vt:variant>
        <vt:lpwstr>mailto:edo@nsw.edo.org.au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14 - Australian Network of Environmental Defender's Offices - Major Project Development Assessment Processes - Commissioned study</dc:title>
  <dc:creator>Australian Network of Environmental Defender's Offices</dc:creator>
  <cp:lastModifiedBy>Productivity Commission</cp:lastModifiedBy>
  <cp:revision>2</cp:revision>
  <cp:lastPrinted>2013-03-25T04:12:00Z</cp:lastPrinted>
  <dcterms:created xsi:type="dcterms:W3CDTF">2013-03-26T23:23:00Z</dcterms:created>
  <dcterms:modified xsi:type="dcterms:W3CDTF">2013-03-26T23:23:00Z</dcterms:modified>
</cp:coreProperties>
</file>