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BE" w:rsidRDefault="00567280" w:rsidP="00567280">
      <w:pPr>
        <w:jc w:val="center"/>
        <w:rPr>
          <w:rFonts w:ascii="GillSans" w:hAnsi="GillSans"/>
          <w:sz w:val="24"/>
          <w:szCs w:val="24"/>
        </w:rPr>
      </w:pPr>
      <w:bookmarkStart w:id="0" w:name="_GoBack"/>
      <w:bookmarkEnd w:id="0"/>
      <w:r w:rsidRPr="00567280">
        <w:rPr>
          <w:rFonts w:ascii="GillSans" w:hAnsi="GillSans"/>
          <w:sz w:val="24"/>
          <w:szCs w:val="24"/>
        </w:rPr>
        <w:t>Major Projects Undertaken in Tasmania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Midlands Water Scheme Assessment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 xml:space="preserve">The Midlands Water Scheme project comprises two irrigation schemes </w:t>
      </w:r>
      <w:r>
        <w:rPr>
          <w:sz w:val="24"/>
          <w:szCs w:val="24"/>
          <w:lang w:val="en-AU"/>
        </w:rPr>
        <w:t>that</w:t>
      </w:r>
      <w:r w:rsidRPr="007C5AFA">
        <w:rPr>
          <w:sz w:val="24"/>
          <w:szCs w:val="24"/>
          <w:lang w:val="en-AU"/>
        </w:rPr>
        <w:t xml:space="preserve"> delive</w:t>
      </w:r>
      <w:r>
        <w:rPr>
          <w:sz w:val="24"/>
          <w:szCs w:val="24"/>
          <w:lang w:val="en-AU"/>
        </w:rPr>
        <w:t>r a combined annual total of 47 </w:t>
      </w:r>
      <w:r w:rsidRPr="007C5AFA">
        <w:rPr>
          <w:sz w:val="24"/>
          <w:szCs w:val="24"/>
          <w:lang w:val="en-AU"/>
        </w:rPr>
        <w:t>500</w:t>
      </w:r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megalitres</w:t>
      </w:r>
      <w:proofErr w:type="spellEnd"/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of water to the </w:t>
      </w:r>
      <w:r w:rsidR="008C28B5">
        <w:rPr>
          <w:sz w:val="24"/>
          <w:szCs w:val="24"/>
          <w:lang w:val="en-AU"/>
        </w:rPr>
        <w:t>S</w:t>
      </w:r>
      <w:r w:rsidRPr="007C5AFA">
        <w:rPr>
          <w:sz w:val="24"/>
          <w:szCs w:val="24"/>
          <w:lang w:val="en-AU"/>
        </w:rPr>
        <w:t xml:space="preserve">outhern and </w:t>
      </w:r>
      <w:r w:rsidR="008C28B5">
        <w:rPr>
          <w:sz w:val="24"/>
          <w:szCs w:val="24"/>
          <w:lang w:val="en-AU"/>
        </w:rPr>
        <w:t>N</w:t>
      </w:r>
      <w:r w:rsidRPr="007C5AFA">
        <w:rPr>
          <w:sz w:val="24"/>
          <w:szCs w:val="24"/>
          <w:lang w:val="en-AU"/>
        </w:rPr>
        <w:t xml:space="preserve">orthern Midlands regions of the State.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Infrastructure components of the project include supply and distribution pipelines, power and pumping stations and dams.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River sections are also used by the schemes for transmission of water.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>The location of the schemes is in a recognised biodiversity hotspot and i</w:t>
      </w:r>
      <w:r>
        <w:rPr>
          <w:sz w:val="24"/>
          <w:szCs w:val="24"/>
          <w:lang w:val="en-AU"/>
        </w:rPr>
        <w:t>s the strong</w:t>
      </w:r>
      <w:r w:rsidRPr="007C5AFA">
        <w:rPr>
          <w:sz w:val="24"/>
          <w:szCs w:val="24"/>
          <w:lang w:val="en-AU"/>
        </w:rPr>
        <w:t xml:space="preserve">hold for the </w:t>
      </w:r>
      <w:r>
        <w:rPr>
          <w:i/>
          <w:sz w:val="24"/>
          <w:szCs w:val="24"/>
          <w:lang w:val="en-AU"/>
        </w:rPr>
        <w:t xml:space="preserve">Environment Protection and Biodiversity Conservation Act 1995 </w:t>
      </w:r>
      <w:r>
        <w:rPr>
          <w:sz w:val="24"/>
          <w:szCs w:val="24"/>
          <w:lang w:val="en-AU"/>
        </w:rPr>
        <w:t>(</w:t>
      </w:r>
      <w:proofErr w:type="spellStart"/>
      <w:r w:rsidRPr="007C5AFA">
        <w:rPr>
          <w:sz w:val="24"/>
          <w:szCs w:val="24"/>
          <w:lang w:val="en-AU"/>
        </w:rPr>
        <w:t>EPBC</w:t>
      </w:r>
      <w:r>
        <w:rPr>
          <w:sz w:val="24"/>
          <w:szCs w:val="24"/>
          <w:lang w:val="en-AU"/>
        </w:rPr>
        <w:t>A</w:t>
      </w:r>
      <w:proofErr w:type="spellEnd"/>
      <w:r>
        <w:rPr>
          <w:sz w:val="24"/>
          <w:szCs w:val="24"/>
          <w:lang w:val="en-AU"/>
        </w:rPr>
        <w:t>)</w:t>
      </w:r>
      <w:r w:rsidRPr="007C5AFA">
        <w:rPr>
          <w:sz w:val="24"/>
          <w:szCs w:val="24"/>
          <w:lang w:val="en-AU"/>
        </w:rPr>
        <w:t xml:space="preserve"> listed Lowland Native Grassland of Tasmania. 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>The project is being delivered under the National Partnership Agreement on Water for the Future (</w:t>
      </w:r>
      <w:proofErr w:type="spellStart"/>
      <w:r w:rsidRPr="007C5AFA">
        <w:rPr>
          <w:sz w:val="24"/>
          <w:szCs w:val="24"/>
          <w:lang w:val="en-AU"/>
        </w:rPr>
        <w:t>COAG</w:t>
      </w:r>
      <w:proofErr w:type="spellEnd"/>
      <w:r w:rsidRPr="007C5AFA">
        <w:rPr>
          <w:sz w:val="24"/>
          <w:szCs w:val="24"/>
          <w:lang w:val="en-AU"/>
        </w:rPr>
        <w:t xml:space="preserve"> 2009).</w:t>
      </w:r>
      <w:r>
        <w:rPr>
          <w:sz w:val="24"/>
          <w:szCs w:val="24"/>
          <w:lang w:val="en-AU"/>
        </w:rPr>
        <w:t xml:space="preserve">  </w:t>
      </w:r>
      <w:r w:rsidRPr="007C5AFA">
        <w:rPr>
          <w:sz w:val="24"/>
          <w:szCs w:val="24"/>
          <w:lang w:val="en-AU"/>
        </w:rPr>
        <w:t xml:space="preserve">The Commonwealth </w:t>
      </w:r>
      <w:r>
        <w:rPr>
          <w:sz w:val="24"/>
          <w:szCs w:val="24"/>
          <w:lang w:val="en-AU"/>
        </w:rPr>
        <w:t xml:space="preserve">Government </w:t>
      </w:r>
      <w:r w:rsidRPr="007C5AFA">
        <w:rPr>
          <w:sz w:val="24"/>
          <w:szCs w:val="24"/>
          <w:lang w:val="en-AU"/>
        </w:rPr>
        <w:t>has agreed to provide up to $140 million of funding from the Water for the Future initiative to assist Tasmania in undertaking sustainable irrigation in</w:t>
      </w:r>
      <w:r w:rsidR="00E352BF">
        <w:rPr>
          <w:sz w:val="24"/>
          <w:szCs w:val="24"/>
          <w:lang w:val="en-AU"/>
        </w:rPr>
        <w:t xml:space="preserve">frastructure projects, including </w:t>
      </w:r>
      <w:r w:rsidRPr="007C5AFA">
        <w:rPr>
          <w:sz w:val="24"/>
          <w:szCs w:val="24"/>
          <w:lang w:val="en-AU"/>
        </w:rPr>
        <w:t>the Midlands Water Scheme.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The assessment and approvals framework for this project spans both State</w:t>
      </w:r>
      <w:r w:rsidR="008C28B5">
        <w:rPr>
          <w:sz w:val="24"/>
          <w:szCs w:val="24"/>
          <w:lang w:val="en-AU"/>
        </w:rPr>
        <w:t xml:space="preserve"> Government</w:t>
      </w:r>
      <w:r w:rsidRPr="007C5AFA">
        <w:rPr>
          <w:sz w:val="24"/>
          <w:szCs w:val="24"/>
          <w:lang w:val="en-AU"/>
        </w:rPr>
        <w:t xml:space="preserve"> and Commonwealth </w:t>
      </w:r>
      <w:r>
        <w:rPr>
          <w:sz w:val="24"/>
          <w:szCs w:val="24"/>
          <w:lang w:val="en-AU"/>
        </w:rPr>
        <w:t xml:space="preserve">Government </w:t>
      </w:r>
      <w:r w:rsidR="00E352BF">
        <w:rPr>
          <w:sz w:val="24"/>
          <w:szCs w:val="24"/>
          <w:lang w:val="en-AU"/>
        </w:rPr>
        <w:t xml:space="preserve">regulatory systems, including State </w:t>
      </w:r>
      <w:r w:rsidRPr="007C5AFA">
        <w:rPr>
          <w:sz w:val="24"/>
          <w:szCs w:val="24"/>
          <w:lang w:val="en-AU"/>
        </w:rPr>
        <w:t>sector specific legislation (</w:t>
      </w:r>
      <w:r w:rsidRPr="00AD57E9">
        <w:rPr>
          <w:i/>
          <w:sz w:val="24"/>
          <w:szCs w:val="24"/>
          <w:lang w:val="en-AU"/>
        </w:rPr>
        <w:t>Water Management Act 1999</w:t>
      </w:r>
      <w:r w:rsidR="00E352BF">
        <w:rPr>
          <w:sz w:val="24"/>
          <w:szCs w:val="24"/>
          <w:lang w:val="en-AU"/>
        </w:rPr>
        <w:t>),</w:t>
      </w:r>
      <w:r w:rsidRPr="007C5AFA">
        <w:rPr>
          <w:sz w:val="24"/>
          <w:szCs w:val="24"/>
          <w:lang w:val="en-AU"/>
        </w:rPr>
        <w:t xml:space="preserve"> land use and access, development/planning, cultural heritage and environmental laws, with the responsibility for decisions under these Acts falling to various levels of government.</w:t>
      </w:r>
      <w:r>
        <w:rPr>
          <w:sz w:val="24"/>
          <w:szCs w:val="24"/>
          <w:lang w:val="en-AU"/>
        </w:rPr>
        <w:t xml:space="preserve"> </w:t>
      </w:r>
      <w:r w:rsidRPr="007C5AFA">
        <w:rPr>
          <w:sz w:val="24"/>
          <w:szCs w:val="24"/>
          <w:lang w:val="en-AU"/>
        </w:rPr>
        <w:t xml:space="preserve"> Commonwealth </w:t>
      </w:r>
      <w:r>
        <w:rPr>
          <w:sz w:val="24"/>
          <w:szCs w:val="24"/>
          <w:lang w:val="en-AU"/>
        </w:rPr>
        <w:t xml:space="preserve">Government </w:t>
      </w:r>
      <w:r w:rsidRPr="007C5AFA">
        <w:rPr>
          <w:sz w:val="24"/>
          <w:szCs w:val="24"/>
          <w:lang w:val="en-AU"/>
        </w:rPr>
        <w:t>requirements under funding arrangements included consideration under the</w:t>
      </w:r>
      <w:r>
        <w:rPr>
          <w:i/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EPBCA</w:t>
      </w:r>
      <w:proofErr w:type="spellEnd"/>
      <w:r w:rsidRPr="007C5AFA">
        <w:rPr>
          <w:sz w:val="24"/>
          <w:szCs w:val="24"/>
          <w:lang w:val="en-AU"/>
        </w:rPr>
        <w:t xml:space="preserve">; this </w:t>
      </w:r>
      <w:r w:rsidR="00E352BF">
        <w:rPr>
          <w:sz w:val="24"/>
          <w:szCs w:val="24"/>
          <w:lang w:val="en-AU"/>
        </w:rPr>
        <w:t>consideration</w:t>
      </w:r>
      <w:r w:rsidRPr="007C5AFA">
        <w:rPr>
          <w:sz w:val="24"/>
          <w:szCs w:val="24"/>
          <w:lang w:val="en-AU"/>
        </w:rPr>
        <w:t xml:space="preserve"> was through the strategic assessment provisions of the Act.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The strategic assessment evaluated a Program</w:t>
      </w:r>
      <w:r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which describes the policies, regulatory framework and processes in Tasmania that will govern how irrigation water is made available to the Midlands region, </w:t>
      </w:r>
      <w:r>
        <w:rPr>
          <w:sz w:val="24"/>
          <w:szCs w:val="24"/>
          <w:lang w:val="en-AU"/>
        </w:rPr>
        <w:t>while</w:t>
      </w:r>
      <w:r w:rsidRPr="007C5AFA">
        <w:rPr>
          <w:sz w:val="24"/>
          <w:szCs w:val="24"/>
          <w:lang w:val="en-AU"/>
        </w:rPr>
        <w:t xml:space="preserve"> meeting commitments and undertakings for the protection and management of the matters of national environmental significance.  The determination of issues </w:t>
      </w:r>
      <w:r w:rsidR="00E352BF">
        <w:rPr>
          <w:sz w:val="24"/>
          <w:szCs w:val="24"/>
          <w:lang w:val="en-AU"/>
        </w:rPr>
        <w:t>for</w:t>
      </w:r>
      <w:r w:rsidRPr="007C5AFA">
        <w:rPr>
          <w:sz w:val="24"/>
          <w:szCs w:val="24"/>
          <w:lang w:val="en-AU"/>
        </w:rPr>
        <w:t xml:space="preserve"> assessment was based largely around risk assessment processes tailored to the irrigation industry.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Shree Minerals – Nelson Bay River</w:t>
      </w:r>
    </w:p>
    <w:p w:rsidR="00567280" w:rsidRPr="008F1073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8F1073">
        <w:rPr>
          <w:sz w:val="24"/>
          <w:szCs w:val="24"/>
          <w:lang w:val="en-AU"/>
        </w:rPr>
        <w:t xml:space="preserve">Shree Minerals Ltd proposed to develop an open pit </w:t>
      </w:r>
      <w:r w:rsidRPr="00013BBA">
        <w:rPr>
          <w:sz w:val="24"/>
          <w:szCs w:val="24"/>
          <w:lang w:val="en-AU"/>
        </w:rPr>
        <w:t>magnetite</w:t>
      </w:r>
      <w:r w:rsidRPr="008F1073">
        <w:rPr>
          <w:sz w:val="24"/>
          <w:szCs w:val="24"/>
          <w:lang w:val="en-AU"/>
        </w:rPr>
        <w:t>/hematite mine and processing plant near Nelson Bay River, approximately 7 kilometres east of Temma in North West Tasmania.  The proposed mine will target 4 million tonnes of the resource over</w:t>
      </w:r>
      <w:r>
        <w:rPr>
          <w:sz w:val="24"/>
          <w:szCs w:val="24"/>
          <w:lang w:val="en-AU"/>
        </w:rPr>
        <w:t xml:space="preserve"> a 10 year period producing 150 </w:t>
      </w:r>
      <w:r w:rsidRPr="008F1073">
        <w:rPr>
          <w:sz w:val="24"/>
          <w:szCs w:val="24"/>
          <w:lang w:val="en-AU"/>
        </w:rPr>
        <w:t>000 tonnes of product per year.</w:t>
      </w:r>
    </w:p>
    <w:p w:rsidR="00567280" w:rsidRPr="008F1073" w:rsidRDefault="00E352BF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</w:t>
      </w:r>
      <w:r w:rsidR="00567280" w:rsidRPr="008F1073">
        <w:rPr>
          <w:sz w:val="24"/>
          <w:szCs w:val="24"/>
          <w:lang w:val="en-AU"/>
        </w:rPr>
        <w:t xml:space="preserve"> Development Application </w:t>
      </w:r>
      <w:r>
        <w:rPr>
          <w:sz w:val="24"/>
          <w:szCs w:val="24"/>
          <w:lang w:val="en-AU"/>
        </w:rPr>
        <w:t xml:space="preserve">was lodged </w:t>
      </w:r>
      <w:r w:rsidR="00567280" w:rsidRPr="008F1073">
        <w:rPr>
          <w:sz w:val="24"/>
          <w:szCs w:val="24"/>
          <w:lang w:val="en-AU"/>
        </w:rPr>
        <w:t>with a supporting Development Proposal and Environmental Management Plan (</w:t>
      </w:r>
      <w:proofErr w:type="spellStart"/>
      <w:r w:rsidR="00567280" w:rsidRPr="008F1073">
        <w:rPr>
          <w:sz w:val="24"/>
          <w:szCs w:val="24"/>
          <w:lang w:val="en-AU"/>
        </w:rPr>
        <w:t>DPEMP</w:t>
      </w:r>
      <w:proofErr w:type="spellEnd"/>
      <w:r w:rsidR="00567280" w:rsidRPr="008F1073">
        <w:rPr>
          <w:sz w:val="24"/>
          <w:szCs w:val="24"/>
          <w:lang w:val="en-AU"/>
        </w:rPr>
        <w:t xml:space="preserve">) to </w:t>
      </w:r>
      <w:r w:rsidR="008507E6">
        <w:rPr>
          <w:sz w:val="24"/>
          <w:szCs w:val="24"/>
          <w:lang w:val="en-AU"/>
        </w:rPr>
        <w:t xml:space="preserve">the </w:t>
      </w:r>
      <w:r>
        <w:rPr>
          <w:sz w:val="24"/>
          <w:szCs w:val="24"/>
          <w:lang w:val="en-AU"/>
        </w:rPr>
        <w:t xml:space="preserve">Circular Head Council, which </w:t>
      </w:r>
      <w:r w:rsidR="00567280" w:rsidRPr="008F1073">
        <w:rPr>
          <w:sz w:val="24"/>
          <w:szCs w:val="24"/>
          <w:lang w:val="en-AU"/>
        </w:rPr>
        <w:t xml:space="preserve">was then referred to the </w:t>
      </w:r>
      <w:hyperlink r:id="rId8" w:history="1">
        <w:r w:rsidR="00567280" w:rsidRPr="008F1073">
          <w:rPr>
            <w:sz w:val="24"/>
            <w:szCs w:val="24"/>
            <w:lang w:val="en-AU"/>
          </w:rPr>
          <w:t>Board of the Environment Protection Authority</w:t>
        </w:r>
      </w:hyperlink>
      <w:r w:rsidR="00567280" w:rsidRPr="008F1073">
        <w:rPr>
          <w:sz w:val="24"/>
          <w:szCs w:val="24"/>
          <w:lang w:val="en-AU"/>
        </w:rPr>
        <w:t xml:space="preserve"> (the Board) for assessment under the</w:t>
      </w:r>
      <w:r w:rsidR="008C28B5">
        <w:rPr>
          <w:sz w:val="24"/>
          <w:szCs w:val="24"/>
          <w:lang w:val="en-AU"/>
        </w:rPr>
        <w:t xml:space="preserve"> Tasmanian</w:t>
      </w:r>
      <w:r w:rsidR="00567280" w:rsidRPr="008F1073">
        <w:rPr>
          <w:sz w:val="24"/>
          <w:szCs w:val="24"/>
          <w:lang w:val="en-AU"/>
        </w:rPr>
        <w:t xml:space="preserve"> </w:t>
      </w:r>
      <w:hyperlink r:id="rId9" w:history="1">
        <w:r w:rsidR="00567280" w:rsidRPr="008F1073">
          <w:rPr>
            <w:i/>
            <w:iCs/>
            <w:sz w:val="24"/>
            <w:szCs w:val="24"/>
            <w:lang w:val="en-AU"/>
          </w:rPr>
          <w:t>Environmental Management and Pollution Control Act 1994</w:t>
        </w:r>
      </w:hyperlink>
      <w:r w:rsidR="00567280" w:rsidRPr="008F1073">
        <w:rPr>
          <w:sz w:val="24"/>
          <w:szCs w:val="24"/>
          <w:lang w:val="en-AU"/>
        </w:rPr>
        <w:t>.</w:t>
      </w:r>
    </w:p>
    <w:p w:rsidR="008507E6" w:rsidRPr="00E352BF" w:rsidRDefault="00E352BF" w:rsidP="00E352BF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lastRenderedPageBreak/>
        <w:t>T</w:t>
      </w:r>
      <w:r w:rsidR="00567280" w:rsidRPr="008F1073">
        <w:rPr>
          <w:sz w:val="24"/>
          <w:szCs w:val="24"/>
          <w:lang w:val="en-AU"/>
        </w:rPr>
        <w:t>he Nelson Bay River project</w:t>
      </w:r>
      <w:r>
        <w:rPr>
          <w:sz w:val="24"/>
          <w:szCs w:val="24"/>
          <w:lang w:val="en-AU"/>
        </w:rPr>
        <w:t xml:space="preserve"> was also deemed a controlled action</w:t>
      </w:r>
      <w:r w:rsidR="00567280" w:rsidRPr="008F1073">
        <w:rPr>
          <w:sz w:val="24"/>
          <w:szCs w:val="24"/>
          <w:lang w:val="en-AU"/>
        </w:rPr>
        <w:t xml:space="preserve"> under the </w:t>
      </w:r>
      <w:proofErr w:type="spellStart"/>
      <w:r w:rsidR="00567280" w:rsidRPr="008F1073">
        <w:rPr>
          <w:sz w:val="24"/>
          <w:szCs w:val="24"/>
          <w:lang w:val="en-AU"/>
        </w:rPr>
        <w:t>EPBC</w:t>
      </w:r>
      <w:r w:rsidR="00567280">
        <w:rPr>
          <w:sz w:val="24"/>
          <w:szCs w:val="24"/>
          <w:lang w:val="en-AU"/>
        </w:rPr>
        <w:t>A</w:t>
      </w:r>
      <w:proofErr w:type="spellEnd"/>
      <w:r>
        <w:rPr>
          <w:sz w:val="24"/>
          <w:szCs w:val="24"/>
          <w:lang w:val="en-AU"/>
        </w:rPr>
        <w:t>, with t</w:t>
      </w:r>
      <w:r w:rsidR="008507E6">
        <w:rPr>
          <w:sz w:val="24"/>
          <w:szCs w:val="24"/>
          <w:lang w:val="en-AU"/>
        </w:rPr>
        <w:t>he Australian Department of Sustainability, Environment, Water, Population and Communities</w:t>
      </w:r>
      <w:r>
        <w:rPr>
          <w:sz w:val="24"/>
          <w:szCs w:val="24"/>
          <w:lang w:val="en-AU"/>
        </w:rPr>
        <w:t xml:space="preserve"> requiring</w:t>
      </w:r>
      <w:r w:rsidR="00567280" w:rsidRPr="008F1073">
        <w:rPr>
          <w:sz w:val="24"/>
          <w:szCs w:val="24"/>
          <w:lang w:val="en-AU"/>
        </w:rPr>
        <w:t xml:space="preserve"> a separate assessment process at the Commonwealth level.  </w:t>
      </w:r>
    </w:p>
    <w:p w:rsidR="00567280" w:rsidRPr="00894A23" w:rsidRDefault="00567280" w:rsidP="00E352BF">
      <w:pPr>
        <w:pStyle w:val="BodyText1"/>
        <w:tabs>
          <w:tab w:val="clear" w:pos="4820"/>
        </w:tabs>
        <w:spacing w:before="240" w:line="240" w:lineRule="auto"/>
        <w:ind w:right="11"/>
        <w:rPr>
          <w:rFonts w:ascii="GillSans" w:hAnsi="GillSans"/>
          <w:sz w:val="24"/>
          <w:szCs w:val="24"/>
        </w:rPr>
      </w:pPr>
      <w:proofErr w:type="spellStart"/>
      <w:r w:rsidRPr="00894A23">
        <w:rPr>
          <w:rFonts w:ascii="GillSans" w:hAnsi="GillSans"/>
          <w:sz w:val="24"/>
          <w:szCs w:val="24"/>
        </w:rPr>
        <w:t>Basslink</w:t>
      </w:r>
      <w:proofErr w:type="spellEnd"/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was a major project initiated in the late </w:t>
      </w:r>
      <w:proofErr w:type="spellStart"/>
      <w:r w:rsidRPr="007C5AFA">
        <w:rPr>
          <w:sz w:val="24"/>
          <w:szCs w:val="24"/>
          <w:lang w:val="en-AU"/>
        </w:rPr>
        <w:t>1990s</w:t>
      </w:r>
      <w:proofErr w:type="spellEnd"/>
      <w:r w:rsidRPr="007C5AFA">
        <w:rPr>
          <w:sz w:val="24"/>
          <w:szCs w:val="24"/>
          <w:lang w:val="en-AU"/>
        </w:rPr>
        <w:t xml:space="preserve"> to link the Tasmanian and Victorian electricity grids by a combined subsea and overla</w:t>
      </w:r>
      <w:r w:rsidR="008507E6">
        <w:rPr>
          <w:sz w:val="24"/>
          <w:szCs w:val="24"/>
          <w:lang w:val="en-AU"/>
        </w:rPr>
        <w:t>nd high-voltage, direct current</w:t>
      </w:r>
      <w:r w:rsidRPr="007C5AFA">
        <w:rPr>
          <w:sz w:val="24"/>
          <w:szCs w:val="24"/>
          <w:lang w:val="en-AU"/>
        </w:rPr>
        <w:t xml:space="preserve"> interconnector.  This enabled Tasmania to join the national electricity market.</w:t>
      </w:r>
    </w:p>
    <w:p w:rsidR="008C28B5" w:rsidRPr="007C5AFA" w:rsidRDefault="008C28B5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was declared a Project of State Significance (</w:t>
      </w:r>
      <w:proofErr w:type="spellStart"/>
      <w:r w:rsidRPr="007C5AFA">
        <w:rPr>
          <w:sz w:val="24"/>
          <w:szCs w:val="24"/>
          <w:lang w:val="en-AU"/>
        </w:rPr>
        <w:t>PoSS</w:t>
      </w:r>
      <w:proofErr w:type="spellEnd"/>
      <w:r w:rsidRPr="007C5AFA">
        <w:rPr>
          <w:sz w:val="24"/>
          <w:szCs w:val="24"/>
          <w:lang w:val="en-AU"/>
        </w:rPr>
        <w:t>) under the</w:t>
      </w:r>
      <w:r w:rsidR="008C28B5">
        <w:rPr>
          <w:sz w:val="24"/>
          <w:szCs w:val="24"/>
          <w:lang w:val="en-AU"/>
        </w:rPr>
        <w:t xml:space="preserve"> Tasmanian</w:t>
      </w:r>
      <w:r w:rsidRPr="007C5AFA">
        <w:rPr>
          <w:sz w:val="24"/>
          <w:szCs w:val="24"/>
          <w:lang w:val="en-AU"/>
        </w:rPr>
        <w:t xml:space="preserve"> </w:t>
      </w:r>
      <w:r>
        <w:rPr>
          <w:i/>
          <w:sz w:val="24"/>
          <w:szCs w:val="24"/>
          <w:lang w:val="en-AU"/>
        </w:rPr>
        <w:t>State Policies and Projects Act 1993</w:t>
      </w:r>
      <w:r w:rsidR="008507E6">
        <w:rPr>
          <w:sz w:val="24"/>
          <w:szCs w:val="24"/>
          <w:lang w:val="en-AU"/>
        </w:rPr>
        <w:t>.  O</w:t>
      </w:r>
      <w:r w:rsidRPr="007C5AFA">
        <w:rPr>
          <w:sz w:val="24"/>
          <w:szCs w:val="24"/>
          <w:lang w:val="en-AU"/>
        </w:rPr>
        <w:t>n 19 April 1999</w:t>
      </w:r>
      <w:r w:rsidR="008507E6"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the then Resource Planning and Development Commission (now the </w:t>
      </w:r>
      <w:r>
        <w:rPr>
          <w:sz w:val="24"/>
          <w:szCs w:val="24"/>
          <w:lang w:val="en-AU"/>
        </w:rPr>
        <w:t>Tasmanian Planning Commission</w:t>
      </w:r>
      <w:r w:rsidRPr="007C5AFA">
        <w:rPr>
          <w:sz w:val="24"/>
          <w:szCs w:val="24"/>
          <w:lang w:val="en-AU"/>
        </w:rPr>
        <w:t>) received a direction from the</w:t>
      </w:r>
      <w:r w:rsidR="008507E6">
        <w:rPr>
          <w:sz w:val="24"/>
          <w:szCs w:val="24"/>
          <w:lang w:val="en-AU"/>
        </w:rPr>
        <w:t xml:space="preserve"> then</w:t>
      </w:r>
      <w:r w:rsidRPr="007C5AFA">
        <w:rPr>
          <w:sz w:val="24"/>
          <w:szCs w:val="24"/>
          <w:lang w:val="en-AU"/>
        </w:rPr>
        <w:t xml:space="preserve"> Tasmanian Premier to undertake an integrated assessment of the </w:t>
      </w: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Pty Ltd proposal.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Also in April 1999, the Victorian, Tasmanian and Commonwealth Governments executed a Memorandum of Understanding (</w:t>
      </w:r>
      <w:proofErr w:type="spellStart"/>
      <w:r w:rsidRPr="007C5AFA">
        <w:rPr>
          <w:sz w:val="24"/>
          <w:szCs w:val="24"/>
          <w:lang w:val="en-AU"/>
        </w:rPr>
        <w:t>MOU</w:t>
      </w:r>
      <w:proofErr w:type="spellEnd"/>
      <w:r w:rsidRPr="007C5AFA">
        <w:rPr>
          <w:sz w:val="24"/>
          <w:szCs w:val="24"/>
          <w:lang w:val="en-AU"/>
        </w:rPr>
        <w:t xml:space="preserve">) to ensure a joint assessment of the </w:t>
      </w:r>
      <w:proofErr w:type="spellStart"/>
      <w:r w:rsidRPr="007C5AFA">
        <w:rPr>
          <w:sz w:val="24"/>
          <w:szCs w:val="24"/>
          <w:lang w:val="en-AU"/>
        </w:rPr>
        <w:t>Basslink</w:t>
      </w:r>
      <w:proofErr w:type="spellEnd"/>
      <w:r w:rsidRPr="007C5AFA">
        <w:rPr>
          <w:sz w:val="24"/>
          <w:szCs w:val="24"/>
          <w:lang w:val="en-AU"/>
        </w:rPr>
        <w:t xml:space="preserve"> proposal and an integrated assessment report that would satisfy the requirements of all jurisdictions.  The </w:t>
      </w:r>
      <w:proofErr w:type="spellStart"/>
      <w:r w:rsidRPr="007C5AFA">
        <w:rPr>
          <w:sz w:val="24"/>
          <w:szCs w:val="24"/>
          <w:lang w:val="en-AU"/>
        </w:rPr>
        <w:t>MOU</w:t>
      </w:r>
      <w:proofErr w:type="spellEnd"/>
      <w:r w:rsidRPr="007C5AFA">
        <w:rPr>
          <w:sz w:val="24"/>
          <w:szCs w:val="24"/>
          <w:lang w:val="en-AU"/>
        </w:rPr>
        <w:t xml:space="preserve"> contained an agreed Combined Assessment/Approvals Process.  The assessment was undertaken by a Joint Advisory Panel, which was established pursuant to the </w:t>
      </w:r>
      <w:proofErr w:type="spellStart"/>
      <w:r w:rsidRPr="007C5AFA">
        <w:rPr>
          <w:sz w:val="24"/>
          <w:szCs w:val="24"/>
          <w:lang w:val="en-AU"/>
        </w:rPr>
        <w:t>MOU</w:t>
      </w:r>
      <w:proofErr w:type="spellEnd"/>
      <w:r w:rsidRPr="007C5AFA">
        <w:rPr>
          <w:sz w:val="24"/>
          <w:szCs w:val="24"/>
          <w:lang w:val="en-AU"/>
        </w:rPr>
        <w:t>, with members from each jurisdiction.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PoSS</w:t>
      </w:r>
      <w:proofErr w:type="spellEnd"/>
      <w:r>
        <w:rPr>
          <w:sz w:val="24"/>
          <w:szCs w:val="24"/>
          <w:lang w:val="en-AU"/>
        </w:rPr>
        <w:t xml:space="preserve"> process enabled an integrated assessment and issue of all permits required irrespective of jurisdiction or legislative </w:t>
      </w:r>
      <w:r w:rsidR="008507E6">
        <w:rPr>
          <w:sz w:val="24"/>
          <w:szCs w:val="24"/>
          <w:lang w:val="en-AU"/>
        </w:rPr>
        <w:t>bias</w:t>
      </w:r>
      <w:r>
        <w:rPr>
          <w:sz w:val="24"/>
          <w:szCs w:val="24"/>
          <w:lang w:val="en-AU"/>
        </w:rPr>
        <w:t>.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Parliament Square Redevelopment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In 200</w:t>
      </w:r>
      <w:r>
        <w:rPr>
          <w:sz w:val="24"/>
          <w:szCs w:val="24"/>
          <w:lang w:val="en-AU"/>
        </w:rPr>
        <w:t>8,</w:t>
      </w:r>
      <w:r w:rsidRPr="007C5AFA">
        <w:rPr>
          <w:sz w:val="24"/>
          <w:szCs w:val="24"/>
          <w:lang w:val="en-AU"/>
        </w:rPr>
        <w:t xml:space="preserve"> the Tasmanian Government made the decision to sell</w:t>
      </w:r>
      <w:r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via a three stage tender process</w:t>
      </w:r>
      <w:r>
        <w:rPr>
          <w:sz w:val="24"/>
          <w:szCs w:val="24"/>
          <w:lang w:val="en-AU"/>
        </w:rPr>
        <w:t>, the site known as ‘</w:t>
      </w:r>
      <w:r w:rsidRPr="00244A8D">
        <w:rPr>
          <w:i/>
          <w:sz w:val="24"/>
          <w:szCs w:val="24"/>
          <w:lang w:val="en-AU"/>
        </w:rPr>
        <w:t>parliament square’</w:t>
      </w:r>
      <w:r w:rsidRPr="007C5AFA">
        <w:rPr>
          <w:sz w:val="24"/>
          <w:szCs w:val="24"/>
          <w:lang w:val="en-AU"/>
        </w:rPr>
        <w:t xml:space="preserve"> in Hobart. </w:t>
      </w:r>
      <w:r>
        <w:rPr>
          <w:sz w:val="24"/>
          <w:szCs w:val="24"/>
          <w:lang w:val="en-AU"/>
        </w:rPr>
        <w:t xml:space="preserve"> The sale was subject to a range of development conditions, including a long term office accommodation lease by the State Government.</w:t>
      </w:r>
      <w:r w:rsidR="00E352BF" w:rsidRPr="00E352BF">
        <w:rPr>
          <w:sz w:val="24"/>
          <w:szCs w:val="24"/>
          <w:lang w:val="en-AU"/>
        </w:rPr>
        <w:t xml:space="preserve"> </w:t>
      </w:r>
      <w:r w:rsidR="00E352BF">
        <w:rPr>
          <w:sz w:val="24"/>
          <w:szCs w:val="24"/>
          <w:lang w:val="en-AU"/>
        </w:rPr>
        <w:t xml:space="preserve"> </w:t>
      </w:r>
      <w:r w:rsidR="00E352BF" w:rsidRPr="000427C2">
        <w:rPr>
          <w:sz w:val="24"/>
          <w:szCs w:val="24"/>
          <w:lang w:val="en-AU"/>
        </w:rPr>
        <w:t>The project objectives and design principles were developed prior to the tender process with extensive input from the then planning authorities, the Sullivans Cove Waterfront Authority and Heritage Tasmania.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In April 2009</w:t>
      </w:r>
      <w:r>
        <w:rPr>
          <w:sz w:val="24"/>
          <w:szCs w:val="24"/>
          <w:lang w:val="en-AU"/>
        </w:rPr>
        <w:t>,</w:t>
      </w:r>
      <w:r w:rsidRPr="007C5AFA">
        <w:rPr>
          <w:sz w:val="24"/>
          <w:szCs w:val="24"/>
          <w:lang w:val="en-AU"/>
        </w:rPr>
        <w:t xml:space="preserve"> the Tasmanian Government shortlisted three proposals for the redevelopment of the area.  </w:t>
      </w:r>
      <w:r>
        <w:rPr>
          <w:sz w:val="24"/>
          <w:szCs w:val="24"/>
          <w:lang w:val="en-AU"/>
        </w:rPr>
        <w:t>An open consultation process was undertaken along with extensive tender evaluation to decide on the most appropriate design for the area.</w:t>
      </w:r>
      <w:r w:rsidR="00E352BF">
        <w:rPr>
          <w:sz w:val="24"/>
          <w:szCs w:val="24"/>
          <w:lang w:val="en-AU"/>
        </w:rPr>
        <w:t xml:space="preserve">  The majority of respondents to the public consultation process favoured the </w:t>
      </w:r>
      <w:proofErr w:type="spellStart"/>
      <w:r w:rsidR="00E352BF">
        <w:rPr>
          <w:sz w:val="24"/>
          <w:szCs w:val="24"/>
          <w:lang w:val="en-AU"/>
        </w:rPr>
        <w:t>Citta</w:t>
      </w:r>
      <w:proofErr w:type="spellEnd"/>
      <w:r w:rsidR="00E352BF">
        <w:rPr>
          <w:sz w:val="24"/>
          <w:szCs w:val="24"/>
          <w:lang w:val="en-AU"/>
        </w:rPr>
        <w:t xml:space="preserve"> Property Group Pty Ltd scheme, which included the demolition of 10 Murray Street.</w:t>
      </w:r>
      <w:r>
        <w:rPr>
          <w:sz w:val="24"/>
          <w:szCs w:val="24"/>
          <w:lang w:val="en-AU"/>
        </w:rPr>
        <w:t xml:space="preserve"> 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In August 2009, t</w:t>
      </w:r>
      <w:r w:rsidRPr="007C5AFA">
        <w:rPr>
          <w:sz w:val="24"/>
          <w:szCs w:val="24"/>
          <w:lang w:val="en-AU"/>
        </w:rPr>
        <w:t xml:space="preserve">he Government announced </w:t>
      </w:r>
      <w:proofErr w:type="spellStart"/>
      <w:r w:rsidRPr="007C5AFA">
        <w:rPr>
          <w:sz w:val="24"/>
          <w:szCs w:val="24"/>
          <w:lang w:val="en-AU"/>
        </w:rPr>
        <w:t>Citta</w:t>
      </w:r>
      <w:proofErr w:type="spellEnd"/>
      <w:r w:rsidRPr="007C5AFA">
        <w:rPr>
          <w:sz w:val="24"/>
          <w:szCs w:val="24"/>
          <w:lang w:val="en-AU"/>
        </w:rPr>
        <w:t xml:space="preserve"> Property Group </w:t>
      </w:r>
      <w:r>
        <w:rPr>
          <w:sz w:val="24"/>
          <w:szCs w:val="24"/>
          <w:lang w:val="en-AU"/>
        </w:rPr>
        <w:t xml:space="preserve">Pty Ltd </w:t>
      </w:r>
      <w:r w:rsidRPr="007C5AFA">
        <w:rPr>
          <w:sz w:val="24"/>
          <w:szCs w:val="24"/>
          <w:lang w:val="en-AU"/>
        </w:rPr>
        <w:t xml:space="preserve">as the preferred </w:t>
      </w:r>
      <w:r>
        <w:rPr>
          <w:sz w:val="24"/>
          <w:szCs w:val="24"/>
          <w:lang w:val="en-AU"/>
        </w:rPr>
        <w:t>developer</w:t>
      </w:r>
      <w:r w:rsidRPr="007C5AFA">
        <w:rPr>
          <w:sz w:val="24"/>
          <w:szCs w:val="24"/>
          <w:lang w:val="en-AU"/>
        </w:rPr>
        <w:t xml:space="preserve"> to undertake the</w:t>
      </w:r>
      <w:r>
        <w:rPr>
          <w:sz w:val="24"/>
          <w:szCs w:val="24"/>
          <w:lang w:val="en-AU"/>
        </w:rPr>
        <w:t xml:space="preserve"> redevelopment</w:t>
      </w:r>
      <w:r w:rsidRPr="007C5AFA">
        <w:rPr>
          <w:sz w:val="24"/>
          <w:szCs w:val="24"/>
          <w:lang w:val="en-AU"/>
        </w:rPr>
        <w:t xml:space="preserve"> project.  </w:t>
      </w:r>
    </w:p>
    <w:p w:rsidR="00567280" w:rsidRDefault="00E352BF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Following litigation and delays, i</w:t>
      </w:r>
      <w:r w:rsidR="000E6906">
        <w:rPr>
          <w:sz w:val="24"/>
          <w:szCs w:val="24"/>
          <w:lang w:val="en-AU"/>
        </w:rPr>
        <w:t>n December 2012</w:t>
      </w:r>
      <w:r w:rsidR="00567280" w:rsidRPr="00F55209">
        <w:rPr>
          <w:sz w:val="24"/>
          <w:szCs w:val="24"/>
          <w:lang w:val="en-AU"/>
        </w:rPr>
        <w:t xml:space="preserve"> Royal Assent was </w:t>
      </w:r>
      <w:r w:rsidR="00567280" w:rsidRPr="001D4120">
        <w:rPr>
          <w:sz w:val="24"/>
          <w:szCs w:val="24"/>
          <w:lang w:val="en-AU"/>
        </w:rPr>
        <w:t>received</w:t>
      </w:r>
      <w:r w:rsidR="00567280" w:rsidRPr="00F55209">
        <w:rPr>
          <w:sz w:val="24"/>
          <w:szCs w:val="24"/>
          <w:lang w:val="en-AU"/>
        </w:rPr>
        <w:t xml:space="preserve"> </w:t>
      </w:r>
      <w:r w:rsidR="00567280" w:rsidRPr="00F55209">
        <w:rPr>
          <w:sz w:val="24"/>
          <w:szCs w:val="24"/>
          <w:lang w:val="en-AU"/>
        </w:rPr>
        <w:lastRenderedPageBreak/>
        <w:t xml:space="preserve">for the </w:t>
      </w:r>
      <w:r w:rsidR="00567280" w:rsidRPr="00F55209">
        <w:rPr>
          <w:i/>
          <w:sz w:val="24"/>
          <w:szCs w:val="24"/>
          <w:lang w:val="en-AU"/>
        </w:rPr>
        <w:t>Parlia</w:t>
      </w:r>
      <w:r w:rsidR="00567280">
        <w:rPr>
          <w:i/>
          <w:sz w:val="24"/>
          <w:szCs w:val="24"/>
          <w:lang w:val="en-AU"/>
        </w:rPr>
        <w:t>ment Square Planning Permit Act </w:t>
      </w:r>
      <w:r w:rsidR="00567280" w:rsidRPr="00F55209">
        <w:rPr>
          <w:i/>
          <w:sz w:val="24"/>
          <w:szCs w:val="24"/>
          <w:lang w:val="en-AU"/>
        </w:rPr>
        <w:t>2012</w:t>
      </w:r>
      <w:r w:rsidR="00567280">
        <w:rPr>
          <w:sz w:val="24"/>
          <w:szCs w:val="24"/>
          <w:lang w:val="en-AU"/>
        </w:rPr>
        <w:t>.</w:t>
      </w:r>
      <w:r w:rsidR="00567280" w:rsidRPr="00F55209">
        <w:rPr>
          <w:sz w:val="24"/>
          <w:szCs w:val="24"/>
          <w:lang w:val="en-AU"/>
        </w:rPr>
        <w:t xml:space="preserve"> </w:t>
      </w:r>
      <w:r w:rsidR="00567280">
        <w:rPr>
          <w:sz w:val="24"/>
          <w:szCs w:val="24"/>
          <w:lang w:val="en-AU"/>
        </w:rPr>
        <w:t xml:space="preserve"> T</w:t>
      </w:r>
      <w:r w:rsidR="00567280" w:rsidRPr="00F55209">
        <w:rPr>
          <w:sz w:val="24"/>
          <w:szCs w:val="24"/>
          <w:lang w:val="en-AU"/>
        </w:rPr>
        <w:t xml:space="preserve">he legislation </w:t>
      </w:r>
      <w:r w:rsidR="00567280">
        <w:rPr>
          <w:sz w:val="24"/>
          <w:szCs w:val="24"/>
          <w:lang w:val="en-AU"/>
        </w:rPr>
        <w:t xml:space="preserve">validated </w:t>
      </w:r>
      <w:r w:rsidR="00567280" w:rsidRPr="00F55209">
        <w:rPr>
          <w:sz w:val="24"/>
          <w:szCs w:val="24"/>
          <w:lang w:val="en-AU"/>
        </w:rPr>
        <w:t>the</w:t>
      </w:r>
      <w:r w:rsidR="00567280">
        <w:rPr>
          <w:sz w:val="24"/>
          <w:szCs w:val="24"/>
          <w:lang w:val="en-AU"/>
        </w:rPr>
        <w:t xml:space="preserve"> planning permit </w:t>
      </w:r>
      <w:r w:rsidR="00567280" w:rsidRPr="00F55209">
        <w:rPr>
          <w:sz w:val="24"/>
          <w:szCs w:val="24"/>
          <w:lang w:val="en-AU"/>
        </w:rPr>
        <w:t>issued</w:t>
      </w:r>
      <w:r w:rsidR="00567280">
        <w:rPr>
          <w:sz w:val="24"/>
          <w:szCs w:val="24"/>
          <w:lang w:val="en-AU"/>
        </w:rPr>
        <w:t xml:space="preserve"> by the former planning authority, the Sullivans Cove Waterfront Authority.  The legislation also provided that</w:t>
      </w:r>
      <w:r w:rsidR="00567280" w:rsidRPr="00F55209">
        <w:rPr>
          <w:sz w:val="24"/>
          <w:szCs w:val="24"/>
          <w:lang w:val="en-AU"/>
        </w:rPr>
        <w:t xml:space="preserve"> all cur</w:t>
      </w:r>
      <w:r w:rsidR="00567280">
        <w:rPr>
          <w:sz w:val="24"/>
          <w:szCs w:val="24"/>
          <w:lang w:val="en-AU"/>
        </w:rPr>
        <w:t>rent appeals in relation to the</w:t>
      </w:r>
      <w:r w:rsidR="00567280" w:rsidRPr="00F55209">
        <w:rPr>
          <w:sz w:val="24"/>
          <w:szCs w:val="24"/>
          <w:lang w:val="en-AU"/>
        </w:rPr>
        <w:t xml:space="preserve"> planning permit </w:t>
      </w:r>
      <w:r w:rsidR="00567280">
        <w:rPr>
          <w:sz w:val="24"/>
          <w:szCs w:val="24"/>
          <w:lang w:val="en-AU"/>
        </w:rPr>
        <w:t>were</w:t>
      </w:r>
      <w:r w:rsidR="00567280" w:rsidRPr="00F55209">
        <w:rPr>
          <w:sz w:val="24"/>
          <w:szCs w:val="24"/>
          <w:lang w:val="en-AU"/>
        </w:rPr>
        <w:t xml:space="preserve"> extinguished, and that there can be no further appeals in relation to the permit.</w:t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r w:rsidRPr="00894A23">
        <w:rPr>
          <w:rFonts w:ascii="GillSans" w:hAnsi="GillSans"/>
          <w:sz w:val="24"/>
          <w:szCs w:val="24"/>
        </w:rPr>
        <w:t>Bridgewater Bridge Replacement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The Bridgewater Bridge Replacement</w:t>
      </w:r>
      <w:r w:rsidRPr="007C5AFA">
        <w:rPr>
          <w:sz w:val="24"/>
          <w:szCs w:val="24"/>
          <w:lang w:val="en-AU"/>
        </w:rPr>
        <w:t xml:space="preserve"> is a major project (estimated cost of $800 million) requiring extensive forward planning to define the road corridor and the bridge form.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Land acquisition for the road corridor has commenced</w:t>
      </w:r>
      <w:r>
        <w:rPr>
          <w:sz w:val="24"/>
          <w:szCs w:val="24"/>
          <w:lang w:val="en-AU"/>
        </w:rPr>
        <w:t>, with f</w:t>
      </w:r>
      <w:r w:rsidRPr="007C5AFA">
        <w:rPr>
          <w:sz w:val="24"/>
          <w:szCs w:val="24"/>
          <w:lang w:val="en-AU"/>
        </w:rPr>
        <w:t xml:space="preserve">irst stage project planning completed and </w:t>
      </w:r>
      <w:r w:rsidR="00A54906">
        <w:rPr>
          <w:sz w:val="24"/>
          <w:szCs w:val="24"/>
          <w:lang w:val="en-AU"/>
        </w:rPr>
        <w:t>Commonwealth Government</w:t>
      </w:r>
      <w:r w:rsidRPr="007C5AFA">
        <w:rPr>
          <w:sz w:val="24"/>
          <w:szCs w:val="24"/>
          <w:lang w:val="en-AU"/>
        </w:rPr>
        <w:t xml:space="preserve"> funds sought for the second stage </w:t>
      </w:r>
      <w:r>
        <w:rPr>
          <w:sz w:val="24"/>
          <w:szCs w:val="24"/>
          <w:lang w:val="en-AU"/>
        </w:rPr>
        <w:t xml:space="preserve">of </w:t>
      </w:r>
      <w:r w:rsidRPr="007C5AFA">
        <w:rPr>
          <w:sz w:val="24"/>
          <w:szCs w:val="24"/>
          <w:lang w:val="en-AU"/>
        </w:rPr>
        <w:t>planning.</w:t>
      </w:r>
      <w:r>
        <w:rPr>
          <w:sz w:val="24"/>
          <w:szCs w:val="24"/>
          <w:lang w:val="en-AU"/>
        </w:rPr>
        <w:t xml:space="preserve">  </w:t>
      </w:r>
      <w:r w:rsidRPr="007C5AFA">
        <w:rPr>
          <w:sz w:val="24"/>
          <w:szCs w:val="24"/>
          <w:lang w:val="en-AU"/>
        </w:rPr>
        <w:t>Construction is expected to commence in 2019, subject to funding.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7C5AFA">
        <w:rPr>
          <w:sz w:val="24"/>
          <w:szCs w:val="24"/>
          <w:lang w:val="en-AU"/>
        </w:rPr>
        <w:t>The project falls within multiple planning schemes</w:t>
      </w:r>
      <w:r>
        <w:rPr>
          <w:sz w:val="24"/>
          <w:szCs w:val="24"/>
          <w:lang w:val="en-AU"/>
        </w:rPr>
        <w:t>.  While the proponent has yet to determine what assessment and approval process to use, an option is to use legislative provisions for</w:t>
      </w:r>
      <w:r w:rsidRPr="007C5AFA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a</w:t>
      </w:r>
      <w:r w:rsidRPr="007C5AFA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Project of Regional Significance (</w:t>
      </w:r>
      <w:proofErr w:type="spellStart"/>
      <w:r>
        <w:rPr>
          <w:sz w:val="24"/>
          <w:szCs w:val="24"/>
          <w:lang w:val="en-AU"/>
        </w:rPr>
        <w:t>PoRS</w:t>
      </w:r>
      <w:proofErr w:type="spellEnd"/>
      <w:r>
        <w:rPr>
          <w:sz w:val="24"/>
          <w:szCs w:val="24"/>
          <w:lang w:val="en-AU"/>
        </w:rPr>
        <w:t>) process.</w:t>
      </w:r>
      <w:r w:rsidRPr="007C5AFA">
        <w:rPr>
          <w:sz w:val="24"/>
          <w:szCs w:val="24"/>
          <w:lang w:val="en-AU"/>
        </w:rPr>
        <w:t xml:space="preserve">  </w:t>
      </w:r>
      <w:r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PoRS</w:t>
      </w:r>
      <w:proofErr w:type="spellEnd"/>
      <w:r>
        <w:rPr>
          <w:sz w:val="24"/>
          <w:szCs w:val="24"/>
          <w:lang w:val="en-AU"/>
        </w:rPr>
        <w:t xml:space="preserve"> process was introduced in 2010 and is as yet</w:t>
      </w:r>
      <w:r w:rsidRPr="007C5AFA">
        <w:rPr>
          <w:sz w:val="24"/>
          <w:szCs w:val="24"/>
          <w:lang w:val="en-AU"/>
        </w:rPr>
        <w:t xml:space="preserve"> untested for major infrastructure projects.  </w:t>
      </w:r>
    </w:p>
    <w:p w:rsidR="000E6906" w:rsidRDefault="000E6906">
      <w:pPr>
        <w:rPr>
          <w:rFonts w:ascii="GillSans" w:eastAsia="Times New Roman" w:hAnsi="GillSans" w:cs="Times New Roman"/>
          <w:color w:val="000000"/>
          <w:sz w:val="24"/>
          <w:szCs w:val="24"/>
          <w:lang w:val="en-GB"/>
        </w:rPr>
      </w:pPr>
      <w:r>
        <w:rPr>
          <w:rFonts w:ascii="GillSans" w:hAnsi="GillSans"/>
          <w:sz w:val="24"/>
          <w:szCs w:val="24"/>
        </w:rPr>
        <w:br w:type="page"/>
      </w:r>
    </w:p>
    <w:p w:rsidR="00567280" w:rsidRPr="00894A23" w:rsidRDefault="00567280" w:rsidP="00567280">
      <w:pPr>
        <w:pStyle w:val="BodyText1"/>
        <w:tabs>
          <w:tab w:val="clear" w:pos="4820"/>
        </w:tabs>
        <w:spacing w:before="240" w:after="240" w:line="240" w:lineRule="auto"/>
        <w:rPr>
          <w:rFonts w:ascii="GillSans" w:hAnsi="GillSans"/>
          <w:sz w:val="24"/>
          <w:szCs w:val="24"/>
        </w:rPr>
      </w:pPr>
      <w:proofErr w:type="spellStart"/>
      <w:r w:rsidRPr="00894A23">
        <w:rPr>
          <w:rFonts w:ascii="GillSans" w:hAnsi="GillSans"/>
          <w:sz w:val="24"/>
          <w:szCs w:val="24"/>
        </w:rPr>
        <w:lastRenderedPageBreak/>
        <w:t>Tarkine</w:t>
      </w:r>
      <w:proofErr w:type="spellEnd"/>
      <w:r w:rsidRPr="00894A23">
        <w:rPr>
          <w:rFonts w:ascii="GillSans" w:hAnsi="GillSans"/>
          <w:sz w:val="24"/>
          <w:szCs w:val="24"/>
        </w:rPr>
        <w:t xml:space="preserve"> </w:t>
      </w:r>
      <w:r>
        <w:rPr>
          <w:rFonts w:ascii="GillSans" w:hAnsi="GillSans"/>
          <w:sz w:val="24"/>
          <w:szCs w:val="24"/>
        </w:rPr>
        <w:t>Forest Drive Project (‘</w:t>
      </w:r>
      <w:proofErr w:type="spellStart"/>
      <w:r>
        <w:rPr>
          <w:rFonts w:ascii="GillSans" w:hAnsi="GillSans"/>
          <w:sz w:val="24"/>
          <w:szCs w:val="24"/>
        </w:rPr>
        <w:t>Tarkine</w:t>
      </w:r>
      <w:proofErr w:type="spellEnd"/>
      <w:r>
        <w:rPr>
          <w:rFonts w:ascii="GillSans" w:hAnsi="GillSans"/>
          <w:sz w:val="24"/>
          <w:szCs w:val="24"/>
        </w:rPr>
        <w:t xml:space="preserve"> </w:t>
      </w:r>
      <w:r w:rsidRPr="00894A23">
        <w:rPr>
          <w:rFonts w:ascii="GillSans" w:hAnsi="GillSans"/>
          <w:sz w:val="24"/>
          <w:szCs w:val="24"/>
        </w:rPr>
        <w:t>Tourist Road</w:t>
      </w:r>
      <w:r>
        <w:rPr>
          <w:rFonts w:ascii="GillSans" w:hAnsi="GillSans"/>
          <w:sz w:val="24"/>
          <w:szCs w:val="24"/>
        </w:rPr>
        <w:t>’)</w:t>
      </w:r>
    </w:p>
    <w:p w:rsidR="00567280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 w:rsidRPr="00030630"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Tarkine</w:t>
      </w:r>
      <w:proofErr w:type="spellEnd"/>
      <w:r>
        <w:rPr>
          <w:sz w:val="24"/>
          <w:szCs w:val="24"/>
          <w:lang w:val="en-AU"/>
        </w:rPr>
        <w:t xml:space="preserve"> Forest Drive Project, otherwise known as the ‘</w:t>
      </w:r>
      <w:proofErr w:type="spellStart"/>
      <w:r>
        <w:rPr>
          <w:sz w:val="24"/>
          <w:szCs w:val="24"/>
          <w:lang w:val="en-AU"/>
        </w:rPr>
        <w:t>Tarkine</w:t>
      </w:r>
      <w:proofErr w:type="spellEnd"/>
      <w:r>
        <w:rPr>
          <w:sz w:val="24"/>
          <w:szCs w:val="24"/>
          <w:lang w:val="en-AU"/>
        </w:rPr>
        <w:t xml:space="preserve"> Tourist Road’, was proposed to be developed</w:t>
      </w:r>
      <w:r w:rsidRPr="00030630">
        <w:rPr>
          <w:sz w:val="24"/>
          <w:szCs w:val="24"/>
          <w:lang w:val="en-AU"/>
        </w:rPr>
        <w:t xml:space="preserve"> in the North West of Tasmania by the </w:t>
      </w:r>
      <w:r w:rsidR="008C28B5">
        <w:rPr>
          <w:sz w:val="24"/>
          <w:szCs w:val="24"/>
          <w:lang w:val="en-AU"/>
        </w:rPr>
        <w:t xml:space="preserve">Tasmanian </w:t>
      </w:r>
      <w:r w:rsidRPr="00030630">
        <w:rPr>
          <w:sz w:val="24"/>
          <w:szCs w:val="24"/>
          <w:lang w:val="en-AU"/>
        </w:rPr>
        <w:t>Department of Infras</w:t>
      </w:r>
      <w:r>
        <w:rPr>
          <w:sz w:val="24"/>
          <w:szCs w:val="24"/>
          <w:lang w:val="en-AU"/>
        </w:rPr>
        <w:t>tructure, Energy and Resources.  The proposal sought to seal and improve 92.7 kilometres</w:t>
      </w:r>
      <w:r w:rsidRPr="00030630">
        <w:rPr>
          <w:sz w:val="24"/>
          <w:szCs w:val="24"/>
          <w:lang w:val="en-AU"/>
        </w:rPr>
        <w:t xml:space="preserve"> of existing road, r</w:t>
      </w:r>
      <w:r>
        <w:rPr>
          <w:sz w:val="24"/>
          <w:szCs w:val="24"/>
          <w:lang w:val="en-AU"/>
        </w:rPr>
        <w:t>eplace two</w:t>
      </w:r>
      <w:r w:rsidRPr="00030630">
        <w:rPr>
          <w:sz w:val="24"/>
          <w:szCs w:val="24"/>
          <w:lang w:val="en-AU"/>
        </w:rPr>
        <w:t xml:space="preserve"> bridges and improve tourism facilities to </w:t>
      </w:r>
      <w:r>
        <w:rPr>
          <w:sz w:val="24"/>
          <w:szCs w:val="24"/>
          <w:lang w:val="en-AU"/>
        </w:rPr>
        <w:t xml:space="preserve">support </w:t>
      </w:r>
      <w:r w:rsidRPr="00030630">
        <w:rPr>
          <w:sz w:val="24"/>
          <w:szCs w:val="24"/>
          <w:lang w:val="en-AU"/>
        </w:rPr>
        <w:t>greater visitation by tourists.</w:t>
      </w:r>
    </w:p>
    <w:p w:rsidR="00567280" w:rsidRPr="007C5AFA" w:rsidRDefault="00567280" w:rsidP="00567280">
      <w:pPr>
        <w:pStyle w:val="BodyText1"/>
        <w:tabs>
          <w:tab w:val="clear" w:pos="4820"/>
        </w:tabs>
        <w:spacing w:line="240" w:lineRule="auto"/>
        <w:ind w:right="11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The </w:t>
      </w:r>
      <w:proofErr w:type="spellStart"/>
      <w:r>
        <w:rPr>
          <w:sz w:val="24"/>
          <w:szCs w:val="24"/>
          <w:lang w:val="en-AU"/>
        </w:rPr>
        <w:t>Tarkine</w:t>
      </w:r>
      <w:proofErr w:type="spellEnd"/>
      <w:r>
        <w:rPr>
          <w:sz w:val="24"/>
          <w:szCs w:val="24"/>
          <w:lang w:val="en-AU"/>
        </w:rPr>
        <w:t xml:space="preserve"> Tourist Road</w:t>
      </w:r>
      <w:r w:rsidRPr="007C5AFA">
        <w:rPr>
          <w:sz w:val="24"/>
          <w:szCs w:val="24"/>
          <w:lang w:val="en-AU"/>
        </w:rPr>
        <w:t xml:space="preserve"> project </w:t>
      </w:r>
      <w:r>
        <w:rPr>
          <w:sz w:val="24"/>
          <w:szCs w:val="24"/>
          <w:lang w:val="en-AU"/>
        </w:rPr>
        <w:t>required approval from the Commonwealth </w:t>
      </w:r>
      <w:r w:rsidRPr="007C5AFA">
        <w:rPr>
          <w:sz w:val="24"/>
          <w:szCs w:val="24"/>
          <w:lang w:val="en-AU"/>
        </w:rPr>
        <w:t xml:space="preserve">Government </w:t>
      </w:r>
      <w:r>
        <w:rPr>
          <w:sz w:val="24"/>
          <w:szCs w:val="24"/>
          <w:lang w:val="en-AU"/>
        </w:rPr>
        <w:t>under the</w:t>
      </w:r>
      <w:r w:rsidRPr="007C5AFA"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EPBCA</w:t>
      </w:r>
      <w:proofErr w:type="spellEnd"/>
      <w:r w:rsidR="009374DF">
        <w:rPr>
          <w:sz w:val="24"/>
          <w:szCs w:val="24"/>
          <w:lang w:val="en-AU"/>
        </w:rPr>
        <w:t xml:space="preserve">, </w:t>
      </w:r>
      <w:r w:rsidR="000E6906">
        <w:rPr>
          <w:sz w:val="24"/>
          <w:szCs w:val="24"/>
          <w:lang w:val="en-AU"/>
        </w:rPr>
        <w:t>with</w:t>
      </w:r>
      <w:r w:rsidR="009374DF">
        <w:rPr>
          <w:sz w:val="24"/>
          <w:szCs w:val="24"/>
          <w:lang w:val="en-AU"/>
        </w:rPr>
        <w:t xml:space="preserve"> approval conditions </w:t>
      </w:r>
      <w:r w:rsidR="000E6906">
        <w:rPr>
          <w:sz w:val="24"/>
          <w:szCs w:val="24"/>
          <w:lang w:val="en-AU"/>
        </w:rPr>
        <w:t>relating</w:t>
      </w:r>
      <w:r w:rsidR="009374DF">
        <w:rPr>
          <w:sz w:val="24"/>
          <w:szCs w:val="24"/>
          <w:lang w:val="en-AU"/>
        </w:rPr>
        <w:t xml:space="preserve"> to Tasmanian Devil and other road kill species</w:t>
      </w:r>
      <w:r w:rsidRPr="007C5AFA">
        <w:rPr>
          <w:sz w:val="24"/>
          <w:szCs w:val="24"/>
          <w:lang w:val="en-AU"/>
        </w:rPr>
        <w:t>.</w:t>
      </w:r>
    </w:p>
    <w:p w:rsidR="00567280" w:rsidRPr="00567280" w:rsidRDefault="00567280" w:rsidP="00567280">
      <w:pPr>
        <w:rPr>
          <w:rFonts w:ascii="GillSans" w:hAnsi="GillSans"/>
          <w:sz w:val="24"/>
          <w:szCs w:val="24"/>
        </w:rPr>
      </w:pPr>
    </w:p>
    <w:sectPr w:rsidR="00567280" w:rsidRPr="005672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80" w:rsidRDefault="00567280" w:rsidP="00567280">
      <w:pPr>
        <w:spacing w:after="0" w:line="240" w:lineRule="auto"/>
      </w:pPr>
      <w:r>
        <w:separator/>
      </w:r>
    </w:p>
  </w:endnote>
  <w:endnote w:type="continuationSeparator" w:id="0">
    <w:p w:rsidR="00567280" w:rsidRDefault="00567280" w:rsidP="0056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984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906" w:rsidRDefault="000E6906">
        <w:pPr>
          <w:pStyle w:val="Footer"/>
          <w:jc w:val="right"/>
        </w:pPr>
        <w:r w:rsidRPr="000E6906">
          <w:rPr>
            <w:rFonts w:ascii="GillSans Light" w:hAnsi="GillSans Light"/>
          </w:rPr>
          <w:fldChar w:fldCharType="begin"/>
        </w:r>
        <w:r w:rsidRPr="000E6906">
          <w:rPr>
            <w:rFonts w:ascii="GillSans Light" w:hAnsi="GillSans Light"/>
          </w:rPr>
          <w:instrText xml:space="preserve"> PAGE   \* MERGEFORMAT </w:instrText>
        </w:r>
        <w:r w:rsidRPr="000E6906">
          <w:rPr>
            <w:rFonts w:ascii="GillSans Light" w:hAnsi="GillSans Light"/>
          </w:rPr>
          <w:fldChar w:fldCharType="separate"/>
        </w:r>
        <w:r w:rsidR="002541A1">
          <w:rPr>
            <w:rFonts w:ascii="GillSans Light" w:hAnsi="GillSans Light"/>
            <w:noProof/>
          </w:rPr>
          <w:t>1</w:t>
        </w:r>
        <w:r w:rsidRPr="000E6906">
          <w:rPr>
            <w:rFonts w:ascii="GillSans Light" w:hAnsi="GillSans Light"/>
            <w:noProof/>
          </w:rPr>
          <w:fldChar w:fldCharType="end"/>
        </w:r>
      </w:p>
    </w:sdtContent>
  </w:sdt>
  <w:p w:rsidR="000E6906" w:rsidRPr="005A0390" w:rsidRDefault="005A0390">
    <w:pPr>
      <w:pStyle w:val="Footer"/>
      <w:rPr>
        <w:rFonts w:ascii="GillSans Light" w:hAnsi="GillSans Light"/>
        <w:sz w:val="18"/>
        <w:szCs w:val="18"/>
      </w:rPr>
    </w:pPr>
    <w:r w:rsidRPr="005A0390">
      <w:rPr>
        <w:rFonts w:ascii="GillSans Light" w:hAnsi="GillSans Light"/>
        <w:sz w:val="18"/>
        <w:szCs w:val="18"/>
      </w:rPr>
      <w:t>13/31611/1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80" w:rsidRDefault="00567280" w:rsidP="00567280">
      <w:pPr>
        <w:spacing w:after="0" w:line="240" w:lineRule="auto"/>
      </w:pPr>
      <w:r>
        <w:separator/>
      </w:r>
    </w:p>
  </w:footnote>
  <w:footnote w:type="continuationSeparator" w:id="0">
    <w:p w:rsidR="00567280" w:rsidRDefault="00567280" w:rsidP="0056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80" w:rsidRPr="000E6906" w:rsidRDefault="00567280" w:rsidP="00567280">
    <w:pPr>
      <w:pStyle w:val="Header"/>
      <w:jc w:val="right"/>
      <w:rPr>
        <w:rFonts w:ascii="GillSans" w:hAnsi="GillSans"/>
        <w:u w:val="single"/>
      </w:rPr>
    </w:pPr>
    <w:r w:rsidRPr="000E6906">
      <w:rPr>
        <w:rFonts w:ascii="GillSans" w:hAnsi="GillSans"/>
        <w:u w:val="single"/>
      </w:rPr>
      <w:t>Attachment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0EA"/>
    <w:multiLevelType w:val="multilevel"/>
    <w:tmpl w:val="584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D68338F"/>
    <w:multiLevelType w:val="hybridMultilevel"/>
    <w:tmpl w:val="48A2F6A6"/>
    <w:lvl w:ilvl="0" w:tplc="7D269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19"/>
    <w:rsid w:val="000E2508"/>
    <w:rsid w:val="000E6906"/>
    <w:rsid w:val="00164C32"/>
    <w:rsid w:val="002541A1"/>
    <w:rsid w:val="002E7719"/>
    <w:rsid w:val="004C03F1"/>
    <w:rsid w:val="00567280"/>
    <w:rsid w:val="005A0390"/>
    <w:rsid w:val="00636286"/>
    <w:rsid w:val="006D168F"/>
    <w:rsid w:val="007503AB"/>
    <w:rsid w:val="008507E6"/>
    <w:rsid w:val="008C28B5"/>
    <w:rsid w:val="009374DF"/>
    <w:rsid w:val="00A54906"/>
    <w:rsid w:val="00D603A7"/>
    <w:rsid w:val="00E3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280"/>
  </w:style>
  <w:style w:type="paragraph" w:styleId="Footer">
    <w:name w:val="footer"/>
    <w:basedOn w:val="Normal"/>
    <w:link w:val="Foot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80"/>
  </w:style>
  <w:style w:type="paragraph" w:customStyle="1" w:styleId="BodyText1">
    <w:name w:val="Body Text1"/>
    <w:basedOn w:val="Normal"/>
    <w:uiPriority w:val="1"/>
    <w:qFormat/>
    <w:rsid w:val="00567280"/>
    <w:pPr>
      <w:widowControl w:val="0"/>
      <w:tabs>
        <w:tab w:val="left" w:pos="4820"/>
      </w:tabs>
      <w:autoSpaceDE w:val="0"/>
      <w:autoSpaceDN w:val="0"/>
      <w:adjustRightInd w:val="0"/>
      <w:spacing w:after="120" w:line="288" w:lineRule="auto"/>
      <w:ind w:right="13"/>
      <w:textAlignment w:val="center"/>
    </w:pPr>
    <w:rPr>
      <w:rFonts w:ascii="GillSans Light" w:eastAsia="Times New Roman" w:hAnsi="GillSans Light" w:cs="Times New Roman"/>
      <w:color w:val="000000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280"/>
  </w:style>
  <w:style w:type="paragraph" w:styleId="Footer">
    <w:name w:val="footer"/>
    <w:basedOn w:val="Normal"/>
    <w:link w:val="FooterChar"/>
    <w:uiPriority w:val="99"/>
    <w:unhideWhenUsed/>
    <w:rsid w:val="0056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80"/>
  </w:style>
  <w:style w:type="paragraph" w:customStyle="1" w:styleId="BodyText1">
    <w:name w:val="Body Text1"/>
    <w:basedOn w:val="Normal"/>
    <w:uiPriority w:val="1"/>
    <w:qFormat/>
    <w:rsid w:val="00567280"/>
    <w:pPr>
      <w:widowControl w:val="0"/>
      <w:tabs>
        <w:tab w:val="left" w:pos="4820"/>
      </w:tabs>
      <w:autoSpaceDE w:val="0"/>
      <w:autoSpaceDN w:val="0"/>
      <w:adjustRightInd w:val="0"/>
      <w:spacing w:after="120" w:line="288" w:lineRule="auto"/>
      <w:ind w:right="13"/>
      <w:textAlignment w:val="center"/>
    </w:pPr>
    <w:rPr>
      <w:rFonts w:ascii="GillSans Light" w:eastAsia="Times New Roman" w:hAnsi="GillSans Light" w:cs="Times New Roman"/>
      <w:color w:val="000000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.tas.gov.au/epa/Pages/EPA-Board-Members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a.tas.gov.au/policy/Pages/EMPC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6197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53 - Tasmanian Government - Major Project Development Assessment Processes - Commissioned study</vt:lpstr>
    </vt:vector>
  </TitlesOfParts>
  <Company>Department of Premier and Cabinet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53 attachment 2 - Tasmanian Government - Major Project Development Assessment Processes - Commissioned study</dc:title>
  <dc:creator>Tasmanian Government</dc:creator>
  <cp:lastModifiedBy>Productivity Commission</cp:lastModifiedBy>
  <cp:revision>3</cp:revision>
  <cp:lastPrinted>2013-05-09T23:08:00Z</cp:lastPrinted>
  <dcterms:created xsi:type="dcterms:W3CDTF">2013-05-15T04:46:00Z</dcterms:created>
  <dcterms:modified xsi:type="dcterms:W3CDTF">2013-05-15T04:46:00Z</dcterms:modified>
</cp:coreProperties>
</file>