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4B7" w:rsidRDefault="005A44B7" w:rsidP="000C64F2">
      <w:pPr>
        <w:spacing w:before="120" w:after="120"/>
        <w:rPr>
          <w:noProof/>
          <w:lang w:val="en-US" w:eastAsia="en-US"/>
        </w:rPr>
      </w:pPr>
      <w:bookmarkStart w:id="0" w:name="_GoBack"/>
      <w:bookmarkEnd w:id="0"/>
    </w:p>
    <w:p w:rsidR="00DD3D7E" w:rsidRDefault="00DD3D7E" w:rsidP="000C64F2">
      <w:pPr>
        <w:spacing w:before="120" w:after="120"/>
        <w:rPr>
          <w:noProof/>
          <w:lang w:val="en-US" w:eastAsia="en-US"/>
        </w:rPr>
      </w:pPr>
    </w:p>
    <w:p w:rsidR="00DD3D7E" w:rsidRDefault="00DD3D7E" w:rsidP="000C64F2">
      <w:pPr>
        <w:spacing w:before="120" w:after="120"/>
        <w:rPr>
          <w:noProof/>
          <w:lang w:val="en-US" w:eastAsia="en-US"/>
        </w:rPr>
      </w:pPr>
    </w:p>
    <w:p w:rsidR="00DD3D7E" w:rsidRDefault="00DD3D7E" w:rsidP="000C64F2">
      <w:pPr>
        <w:spacing w:before="120" w:after="120"/>
        <w:rPr>
          <w:noProof/>
          <w:lang w:val="en-US" w:eastAsia="en-US"/>
        </w:rPr>
      </w:pPr>
    </w:p>
    <w:p w:rsidR="00DD3D7E" w:rsidRDefault="00DD3D7E" w:rsidP="000C64F2">
      <w:pPr>
        <w:spacing w:before="120" w:after="120"/>
      </w:pPr>
    </w:p>
    <w:p w:rsidR="00C25F2E" w:rsidRDefault="00942D47" w:rsidP="000C64F2">
      <w:pPr>
        <w:spacing w:before="120" w:after="120"/>
      </w:pPr>
      <w:r>
        <w:br w:type="textWrapping" w:clear="all"/>
      </w:r>
    </w:p>
    <w:p w:rsidR="00A349D4" w:rsidRDefault="00A349D4" w:rsidP="000C64F2">
      <w:pPr>
        <w:pStyle w:val="Footer"/>
        <w:spacing w:before="120" w:after="120" w:line="276" w:lineRule="auto"/>
        <w:rPr>
          <w:sz w:val="16"/>
        </w:rPr>
      </w:pPr>
    </w:p>
    <w:p w:rsidR="00EC45F9" w:rsidRDefault="00EC45F9" w:rsidP="000C64F2">
      <w:pPr>
        <w:pStyle w:val="Footer"/>
        <w:spacing w:before="120" w:after="120" w:line="276" w:lineRule="auto"/>
        <w:jc w:val="center"/>
        <w:rPr>
          <w:sz w:val="16"/>
        </w:rPr>
      </w:pPr>
    </w:p>
    <w:p w:rsidR="00EC45F9" w:rsidRDefault="00EC45F9" w:rsidP="000C64F2">
      <w:pPr>
        <w:pStyle w:val="Footer"/>
        <w:spacing w:before="120" w:after="120" w:line="276" w:lineRule="auto"/>
        <w:jc w:val="center"/>
        <w:rPr>
          <w:sz w:val="16"/>
        </w:rPr>
      </w:pPr>
    </w:p>
    <w:p w:rsidR="00EC45F9" w:rsidRDefault="00D147D3" w:rsidP="000C64F2">
      <w:pPr>
        <w:pStyle w:val="Footer"/>
        <w:spacing w:before="120" w:after="120" w:line="276" w:lineRule="auto"/>
        <w:jc w:val="center"/>
        <w:rPr>
          <w:sz w:val="16"/>
        </w:rPr>
      </w:pPr>
      <w:r>
        <w:rPr>
          <w:sz w:val="40"/>
          <w:szCs w:val="40"/>
        </w:rPr>
        <w:pict w14:anchorId="1E6CAE00">
          <v:rect id="_x0000_i1025" style="width:451.3pt;height:2pt" o:hralign="center" o:hrstd="t" o:hrnoshade="t" o:hr="t" fillcolor="#f15a34" stroked="f"/>
        </w:pict>
      </w:r>
    </w:p>
    <w:p w:rsidR="00EC45F9" w:rsidRDefault="00EC45F9" w:rsidP="000C64F2">
      <w:pPr>
        <w:pStyle w:val="Footer"/>
        <w:spacing w:before="120" w:after="120" w:line="276" w:lineRule="auto"/>
        <w:jc w:val="center"/>
        <w:rPr>
          <w:sz w:val="16"/>
        </w:rPr>
      </w:pPr>
    </w:p>
    <w:p w:rsidR="00D4357F" w:rsidRDefault="00AD4E7B" w:rsidP="000C64F2">
      <w:pPr>
        <w:pStyle w:val="Footer"/>
        <w:spacing w:before="120" w:after="120" w:line="276" w:lineRule="auto"/>
        <w:jc w:val="center"/>
        <w:rPr>
          <w:rFonts w:ascii="Museo 700" w:hAnsi="Museo 700"/>
          <w:i/>
          <w:sz w:val="52"/>
          <w:szCs w:val="52"/>
        </w:rPr>
      </w:pPr>
      <w:r>
        <w:rPr>
          <w:rFonts w:ascii="Museo 700" w:hAnsi="Museo 700"/>
          <w:i/>
          <w:sz w:val="52"/>
          <w:szCs w:val="52"/>
        </w:rPr>
        <w:t>Major Project Development Assessment Processes</w:t>
      </w:r>
      <w:r w:rsidR="00D06FEC">
        <w:rPr>
          <w:rFonts w:ascii="Museo 700" w:hAnsi="Museo 700"/>
          <w:i/>
          <w:sz w:val="52"/>
          <w:szCs w:val="52"/>
        </w:rPr>
        <w:t>:</w:t>
      </w:r>
    </w:p>
    <w:p w:rsidR="00D06FEC" w:rsidRPr="00A44B2F" w:rsidRDefault="00D06FEC" w:rsidP="000C64F2">
      <w:pPr>
        <w:pStyle w:val="Footer"/>
        <w:spacing w:before="120" w:after="120" w:line="276" w:lineRule="auto"/>
        <w:jc w:val="center"/>
        <w:rPr>
          <w:rFonts w:ascii="Museo 700" w:hAnsi="Museo 700"/>
          <w:i/>
          <w:sz w:val="52"/>
          <w:szCs w:val="52"/>
        </w:rPr>
      </w:pPr>
      <w:r>
        <w:rPr>
          <w:b/>
          <w:bCs/>
          <w:sz w:val="32"/>
          <w:szCs w:val="32"/>
        </w:rPr>
        <w:t xml:space="preserve">Submission to the </w:t>
      </w:r>
      <w:r w:rsidR="00AD4E7B">
        <w:rPr>
          <w:b/>
          <w:bCs/>
          <w:i/>
          <w:sz w:val="32"/>
          <w:szCs w:val="32"/>
        </w:rPr>
        <w:t>Productivity Commission</w:t>
      </w:r>
      <w:r>
        <w:rPr>
          <w:b/>
          <w:bCs/>
          <w:sz w:val="32"/>
          <w:szCs w:val="32"/>
        </w:rPr>
        <w:t xml:space="preserve"> as part of the consultation process </w:t>
      </w:r>
      <w:r w:rsidR="009403AC">
        <w:rPr>
          <w:b/>
          <w:bCs/>
          <w:sz w:val="32"/>
          <w:szCs w:val="32"/>
        </w:rPr>
        <w:t xml:space="preserve">to </w:t>
      </w:r>
      <w:r w:rsidR="00AD4E7B">
        <w:rPr>
          <w:b/>
          <w:bCs/>
          <w:sz w:val="32"/>
          <w:szCs w:val="32"/>
        </w:rPr>
        <w:t>benchmark Australia’s major project development assessment processes against international best practice</w:t>
      </w:r>
    </w:p>
    <w:p w:rsidR="00D91594" w:rsidRPr="005A44B7" w:rsidRDefault="00D147D3" w:rsidP="000C64F2">
      <w:pPr>
        <w:spacing w:before="120" w:after="120"/>
        <w:rPr>
          <w:sz w:val="24"/>
          <w:szCs w:val="24"/>
        </w:rPr>
      </w:pPr>
      <w:r>
        <w:rPr>
          <w:sz w:val="40"/>
          <w:szCs w:val="40"/>
        </w:rPr>
        <w:pict w14:anchorId="4A5C0426">
          <v:rect id="_x0000_i1026" style="width:451.3pt;height:2pt" o:hralign="center" o:hrstd="t" o:hrnoshade="t" o:hr="t" fillcolor="#f15a34" stroked="f"/>
        </w:pict>
      </w:r>
    </w:p>
    <w:p w:rsidR="00502A76" w:rsidRDefault="00502A76" w:rsidP="000C64F2">
      <w:pPr>
        <w:pStyle w:val="Default"/>
        <w:spacing w:before="120" w:after="120" w:line="276" w:lineRule="auto"/>
      </w:pPr>
    </w:p>
    <w:tbl>
      <w:tblPr>
        <w:tblpPr w:leftFromText="180" w:rightFromText="180" w:vertAnchor="page" w:horzAnchor="page" w:tblpX="1411" w:tblpY="10441"/>
        <w:tblW w:w="10598" w:type="dxa"/>
        <w:tblBorders>
          <w:top w:val="nil"/>
          <w:left w:val="nil"/>
          <w:bottom w:val="nil"/>
          <w:right w:val="nil"/>
        </w:tblBorders>
        <w:tblLayout w:type="fixed"/>
        <w:tblLook w:val="0000" w:firstRow="0" w:lastRow="0" w:firstColumn="0" w:lastColumn="0" w:noHBand="0" w:noVBand="0"/>
      </w:tblPr>
      <w:tblGrid>
        <w:gridCol w:w="10598"/>
      </w:tblGrid>
      <w:tr w:rsidR="00A349D4" w:rsidTr="00A349D4">
        <w:trPr>
          <w:trHeight w:val="1402"/>
        </w:trPr>
        <w:tc>
          <w:tcPr>
            <w:tcW w:w="10598" w:type="dxa"/>
          </w:tcPr>
          <w:p w:rsidR="00A349D4" w:rsidRDefault="00A349D4" w:rsidP="000C64F2">
            <w:pPr>
              <w:pStyle w:val="Default"/>
              <w:tabs>
                <w:tab w:val="left" w:pos="6752"/>
              </w:tabs>
              <w:spacing w:before="120" w:after="120" w:line="276" w:lineRule="auto"/>
              <w:ind w:right="1310"/>
              <w:jc w:val="center"/>
              <w:rPr>
                <w:sz w:val="20"/>
                <w:szCs w:val="20"/>
              </w:rPr>
            </w:pPr>
          </w:p>
        </w:tc>
      </w:tr>
    </w:tbl>
    <w:p w:rsidR="008266BB" w:rsidRDefault="008266BB" w:rsidP="000C64F2">
      <w:pPr>
        <w:pStyle w:val="Footer"/>
        <w:spacing w:before="120" w:after="120" w:line="276" w:lineRule="auto"/>
      </w:pPr>
    </w:p>
    <w:p w:rsidR="004A79BD" w:rsidRDefault="004A79BD" w:rsidP="000C64F2">
      <w:pPr>
        <w:pStyle w:val="Footer"/>
        <w:spacing w:before="120" w:after="120" w:line="276" w:lineRule="auto"/>
        <w:jc w:val="center"/>
      </w:pPr>
    </w:p>
    <w:p w:rsidR="00A349D4" w:rsidRDefault="00A349D4" w:rsidP="000C64F2">
      <w:pPr>
        <w:pStyle w:val="Footer"/>
        <w:spacing w:before="120" w:after="120" w:line="276" w:lineRule="auto"/>
        <w:jc w:val="center"/>
      </w:pPr>
    </w:p>
    <w:p w:rsidR="004A79BD" w:rsidRDefault="00707342" w:rsidP="000C64F2">
      <w:pPr>
        <w:pStyle w:val="Footer"/>
        <w:spacing w:before="120" w:after="120" w:line="276" w:lineRule="auto"/>
        <w:jc w:val="center"/>
        <w:rPr>
          <w:b/>
          <w:sz w:val="28"/>
        </w:rPr>
      </w:pPr>
      <w:r w:rsidRPr="00D06FEC">
        <w:rPr>
          <w:b/>
          <w:sz w:val="28"/>
        </w:rPr>
        <w:t>Dr Tina Hunter</w:t>
      </w:r>
    </w:p>
    <w:p w:rsidR="00645391" w:rsidRPr="00D06FEC" w:rsidRDefault="00645391" w:rsidP="000C64F2">
      <w:pPr>
        <w:pStyle w:val="Footer"/>
        <w:spacing w:before="120" w:after="120" w:line="276" w:lineRule="auto"/>
        <w:jc w:val="center"/>
        <w:rPr>
          <w:b/>
          <w:sz w:val="28"/>
        </w:rPr>
      </w:pPr>
      <w:proofErr w:type="spellStart"/>
      <w:r>
        <w:rPr>
          <w:b/>
          <w:sz w:val="28"/>
        </w:rPr>
        <w:t>TC</w:t>
      </w:r>
      <w:proofErr w:type="spellEnd"/>
      <w:r>
        <w:rPr>
          <w:b/>
          <w:sz w:val="28"/>
        </w:rPr>
        <w:t xml:space="preserve"> </w:t>
      </w:r>
      <w:proofErr w:type="spellStart"/>
      <w:r>
        <w:rPr>
          <w:b/>
          <w:sz w:val="28"/>
        </w:rPr>
        <w:t>Beirne</w:t>
      </w:r>
      <w:proofErr w:type="spellEnd"/>
      <w:r>
        <w:rPr>
          <w:b/>
          <w:sz w:val="28"/>
        </w:rPr>
        <w:t xml:space="preserve"> School of Law</w:t>
      </w:r>
    </w:p>
    <w:p w:rsidR="004A79BD" w:rsidRDefault="004A79BD" w:rsidP="000C64F2">
      <w:pPr>
        <w:pStyle w:val="Footer"/>
        <w:spacing w:before="120" w:after="120" w:line="276" w:lineRule="auto"/>
        <w:jc w:val="center"/>
        <w:rPr>
          <w:b/>
          <w:sz w:val="28"/>
        </w:rPr>
      </w:pPr>
    </w:p>
    <w:p w:rsidR="00AD4E7B" w:rsidRDefault="00AD4E7B" w:rsidP="000C64F2">
      <w:pPr>
        <w:pStyle w:val="Footer"/>
        <w:spacing w:before="120" w:after="120" w:line="276" w:lineRule="auto"/>
        <w:jc w:val="center"/>
      </w:pPr>
    </w:p>
    <w:p w:rsidR="00E93560" w:rsidRDefault="00233C3B" w:rsidP="000C64F2">
      <w:pPr>
        <w:pStyle w:val="Heading1"/>
        <w:numPr>
          <w:ilvl w:val="0"/>
          <w:numId w:val="0"/>
        </w:numPr>
        <w:ind w:left="360" w:hanging="360"/>
      </w:pPr>
      <w:bookmarkStart w:id="1" w:name="_Toc232948476"/>
      <w:r>
        <w:lastRenderedPageBreak/>
        <w:t>Table of Contents</w:t>
      </w:r>
      <w:bookmarkEnd w:id="1"/>
    </w:p>
    <w:p w:rsidR="00A14780" w:rsidRDefault="00E93560" w:rsidP="00A14780">
      <w:pPr>
        <w:pStyle w:val="TOC1"/>
        <w:spacing w:line="360" w:lineRule="auto"/>
        <w:rPr>
          <w:rFonts w:asciiTheme="minorHAnsi" w:hAnsiTheme="minorHAnsi"/>
          <w:b w:val="0"/>
          <w:noProof/>
          <w:color w:val="auto"/>
          <w:lang w:eastAsia="ja-JP"/>
        </w:rPr>
      </w:pPr>
      <w:r>
        <w:fldChar w:fldCharType="begin"/>
      </w:r>
      <w:r>
        <w:instrText xml:space="preserve"> TOC \o "1-3" </w:instrText>
      </w:r>
      <w:r>
        <w:fldChar w:fldCharType="separate"/>
      </w:r>
      <w:r w:rsidR="00A14780">
        <w:rPr>
          <w:noProof/>
        </w:rPr>
        <w:t>Table of Contents</w:t>
      </w:r>
      <w:r w:rsidR="00A14780">
        <w:rPr>
          <w:noProof/>
        </w:rPr>
        <w:tab/>
      </w:r>
      <w:r w:rsidR="00A14780">
        <w:rPr>
          <w:noProof/>
        </w:rPr>
        <w:fldChar w:fldCharType="begin"/>
      </w:r>
      <w:r w:rsidR="00A14780">
        <w:rPr>
          <w:noProof/>
        </w:rPr>
        <w:instrText xml:space="preserve"> PAGEREF _Toc232948476 \h </w:instrText>
      </w:r>
      <w:r w:rsidR="00A14780">
        <w:rPr>
          <w:noProof/>
        </w:rPr>
      </w:r>
      <w:r w:rsidR="00A14780">
        <w:rPr>
          <w:noProof/>
        </w:rPr>
        <w:fldChar w:fldCharType="separate"/>
      </w:r>
      <w:r w:rsidR="00A14780">
        <w:rPr>
          <w:noProof/>
        </w:rPr>
        <w:t>2</w:t>
      </w:r>
      <w:r w:rsidR="00A14780">
        <w:rPr>
          <w:noProof/>
        </w:rPr>
        <w:fldChar w:fldCharType="end"/>
      </w:r>
    </w:p>
    <w:p w:rsidR="00A14780" w:rsidRDefault="00A14780" w:rsidP="00A14780">
      <w:pPr>
        <w:pStyle w:val="TOC1"/>
        <w:spacing w:line="360" w:lineRule="auto"/>
        <w:rPr>
          <w:rFonts w:asciiTheme="minorHAnsi" w:hAnsiTheme="minorHAnsi"/>
          <w:b w:val="0"/>
          <w:noProof/>
          <w:color w:val="auto"/>
          <w:lang w:eastAsia="ja-JP"/>
        </w:rPr>
      </w:pPr>
      <w:r>
        <w:rPr>
          <w:noProof/>
        </w:rPr>
        <w:t>Disclaimer</w:t>
      </w:r>
      <w:r>
        <w:rPr>
          <w:noProof/>
        </w:rPr>
        <w:tab/>
      </w:r>
      <w:r>
        <w:rPr>
          <w:noProof/>
        </w:rPr>
        <w:fldChar w:fldCharType="begin"/>
      </w:r>
      <w:r>
        <w:rPr>
          <w:noProof/>
        </w:rPr>
        <w:instrText xml:space="preserve"> PAGEREF _Toc232948477 \h </w:instrText>
      </w:r>
      <w:r>
        <w:rPr>
          <w:noProof/>
        </w:rPr>
      </w:r>
      <w:r>
        <w:rPr>
          <w:noProof/>
        </w:rPr>
        <w:fldChar w:fldCharType="separate"/>
      </w:r>
      <w:r>
        <w:rPr>
          <w:noProof/>
        </w:rPr>
        <w:t>3</w:t>
      </w:r>
      <w:r>
        <w:rPr>
          <w:noProof/>
        </w:rPr>
        <w:fldChar w:fldCharType="end"/>
      </w:r>
    </w:p>
    <w:p w:rsidR="00A14780" w:rsidRDefault="00A14780" w:rsidP="00A14780">
      <w:pPr>
        <w:pStyle w:val="TOC1"/>
        <w:tabs>
          <w:tab w:val="left" w:pos="426"/>
        </w:tabs>
        <w:spacing w:line="360" w:lineRule="auto"/>
        <w:rPr>
          <w:rFonts w:asciiTheme="minorHAnsi" w:hAnsiTheme="minorHAnsi"/>
          <w:b w:val="0"/>
          <w:noProof/>
          <w:color w:val="auto"/>
          <w:lang w:eastAsia="ja-JP"/>
        </w:rPr>
      </w:pPr>
      <w:r>
        <w:rPr>
          <w:noProof/>
        </w:rPr>
        <w:t>1.</w:t>
      </w:r>
      <w:r>
        <w:rPr>
          <w:rFonts w:asciiTheme="minorHAnsi" w:hAnsiTheme="minorHAnsi"/>
          <w:b w:val="0"/>
          <w:noProof/>
          <w:color w:val="auto"/>
          <w:lang w:eastAsia="ja-JP"/>
        </w:rPr>
        <w:tab/>
      </w:r>
      <w:r>
        <w:rPr>
          <w:noProof/>
        </w:rPr>
        <w:t>Background to the commissioned study</w:t>
      </w:r>
      <w:r>
        <w:rPr>
          <w:noProof/>
        </w:rPr>
        <w:tab/>
      </w:r>
      <w:r>
        <w:rPr>
          <w:noProof/>
        </w:rPr>
        <w:fldChar w:fldCharType="begin"/>
      </w:r>
      <w:r>
        <w:rPr>
          <w:noProof/>
        </w:rPr>
        <w:instrText xml:space="preserve"> PAGEREF _Toc232948478 \h </w:instrText>
      </w:r>
      <w:r>
        <w:rPr>
          <w:noProof/>
        </w:rPr>
      </w:r>
      <w:r>
        <w:rPr>
          <w:noProof/>
        </w:rPr>
        <w:fldChar w:fldCharType="separate"/>
      </w:r>
      <w:r>
        <w:rPr>
          <w:noProof/>
        </w:rPr>
        <w:t>3</w:t>
      </w:r>
      <w:r>
        <w:rPr>
          <w:noProof/>
        </w:rPr>
        <w:fldChar w:fldCharType="end"/>
      </w:r>
    </w:p>
    <w:p w:rsidR="00A14780" w:rsidRDefault="00A14780" w:rsidP="00A14780">
      <w:pPr>
        <w:pStyle w:val="TOC1"/>
        <w:tabs>
          <w:tab w:val="left" w:pos="426"/>
        </w:tabs>
        <w:spacing w:line="360" w:lineRule="auto"/>
        <w:rPr>
          <w:rFonts w:asciiTheme="minorHAnsi" w:hAnsiTheme="minorHAnsi"/>
          <w:b w:val="0"/>
          <w:noProof/>
          <w:color w:val="auto"/>
          <w:lang w:eastAsia="ja-JP"/>
        </w:rPr>
      </w:pPr>
      <w:r>
        <w:rPr>
          <w:noProof/>
        </w:rPr>
        <w:t>2.</w:t>
      </w:r>
      <w:r>
        <w:rPr>
          <w:rFonts w:asciiTheme="minorHAnsi" w:hAnsiTheme="minorHAnsi"/>
          <w:b w:val="0"/>
          <w:noProof/>
          <w:color w:val="auto"/>
          <w:lang w:eastAsia="ja-JP"/>
        </w:rPr>
        <w:tab/>
      </w:r>
      <w:r>
        <w:rPr>
          <w:noProof/>
        </w:rPr>
        <w:t>Aims and scope of this submission</w:t>
      </w:r>
      <w:r>
        <w:rPr>
          <w:noProof/>
        </w:rPr>
        <w:tab/>
      </w:r>
      <w:r>
        <w:rPr>
          <w:noProof/>
        </w:rPr>
        <w:fldChar w:fldCharType="begin"/>
      </w:r>
      <w:r>
        <w:rPr>
          <w:noProof/>
        </w:rPr>
        <w:instrText xml:space="preserve"> PAGEREF _Toc232948479 \h </w:instrText>
      </w:r>
      <w:r>
        <w:rPr>
          <w:noProof/>
        </w:rPr>
      </w:r>
      <w:r>
        <w:rPr>
          <w:noProof/>
        </w:rPr>
        <w:fldChar w:fldCharType="separate"/>
      </w:r>
      <w:r>
        <w:rPr>
          <w:noProof/>
        </w:rPr>
        <w:t>3</w:t>
      </w:r>
      <w:r>
        <w:rPr>
          <w:noProof/>
        </w:rPr>
        <w:fldChar w:fldCharType="end"/>
      </w:r>
    </w:p>
    <w:p w:rsidR="00A14780" w:rsidRDefault="00A14780" w:rsidP="00A14780">
      <w:pPr>
        <w:pStyle w:val="TOC1"/>
        <w:tabs>
          <w:tab w:val="left" w:pos="426"/>
        </w:tabs>
        <w:spacing w:line="360" w:lineRule="auto"/>
        <w:rPr>
          <w:rFonts w:asciiTheme="minorHAnsi" w:hAnsiTheme="minorHAnsi"/>
          <w:b w:val="0"/>
          <w:noProof/>
          <w:color w:val="auto"/>
          <w:lang w:eastAsia="ja-JP"/>
        </w:rPr>
      </w:pPr>
      <w:r>
        <w:rPr>
          <w:noProof/>
        </w:rPr>
        <w:t>3.</w:t>
      </w:r>
      <w:r>
        <w:rPr>
          <w:rFonts w:asciiTheme="minorHAnsi" w:hAnsiTheme="minorHAnsi"/>
          <w:b w:val="0"/>
          <w:noProof/>
          <w:color w:val="auto"/>
          <w:lang w:eastAsia="ja-JP"/>
        </w:rPr>
        <w:tab/>
      </w:r>
      <w:r>
        <w:rPr>
          <w:noProof/>
        </w:rPr>
        <w:t>Major Project Development Process and Regulatory Burden</w:t>
      </w:r>
      <w:r>
        <w:rPr>
          <w:noProof/>
        </w:rPr>
        <w:tab/>
      </w:r>
      <w:r>
        <w:rPr>
          <w:noProof/>
        </w:rPr>
        <w:fldChar w:fldCharType="begin"/>
      </w:r>
      <w:r>
        <w:rPr>
          <w:noProof/>
        </w:rPr>
        <w:instrText xml:space="preserve"> PAGEREF _Toc232948480 \h </w:instrText>
      </w:r>
      <w:r>
        <w:rPr>
          <w:noProof/>
        </w:rPr>
      </w:r>
      <w:r>
        <w:rPr>
          <w:noProof/>
        </w:rPr>
        <w:fldChar w:fldCharType="separate"/>
      </w:r>
      <w:r>
        <w:rPr>
          <w:noProof/>
        </w:rPr>
        <w:t>4</w:t>
      </w:r>
      <w:r>
        <w:rPr>
          <w:noProof/>
        </w:rPr>
        <w:fldChar w:fldCharType="end"/>
      </w:r>
    </w:p>
    <w:p w:rsidR="00A14780" w:rsidRDefault="00A14780" w:rsidP="00A14780">
      <w:pPr>
        <w:pStyle w:val="TOC1"/>
        <w:tabs>
          <w:tab w:val="left" w:pos="426"/>
        </w:tabs>
        <w:spacing w:line="360" w:lineRule="auto"/>
        <w:rPr>
          <w:rFonts w:asciiTheme="minorHAnsi" w:hAnsiTheme="minorHAnsi"/>
          <w:b w:val="0"/>
          <w:noProof/>
          <w:color w:val="auto"/>
          <w:lang w:eastAsia="ja-JP"/>
        </w:rPr>
      </w:pPr>
      <w:r>
        <w:rPr>
          <w:noProof/>
        </w:rPr>
        <w:t>4.</w:t>
      </w:r>
      <w:r>
        <w:rPr>
          <w:rFonts w:asciiTheme="minorHAnsi" w:hAnsiTheme="minorHAnsi"/>
          <w:b w:val="0"/>
          <w:noProof/>
          <w:color w:val="auto"/>
          <w:lang w:eastAsia="ja-JP"/>
        </w:rPr>
        <w:tab/>
      </w:r>
      <w:r>
        <w:rPr>
          <w:noProof/>
        </w:rPr>
        <w:t>Major Project Approvals in Norway</w:t>
      </w:r>
      <w:r>
        <w:rPr>
          <w:noProof/>
        </w:rPr>
        <w:tab/>
      </w:r>
      <w:r>
        <w:rPr>
          <w:noProof/>
        </w:rPr>
        <w:fldChar w:fldCharType="begin"/>
      </w:r>
      <w:r>
        <w:rPr>
          <w:noProof/>
        </w:rPr>
        <w:instrText xml:space="preserve"> PAGEREF _Toc232948481 \h </w:instrText>
      </w:r>
      <w:r>
        <w:rPr>
          <w:noProof/>
        </w:rPr>
      </w:r>
      <w:r>
        <w:rPr>
          <w:noProof/>
        </w:rPr>
        <w:fldChar w:fldCharType="separate"/>
      </w:r>
      <w:r>
        <w:rPr>
          <w:noProof/>
        </w:rPr>
        <w:t>4</w:t>
      </w:r>
      <w:r>
        <w:rPr>
          <w:noProof/>
        </w:rPr>
        <w:fldChar w:fldCharType="end"/>
      </w:r>
    </w:p>
    <w:p w:rsidR="00A14780" w:rsidRDefault="00A14780" w:rsidP="00A14780">
      <w:pPr>
        <w:pStyle w:val="TOC2"/>
        <w:tabs>
          <w:tab w:val="right" w:leader="dot" w:pos="9016"/>
        </w:tabs>
        <w:spacing w:line="360" w:lineRule="auto"/>
        <w:rPr>
          <w:rFonts w:cstheme="minorBidi"/>
          <w:noProof/>
          <w:sz w:val="24"/>
          <w:szCs w:val="24"/>
          <w:lang w:eastAsia="ja-JP"/>
        </w:rPr>
      </w:pPr>
      <w:r>
        <w:rPr>
          <w:noProof/>
        </w:rPr>
        <w:t>Role of the state</w:t>
      </w:r>
      <w:r>
        <w:rPr>
          <w:noProof/>
        </w:rPr>
        <w:tab/>
      </w:r>
      <w:r>
        <w:rPr>
          <w:noProof/>
        </w:rPr>
        <w:fldChar w:fldCharType="begin"/>
      </w:r>
      <w:r>
        <w:rPr>
          <w:noProof/>
        </w:rPr>
        <w:instrText xml:space="preserve"> PAGEREF _Toc232948482 \h </w:instrText>
      </w:r>
      <w:r>
        <w:rPr>
          <w:noProof/>
        </w:rPr>
      </w:r>
      <w:r>
        <w:rPr>
          <w:noProof/>
        </w:rPr>
        <w:fldChar w:fldCharType="separate"/>
      </w:r>
      <w:r>
        <w:rPr>
          <w:noProof/>
        </w:rPr>
        <w:t>5</w:t>
      </w:r>
      <w:r>
        <w:rPr>
          <w:noProof/>
        </w:rPr>
        <w:fldChar w:fldCharType="end"/>
      </w:r>
    </w:p>
    <w:p w:rsidR="00A14780" w:rsidRDefault="00A14780" w:rsidP="00A14780">
      <w:pPr>
        <w:pStyle w:val="TOC2"/>
        <w:tabs>
          <w:tab w:val="right" w:leader="dot" w:pos="9016"/>
        </w:tabs>
        <w:spacing w:line="360" w:lineRule="auto"/>
        <w:rPr>
          <w:rFonts w:cstheme="minorBidi"/>
          <w:noProof/>
          <w:sz w:val="24"/>
          <w:szCs w:val="24"/>
          <w:lang w:eastAsia="ja-JP"/>
        </w:rPr>
      </w:pPr>
      <w:r>
        <w:rPr>
          <w:noProof/>
        </w:rPr>
        <w:t>Project development under petroleum legislation</w:t>
      </w:r>
      <w:r>
        <w:rPr>
          <w:noProof/>
        </w:rPr>
        <w:tab/>
      </w:r>
      <w:r>
        <w:rPr>
          <w:noProof/>
        </w:rPr>
        <w:fldChar w:fldCharType="begin"/>
      </w:r>
      <w:r>
        <w:rPr>
          <w:noProof/>
        </w:rPr>
        <w:instrText xml:space="preserve"> PAGEREF _Toc232948483 \h </w:instrText>
      </w:r>
      <w:r>
        <w:rPr>
          <w:noProof/>
        </w:rPr>
      </w:r>
      <w:r>
        <w:rPr>
          <w:noProof/>
        </w:rPr>
        <w:fldChar w:fldCharType="separate"/>
      </w:r>
      <w:r>
        <w:rPr>
          <w:noProof/>
        </w:rPr>
        <w:t>6</w:t>
      </w:r>
      <w:r>
        <w:rPr>
          <w:noProof/>
        </w:rPr>
        <w:fldChar w:fldCharType="end"/>
      </w:r>
    </w:p>
    <w:p w:rsidR="00A14780" w:rsidRDefault="00A14780" w:rsidP="00A14780">
      <w:pPr>
        <w:pStyle w:val="TOC2"/>
        <w:tabs>
          <w:tab w:val="right" w:leader="dot" w:pos="9016"/>
        </w:tabs>
        <w:spacing w:line="360" w:lineRule="auto"/>
        <w:rPr>
          <w:rFonts w:cstheme="minorBidi"/>
          <w:noProof/>
          <w:sz w:val="24"/>
          <w:szCs w:val="24"/>
          <w:lang w:eastAsia="ja-JP"/>
        </w:rPr>
      </w:pPr>
      <w:r>
        <w:rPr>
          <w:noProof/>
        </w:rPr>
        <w:t>Third party access</w:t>
      </w:r>
      <w:r>
        <w:rPr>
          <w:noProof/>
        </w:rPr>
        <w:tab/>
      </w:r>
      <w:r>
        <w:rPr>
          <w:noProof/>
        </w:rPr>
        <w:fldChar w:fldCharType="begin"/>
      </w:r>
      <w:r>
        <w:rPr>
          <w:noProof/>
        </w:rPr>
        <w:instrText xml:space="preserve"> PAGEREF _Toc232948484 \h </w:instrText>
      </w:r>
      <w:r>
        <w:rPr>
          <w:noProof/>
        </w:rPr>
      </w:r>
      <w:r>
        <w:rPr>
          <w:noProof/>
        </w:rPr>
        <w:fldChar w:fldCharType="separate"/>
      </w:r>
      <w:r>
        <w:rPr>
          <w:noProof/>
        </w:rPr>
        <w:t>7</w:t>
      </w:r>
      <w:r>
        <w:rPr>
          <w:noProof/>
        </w:rPr>
        <w:fldChar w:fldCharType="end"/>
      </w:r>
    </w:p>
    <w:p w:rsidR="00A14780" w:rsidRDefault="00A14780" w:rsidP="00A14780">
      <w:pPr>
        <w:pStyle w:val="TOC3"/>
        <w:tabs>
          <w:tab w:val="right" w:leader="dot" w:pos="9016"/>
        </w:tabs>
        <w:spacing w:line="360" w:lineRule="auto"/>
        <w:rPr>
          <w:rFonts w:cstheme="minorBidi"/>
          <w:i w:val="0"/>
          <w:noProof/>
          <w:sz w:val="24"/>
          <w:szCs w:val="24"/>
          <w:lang w:eastAsia="ja-JP"/>
        </w:rPr>
      </w:pPr>
      <w:r>
        <w:rPr>
          <w:noProof/>
        </w:rPr>
        <w:t>Example of major project development and third party access to infrastructure: the Johan Sverdrup field in the North Sea</w:t>
      </w:r>
      <w:r>
        <w:rPr>
          <w:noProof/>
        </w:rPr>
        <w:tab/>
      </w:r>
      <w:r>
        <w:rPr>
          <w:noProof/>
        </w:rPr>
        <w:fldChar w:fldCharType="begin"/>
      </w:r>
      <w:r>
        <w:rPr>
          <w:noProof/>
        </w:rPr>
        <w:instrText xml:space="preserve"> PAGEREF _Toc232948485 \h </w:instrText>
      </w:r>
      <w:r>
        <w:rPr>
          <w:noProof/>
        </w:rPr>
      </w:r>
      <w:r>
        <w:rPr>
          <w:noProof/>
        </w:rPr>
        <w:fldChar w:fldCharType="separate"/>
      </w:r>
      <w:r>
        <w:rPr>
          <w:noProof/>
        </w:rPr>
        <w:t>8</w:t>
      </w:r>
      <w:r>
        <w:rPr>
          <w:noProof/>
        </w:rPr>
        <w:fldChar w:fldCharType="end"/>
      </w:r>
    </w:p>
    <w:p w:rsidR="00A14780" w:rsidRDefault="00A14780" w:rsidP="00A14780">
      <w:pPr>
        <w:pStyle w:val="TOC2"/>
        <w:tabs>
          <w:tab w:val="right" w:leader="dot" w:pos="9016"/>
        </w:tabs>
        <w:spacing w:line="360" w:lineRule="auto"/>
        <w:rPr>
          <w:rFonts w:cstheme="minorBidi"/>
          <w:noProof/>
          <w:sz w:val="24"/>
          <w:szCs w:val="24"/>
          <w:lang w:eastAsia="ja-JP"/>
        </w:rPr>
      </w:pPr>
      <w:r>
        <w:rPr>
          <w:noProof/>
        </w:rPr>
        <w:t>Single operator for multiple facilities</w:t>
      </w:r>
      <w:r>
        <w:rPr>
          <w:noProof/>
        </w:rPr>
        <w:tab/>
      </w:r>
      <w:r>
        <w:rPr>
          <w:noProof/>
        </w:rPr>
        <w:fldChar w:fldCharType="begin"/>
      </w:r>
      <w:r>
        <w:rPr>
          <w:noProof/>
        </w:rPr>
        <w:instrText xml:space="preserve"> PAGEREF _Toc232948486 \h </w:instrText>
      </w:r>
      <w:r>
        <w:rPr>
          <w:noProof/>
        </w:rPr>
      </w:r>
      <w:r>
        <w:rPr>
          <w:noProof/>
        </w:rPr>
        <w:fldChar w:fldCharType="separate"/>
      </w:r>
      <w:r>
        <w:rPr>
          <w:noProof/>
        </w:rPr>
        <w:t>8</w:t>
      </w:r>
      <w:r>
        <w:rPr>
          <w:noProof/>
        </w:rPr>
        <w:fldChar w:fldCharType="end"/>
      </w:r>
    </w:p>
    <w:p w:rsidR="00A14780" w:rsidRDefault="00A14780" w:rsidP="00A14780">
      <w:pPr>
        <w:pStyle w:val="TOC1"/>
        <w:tabs>
          <w:tab w:val="left" w:pos="426"/>
        </w:tabs>
        <w:spacing w:line="360" w:lineRule="auto"/>
        <w:rPr>
          <w:rFonts w:asciiTheme="minorHAnsi" w:hAnsiTheme="minorHAnsi"/>
          <w:b w:val="0"/>
          <w:noProof/>
          <w:color w:val="auto"/>
          <w:lang w:eastAsia="ja-JP"/>
        </w:rPr>
      </w:pPr>
      <w:r>
        <w:rPr>
          <w:noProof/>
        </w:rPr>
        <w:t>5.</w:t>
      </w:r>
      <w:r>
        <w:rPr>
          <w:rFonts w:asciiTheme="minorHAnsi" w:hAnsiTheme="minorHAnsi"/>
          <w:b w:val="0"/>
          <w:noProof/>
          <w:color w:val="auto"/>
          <w:lang w:eastAsia="ja-JP"/>
        </w:rPr>
        <w:tab/>
      </w:r>
      <w:r>
        <w:rPr>
          <w:noProof/>
        </w:rPr>
        <w:t>Major project development and approvals in Western Australia: Use of State agreements</w:t>
      </w:r>
      <w:r>
        <w:rPr>
          <w:noProof/>
        </w:rPr>
        <w:tab/>
      </w:r>
      <w:r>
        <w:rPr>
          <w:noProof/>
        </w:rPr>
        <w:fldChar w:fldCharType="begin"/>
      </w:r>
      <w:r>
        <w:rPr>
          <w:noProof/>
        </w:rPr>
        <w:instrText xml:space="preserve"> PAGEREF _Toc232948487 \h </w:instrText>
      </w:r>
      <w:r>
        <w:rPr>
          <w:noProof/>
        </w:rPr>
      </w:r>
      <w:r>
        <w:rPr>
          <w:noProof/>
        </w:rPr>
        <w:fldChar w:fldCharType="separate"/>
      </w:r>
      <w:r>
        <w:rPr>
          <w:noProof/>
        </w:rPr>
        <w:t>9</w:t>
      </w:r>
      <w:r>
        <w:rPr>
          <w:noProof/>
        </w:rPr>
        <w:fldChar w:fldCharType="end"/>
      </w:r>
    </w:p>
    <w:p w:rsidR="00A14780" w:rsidRDefault="00A14780" w:rsidP="00A14780">
      <w:pPr>
        <w:pStyle w:val="TOC2"/>
        <w:tabs>
          <w:tab w:val="right" w:leader="dot" w:pos="9016"/>
        </w:tabs>
        <w:spacing w:line="360" w:lineRule="auto"/>
        <w:rPr>
          <w:rFonts w:cstheme="minorBidi"/>
          <w:noProof/>
          <w:sz w:val="24"/>
          <w:szCs w:val="24"/>
          <w:lang w:eastAsia="ja-JP"/>
        </w:rPr>
      </w:pPr>
      <w:r>
        <w:rPr>
          <w:noProof/>
        </w:rPr>
        <w:t>Overview of State agreements</w:t>
      </w:r>
      <w:r>
        <w:rPr>
          <w:noProof/>
        </w:rPr>
        <w:tab/>
      </w:r>
      <w:r>
        <w:rPr>
          <w:noProof/>
        </w:rPr>
        <w:fldChar w:fldCharType="begin"/>
      </w:r>
      <w:r>
        <w:rPr>
          <w:noProof/>
        </w:rPr>
        <w:instrText xml:space="preserve"> PAGEREF _Toc232948488 \h </w:instrText>
      </w:r>
      <w:r>
        <w:rPr>
          <w:noProof/>
        </w:rPr>
      </w:r>
      <w:r>
        <w:rPr>
          <w:noProof/>
        </w:rPr>
        <w:fldChar w:fldCharType="separate"/>
      </w:r>
      <w:r>
        <w:rPr>
          <w:noProof/>
        </w:rPr>
        <w:t>9</w:t>
      </w:r>
      <w:r>
        <w:rPr>
          <w:noProof/>
        </w:rPr>
        <w:fldChar w:fldCharType="end"/>
      </w:r>
    </w:p>
    <w:p w:rsidR="00A14780" w:rsidRDefault="00A14780" w:rsidP="00A14780">
      <w:pPr>
        <w:pStyle w:val="TOC2"/>
        <w:tabs>
          <w:tab w:val="right" w:leader="dot" w:pos="9016"/>
        </w:tabs>
        <w:spacing w:line="360" w:lineRule="auto"/>
        <w:rPr>
          <w:rFonts w:cstheme="minorBidi"/>
          <w:noProof/>
          <w:sz w:val="24"/>
          <w:szCs w:val="24"/>
          <w:lang w:eastAsia="ja-JP"/>
        </w:rPr>
      </w:pPr>
      <w:r>
        <w:rPr>
          <w:noProof/>
        </w:rPr>
        <w:t>Use of State Agreements: Buru Energy in the Canning Basin</w:t>
      </w:r>
      <w:r>
        <w:rPr>
          <w:noProof/>
        </w:rPr>
        <w:tab/>
      </w:r>
      <w:r>
        <w:rPr>
          <w:noProof/>
        </w:rPr>
        <w:fldChar w:fldCharType="begin"/>
      </w:r>
      <w:r>
        <w:rPr>
          <w:noProof/>
        </w:rPr>
        <w:instrText xml:space="preserve"> PAGEREF _Toc232948489 \h </w:instrText>
      </w:r>
      <w:r>
        <w:rPr>
          <w:noProof/>
        </w:rPr>
      </w:r>
      <w:r>
        <w:rPr>
          <w:noProof/>
        </w:rPr>
        <w:fldChar w:fldCharType="separate"/>
      </w:r>
      <w:r>
        <w:rPr>
          <w:noProof/>
        </w:rPr>
        <w:t>10</w:t>
      </w:r>
      <w:r>
        <w:rPr>
          <w:noProof/>
        </w:rPr>
        <w:fldChar w:fldCharType="end"/>
      </w:r>
    </w:p>
    <w:p w:rsidR="006E1D66" w:rsidRDefault="00E93560" w:rsidP="00A14780">
      <w:pPr>
        <w:pStyle w:val="Heading1"/>
        <w:numPr>
          <w:ilvl w:val="0"/>
          <w:numId w:val="0"/>
        </w:numPr>
        <w:spacing w:line="360" w:lineRule="auto"/>
      </w:pPr>
      <w:r>
        <w:fldChar w:fldCharType="end"/>
      </w:r>
      <w:r w:rsidR="00BB4BBA">
        <w:br w:type="page"/>
      </w:r>
      <w:bookmarkStart w:id="2" w:name="_Toc232948477"/>
      <w:r w:rsidR="006E1D66">
        <w:lastRenderedPageBreak/>
        <w:t>Disclaimer</w:t>
      </w:r>
      <w:bookmarkEnd w:id="2"/>
    </w:p>
    <w:p w:rsidR="006E1D66" w:rsidRPr="00A53A81" w:rsidRDefault="006E1D66" w:rsidP="00A53A81">
      <w:pPr>
        <w:rPr>
          <w:sz w:val="24"/>
          <w:szCs w:val="24"/>
        </w:rPr>
      </w:pPr>
      <w:r w:rsidRPr="00A53A81">
        <w:rPr>
          <w:sz w:val="24"/>
          <w:szCs w:val="24"/>
        </w:rPr>
        <w:t>The views and opinions expressed herein are solely those of the author. They do not necessarily represent the views of the University of Queensland.</w:t>
      </w:r>
    </w:p>
    <w:p w:rsidR="006261D3" w:rsidRDefault="00AC12B4" w:rsidP="000C64F2">
      <w:pPr>
        <w:pStyle w:val="Heading1"/>
      </w:pPr>
      <w:bookmarkStart w:id="3" w:name="_Toc221682533"/>
      <w:bookmarkStart w:id="4" w:name="_Toc224623258"/>
      <w:bookmarkStart w:id="5" w:name="_Toc350845008"/>
      <w:bookmarkStart w:id="6" w:name="_Toc350849323"/>
      <w:bookmarkStart w:id="7" w:name="_Toc350849559"/>
      <w:bookmarkStart w:id="8" w:name="_Toc232948478"/>
      <w:r>
        <w:t>Background</w:t>
      </w:r>
      <w:r w:rsidR="00E13FDA">
        <w:t xml:space="preserve"> </w:t>
      </w:r>
      <w:bookmarkEnd w:id="3"/>
      <w:r w:rsidR="0016233F">
        <w:t xml:space="preserve">to the </w:t>
      </w:r>
      <w:bookmarkEnd w:id="4"/>
      <w:bookmarkEnd w:id="5"/>
      <w:bookmarkEnd w:id="6"/>
      <w:bookmarkEnd w:id="7"/>
      <w:r w:rsidR="00645391">
        <w:t>commissioned study</w:t>
      </w:r>
      <w:bookmarkEnd w:id="8"/>
    </w:p>
    <w:p w:rsidR="00645391" w:rsidRPr="00D4427F" w:rsidRDefault="0016233F" w:rsidP="000C64F2">
      <w:pPr>
        <w:spacing w:before="120" w:after="120"/>
        <w:jc w:val="both"/>
        <w:rPr>
          <w:rFonts w:eastAsia="Times New Roman" w:cstheme="minorHAnsi"/>
          <w:color w:val="000000" w:themeColor="text1"/>
          <w:shd w:val="clear" w:color="auto" w:fill="FFFFFF"/>
          <w:lang w:eastAsia="en-US"/>
        </w:rPr>
      </w:pPr>
      <w:bookmarkStart w:id="9" w:name="_Toc221682534"/>
      <w:r w:rsidRPr="00A53A81">
        <w:rPr>
          <w:rFonts w:eastAsia="Times New Roman" w:cstheme="minorHAnsi"/>
          <w:color w:val="000000" w:themeColor="text1"/>
          <w:sz w:val="24"/>
          <w:shd w:val="clear" w:color="auto" w:fill="FFFFFF"/>
          <w:lang w:eastAsia="en-US"/>
        </w:rPr>
        <w:t>The</w:t>
      </w:r>
      <w:r w:rsidR="0078638C" w:rsidRPr="00A53A81">
        <w:rPr>
          <w:rFonts w:eastAsia="Times New Roman" w:cstheme="minorHAnsi"/>
          <w:color w:val="000000" w:themeColor="text1"/>
          <w:sz w:val="24"/>
          <w:shd w:val="clear" w:color="auto" w:fill="FFFFFF"/>
          <w:lang w:eastAsia="en-US"/>
        </w:rPr>
        <w:t xml:space="preserve"> </w:t>
      </w:r>
      <w:r w:rsidR="00383A8C" w:rsidRPr="00A53A81">
        <w:rPr>
          <w:rFonts w:eastAsia="Times New Roman" w:cstheme="minorHAnsi"/>
          <w:color w:val="000000" w:themeColor="text1"/>
          <w:sz w:val="24"/>
          <w:shd w:val="clear" w:color="auto" w:fill="FFFFFF"/>
          <w:lang w:eastAsia="en-US"/>
        </w:rPr>
        <w:t xml:space="preserve">Productivity Commission </w:t>
      </w:r>
      <w:r w:rsidR="0078638C" w:rsidRPr="00A53A81">
        <w:rPr>
          <w:rFonts w:eastAsia="Times New Roman" w:cstheme="minorHAnsi"/>
          <w:color w:val="000000" w:themeColor="text1"/>
          <w:sz w:val="24"/>
          <w:shd w:val="clear" w:color="auto" w:fill="FFFFFF"/>
          <w:lang w:eastAsia="en-US"/>
        </w:rPr>
        <w:t xml:space="preserve">study </w:t>
      </w:r>
      <w:r w:rsidR="00DC67CB" w:rsidRPr="00A53A81">
        <w:rPr>
          <w:rFonts w:eastAsia="Times New Roman" w:cstheme="minorHAnsi"/>
          <w:color w:val="000000" w:themeColor="text1"/>
          <w:sz w:val="24"/>
          <w:shd w:val="clear" w:color="auto" w:fill="FFFFFF"/>
          <w:lang w:eastAsia="en-US"/>
        </w:rPr>
        <w:t xml:space="preserve">on </w:t>
      </w:r>
      <w:r w:rsidR="004F3269" w:rsidRPr="00A53A81">
        <w:rPr>
          <w:rFonts w:eastAsia="Times New Roman" w:cstheme="minorHAnsi"/>
          <w:color w:val="000000" w:themeColor="text1"/>
          <w:sz w:val="24"/>
          <w:shd w:val="clear" w:color="auto" w:fill="FFFFFF"/>
          <w:lang w:eastAsia="en-US"/>
        </w:rPr>
        <w:t>Major Project Development Assessment Processes (</w:t>
      </w:r>
      <w:proofErr w:type="spellStart"/>
      <w:r w:rsidR="004F3269" w:rsidRPr="00A53A81">
        <w:rPr>
          <w:rFonts w:eastAsia="Times New Roman" w:cstheme="minorHAnsi"/>
          <w:color w:val="000000" w:themeColor="text1"/>
          <w:sz w:val="24"/>
          <w:shd w:val="clear" w:color="auto" w:fill="FFFFFF"/>
          <w:lang w:eastAsia="en-US"/>
        </w:rPr>
        <w:t>MPDAS</w:t>
      </w:r>
      <w:proofErr w:type="spellEnd"/>
      <w:r w:rsidR="004F3269" w:rsidRPr="00A53A81">
        <w:rPr>
          <w:rFonts w:eastAsia="Times New Roman" w:cstheme="minorHAnsi"/>
          <w:color w:val="000000" w:themeColor="text1"/>
          <w:sz w:val="24"/>
          <w:shd w:val="clear" w:color="auto" w:fill="FFFFFF"/>
          <w:lang w:eastAsia="en-US"/>
        </w:rPr>
        <w:t>)</w:t>
      </w:r>
      <w:r w:rsidR="00667EE2" w:rsidRPr="00A53A81">
        <w:rPr>
          <w:rFonts w:eastAsia="Times New Roman" w:cstheme="minorHAnsi"/>
          <w:color w:val="000000" w:themeColor="text1"/>
          <w:sz w:val="24"/>
          <w:shd w:val="clear" w:color="auto" w:fill="FFFFFF"/>
          <w:lang w:eastAsia="en-US"/>
        </w:rPr>
        <w:t xml:space="preserve"> </w:t>
      </w:r>
      <w:r w:rsidR="00234A2E" w:rsidRPr="00A53A81">
        <w:rPr>
          <w:rFonts w:eastAsia="Times New Roman" w:cstheme="minorHAnsi"/>
          <w:color w:val="000000" w:themeColor="text1"/>
          <w:sz w:val="24"/>
          <w:shd w:val="clear" w:color="auto" w:fill="FFFFFF"/>
          <w:lang w:eastAsia="en-US"/>
        </w:rPr>
        <w:t xml:space="preserve">has been commissioned as a result of </w:t>
      </w:r>
      <w:r w:rsidR="00867FCC" w:rsidRPr="00A53A81">
        <w:rPr>
          <w:rFonts w:eastAsia="Times New Roman" w:cstheme="minorHAnsi"/>
          <w:color w:val="000000" w:themeColor="text1"/>
          <w:sz w:val="24"/>
          <w:shd w:val="clear" w:color="auto" w:fill="FFFFFF"/>
          <w:lang w:eastAsia="en-US"/>
        </w:rPr>
        <w:t>identified regulatory burden</w:t>
      </w:r>
      <w:r w:rsidR="005F2F06" w:rsidRPr="00A53A81">
        <w:rPr>
          <w:rFonts w:eastAsia="Times New Roman" w:cstheme="minorHAnsi"/>
          <w:color w:val="000000" w:themeColor="text1"/>
          <w:sz w:val="24"/>
          <w:shd w:val="clear" w:color="auto" w:fill="FFFFFF"/>
          <w:lang w:eastAsia="en-US"/>
        </w:rPr>
        <w:t>s</w:t>
      </w:r>
      <w:r w:rsidR="00867FCC" w:rsidRPr="00A53A81">
        <w:rPr>
          <w:rFonts w:eastAsia="Times New Roman" w:cstheme="minorHAnsi"/>
          <w:color w:val="000000" w:themeColor="text1"/>
          <w:sz w:val="24"/>
          <w:shd w:val="clear" w:color="auto" w:fill="FFFFFF"/>
          <w:lang w:eastAsia="en-US"/>
        </w:rPr>
        <w:t xml:space="preserve"> and delays in the implementation of major projects in </w:t>
      </w:r>
      <w:r w:rsidR="00862513" w:rsidRPr="00A53A81">
        <w:rPr>
          <w:rFonts w:eastAsia="Times New Roman" w:cstheme="minorHAnsi"/>
          <w:color w:val="000000" w:themeColor="text1"/>
          <w:sz w:val="24"/>
          <w:shd w:val="clear" w:color="auto" w:fill="FFFFFF"/>
          <w:lang w:eastAsia="en-US"/>
        </w:rPr>
        <w:t>Australia</w:t>
      </w:r>
      <w:r w:rsidR="00867FCC" w:rsidRPr="00A53A81">
        <w:rPr>
          <w:rFonts w:eastAsia="Times New Roman" w:cstheme="minorHAnsi"/>
          <w:color w:val="000000" w:themeColor="text1"/>
          <w:sz w:val="24"/>
          <w:shd w:val="clear" w:color="auto" w:fill="FFFFFF"/>
          <w:lang w:eastAsia="en-US"/>
        </w:rPr>
        <w:t>. As</w:t>
      </w:r>
      <w:r w:rsidR="00862513" w:rsidRPr="00A53A81">
        <w:rPr>
          <w:rFonts w:eastAsia="Times New Roman" w:cstheme="minorHAnsi"/>
          <w:color w:val="000000" w:themeColor="text1"/>
          <w:sz w:val="24"/>
          <w:shd w:val="clear" w:color="auto" w:fill="FFFFFF"/>
          <w:lang w:eastAsia="en-US"/>
        </w:rPr>
        <w:t xml:space="preserve"> no</w:t>
      </w:r>
      <w:r w:rsidR="00867FCC" w:rsidRPr="00A53A81">
        <w:rPr>
          <w:rFonts w:eastAsia="Times New Roman" w:cstheme="minorHAnsi"/>
          <w:color w:val="000000" w:themeColor="text1"/>
          <w:sz w:val="24"/>
          <w:shd w:val="clear" w:color="auto" w:fill="FFFFFF"/>
          <w:lang w:eastAsia="en-US"/>
        </w:rPr>
        <w:t xml:space="preserve">ted by the </w:t>
      </w:r>
      <w:r w:rsidR="00862513" w:rsidRPr="00A53A81">
        <w:rPr>
          <w:rFonts w:eastAsia="Times New Roman" w:cstheme="minorHAnsi"/>
          <w:color w:val="000000" w:themeColor="text1"/>
          <w:sz w:val="24"/>
          <w:shd w:val="clear" w:color="auto" w:fill="FFFFFF"/>
          <w:lang w:eastAsia="en-US"/>
        </w:rPr>
        <w:t>Productivity Commission, major projects are subject to a wide range of regulations and development control at local, state, and/or Commonwealth Level. This regulatory system</w:t>
      </w:r>
      <w:r w:rsidR="00383A8C" w:rsidRPr="00A53A81">
        <w:rPr>
          <w:rFonts w:eastAsia="Times New Roman" w:cstheme="minorHAnsi"/>
          <w:color w:val="000000" w:themeColor="text1"/>
          <w:sz w:val="24"/>
          <w:shd w:val="clear" w:color="auto" w:fill="FFFFFF"/>
          <w:lang w:eastAsia="en-US"/>
        </w:rPr>
        <w:t>,</w:t>
      </w:r>
      <w:r w:rsidR="00862513" w:rsidRPr="00A53A81">
        <w:rPr>
          <w:rFonts w:eastAsia="Times New Roman" w:cstheme="minorHAnsi"/>
          <w:color w:val="000000" w:themeColor="text1"/>
          <w:sz w:val="24"/>
          <w:shd w:val="clear" w:color="auto" w:fill="FFFFFF"/>
          <w:lang w:eastAsia="en-US"/>
        </w:rPr>
        <w:t xml:space="preserve"> designed to provide benefits to the community, has been identified as adding a layer of cost to project development, as well as </w:t>
      </w:r>
      <w:r w:rsidR="005E7441" w:rsidRPr="00A53A81">
        <w:rPr>
          <w:rFonts w:eastAsia="Times New Roman" w:cstheme="minorHAnsi"/>
          <w:color w:val="000000" w:themeColor="text1"/>
          <w:sz w:val="24"/>
          <w:shd w:val="clear" w:color="auto" w:fill="FFFFFF"/>
          <w:lang w:eastAsia="en-US"/>
        </w:rPr>
        <w:t>often</w:t>
      </w:r>
      <w:r w:rsidR="00862513" w:rsidRPr="00A53A81">
        <w:rPr>
          <w:rFonts w:eastAsia="Times New Roman" w:cstheme="minorHAnsi"/>
          <w:color w:val="000000" w:themeColor="text1"/>
          <w:sz w:val="24"/>
          <w:shd w:val="clear" w:color="auto" w:fill="FFFFFF"/>
          <w:lang w:eastAsia="en-US"/>
        </w:rPr>
        <w:t xml:space="preserve"> contributing to substantial time delays. This then leads to longer construction times, and can reduce the commercial viability of some projects.</w:t>
      </w:r>
      <w:r w:rsidR="00862513">
        <w:rPr>
          <w:rFonts w:eastAsia="Times New Roman" w:cstheme="minorHAnsi"/>
          <w:color w:val="000000" w:themeColor="text1"/>
          <w:shd w:val="clear" w:color="auto" w:fill="FFFFFF"/>
          <w:lang w:eastAsia="en-US"/>
        </w:rPr>
        <w:t xml:space="preserve"> </w:t>
      </w:r>
    </w:p>
    <w:p w:rsidR="0016233F" w:rsidRDefault="0016233F" w:rsidP="000C64F2">
      <w:pPr>
        <w:pStyle w:val="Heading1"/>
      </w:pPr>
      <w:bookmarkStart w:id="10" w:name="_Toc224623259"/>
      <w:bookmarkStart w:id="11" w:name="_Toc350845009"/>
      <w:bookmarkStart w:id="12" w:name="_Toc350849324"/>
      <w:bookmarkStart w:id="13" w:name="_Toc350849560"/>
      <w:bookmarkStart w:id="14" w:name="_Toc232948479"/>
      <w:r>
        <w:t xml:space="preserve">Aims </w:t>
      </w:r>
      <w:r w:rsidR="00D80FC4">
        <w:t xml:space="preserve">and scope </w:t>
      </w:r>
      <w:r>
        <w:t>of this submission</w:t>
      </w:r>
      <w:bookmarkEnd w:id="10"/>
      <w:bookmarkEnd w:id="11"/>
      <w:bookmarkEnd w:id="12"/>
      <w:bookmarkEnd w:id="13"/>
      <w:bookmarkEnd w:id="14"/>
    </w:p>
    <w:p w:rsidR="00E63DE9" w:rsidRPr="00A53A81" w:rsidRDefault="00E63DE9" w:rsidP="000C64F2">
      <w:pPr>
        <w:spacing w:before="120" w:after="120"/>
        <w:jc w:val="both"/>
        <w:rPr>
          <w:sz w:val="24"/>
        </w:rPr>
      </w:pPr>
      <w:r w:rsidRPr="00A53A81">
        <w:rPr>
          <w:sz w:val="24"/>
        </w:rPr>
        <w:t>This submission is made in response to a request by the Productivity Commission to pro</w:t>
      </w:r>
      <w:r w:rsidR="00667EE2" w:rsidRPr="00A53A81">
        <w:rPr>
          <w:sz w:val="24"/>
        </w:rPr>
        <w:t xml:space="preserve">vide information regarding </w:t>
      </w:r>
      <w:proofErr w:type="spellStart"/>
      <w:r w:rsidR="00667EE2" w:rsidRPr="00A53A81">
        <w:rPr>
          <w:sz w:val="24"/>
        </w:rPr>
        <w:t>MPDA</w:t>
      </w:r>
      <w:r w:rsidR="00061706" w:rsidRPr="00A53A81">
        <w:rPr>
          <w:sz w:val="24"/>
        </w:rPr>
        <w:t>S</w:t>
      </w:r>
      <w:proofErr w:type="spellEnd"/>
      <w:r w:rsidR="00061706" w:rsidRPr="00A53A81">
        <w:rPr>
          <w:sz w:val="24"/>
        </w:rPr>
        <w:t xml:space="preserve"> </w:t>
      </w:r>
      <w:r w:rsidRPr="00A53A81">
        <w:rPr>
          <w:sz w:val="24"/>
        </w:rPr>
        <w:t xml:space="preserve">in Australian and International jurisdictions. </w:t>
      </w:r>
    </w:p>
    <w:p w:rsidR="005C4F01" w:rsidRPr="00A53A81" w:rsidRDefault="005C4F01" w:rsidP="000C64F2">
      <w:pPr>
        <w:spacing w:before="120" w:after="120"/>
        <w:jc w:val="both"/>
        <w:rPr>
          <w:sz w:val="24"/>
        </w:rPr>
      </w:pPr>
      <w:r w:rsidRPr="00A53A81">
        <w:rPr>
          <w:sz w:val="24"/>
        </w:rPr>
        <w:t xml:space="preserve">The Productivity Commission notes that in undertaking a </w:t>
      </w:r>
      <w:r w:rsidR="0002324D" w:rsidRPr="00A53A81">
        <w:rPr>
          <w:sz w:val="24"/>
        </w:rPr>
        <w:t>study</w:t>
      </w:r>
      <w:r w:rsidRPr="00A53A81">
        <w:rPr>
          <w:sz w:val="24"/>
        </w:rPr>
        <w:t xml:space="preserve"> into </w:t>
      </w:r>
      <w:proofErr w:type="spellStart"/>
      <w:r w:rsidRPr="00A53A81">
        <w:rPr>
          <w:sz w:val="24"/>
        </w:rPr>
        <w:t>MPDAS</w:t>
      </w:r>
      <w:proofErr w:type="spellEnd"/>
      <w:r w:rsidRPr="00A53A81">
        <w:rPr>
          <w:sz w:val="24"/>
        </w:rPr>
        <w:t xml:space="preserve">, there are seven </w:t>
      </w:r>
      <w:r w:rsidR="0002324D" w:rsidRPr="00A53A81">
        <w:rPr>
          <w:sz w:val="24"/>
        </w:rPr>
        <w:t xml:space="preserve">areas of focus for </w:t>
      </w:r>
      <w:r w:rsidRPr="00A53A81">
        <w:rPr>
          <w:sz w:val="24"/>
        </w:rPr>
        <w:t xml:space="preserve">the Productivity Commission: </w:t>
      </w:r>
    </w:p>
    <w:p w:rsidR="005C4F01" w:rsidRPr="00A53A81" w:rsidRDefault="0002324D" w:rsidP="000C64F2">
      <w:pPr>
        <w:pStyle w:val="ListParagraph"/>
        <w:numPr>
          <w:ilvl w:val="0"/>
          <w:numId w:val="13"/>
        </w:numPr>
        <w:spacing w:before="120" w:after="120"/>
        <w:jc w:val="both"/>
        <w:rPr>
          <w:sz w:val="24"/>
        </w:rPr>
      </w:pPr>
      <w:r w:rsidRPr="00A53A81">
        <w:rPr>
          <w:sz w:val="24"/>
        </w:rPr>
        <w:t>Examination</w:t>
      </w:r>
      <w:r w:rsidR="005C4F01" w:rsidRPr="00A53A81">
        <w:rPr>
          <w:sz w:val="24"/>
        </w:rPr>
        <w:t xml:space="preserve"> of regulatory objectives at all levels of </w:t>
      </w:r>
      <w:r w:rsidRPr="00A53A81">
        <w:rPr>
          <w:sz w:val="24"/>
        </w:rPr>
        <w:t>Australian</w:t>
      </w:r>
      <w:r w:rsidR="005C4F01" w:rsidRPr="00A53A81">
        <w:rPr>
          <w:sz w:val="24"/>
        </w:rPr>
        <w:t xml:space="preserve"> government;</w:t>
      </w:r>
    </w:p>
    <w:p w:rsidR="005C4F01" w:rsidRPr="00A53A81" w:rsidRDefault="0002324D" w:rsidP="000C64F2">
      <w:pPr>
        <w:pStyle w:val="ListParagraph"/>
        <w:numPr>
          <w:ilvl w:val="0"/>
          <w:numId w:val="13"/>
        </w:numPr>
        <w:spacing w:before="120" w:after="120"/>
        <w:jc w:val="both"/>
        <w:rPr>
          <w:sz w:val="24"/>
        </w:rPr>
      </w:pPr>
      <w:r w:rsidRPr="00A53A81">
        <w:rPr>
          <w:sz w:val="24"/>
        </w:rPr>
        <w:t>Examine</w:t>
      </w:r>
      <w:r w:rsidR="005C4F01" w:rsidRPr="00A53A81">
        <w:rPr>
          <w:sz w:val="24"/>
        </w:rPr>
        <w:t xml:space="preserve"> regulatory </w:t>
      </w:r>
      <w:r w:rsidRPr="00A53A81">
        <w:rPr>
          <w:sz w:val="24"/>
        </w:rPr>
        <w:t>objectives</w:t>
      </w:r>
      <w:r w:rsidR="005C4F01" w:rsidRPr="00A53A81">
        <w:rPr>
          <w:sz w:val="24"/>
        </w:rPr>
        <w:t xml:space="preserve"> and key features of comparable international systems</w:t>
      </w:r>
      <w:r w:rsidR="00383A8C" w:rsidRPr="00A53A81">
        <w:rPr>
          <w:sz w:val="24"/>
        </w:rPr>
        <w:t>;</w:t>
      </w:r>
    </w:p>
    <w:p w:rsidR="0034705F" w:rsidRPr="00A53A81" w:rsidRDefault="0002324D" w:rsidP="000C64F2">
      <w:pPr>
        <w:pStyle w:val="ListParagraph"/>
        <w:numPr>
          <w:ilvl w:val="0"/>
          <w:numId w:val="13"/>
        </w:numPr>
        <w:spacing w:before="120" w:after="120"/>
        <w:jc w:val="both"/>
        <w:rPr>
          <w:sz w:val="24"/>
        </w:rPr>
      </w:pPr>
      <w:r w:rsidRPr="00A53A81">
        <w:rPr>
          <w:sz w:val="24"/>
        </w:rPr>
        <w:t>Identify</w:t>
      </w:r>
      <w:r w:rsidR="005C4F01" w:rsidRPr="00A53A81">
        <w:rPr>
          <w:sz w:val="24"/>
        </w:rPr>
        <w:t xml:space="preserve"> critical elements of development assessment processes </w:t>
      </w:r>
      <w:r w:rsidRPr="00A53A81">
        <w:rPr>
          <w:sz w:val="24"/>
        </w:rPr>
        <w:t>and</w:t>
      </w:r>
      <w:r w:rsidR="005C4F01" w:rsidRPr="00A53A81">
        <w:rPr>
          <w:sz w:val="24"/>
        </w:rPr>
        <w:t xml:space="preserve"> compare</w:t>
      </w:r>
      <w:r w:rsidR="0034705F" w:rsidRPr="00A53A81">
        <w:rPr>
          <w:sz w:val="24"/>
        </w:rPr>
        <w:t xml:space="preserve"> to assess alternative decision making processes; </w:t>
      </w:r>
    </w:p>
    <w:p w:rsidR="0034705F" w:rsidRPr="00A53A81" w:rsidRDefault="0002324D" w:rsidP="000C64F2">
      <w:pPr>
        <w:pStyle w:val="ListParagraph"/>
        <w:numPr>
          <w:ilvl w:val="0"/>
          <w:numId w:val="13"/>
        </w:numPr>
        <w:spacing w:before="120" w:after="120"/>
        <w:jc w:val="both"/>
        <w:rPr>
          <w:sz w:val="24"/>
        </w:rPr>
      </w:pPr>
      <w:r w:rsidRPr="00A53A81">
        <w:rPr>
          <w:sz w:val="24"/>
        </w:rPr>
        <w:t>Examine</w:t>
      </w:r>
      <w:r w:rsidR="0034705F" w:rsidRPr="00A53A81">
        <w:rPr>
          <w:sz w:val="24"/>
        </w:rPr>
        <w:t xml:space="preserve"> strategic planning context for major project approvals in Australia and comparable international jurisdictions</w:t>
      </w:r>
      <w:r w:rsidR="00383A8C" w:rsidRPr="00A53A81">
        <w:rPr>
          <w:sz w:val="24"/>
        </w:rPr>
        <w:t>;</w:t>
      </w:r>
    </w:p>
    <w:p w:rsidR="0034705F" w:rsidRPr="00A53A81" w:rsidRDefault="0002324D" w:rsidP="000C64F2">
      <w:pPr>
        <w:pStyle w:val="ListParagraph"/>
        <w:numPr>
          <w:ilvl w:val="0"/>
          <w:numId w:val="13"/>
        </w:numPr>
        <w:spacing w:before="120" w:after="120"/>
        <w:jc w:val="both"/>
        <w:rPr>
          <w:sz w:val="24"/>
        </w:rPr>
      </w:pPr>
      <w:r w:rsidRPr="00A53A81">
        <w:rPr>
          <w:sz w:val="24"/>
        </w:rPr>
        <w:t>Identify</w:t>
      </w:r>
      <w:r w:rsidR="0034705F" w:rsidRPr="00A53A81">
        <w:rPr>
          <w:sz w:val="24"/>
        </w:rPr>
        <w:t xml:space="preserve"> best practice and against this evaluate jurisdictional approaches</w:t>
      </w:r>
      <w:r w:rsidR="00383A8C" w:rsidRPr="00A53A81">
        <w:rPr>
          <w:sz w:val="24"/>
        </w:rPr>
        <w:t>;</w:t>
      </w:r>
      <w:r w:rsidR="0034705F" w:rsidRPr="00A53A81">
        <w:rPr>
          <w:sz w:val="24"/>
        </w:rPr>
        <w:t xml:space="preserve"> </w:t>
      </w:r>
    </w:p>
    <w:p w:rsidR="0034705F" w:rsidRPr="00A53A81" w:rsidRDefault="0002324D" w:rsidP="000C64F2">
      <w:pPr>
        <w:pStyle w:val="ListParagraph"/>
        <w:numPr>
          <w:ilvl w:val="0"/>
          <w:numId w:val="13"/>
        </w:numPr>
        <w:spacing w:before="120" w:after="120"/>
        <w:jc w:val="both"/>
        <w:rPr>
          <w:sz w:val="24"/>
        </w:rPr>
      </w:pPr>
      <w:r w:rsidRPr="00A53A81">
        <w:rPr>
          <w:sz w:val="24"/>
        </w:rPr>
        <w:t>Assess</w:t>
      </w:r>
      <w:r w:rsidR="0034705F" w:rsidRPr="00A53A81">
        <w:rPr>
          <w:sz w:val="24"/>
        </w:rPr>
        <w:t xml:space="preserve"> mechanisms for ‘scaling’ regulatory requirements </w:t>
      </w:r>
      <w:r w:rsidRPr="00A53A81">
        <w:rPr>
          <w:sz w:val="24"/>
        </w:rPr>
        <w:t>relative</w:t>
      </w:r>
      <w:r w:rsidR="0034705F" w:rsidRPr="00A53A81">
        <w:rPr>
          <w:sz w:val="24"/>
        </w:rPr>
        <w:t xml:space="preserve"> to project size and benefits against potential impacts</w:t>
      </w:r>
      <w:r w:rsidR="00383A8C" w:rsidRPr="00A53A81">
        <w:rPr>
          <w:sz w:val="24"/>
        </w:rPr>
        <w:t>; and</w:t>
      </w:r>
    </w:p>
    <w:p w:rsidR="0034705F" w:rsidRPr="00A53A81" w:rsidRDefault="0002324D" w:rsidP="000C64F2">
      <w:pPr>
        <w:pStyle w:val="ListParagraph"/>
        <w:numPr>
          <w:ilvl w:val="0"/>
          <w:numId w:val="13"/>
        </w:numPr>
        <w:spacing w:before="120" w:after="120"/>
        <w:jc w:val="both"/>
        <w:rPr>
          <w:sz w:val="24"/>
        </w:rPr>
      </w:pPr>
      <w:r w:rsidRPr="00A53A81">
        <w:rPr>
          <w:sz w:val="24"/>
        </w:rPr>
        <w:t>Compare</w:t>
      </w:r>
      <w:r w:rsidR="0034705F" w:rsidRPr="00A53A81">
        <w:rPr>
          <w:sz w:val="24"/>
        </w:rPr>
        <w:t xml:space="preserve"> efficiency and effectiveness of </w:t>
      </w:r>
      <w:r w:rsidRPr="00A53A81">
        <w:rPr>
          <w:sz w:val="24"/>
        </w:rPr>
        <w:t>Australian</w:t>
      </w:r>
      <w:r w:rsidR="0034705F" w:rsidRPr="00A53A81">
        <w:rPr>
          <w:sz w:val="24"/>
        </w:rPr>
        <w:t xml:space="preserve"> approvals process to achieve protection of social, economic heritage, </w:t>
      </w:r>
      <w:r w:rsidRPr="00A53A81">
        <w:rPr>
          <w:sz w:val="24"/>
        </w:rPr>
        <w:t>cultural</w:t>
      </w:r>
      <w:r w:rsidR="0034705F" w:rsidRPr="00A53A81">
        <w:rPr>
          <w:sz w:val="24"/>
        </w:rPr>
        <w:t xml:space="preserve"> and </w:t>
      </w:r>
      <w:r w:rsidRPr="00A53A81">
        <w:rPr>
          <w:sz w:val="24"/>
        </w:rPr>
        <w:t>environmental</w:t>
      </w:r>
      <w:r w:rsidR="0034705F" w:rsidRPr="00A53A81">
        <w:rPr>
          <w:sz w:val="24"/>
        </w:rPr>
        <w:t xml:space="preserve"> aspects compared to comparable international systems. </w:t>
      </w:r>
    </w:p>
    <w:p w:rsidR="005C4F01" w:rsidRPr="00A53A81" w:rsidRDefault="0002324D" w:rsidP="000C64F2">
      <w:pPr>
        <w:spacing w:before="120" w:after="120"/>
        <w:jc w:val="both"/>
        <w:rPr>
          <w:sz w:val="24"/>
        </w:rPr>
      </w:pPr>
      <w:r w:rsidRPr="00A53A81">
        <w:rPr>
          <w:sz w:val="24"/>
        </w:rPr>
        <w:t>This submission particularly focuses on area 2 (regulatory objectives and key features of comparable international systems), and area 7 (compare Australian</w:t>
      </w:r>
      <w:r w:rsidR="00EF19BF" w:rsidRPr="00A53A81">
        <w:rPr>
          <w:sz w:val="24"/>
        </w:rPr>
        <w:t xml:space="preserve"> </w:t>
      </w:r>
      <w:r w:rsidRPr="00A53A81">
        <w:rPr>
          <w:sz w:val="24"/>
        </w:rPr>
        <w:t xml:space="preserve">processes with international systems).  </w:t>
      </w:r>
      <w:r w:rsidR="005C4F01" w:rsidRPr="00A53A81">
        <w:rPr>
          <w:sz w:val="24"/>
        </w:rPr>
        <w:t xml:space="preserve"> </w:t>
      </w:r>
    </w:p>
    <w:p w:rsidR="00E63DE9" w:rsidRPr="00A53A81" w:rsidRDefault="0034705F" w:rsidP="000C64F2">
      <w:pPr>
        <w:spacing w:before="120" w:after="120"/>
        <w:jc w:val="both"/>
        <w:rPr>
          <w:sz w:val="24"/>
        </w:rPr>
      </w:pPr>
      <w:r w:rsidRPr="00A53A81">
        <w:rPr>
          <w:sz w:val="24"/>
        </w:rPr>
        <w:t>T</w:t>
      </w:r>
      <w:r w:rsidR="00E63DE9" w:rsidRPr="00A53A81">
        <w:rPr>
          <w:sz w:val="24"/>
        </w:rPr>
        <w:t xml:space="preserve">he author has </w:t>
      </w:r>
      <w:r w:rsidR="00383A8C" w:rsidRPr="00A53A81">
        <w:rPr>
          <w:sz w:val="24"/>
        </w:rPr>
        <w:t>expertise</w:t>
      </w:r>
      <w:r w:rsidR="00E63DE9" w:rsidRPr="00A53A81">
        <w:rPr>
          <w:sz w:val="24"/>
        </w:rPr>
        <w:t xml:space="preserve"> in petroleum law and regulation in Norway and Australia. Therefore, </w:t>
      </w:r>
      <w:r w:rsidR="00EF19BF" w:rsidRPr="00A53A81">
        <w:rPr>
          <w:sz w:val="24"/>
        </w:rPr>
        <w:t xml:space="preserve">in undertaking this submission there is a focus on </w:t>
      </w:r>
      <w:r w:rsidR="00E63DE9" w:rsidRPr="00A53A81">
        <w:rPr>
          <w:sz w:val="24"/>
        </w:rPr>
        <w:t xml:space="preserve">major projects assessment and development </w:t>
      </w:r>
      <w:r w:rsidR="00EF19BF" w:rsidRPr="00A53A81">
        <w:rPr>
          <w:sz w:val="24"/>
        </w:rPr>
        <w:t>in Norway</w:t>
      </w:r>
      <w:r w:rsidR="00383A8C" w:rsidRPr="00A53A81">
        <w:rPr>
          <w:sz w:val="24"/>
        </w:rPr>
        <w:t>,</w:t>
      </w:r>
      <w:r w:rsidR="00EF19BF" w:rsidRPr="00A53A81">
        <w:rPr>
          <w:sz w:val="24"/>
        </w:rPr>
        <w:t xml:space="preserve"> </w:t>
      </w:r>
      <w:r w:rsidR="00E63DE9" w:rsidRPr="00A53A81">
        <w:rPr>
          <w:sz w:val="24"/>
        </w:rPr>
        <w:t>focusing on how projects are assessed and dev</w:t>
      </w:r>
      <w:r w:rsidR="00667EE2" w:rsidRPr="00A53A81">
        <w:rPr>
          <w:sz w:val="24"/>
        </w:rPr>
        <w:t xml:space="preserve">eloped </w:t>
      </w:r>
      <w:r w:rsidR="00342F12" w:rsidRPr="00A53A81">
        <w:rPr>
          <w:sz w:val="24"/>
        </w:rPr>
        <w:t>as well as an analysis of</w:t>
      </w:r>
      <w:r w:rsidR="00EF19BF" w:rsidRPr="00A53A81">
        <w:rPr>
          <w:sz w:val="24"/>
        </w:rPr>
        <w:t xml:space="preserve"> the use of state agreements in </w:t>
      </w:r>
      <w:r w:rsidR="00342F12" w:rsidRPr="00A53A81">
        <w:rPr>
          <w:sz w:val="24"/>
        </w:rPr>
        <w:t>Western Australia</w:t>
      </w:r>
      <w:r w:rsidR="00EF19BF" w:rsidRPr="00A53A81">
        <w:rPr>
          <w:sz w:val="24"/>
        </w:rPr>
        <w:t>.</w:t>
      </w:r>
      <w:r w:rsidR="00667EE2" w:rsidRPr="00A53A81">
        <w:rPr>
          <w:sz w:val="24"/>
        </w:rPr>
        <w:t xml:space="preserve"> The </w:t>
      </w:r>
      <w:r w:rsidR="00342F12" w:rsidRPr="00A53A81">
        <w:rPr>
          <w:sz w:val="24"/>
        </w:rPr>
        <w:t xml:space="preserve">analyses and </w:t>
      </w:r>
      <w:r w:rsidR="00667EE2" w:rsidRPr="00A53A81">
        <w:rPr>
          <w:sz w:val="24"/>
        </w:rPr>
        <w:t xml:space="preserve">examples </w:t>
      </w:r>
      <w:r w:rsidR="00342F12" w:rsidRPr="00A53A81">
        <w:rPr>
          <w:sz w:val="24"/>
        </w:rPr>
        <w:t xml:space="preserve">provided in </w:t>
      </w:r>
      <w:r w:rsidR="00667EE2" w:rsidRPr="00A53A81">
        <w:rPr>
          <w:sz w:val="24"/>
        </w:rPr>
        <w:t xml:space="preserve">this submission </w:t>
      </w:r>
      <w:r w:rsidR="00342F12" w:rsidRPr="00A53A81">
        <w:rPr>
          <w:sz w:val="24"/>
        </w:rPr>
        <w:t xml:space="preserve">focus </w:t>
      </w:r>
      <w:r w:rsidR="00667EE2" w:rsidRPr="00A53A81">
        <w:rPr>
          <w:sz w:val="24"/>
        </w:rPr>
        <w:t xml:space="preserve">on </w:t>
      </w:r>
      <w:r w:rsidR="00667EE2" w:rsidRPr="00A53A81">
        <w:rPr>
          <w:sz w:val="24"/>
        </w:rPr>
        <w:lastRenderedPageBreak/>
        <w:t>petroleum project developmen</w:t>
      </w:r>
      <w:r w:rsidR="004D6A72" w:rsidRPr="00A53A81">
        <w:rPr>
          <w:sz w:val="24"/>
        </w:rPr>
        <w:t xml:space="preserve">t, since the author </w:t>
      </w:r>
      <w:r w:rsidR="00667EE2" w:rsidRPr="00A53A81">
        <w:rPr>
          <w:sz w:val="24"/>
        </w:rPr>
        <w:t xml:space="preserve">has experience in these areas of </w:t>
      </w:r>
      <w:r w:rsidR="00EF19BF" w:rsidRPr="00A53A81">
        <w:rPr>
          <w:sz w:val="24"/>
        </w:rPr>
        <w:t>project assessment</w:t>
      </w:r>
      <w:r w:rsidR="00E63DE9" w:rsidRPr="00A53A81">
        <w:rPr>
          <w:sz w:val="24"/>
        </w:rPr>
        <w:t xml:space="preserve"> and development. </w:t>
      </w:r>
    </w:p>
    <w:p w:rsidR="007A1092" w:rsidRDefault="007A1092" w:rsidP="000C64F2">
      <w:pPr>
        <w:pStyle w:val="Heading1"/>
      </w:pPr>
      <w:bookmarkStart w:id="15" w:name="_Toc232948480"/>
      <w:r>
        <w:t xml:space="preserve">Major Project </w:t>
      </w:r>
      <w:r w:rsidR="005763C5">
        <w:t>Development</w:t>
      </w:r>
      <w:r>
        <w:t xml:space="preserve"> Process and Regulatory Burden</w:t>
      </w:r>
      <w:bookmarkEnd w:id="15"/>
    </w:p>
    <w:p w:rsidR="00EA4C00" w:rsidRPr="00A53A81" w:rsidRDefault="00234A2E" w:rsidP="000C64F2">
      <w:pPr>
        <w:spacing w:before="120" w:after="120"/>
        <w:jc w:val="both"/>
        <w:rPr>
          <w:rFonts w:ascii="Arial" w:hAnsi="Arial" w:cs="Arial"/>
          <w:sz w:val="24"/>
        </w:rPr>
      </w:pPr>
      <w:r w:rsidRPr="00A53A81">
        <w:rPr>
          <w:sz w:val="24"/>
        </w:rPr>
        <w:t xml:space="preserve">A </w:t>
      </w:r>
      <w:r w:rsidR="00342F12" w:rsidRPr="00A53A81">
        <w:rPr>
          <w:sz w:val="24"/>
        </w:rPr>
        <w:t>previous study</w:t>
      </w:r>
      <w:r w:rsidRPr="00A53A81">
        <w:rPr>
          <w:sz w:val="24"/>
        </w:rPr>
        <w:t xml:space="preserve"> by the Productivity </w:t>
      </w:r>
      <w:r w:rsidR="00342F12" w:rsidRPr="00A53A81">
        <w:rPr>
          <w:sz w:val="24"/>
        </w:rPr>
        <w:t xml:space="preserve">Commission in 2008-9 on </w:t>
      </w:r>
      <w:r w:rsidR="009B08E8" w:rsidRPr="00A53A81">
        <w:rPr>
          <w:sz w:val="24"/>
        </w:rPr>
        <w:t>r</w:t>
      </w:r>
      <w:r w:rsidR="00342F12" w:rsidRPr="00A53A81">
        <w:rPr>
          <w:sz w:val="24"/>
        </w:rPr>
        <w:t>egulatory</w:t>
      </w:r>
      <w:r w:rsidR="009B08E8" w:rsidRPr="00A53A81">
        <w:rPr>
          <w:sz w:val="24"/>
        </w:rPr>
        <w:t xml:space="preserve"> b</w:t>
      </w:r>
      <w:r w:rsidR="00342F12" w:rsidRPr="00A53A81">
        <w:rPr>
          <w:sz w:val="24"/>
        </w:rPr>
        <w:t xml:space="preserve">urden in the Australian </w:t>
      </w:r>
      <w:r w:rsidR="00570569" w:rsidRPr="00A53A81">
        <w:rPr>
          <w:sz w:val="24"/>
        </w:rPr>
        <w:t>Upstream</w:t>
      </w:r>
      <w:r w:rsidR="00342F12" w:rsidRPr="00A53A81">
        <w:rPr>
          <w:sz w:val="24"/>
        </w:rPr>
        <w:t xml:space="preserve"> </w:t>
      </w:r>
      <w:r w:rsidR="00570569" w:rsidRPr="00A53A81">
        <w:rPr>
          <w:sz w:val="24"/>
        </w:rPr>
        <w:t>Offshore</w:t>
      </w:r>
      <w:r w:rsidR="00342F12" w:rsidRPr="00A53A81">
        <w:rPr>
          <w:sz w:val="24"/>
        </w:rPr>
        <w:t xml:space="preserve"> </w:t>
      </w:r>
      <w:r w:rsidR="00570569" w:rsidRPr="00A53A81">
        <w:rPr>
          <w:sz w:val="24"/>
        </w:rPr>
        <w:t>Petroleum S</w:t>
      </w:r>
      <w:r w:rsidR="00342F12" w:rsidRPr="00A53A81">
        <w:rPr>
          <w:sz w:val="24"/>
        </w:rPr>
        <w:t xml:space="preserve">ector </w:t>
      </w:r>
      <w:r w:rsidR="009B08E8" w:rsidRPr="00A53A81">
        <w:rPr>
          <w:sz w:val="24"/>
        </w:rPr>
        <w:t xml:space="preserve">(the Report) </w:t>
      </w:r>
      <w:r w:rsidR="00570569" w:rsidRPr="00A53A81">
        <w:rPr>
          <w:sz w:val="24"/>
        </w:rPr>
        <w:t xml:space="preserve">identified regulatory </w:t>
      </w:r>
      <w:r w:rsidR="000B72CA" w:rsidRPr="00A53A81">
        <w:rPr>
          <w:sz w:val="24"/>
        </w:rPr>
        <w:t>burden</w:t>
      </w:r>
      <w:r w:rsidR="00570569" w:rsidRPr="00A53A81">
        <w:rPr>
          <w:sz w:val="24"/>
        </w:rPr>
        <w:t xml:space="preserve"> to be a major limiting factor in project development. </w:t>
      </w:r>
      <w:r w:rsidR="00CF2DE3" w:rsidRPr="00A53A81">
        <w:rPr>
          <w:sz w:val="24"/>
        </w:rPr>
        <w:t xml:space="preserve">The Report identified </w:t>
      </w:r>
      <w:r w:rsidR="002D11E6" w:rsidRPr="00A53A81">
        <w:rPr>
          <w:sz w:val="24"/>
        </w:rPr>
        <w:t xml:space="preserve">that </w:t>
      </w:r>
      <w:r w:rsidR="00CF2DE3" w:rsidRPr="00A53A81">
        <w:rPr>
          <w:sz w:val="24"/>
        </w:rPr>
        <w:t xml:space="preserve">petroleum </w:t>
      </w:r>
      <w:r w:rsidR="002D11E6" w:rsidRPr="00A53A81">
        <w:rPr>
          <w:sz w:val="24"/>
        </w:rPr>
        <w:t xml:space="preserve">activities are regulated by more than </w:t>
      </w:r>
      <w:r w:rsidR="00CF2DE3" w:rsidRPr="00A53A81">
        <w:rPr>
          <w:rFonts w:ascii="Arial" w:hAnsi="Arial" w:cs="Arial"/>
          <w:sz w:val="24"/>
        </w:rPr>
        <w:t xml:space="preserve">with more than 150 statutes governing upstream petroleum activities </w:t>
      </w:r>
      <w:r w:rsidR="002D11E6" w:rsidRPr="00A53A81">
        <w:rPr>
          <w:rFonts w:ascii="Arial" w:hAnsi="Arial" w:cs="Arial"/>
          <w:sz w:val="24"/>
        </w:rPr>
        <w:t>Commonwealth and State/NT levels</w:t>
      </w:r>
      <w:r w:rsidR="00CF2DE3" w:rsidRPr="00A53A81">
        <w:rPr>
          <w:rFonts w:ascii="Arial" w:hAnsi="Arial" w:cs="Arial"/>
          <w:sz w:val="24"/>
        </w:rPr>
        <w:t>.</w:t>
      </w:r>
      <w:r w:rsidR="00CF2DE3" w:rsidRPr="00A53A81">
        <w:rPr>
          <w:rStyle w:val="FootnoteReference"/>
          <w:rFonts w:ascii="Arial" w:hAnsi="Arial" w:cs="Arial"/>
          <w:sz w:val="24"/>
        </w:rPr>
        <w:footnoteReference w:id="1"/>
      </w:r>
      <w:r w:rsidR="00CF2DE3" w:rsidRPr="00A53A81">
        <w:rPr>
          <w:rFonts w:ascii="Arial" w:hAnsi="Arial" w:cs="Arial"/>
          <w:sz w:val="24"/>
        </w:rPr>
        <w:t xml:space="preserve"> </w:t>
      </w:r>
    </w:p>
    <w:p w:rsidR="00EA4C00" w:rsidRPr="00A53A81" w:rsidRDefault="00EA4C00" w:rsidP="000C64F2">
      <w:pPr>
        <w:widowControl w:val="0"/>
        <w:tabs>
          <w:tab w:val="left" w:pos="220"/>
          <w:tab w:val="left" w:pos="720"/>
        </w:tabs>
        <w:autoSpaceDE w:val="0"/>
        <w:autoSpaceDN w:val="0"/>
        <w:adjustRightInd w:val="0"/>
        <w:spacing w:after="240"/>
        <w:jc w:val="both"/>
        <w:rPr>
          <w:rFonts w:cstheme="minorHAnsi"/>
          <w:sz w:val="24"/>
          <w:lang w:val="en-US"/>
        </w:rPr>
      </w:pPr>
      <w:r w:rsidRPr="00A53A81">
        <w:rPr>
          <w:rFonts w:cstheme="minorHAnsi"/>
          <w:sz w:val="24"/>
          <w:lang w:val="en-US"/>
        </w:rPr>
        <w:t>The</w:t>
      </w:r>
      <w:r w:rsidR="00AC5FC8" w:rsidRPr="00A53A81">
        <w:rPr>
          <w:rFonts w:cstheme="minorHAnsi"/>
          <w:sz w:val="24"/>
          <w:lang w:val="en-US"/>
        </w:rPr>
        <w:t xml:space="preserve"> Productivity Commission </w:t>
      </w:r>
      <w:r w:rsidR="009B08E8" w:rsidRPr="00A53A81">
        <w:rPr>
          <w:rFonts w:cstheme="minorHAnsi"/>
          <w:sz w:val="24"/>
          <w:lang w:val="en-US"/>
        </w:rPr>
        <w:t xml:space="preserve">also </w:t>
      </w:r>
      <w:r w:rsidRPr="00A53A81">
        <w:rPr>
          <w:rFonts w:cstheme="minorHAnsi"/>
          <w:sz w:val="24"/>
          <w:lang w:val="en-US"/>
        </w:rPr>
        <w:t xml:space="preserve">noted that there is solid evidence that the current regulatory framework imposes a significant burden on the upstream petroleum sector. Although compliance costs are large (sometimes amounting to millions of dollars for a project), they are typically modest relative to the total project cost. </w:t>
      </w:r>
      <w:r w:rsidR="00AC5FC8" w:rsidRPr="00A53A81">
        <w:rPr>
          <w:rFonts w:cstheme="minorHAnsi"/>
          <w:sz w:val="24"/>
          <w:lang w:val="en-US"/>
        </w:rPr>
        <w:t>F</w:t>
      </w:r>
      <w:r w:rsidRPr="00A53A81">
        <w:rPr>
          <w:rFonts w:cstheme="minorHAnsi"/>
          <w:sz w:val="24"/>
          <w:lang w:val="en-US"/>
        </w:rPr>
        <w:t>ar more significant burdens</w:t>
      </w:r>
      <w:r w:rsidR="00AC5FC8" w:rsidRPr="00A53A81">
        <w:rPr>
          <w:rFonts w:cstheme="minorHAnsi"/>
          <w:sz w:val="24"/>
          <w:lang w:val="en-US"/>
        </w:rPr>
        <w:t xml:space="preserve"> include project delay due to project approvals</w:t>
      </w:r>
      <w:r w:rsidRPr="00A53A81">
        <w:rPr>
          <w:rFonts w:cstheme="minorHAnsi"/>
          <w:sz w:val="24"/>
          <w:lang w:val="en-US"/>
        </w:rPr>
        <w:t>, because they can increase project costs, reduce flexibility in responding to market conditions, impede</w:t>
      </w:r>
      <w:r w:rsidR="00A53A81" w:rsidRPr="00A53A81">
        <w:rPr>
          <w:rFonts w:cstheme="minorHAnsi"/>
          <w:sz w:val="24"/>
          <w:lang w:val="en-US"/>
        </w:rPr>
        <w:t>d</w:t>
      </w:r>
      <w:r w:rsidRPr="00A53A81">
        <w:rPr>
          <w:rFonts w:cstheme="minorHAnsi"/>
          <w:sz w:val="24"/>
          <w:lang w:val="en-US"/>
        </w:rPr>
        <w:t xml:space="preserve"> financing of projects, and defer</w:t>
      </w:r>
      <w:r w:rsidR="00A53A81" w:rsidRPr="00A53A81">
        <w:rPr>
          <w:rFonts w:cstheme="minorHAnsi"/>
          <w:sz w:val="24"/>
          <w:lang w:val="en-US"/>
        </w:rPr>
        <w:t>red</w:t>
      </w:r>
      <w:r w:rsidRPr="00A53A81">
        <w:rPr>
          <w:rFonts w:cstheme="minorHAnsi"/>
          <w:sz w:val="24"/>
          <w:lang w:val="en-US"/>
        </w:rPr>
        <w:t xml:space="preserve"> production and revenues.</w:t>
      </w:r>
      <w:r w:rsidR="00AC5FC8" w:rsidRPr="00A53A81">
        <w:rPr>
          <w:rStyle w:val="FootnoteReference"/>
          <w:rFonts w:cstheme="minorHAnsi"/>
          <w:sz w:val="24"/>
          <w:lang w:val="en-US"/>
        </w:rPr>
        <w:footnoteReference w:id="2"/>
      </w:r>
      <w:r w:rsidRPr="00A53A81">
        <w:rPr>
          <w:rFonts w:cstheme="minorHAnsi"/>
          <w:sz w:val="24"/>
          <w:lang w:val="en-US"/>
        </w:rPr>
        <w:t xml:space="preserve"> </w:t>
      </w:r>
    </w:p>
    <w:p w:rsidR="007A1092" w:rsidRPr="00EA4C00" w:rsidRDefault="00EA4C00" w:rsidP="000C64F2">
      <w:pPr>
        <w:spacing w:before="120" w:after="120"/>
        <w:jc w:val="both"/>
        <w:rPr>
          <w:rFonts w:ascii="Arial" w:hAnsi="Arial" w:cs="Arial"/>
        </w:rPr>
      </w:pPr>
      <w:r w:rsidRPr="00A53A81">
        <w:rPr>
          <w:rFonts w:ascii="Arial" w:hAnsi="Arial" w:cs="Arial"/>
          <w:sz w:val="24"/>
        </w:rPr>
        <w:t xml:space="preserve"> </w:t>
      </w:r>
      <w:r w:rsidR="00CF2DE3" w:rsidRPr="00A53A81">
        <w:rPr>
          <w:rFonts w:ascii="Arial" w:hAnsi="Arial" w:cs="Arial"/>
          <w:sz w:val="24"/>
        </w:rPr>
        <w:t xml:space="preserve">Most importantly, the report identified that well over 50 State, Commonwealth and Territory government agencies regulate upstream petroleum activities, incorporating the regulation of </w:t>
      </w:r>
      <w:r w:rsidR="00F31EFB" w:rsidRPr="00A53A81">
        <w:rPr>
          <w:rFonts w:ascii="Arial" w:hAnsi="Arial" w:cs="Arial"/>
          <w:sz w:val="24"/>
        </w:rPr>
        <w:t>petroleum activities, and approvals</w:t>
      </w:r>
      <w:r w:rsidR="00CF2DE3" w:rsidRPr="00A53A81">
        <w:rPr>
          <w:rFonts w:ascii="Arial" w:hAnsi="Arial" w:cs="Arial"/>
          <w:sz w:val="24"/>
        </w:rPr>
        <w:t>.</w:t>
      </w:r>
      <w:r w:rsidR="00CF2DE3" w:rsidRPr="00A53A81">
        <w:rPr>
          <w:rStyle w:val="FootnoteReference"/>
          <w:rFonts w:ascii="Arial" w:hAnsi="Arial" w:cs="Arial"/>
          <w:sz w:val="24"/>
        </w:rPr>
        <w:footnoteReference w:id="3"/>
      </w:r>
      <w:r w:rsidR="005F0FA5" w:rsidRPr="00A53A81">
        <w:rPr>
          <w:rFonts w:ascii="Arial" w:hAnsi="Arial" w:cs="Arial"/>
          <w:sz w:val="24"/>
        </w:rPr>
        <w:t xml:space="preserve"> This means that project approvals are taking longer than </w:t>
      </w:r>
      <w:r w:rsidR="004C6783" w:rsidRPr="00A53A81">
        <w:rPr>
          <w:rFonts w:ascii="Arial" w:hAnsi="Arial" w:cs="Arial"/>
          <w:sz w:val="24"/>
        </w:rPr>
        <w:t xml:space="preserve">a streamlined approval process would allow, potentially diminishing the present net value of petroleum resource extraction in </w:t>
      </w:r>
      <w:r w:rsidR="004E035B" w:rsidRPr="00A53A81">
        <w:rPr>
          <w:rFonts w:ascii="Arial" w:hAnsi="Arial" w:cs="Arial"/>
          <w:sz w:val="24"/>
        </w:rPr>
        <w:t>Australia</w:t>
      </w:r>
      <w:r w:rsidR="004C6783" w:rsidRPr="00A53A81">
        <w:rPr>
          <w:rFonts w:ascii="Arial" w:hAnsi="Arial" w:cs="Arial"/>
          <w:sz w:val="24"/>
        </w:rPr>
        <w:t xml:space="preserve"> by billions of dollars each year.</w:t>
      </w:r>
      <w:r w:rsidR="004C6783" w:rsidRPr="00A53A81">
        <w:rPr>
          <w:rStyle w:val="FootnoteReference"/>
          <w:rFonts w:ascii="Arial" w:hAnsi="Arial" w:cs="Arial"/>
          <w:sz w:val="24"/>
        </w:rPr>
        <w:footnoteReference w:id="4"/>
      </w:r>
    </w:p>
    <w:p w:rsidR="005F0FA5" w:rsidRDefault="005F0FA5" w:rsidP="000C64F2">
      <w:pPr>
        <w:spacing w:before="120" w:after="120"/>
        <w:jc w:val="both"/>
      </w:pPr>
    </w:p>
    <w:p w:rsidR="007A1092" w:rsidRDefault="007A1092" w:rsidP="000C64F2">
      <w:pPr>
        <w:pStyle w:val="Heading1"/>
      </w:pPr>
      <w:bookmarkStart w:id="16" w:name="_Toc232948481"/>
      <w:r>
        <w:t>Major Project Approvals in Norway</w:t>
      </w:r>
      <w:bookmarkEnd w:id="16"/>
    </w:p>
    <w:p w:rsidR="00C15B29" w:rsidRPr="00A53A81" w:rsidRDefault="000D37BB" w:rsidP="00CB01C8">
      <w:pPr>
        <w:widowControl w:val="0"/>
        <w:autoSpaceDE w:val="0"/>
        <w:autoSpaceDN w:val="0"/>
        <w:adjustRightInd w:val="0"/>
        <w:spacing w:after="240"/>
        <w:jc w:val="both"/>
        <w:rPr>
          <w:sz w:val="24"/>
        </w:rPr>
      </w:pPr>
      <w:r w:rsidRPr="00A53A81">
        <w:rPr>
          <w:sz w:val="24"/>
        </w:rPr>
        <w:t xml:space="preserve">Major petroleum projects in Norway have occurred since the development of the giant oil field </w:t>
      </w:r>
      <w:proofErr w:type="spellStart"/>
      <w:r w:rsidRPr="00A53A81">
        <w:rPr>
          <w:sz w:val="24"/>
        </w:rPr>
        <w:t>Ekofisk</w:t>
      </w:r>
      <w:proofErr w:type="spellEnd"/>
      <w:r w:rsidR="00BB37F4" w:rsidRPr="00A53A81">
        <w:rPr>
          <w:sz w:val="24"/>
        </w:rPr>
        <w:t>,</w:t>
      </w:r>
      <w:r w:rsidRPr="00A53A81">
        <w:rPr>
          <w:sz w:val="24"/>
        </w:rPr>
        <w:t xml:space="preserve"> which commenced in 1970. Since the development of </w:t>
      </w:r>
      <w:r w:rsidR="00BB37F4" w:rsidRPr="00A53A81">
        <w:rPr>
          <w:sz w:val="24"/>
        </w:rPr>
        <w:t>the Norwegian ten oil commandments in 1971,</w:t>
      </w:r>
      <w:r w:rsidR="00BB37F4" w:rsidRPr="00A53A81">
        <w:rPr>
          <w:rStyle w:val="FootnoteReference"/>
          <w:sz w:val="24"/>
        </w:rPr>
        <w:footnoteReference w:id="5"/>
      </w:r>
      <w:r w:rsidR="00BB37F4" w:rsidRPr="00A53A81">
        <w:rPr>
          <w:sz w:val="24"/>
        </w:rPr>
        <w:t xml:space="preserve"> there has been a </w:t>
      </w:r>
      <w:r w:rsidR="00C15B29" w:rsidRPr="00A53A81">
        <w:rPr>
          <w:sz w:val="24"/>
        </w:rPr>
        <w:t xml:space="preserve">regulatory </w:t>
      </w:r>
      <w:r w:rsidR="00BB37F4" w:rsidRPr="00A53A81">
        <w:rPr>
          <w:sz w:val="24"/>
        </w:rPr>
        <w:t xml:space="preserve">focus on </w:t>
      </w:r>
      <w:r w:rsidR="00A53A81" w:rsidRPr="00A53A81">
        <w:rPr>
          <w:sz w:val="24"/>
        </w:rPr>
        <w:t xml:space="preserve">the </w:t>
      </w:r>
      <w:r w:rsidR="00BB37F4" w:rsidRPr="00A53A81">
        <w:rPr>
          <w:sz w:val="24"/>
        </w:rPr>
        <w:lastRenderedPageBreak/>
        <w:t>development of resources for the economic, social and environmental benefit of the nation</w:t>
      </w:r>
      <w:r w:rsidR="00C15B29" w:rsidRPr="00A53A81">
        <w:rPr>
          <w:sz w:val="24"/>
        </w:rPr>
        <w:t xml:space="preserve">. This focus is reiterated in section 1-2 of the Norwegian </w:t>
      </w:r>
      <w:r w:rsidR="00C15B29" w:rsidRPr="00A53A81">
        <w:rPr>
          <w:i/>
          <w:sz w:val="24"/>
        </w:rPr>
        <w:t xml:space="preserve">Petroleum Activities Act 1996 </w:t>
      </w:r>
      <w:r w:rsidR="00C15B29" w:rsidRPr="00A53A81">
        <w:rPr>
          <w:sz w:val="24"/>
        </w:rPr>
        <w:t>(</w:t>
      </w:r>
      <w:proofErr w:type="spellStart"/>
      <w:r w:rsidR="00C15B29" w:rsidRPr="00A53A81">
        <w:rPr>
          <w:sz w:val="24"/>
        </w:rPr>
        <w:t>PAA</w:t>
      </w:r>
      <w:proofErr w:type="spellEnd"/>
      <w:r w:rsidR="00C15B29" w:rsidRPr="00A53A81">
        <w:rPr>
          <w:sz w:val="24"/>
        </w:rPr>
        <w:t>), which st</w:t>
      </w:r>
      <w:r w:rsidR="00CB01C8" w:rsidRPr="00A53A81">
        <w:rPr>
          <w:sz w:val="24"/>
        </w:rPr>
        <w:t>ates that:</w:t>
      </w:r>
    </w:p>
    <w:p w:rsidR="00C15B29" w:rsidRPr="00A53A81" w:rsidRDefault="00C15B29" w:rsidP="000C64F2">
      <w:pPr>
        <w:widowControl w:val="0"/>
        <w:autoSpaceDE w:val="0"/>
        <w:autoSpaceDN w:val="0"/>
        <w:adjustRightInd w:val="0"/>
        <w:spacing w:after="240"/>
        <w:ind w:left="709" w:right="946"/>
        <w:jc w:val="both"/>
        <w:rPr>
          <w:rFonts w:cstheme="minorHAnsi"/>
          <w:sz w:val="24"/>
          <w:lang w:val="en-US"/>
        </w:rPr>
      </w:pPr>
      <w:r w:rsidRPr="00A53A81">
        <w:rPr>
          <w:rFonts w:cstheme="minorHAnsi"/>
          <w:lang w:val="en-US"/>
        </w:rPr>
        <w:t>Resource management of petroleum resources shall be carried out in a long-term perspective for the benefit of the Norwegian society as a whole. In this regard the resource management shall provide revenues to the country and shall contribute to ensuring welfare, employment and an improved environment, as well as to the strengthening of Norwegian trade and industry and industrial development, and at the same time take due regard to regional and local policy considerations and other activities.</w:t>
      </w:r>
    </w:p>
    <w:p w:rsidR="00334037" w:rsidRPr="00A53A81" w:rsidRDefault="00334037" w:rsidP="000C64F2">
      <w:pPr>
        <w:jc w:val="both"/>
        <w:rPr>
          <w:sz w:val="24"/>
        </w:rPr>
      </w:pPr>
      <w:r w:rsidRPr="00A53A81">
        <w:rPr>
          <w:sz w:val="24"/>
        </w:rPr>
        <w:t xml:space="preserve">The regulatory implementation if this objective is stipulated in section 4-2 </w:t>
      </w:r>
      <w:r w:rsidR="00CB01C8" w:rsidRPr="00A53A81">
        <w:rPr>
          <w:sz w:val="24"/>
        </w:rPr>
        <w:t xml:space="preserve">of the </w:t>
      </w:r>
      <w:proofErr w:type="spellStart"/>
      <w:r w:rsidR="00CB01C8" w:rsidRPr="00A53A81">
        <w:rPr>
          <w:sz w:val="24"/>
        </w:rPr>
        <w:t>PAA</w:t>
      </w:r>
      <w:proofErr w:type="spellEnd"/>
      <w:r w:rsidR="00CB01C8" w:rsidRPr="00A53A81">
        <w:rPr>
          <w:sz w:val="24"/>
        </w:rPr>
        <w:t>, which requires that:</w:t>
      </w:r>
    </w:p>
    <w:p w:rsidR="00334037" w:rsidRPr="00A53A81" w:rsidRDefault="00334037" w:rsidP="000C64F2">
      <w:pPr>
        <w:widowControl w:val="0"/>
        <w:autoSpaceDE w:val="0"/>
        <w:autoSpaceDN w:val="0"/>
        <w:adjustRightInd w:val="0"/>
        <w:spacing w:after="240"/>
        <w:ind w:left="709" w:right="946"/>
        <w:jc w:val="both"/>
        <w:rPr>
          <w:rFonts w:cstheme="minorHAnsi"/>
          <w:sz w:val="24"/>
          <w:lang w:val="en-US"/>
        </w:rPr>
      </w:pPr>
      <w:r w:rsidRPr="00A53A81">
        <w:rPr>
          <w:rFonts w:cstheme="minorHAnsi"/>
          <w:lang w:val="en-US"/>
        </w:rPr>
        <w:t>Production of petroleum shall take place in such a manner that as much as possible of the petroleum in place in each individual petroleum deposit, or in several deposits in combination, will be produced. The production shall take place in accordance with prudent technical and sound economic principles and in such a manner that waste of petroleum or reservoir energy is avoided.</w:t>
      </w:r>
    </w:p>
    <w:p w:rsidR="005763C5" w:rsidRDefault="00BB37F4" w:rsidP="000C64F2">
      <w:pPr>
        <w:jc w:val="both"/>
      </w:pPr>
      <w:r w:rsidRPr="00A53A81">
        <w:rPr>
          <w:sz w:val="24"/>
        </w:rPr>
        <w:t>Thi</w:t>
      </w:r>
      <w:r w:rsidR="00334037" w:rsidRPr="00A53A81">
        <w:rPr>
          <w:sz w:val="24"/>
        </w:rPr>
        <w:t>s means that there has been a regulatory f</w:t>
      </w:r>
      <w:r w:rsidRPr="00A53A81">
        <w:rPr>
          <w:sz w:val="24"/>
        </w:rPr>
        <w:t xml:space="preserve">ocus on the collective good of the country when developing the public-owned petroleum resources. As such, the development of the </w:t>
      </w:r>
      <w:r w:rsidR="00404A8A" w:rsidRPr="00A53A81">
        <w:rPr>
          <w:sz w:val="24"/>
        </w:rPr>
        <w:t xml:space="preserve">petroleum is undertaken in a manner that benefits the country, and where companies are legally required to </w:t>
      </w:r>
      <w:r w:rsidR="00D13442" w:rsidRPr="00A53A81">
        <w:rPr>
          <w:sz w:val="24"/>
        </w:rPr>
        <w:t xml:space="preserve">undertake major projects in a manner that benefits Norway. </w:t>
      </w:r>
    </w:p>
    <w:p w:rsidR="00AE7A6E" w:rsidRDefault="00AE7A6E" w:rsidP="000C64F2">
      <w:pPr>
        <w:pStyle w:val="Heading2"/>
      </w:pPr>
      <w:bookmarkStart w:id="17" w:name="_Toc232948482"/>
      <w:r>
        <w:t>Role of the state</w:t>
      </w:r>
      <w:bookmarkEnd w:id="17"/>
    </w:p>
    <w:p w:rsidR="00DD4900" w:rsidRPr="00A53A81" w:rsidRDefault="006E1D66" w:rsidP="000C64F2">
      <w:pPr>
        <w:jc w:val="both"/>
        <w:rPr>
          <w:rFonts w:cstheme="minorHAnsi"/>
          <w:color w:val="000000"/>
          <w:sz w:val="24"/>
          <w:lang w:eastAsia="en-US"/>
        </w:rPr>
      </w:pPr>
      <w:r w:rsidRPr="00A53A81">
        <w:rPr>
          <w:rFonts w:cstheme="minorHAnsi"/>
          <w:sz w:val="24"/>
        </w:rPr>
        <w:t>In response to significant problems with project development on the Norwegian Continental Shelf (</w:t>
      </w:r>
      <w:proofErr w:type="spellStart"/>
      <w:r w:rsidRPr="00A53A81">
        <w:rPr>
          <w:rFonts w:cstheme="minorHAnsi"/>
          <w:sz w:val="24"/>
        </w:rPr>
        <w:t>NCS</w:t>
      </w:r>
      <w:proofErr w:type="spellEnd"/>
      <w:r w:rsidRPr="00A53A81">
        <w:rPr>
          <w:rFonts w:cstheme="minorHAnsi"/>
          <w:sz w:val="24"/>
        </w:rPr>
        <w:t xml:space="preserve">), the Norwegian Government has made it its position clear regarding major project development. </w:t>
      </w:r>
      <w:r w:rsidR="00197CA6" w:rsidRPr="00A53A81">
        <w:rPr>
          <w:rFonts w:cstheme="minorHAnsi"/>
          <w:sz w:val="24"/>
        </w:rPr>
        <w:t xml:space="preserve">The </w:t>
      </w:r>
      <w:r w:rsidR="00916C98" w:rsidRPr="00A53A81">
        <w:rPr>
          <w:rFonts w:cstheme="minorHAnsi"/>
          <w:sz w:val="24"/>
        </w:rPr>
        <w:t>Norwegian</w:t>
      </w:r>
      <w:r w:rsidR="00197CA6" w:rsidRPr="00A53A81">
        <w:rPr>
          <w:rFonts w:cstheme="minorHAnsi"/>
          <w:sz w:val="24"/>
        </w:rPr>
        <w:t xml:space="preserve"> Petroleum </w:t>
      </w:r>
      <w:r w:rsidR="00916C98" w:rsidRPr="00A53A81">
        <w:rPr>
          <w:rFonts w:cstheme="minorHAnsi"/>
          <w:sz w:val="24"/>
        </w:rPr>
        <w:t>Directorate</w:t>
      </w:r>
      <w:r w:rsidR="00197CA6" w:rsidRPr="00A53A81">
        <w:rPr>
          <w:rFonts w:cstheme="minorHAnsi"/>
          <w:sz w:val="24"/>
        </w:rPr>
        <w:t xml:space="preserve"> notes that the</w:t>
      </w:r>
      <w:r w:rsidR="00D30920" w:rsidRPr="00A53A81">
        <w:rPr>
          <w:rFonts w:cstheme="minorHAnsi"/>
          <w:color w:val="000000"/>
          <w:sz w:val="24"/>
          <w:lang w:eastAsia="en-US"/>
        </w:rPr>
        <w:t xml:space="preserve"> management of Norway’s petroleum resources is based on the governing principle that companies have a clear responsibility for development and operation</w:t>
      </w:r>
      <w:r w:rsidR="00DD4900" w:rsidRPr="00A53A81">
        <w:rPr>
          <w:rFonts w:cstheme="minorHAnsi"/>
          <w:color w:val="000000"/>
          <w:sz w:val="24"/>
          <w:lang w:eastAsia="en-US"/>
        </w:rPr>
        <w:t>:</w:t>
      </w:r>
      <w:r w:rsidR="00197CA6" w:rsidRPr="00A53A81">
        <w:rPr>
          <w:rFonts w:cstheme="minorHAnsi"/>
          <w:color w:val="000000"/>
          <w:sz w:val="24"/>
          <w:lang w:eastAsia="en-US"/>
        </w:rPr>
        <w:t xml:space="preserve"> </w:t>
      </w:r>
    </w:p>
    <w:p w:rsidR="00D30920" w:rsidRPr="000C64F2" w:rsidRDefault="000C64F2" w:rsidP="000C64F2">
      <w:pPr>
        <w:ind w:left="851" w:right="804"/>
        <w:jc w:val="both"/>
        <w:rPr>
          <w:rFonts w:cstheme="minorHAnsi"/>
          <w:color w:val="000000"/>
          <w:sz w:val="20"/>
          <w:lang w:eastAsia="en-US"/>
        </w:rPr>
      </w:pPr>
      <w:r w:rsidRPr="00A53A81">
        <w:rPr>
          <w:rFonts w:cstheme="minorHAnsi"/>
          <w:color w:val="000000"/>
          <w:lang w:eastAsia="en-US"/>
        </w:rPr>
        <w:t xml:space="preserve">… </w:t>
      </w:r>
      <w:r w:rsidR="00197CA6" w:rsidRPr="00A53A81">
        <w:rPr>
          <w:rFonts w:cstheme="minorHAnsi"/>
          <w:color w:val="000000"/>
          <w:lang w:eastAsia="en-US"/>
        </w:rPr>
        <w:t>r</w:t>
      </w:r>
      <w:r w:rsidR="00D30920" w:rsidRPr="00A53A81">
        <w:rPr>
          <w:rFonts w:cstheme="minorHAnsi"/>
          <w:bCs/>
          <w:color w:val="000000"/>
          <w:lang w:eastAsia="en-US"/>
        </w:rPr>
        <w:t>esponsibility for the successful completion of projects on the Norwegian continental shelf lies with the operators and the licensees. The authorities develop the regulatory framework, and do not participate in the development of commercial projects. It is important that this d</w:t>
      </w:r>
      <w:r w:rsidRPr="00A53A81">
        <w:rPr>
          <w:rFonts w:cstheme="minorHAnsi"/>
          <w:bCs/>
          <w:color w:val="000000"/>
          <w:lang w:eastAsia="en-US"/>
        </w:rPr>
        <w:t>ivision of roles is maintained</w:t>
      </w:r>
      <w:r w:rsidR="00197CA6" w:rsidRPr="00A53A81">
        <w:rPr>
          <w:rFonts w:cstheme="minorHAnsi"/>
          <w:bCs/>
          <w:color w:val="000000"/>
          <w:lang w:eastAsia="en-US"/>
        </w:rPr>
        <w:t xml:space="preserve">. </w:t>
      </w:r>
      <w:r w:rsidR="00197CA6" w:rsidRPr="00A53A81">
        <w:rPr>
          <w:rStyle w:val="FootnoteReference"/>
          <w:rFonts w:cstheme="minorHAnsi"/>
          <w:bCs/>
          <w:color w:val="000000"/>
          <w:lang w:eastAsia="en-US"/>
        </w:rPr>
        <w:footnoteReference w:id="6"/>
      </w:r>
      <w:r w:rsidR="00D30920" w:rsidRPr="00A53A81">
        <w:rPr>
          <w:rFonts w:cstheme="minorHAnsi"/>
          <w:b/>
          <w:bCs/>
          <w:color w:val="000000"/>
          <w:lang w:eastAsia="en-US"/>
        </w:rPr>
        <w:t xml:space="preserve"> </w:t>
      </w:r>
    </w:p>
    <w:p w:rsidR="00916C98" w:rsidRDefault="00916C98" w:rsidP="000C64F2">
      <w:pPr>
        <w:pStyle w:val="Heading2"/>
        <w:tabs>
          <w:tab w:val="right" w:pos="9026"/>
        </w:tabs>
      </w:pPr>
      <w:bookmarkStart w:id="18" w:name="_Toc232948483"/>
      <w:r>
        <w:lastRenderedPageBreak/>
        <w:t>Project development under petroleum legislation</w:t>
      </w:r>
      <w:bookmarkEnd w:id="18"/>
      <w:r>
        <w:t xml:space="preserve"> </w:t>
      </w:r>
      <w:r>
        <w:tab/>
      </w:r>
    </w:p>
    <w:p w:rsidR="00916C98" w:rsidRPr="00A53A81" w:rsidRDefault="00916C98" w:rsidP="000C64F2">
      <w:pPr>
        <w:jc w:val="both"/>
        <w:rPr>
          <w:sz w:val="24"/>
        </w:rPr>
      </w:pPr>
      <w:r w:rsidRPr="00A53A81">
        <w:rPr>
          <w:sz w:val="24"/>
        </w:rPr>
        <w:t>Under Norwegian Law, major petroleum projects are assessed and developed</w:t>
      </w:r>
      <w:r w:rsidR="00386E0F" w:rsidRPr="00A53A81">
        <w:rPr>
          <w:sz w:val="24"/>
        </w:rPr>
        <w:t xml:space="preserve"> under the </w:t>
      </w:r>
      <w:r w:rsidRPr="00A53A81">
        <w:rPr>
          <w:sz w:val="24"/>
        </w:rPr>
        <w:t xml:space="preserve">Norwegian </w:t>
      </w:r>
      <w:hyperlink r:id="rId9" w:history="1">
        <w:r w:rsidRPr="00A14780">
          <w:rPr>
            <w:rStyle w:val="Hyperlink"/>
            <w:i/>
            <w:sz w:val="24"/>
          </w:rPr>
          <w:t>Petroleum Activities Act 1996</w:t>
        </w:r>
      </w:hyperlink>
      <w:r w:rsidRPr="00A53A81">
        <w:rPr>
          <w:i/>
          <w:sz w:val="24"/>
        </w:rPr>
        <w:t xml:space="preserve"> </w:t>
      </w:r>
      <w:r w:rsidRPr="00A53A81">
        <w:rPr>
          <w:sz w:val="24"/>
        </w:rPr>
        <w:t xml:space="preserve">and </w:t>
      </w:r>
      <w:r w:rsidR="00386E0F" w:rsidRPr="00A53A81">
        <w:rPr>
          <w:sz w:val="24"/>
        </w:rPr>
        <w:t xml:space="preserve">subordinate </w:t>
      </w:r>
      <w:r w:rsidR="00B6176C" w:rsidRPr="00A53A81">
        <w:rPr>
          <w:sz w:val="24"/>
        </w:rPr>
        <w:t xml:space="preserve">legislation, particularly the </w:t>
      </w:r>
      <w:hyperlink r:id="rId10" w:anchor="21" w:history="1">
        <w:r w:rsidR="00B6176C" w:rsidRPr="00A53A81">
          <w:rPr>
            <w:rStyle w:val="Hyperlink"/>
            <w:i/>
            <w:sz w:val="24"/>
          </w:rPr>
          <w:t>Petroleum Activities Regulations 1997</w:t>
        </w:r>
      </w:hyperlink>
      <w:r w:rsidR="00386E0F" w:rsidRPr="00A53A81">
        <w:rPr>
          <w:sz w:val="24"/>
        </w:rPr>
        <w:t xml:space="preserve">. Under section </w:t>
      </w:r>
      <w:r w:rsidR="00BC0566" w:rsidRPr="00A53A81">
        <w:rPr>
          <w:sz w:val="24"/>
        </w:rPr>
        <w:t xml:space="preserve">4-2 of the Act requires the </w:t>
      </w:r>
      <w:r w:rsidR="00D32958" w:rsidRPr="00A53A81">
        <w:rPr>
          <w:sz w:val="24"/>
        </w:rPr>
        <w:t xml:space="preserve">submission of a </w:t>
      </w:r>
      <w:r w:rsidR="00D32958" w:rsidRPr="00A53A81">
        <w:rPr>
          <w:i/>
          <w:sz w:val="24"/>
        </w:rPr>
        <w:t xml:space="preserve">Plan for Development and Operation </w:t>
      </w:r>
      <w:r w:rsidR="00D32958" w:rsidRPr="00A53A81">
        <w:rPr>
          <w:sz w:val="24"/>
        </w:rPr>
        <w:t>(</w:t>
      </w:r>
      <w:proofErr w:type="spellStart"/>
      <w:r w:rsidR="00D32958" w:rsidRPr="00A53A81">
        <w:rPr>
          <w:sz w:val="24"/>
        </w:rPr>
        <w:t>PDO</w:t>
      </w:r>
      <w:proofErr w:type="spellEnd"/>
      <w:r w:rsidR="00D32958" w:rsidRPr="00A53A81">
        <w:rPr>
          <w:sz w:val="24"/>
        </w:rPr>
        <w:t>)</w:t>
      </w:r>
      <w:r w:rsidR="00BC0566" w:rsidRPr="00A53A81">
        <w:rPr>
          <w:sz w:val="24"/>
        </w:rPr>
        <w:t xml:space="preserve">: </w:t>
      </w:r>
    </w:p>
    <w:p w:rsidR="00BC0566" w:rsidRPr="00A53A81" w:rsidRDefault="00BC0566" w:rsidP="000C64F2">
      <w:pPr>
        <w:widowControl w:val="0"/>
        <w:autoSpaceDE w:val="0"/>
        <w:autoSpaceDN w:val="0"/>
        <w:adjustRightInd w:val="0"/>
        <w:spacing w:after="240"/>
        <w:ind w:left="993" w:right="521"/>
        <w:jc w:val="both"/>
        <w:rPr>
          <w:rFonts w:cstheme="minorHAnsi"/>
          <w:lang w:val="en-US"/>
        </w:rPr>
      </w:pPr>
      <w:r w:rsidRPr="00A53A81">
        <w:rPr>
          <w:rFonts w:cstheme="minorHAnsi"/>
          <w:lang w:val="en-US"/>
        </w:rPr>
        <w:t xml:space="preserve">If a licensee decides to develop a petroleum deposit, the licensee shall submit to the Ministry for approval a plan for development and operation of the petroleum deposit. </w:t>
      </w:r>
    </w:p>
    <w:p w:rsidR="00BC0566" w:rsidRPr="00A53A81" w:rsidRDefault="00BC0566" w:rsidP="000C64F2">
      <w:pPr>
        <w:widowControl w:val="0"/>
        <w:autoSpaceDE w:val="0"/>
        <w:autoSpaceDN w:val="0"/>
        <w:adjustRightInd w:val="0"/>
        <w:spacing w:after="240"/>
        <w:ind w:left="993" w:right="521"/>
        <w:jc w:val="both"/>
        <w:rPr>
          <w:rFonts w:cstheme="minorHAnsi"/>
          <w:lang w:val="en-US"/>
        </w:rPr>
      </w:pPr>
      <w:r w:rsidRPr="00A53A81">
        <w:rPr>
          <w:rFonts w:cstheme="minorHAnsi"/>
          <w:lang w:val="en-US"/>
        </w:rPr>
        <w:t xml:space="preserve">The plan shall contain an account of economic aspects, resource aspects, technical, safety related, commercial and environmental aspects, as well as information as to how a facility may be decommissioned and disposed of when the petroleum activities have ceased. The plan shall also comprise information on facilities for transportation or </w:t>
      </w:r>
      <w:proofErr w:type="spellStart"/>
      <w:r w:rsidRPr="00A53A81">
        <w:rPr>
          <w:rFonts w:cstheme="minorHAnsi"/>
          <w:lang w:val="en-US"/>
        </w:rPr>
        <w:t>utilisation</w:t>
      </w:r>
      <w:proofErr w:type="spellEnd"/>
      <w:r w:rsidRPr="00A53A81">
        <w:rPr>
          <w:rFonts w:cstheme="minorHAnsi"/>
          <w:lang w:val="en-US"/>
        </w:rPr>
        <w:t xml:space="preserve"> comprised by Section 4-3. In the event that a facility is to be placed on the territory</w:t>
      </w:r>
      <w:r w:rsidR="00D32958" w:rsidRPr="00A53A81">
        <w:rPr>
          <w:rFonts w:cstheme="minorHAnsi"/>
          <w:lang w:val="en-US"/>
        </w:rPr>
        <w:t xml:space="preserve"> [</w:t>
      </w:r>
      <w:r w:rsidR="005F2F06" w:rsidRPr="00A53A81">
        <w:rPr>
          <w:rFonts w:cstheme="minorHAnsi"/>
          <w:lang w:val="en-US"/>
        </w:rPr>
        <w:t>Norwegian</w:t>
      </w:r>
      <w:r w:rsidR="00D32958" w:rsidRPr="00A53A81">
        <w:rPr>
          <w:rFonts w:cstheme="minorHAnsi"/>
          <w:lang w:val="en-US"/>
        </w:rPr>
        <w:t xml:space="preserve"> land]</w:t>
      </w:r>
      <w:r w:rsidRPr="00A53A81">
        <w:rPr>
          <w:rFonts w:cstheme="minorHAnsi"/>
          <w:lang w:val="en-US"/>
        </w:rPr>
        <w:t xml:space="preserve">, the plan shall in addition provide information about what applications for </w:t>
      </w:r>
      <w:proofErr w:type="spellStart"/>
      <w:r w:rsidRPr="00A53A81">
        <w:rPr>
          <w:rFonts w:cstheme="minorHAnsi"/>
          <w:lang w:val="en-US"/>
        </w:rPr>
        <w:t>licences</w:t>
      </w:r>
      <w:proofErr w:type="spellEnd"/>
      <w:r w:rsidRPr="00A53A81">
        <w:rPr>
          <w:rFonts w:cstheme="minorHAnsi"/>
          <w:lang w:val="en-US"/>
        </w:rPr>
        <w:t xml:space="preserve"> etc. have been submitted according to other applicable legislation.</w:t>
      </w:r>
      <w:r w:rsidR="00D32958" w:rsidRPr="00A53A81">
        <w:rPr>
          <w:rStyle w:val="FootnoteReference"/>
          <w:rFonts w:cstheme="minorHAnsi"/>
          <w:lang w:val="en-US"/>
        </w:rPr>
        <w:footnoteReference w:id="7"/>
      </w:r>
    </w:p>
    <w:p w:rsidR="00D42135" w:rsidRPr="00A53A81" w:rsidRDefault="00D13442" w:rsidP="000C64F2">
      <w:pPr>
        <w:jc w:val="both"/>
        <w:rPr>
          <w:sz w:val="24"/>
        </w:rPr>
      </w:pPr>
      <w:r w:rsidRPr="00A53A81">
        <w:rPr>
          <w:sz w:val="24"/>
        </w:rPr>
        <w:t xml:space="preserve">This general section provides a general legislative capacity of </w:t>
      </w:r>
      <w:r w:rsidR="00D42135" w:rsidRPr="00A53A81">
        <w:rPr>
          <w:sz w:val="24"/>
        </w:rPr>
        <w:t xml:space="preserve">Norwegian Government to undertake the approval of major projects under the </w:t>
      </w:r>
      <w:proofErr w:type="spellStart"/>
      <w:r w:rsidR="00D42135" w:rsidRPr="00A53A81">
        <w:rPr>
          <w:sz w:val="24"/>
        </w:rPr>
        <w:t>PDO</w:t>
      </w:r>
      <w:proofErr w:type="spellEnd"/>
      <w:r w:rsidR="00D42135" w:rsidRPr="00A53A81">
        <w:rPr>
          <w:sz w:val="24"/>
        </w:rPr>
        <w:t>. This means that a major project’</w:t>
      </w:r>
      <w:r w:rsidR="00240A17" w:rsidRPr="00A53A81">
        <w:rPr>
          <w:sz w:val="24"/>
        </w:rPr>
        <w:t xml:space="preserve">s assessment and development falls </w:t>
      </w:r>
      <w:r w:rsidR="00D42135" w:rsidRPr="00A53A81">
        <w:rPr>
          <w:sz w:val="24"/>
        </w:rPr>
        <w:t xml:space="preserve">under the legislative competence of a single section – s 4-2 of the </w:t>
      </w:r>
      <w:proofErr w:type="spellStart"/>
      <w:r w:rsidR="00D42135" w:rsidRPr="00A53A81">
        <w:rPr>
          <w:sz w:val="24"/>
        </w:rPr>
        <w:t>PAA</w:t>
      </w:r>
      <w:proofErr w:type="spellEnd"/>
      <w:r w:rsidR="00D42135" w:rsidRPr="00A53A81">
        <w:rPr>
          <w:sz w:val="24"/>
        </w:rPr>
        <w:t xml:space="preserve">. </w:t>
      </w:r>
    </w:p>
    <w:p w:rsidR="00240A17" w:rsidRPr="00A53A81" w:rsidRDefault="00240A17" w:rsidP="000C64F2">
      <w:pPr>
        <w:jc w:val="both"/>
        <w:rPr>
          <w:sz w:val="24"/>
        </w:rPr>
      </w:pPr>
      <w:r w:rsidRPr="00A53A81">
        <w:rPr>
          <w:sz w:val="24"/>
        </w:rPr>
        <w:t xml:space="preserve">To </w:t>
      </w:r>
      <w:r w:rsidR="006B6F3E" w:rsidRPr="00A53A81">
        <w:rPr>
          <w:sz w:val="24"/>
        </w:rPr>
        <w:t>assist</w:t>
      </w:r>
      <w:r w:rsidRPr="00A53A81">
        <w:rPr>
          <w:sz w:val="24"/>
        </w:rPr>
        <w:t xml:space="preserve"> in </w:t>
      </w:r>
      <w:proofErr w:type="spellStart"/>
      <w:r w:rsidRPr="00A53A81">
        <w:rPr>
          <w:sz w:val="24"/>
        </w:rPr>
        <w:t>MPDAS</w:t>
      </w:r>
      <w:proofErr w:type="spellEnd"/>
      <w:r w:rsidRPr="00A53A81">
        <w:rPr>
          <w:sz w:val="24"/>
        </w:rPr>
        <w:t xml:space="preserve">, the Norwegian Government has developed guidelines for a </w:t>
      </w:r>
      <w:proofErr w:type="spellStart"/>
      <w:r w:rsidRPr="00A53A81">
        <w:rPr>
          <w:sz w:val="24"/>
        </w:rPr>
        <w:t>PDO</w:t>
      </w:r>
      <w:proofErr w:type="spellEnd"/>
      <w:r w:rsidRPr="00A53A81">
        <w:rPr>
          <w:sz w:val="24"/>
        </w:rPr>
        <w:t xml:space="preserve"> – </w:t>
      </w:r>
      <w:r w:rsidRPr="00A53A81">
        <w:rPr>
          <w:i/>
          <w:sz w:val="24"/>
        </w:rPr>
        <w:t>Guidelines for plan for development and operation of a petroleum deposit (</w:t>
      </w:r>
      <w:proofErr w:type="spellStart"/>
      <w:r w:rsidRPr="00A53A81">
        <w:rPr>
          <w:i/>
          <w:sz w:val="24"/>
        </w:rPr>
        <w:t>PDO</w:t>
      </w:r>
      <w:proofErr w:type="spellEnd"/>
      <w:r w:rsidRPr="00A53A81">
        <w:rPr>
          <w:i/>
          <w:sz w:val="24"/>
        </w:rPr>
        <w:t xml:space="preserve">) and plan for installation and operation of facilities for </w:t>
      </w:r>
      <w:r w:rsidR="006B6F3E" w:rsidRPr="00A53A81">
        <w:rPr>
          <w:i/>
          <w:sz w:val="24"/>
        </w:rPr>
        <w:t>transport and utilisation of petroleum (</w:t>
      </w:r>
      <w:proofErr w:type="spellStart"/>
      <w:r w:rsidR="006B6F3E" w:rsidRPr="00A53A81">
        <w:rPr>
          <w:i/>
          <w:sz w:val="24"/>
        </w:rPr>
        <w:t>PIO</w:t>
      </w:r>
      <w:proofErr w:type="spellEnd"/>
      <w:r w:rsidR="006B6F3E" w:rsidRPr="00A53A81">
        <w:rPr>
          <w:i/>
          <w:sz w:val="24"/>
        </w:rPr>
        <w:t xml:space="preserve">) </w:t>
      </w:r>
      <w:r w:rsidR="006B6F3E" w:rsidRPr="00A53A81">
        <w:rPr>
          <w:sz w:val="24"/>
        </w:rPr>
        <w:t>(the guidelines).</w:t>
      </w:r>
      <w:r w:rsidR="006B6F3E" w:rsidRPr="00A53A81">
        <w:rPr>
          <w:rStyle w:val="FootnoteReference"/>
          <w:sz w:val="24"/>
        </w:rPr>
        <w:footnoteReference w:id="8"/>
      </w:r>
      <w:r w:rsidR="0044328C" w:rsidRPr="00A53A81">
        <w:rPr>
          <w:sz w:val="24"/>
        </w:rPr>
        <w:t xml:space="preserve"> The </w:t>
      </w:r>
      <w:r w:rsidR="004F0A80" w:rsidRPr="00A53A81">
        <w:rPr>
          <w:sz w:val="24"/>
        </w:rPr>
        <w:t>guidelines</w:t>
      </w:r>
      <w:r w:rsidR="0044328C" w:rsidRPr="00A53A81">
        <w:rPr>
          <w:sz w:val="24"/>
        </w:rPr>
        <w:t xml:space="preserve"> integrate all aspects of a project development, including information about the installation or facility, impact </w:t>
      </w:r>
      <w:r w:rsidR="004F0A80" w:rsidRPr="00A53A81">
        <w:rPr>
          <w:sz w:val="24"/>
        </w:rPr>
        <w:t>assessment</w:t>
      </w:r>
      <w:r w:rsidR="0044328C" w:rsidRPr="00A53A81">
        <w:rPr>
          <w:sz w:val="24"/>
        </w:rPr>
        <w:t xml:space="preserve">, how the </w:t>
      </w:r>
      <w:r w:rsidR="004F0A80" w:rsidRPr="00A53A81">
        <w:rPr>
          <w:sz w:val="24"/>
        </w:rPr>
        <w:t>authorities</w:t>
      </w:r>
      <w:r w:rsidR="0044328C" w:rsidRPr="00A53A81">
        <w:rPr>
          <w:sz w:val="24"/>
        </w:rPr>
        <w:t xml:space="preserve"> process the </w:t>
      </w:r>
      <w:proofErr w:type="spellStart"/>
      <w:r w:rsidR="004F0A80" w:rsidRPr="00A53A81">
        <w:rPr>
          <w:sz w:val="24"/>
        </w:rPr>
        <w:t>PDO’s</w:t>
      </w:r>
      <w:proofErr w:type="spellEnd"/>
      <w:r w:rsidR="004F0A80" w:rsidRPr="00A53A81">
        <w:rPr>
          <w:sz w:val="24"/>
        </w:rPr>
        <w:t xml:space="preserve"> and </w:t>
      </w:r>
      <w:r w:rsidR="0044328C" w:rsidRPr="00A53A81">
        <w:rPr>
          <w:sz w:val="24"/>
        </w:rPr>
        <w:t>r</w:t>
      </w:r>
      <w:r w:rsidR="004F0A80" w:rsidRPr="00A53A81">
        <w:rPr>
          <w:sz w:val="24"/>
        </w:rPr>
        <w:t xml:space="preserve">equirements for documentation. This system under the </w:t>
      </w:r>
      <w:proofErr w:type="spellStart"/>
      <w:r w:rsidR="004F0A80" w:rsidRPr="00A53A81">
        <w:rPr>
          <w:sz w:val="24"/>
        </w:rPr>
        <w:t>PDO</w:t>
      </w:r>
      <w:proofErr w:type="spellEnd"/>
      <w:r w:rsidR="004F0A80" w:rsidRPr="00A53A81">
        <w:rPr>
          <w:sz w:val="24"/>
        </w:rPr>
        <w:t xml:space="preserve"> has been developed in consultation with the Norwegian Oil Industry Association (the equivalent of </w:t>
      </w:r>
      <w:proofErr w:type="spellStart"/>
      <w:r w:rsidR="004F0A80" w:rsidRPr="00A53A81">
        <w:rPr>
          <w:sz w:val="24"/>
        </w:rPr>
        <w:t>APPEA</w:t>
      </w:r>
      <w:proofErr w:type="spellEnd"/>
      <w:r w:rsidR="004F0A80" w:rsidRPr="00A53A81">
        <w:rPr>
          <w:sz w:val="24"/>
        </w:rPr>
        <w:t xml:space="preserve">). Its role is to facilitate coordination between licensees and the regulators in the planning and decision process for the development of all petroleum projects. It is important to note that some of these projects are mega-projects, comprising investment of tens of billions of dollars. </w:t>
      </w:r>
    </w:p>
    <w:p w:rsidR="00042517" w:rsidRPr="00A53A81" w:rsidRDefault="00D42135" w:rsidP="000C64F2">
      <w:pPr>
        <w:jc w:val="both"/>
        <w:rPr>
          <w:sz w:val="24"/>
        </w:rPr>
      </w:pPr>
      <w:r w:rsidRPr="00A53A81">
        <w:rPr>
          <w:sz w:val="24"/>
        </w:rPr>
        <w:t xml:space="preserve"> </w:t>
      </w:r>
      <w:r w:rsidR="00042517" w:rsidRPr="00A53A81">
        <w:rPr>
          <w:sz w:val="24"/>
        </w:rPr>
        <w:t xml:space="preserve">Under the </w:t>
      </w:r>
      <w:proofErr w:type="spellStart"/>
      <w:r w:rsidR="00042517" w:rsidRPr="00A53A81">
        <w:rPr>
          <w:sz w:val="24"/>
        </w:rPr>
        <w:t>PDO</w:t>
      </w:r>
      <w:proofErr w:type="spellEnd"/>
      <w:r w:rsidR="00042517" w:rsidRPr="00A53A81">
        <w:rPr>
          <w:sz w:val="24"/>
        </w:rPr>
        <w:t xml:space="preserve">, a project is divided into two phases: </w:t>
      </w:r>
    </w:p>
    <w:p w:rsidR="00042517" w:rsidRPr="00A53A81" w:rsidRDefault="005F2F06" w:rsidP="000C64F2">
      <w:pPr>
        <w:pStyle w:val="ListParagraph"/>
        <w:numPr>
          <w:ilvl w:val="0"/>
          <w:numId w:val="15"/>
        </w:numPr>
        <w:jc w:val="both"/>
        <w:rPr>
          <w:sz w:val="24"/>
        </w:rPr>
      </w:pPr>
      <w:r w:rsidRPr="00A53A81">
        <w:rPr>
          <w:sz w:val="24"/>
        </w:rPr>
        <w:t>The</w:t>
      </w:r>
      <w:r w:rsidR="00042517" w:rsidRPr="00A53A81">
        <w:rPr>
          <w:sz w:val="24"/>
        </w:rPr>
        <w:t xml:space="preserve"> planning phase, defined as starting when the conceptual development phase is complete, and leads up to </w:t>
      </w:r>
      <w:r w:rsidR="00F05CE8" w:rsidRPr="00A53A81">
        <w:rPr>
          <w:sz w:val="24"/>
        </w:rPr>
        <w:t xml:space="preserve">a decision to implement a project); </w:t>
      </w:r>
      <w:r w:rsidR="00042517" w:rsidRPr="00A53A81">
        <w:rPr>
          <w:sz w:val="24"/>
        </w:rPr>
        <w:t xml:space="preserve">and </w:t>
      </w:r>
    </w:p>
    <w:p w:rsidR="00F05CE8" w:rsidRPr="00A53A81" w:rsidRDefault="005F2F06" w:rsidP="000C64F2">
      <w:pPr>
        <w:pStyle w:val="ListParagraph"/>
        <w:numPr>
          <w:ilvl w:val="0"/>
          <w:numId w:val="15"/>
        </w:numPr>
        <w:jc w:val="both"/>
        <w:rPr>
          <w:sz w:val="24"/>
        </w:rPr>
      </w:pPr>
      <w:r w:rsidRPr="00A53A81">
        <w:rPr>
          <w:sz w:val="24"/>
        </w:rPr>
        <w:t xml:space="preserve">The implementation phase, which runs up to the operation of the finished development. </w:t>
      </w:r>
    </w:p>
    <w:p w:rsidR="005B7716" w:rsidRPr="00A53A81" w:rsidRDefault="00F05CE8" w:rsidP="000C64F2">
      <w:pPr>
        <w:jc w:val="both"/>
        <w:rPr>
          <w:sz w:val="24"/>
        </w:rPr>
      </w:pPr>
      <w:r w:rsidRPr="00A53A81">
        <w:rPr>
          <w:sz w:val="24"/>
        </w:rPr>
        <w:lastRenderedPageBreak/>
        <w:t xml:space="preserve">The definition and process for the assessment of major projects in clearly outlined in </w:t>
      </w:r>
      <w:hyperlink r:id="rId11" w:history="1">
        <w:r w:rsidRPr="00A53A81">
          <w:rPr>
            <w:rStyle w:val="Hyperlink"/>
            <w:sz w:val="24"/>
          </w:rPr>
          <w:t>the Guidelines</w:t>
        </w:r>
      </w:hyperlink>
      <w:r w:rsidR="00B6176C" w:rsidRPr="00A53A81">
        <w:rPr>
          <w:sz w:val="24"/>
        </w:rPr>
        <w:t>.</w:t>
      </w:r>
    </w:p>
    <w:p w:rsidR="00370EC6" w:rsidRDefault="00370EC6" w:rsidP="000C64F2">
      <w:pPr>
        <w:jc w:val="both"/>
      </w:pPr>
      <w:r w:rsidRPr="00A53A81">
        <w:rPr>
          <w:sz w:val="24"/>
        </w:rPr>
        <w:t xml:space="preserve">Where a project is a major development, the </w:t>
      </w:r>
      <w:proofErr w:type="spellStart"/>
      <w:r w:rsidRPr="00A53A81">
        <w:rPr>
          <w:sz w:val="24"/>
        </w:rPr>
        <w:t>PDO</w:t>
      </w:r>
      <w:proofErr w:type="spellEnd"/>
      <w:r w:rsidRPr="00A53A81">
        <w:rPr>
          <w:sz w:val="24"/>
        </w:rPr>
        <w:t xml:space="preserve"> will be approved at Parliamentary level rather than at </w:t>
      </w:r>
      <w:r w:rsidR="00776A7F" w:rsidRPr="00A53A81">
        <w:rPr>
          <w:sz w:val="24"/>
        </w:rPr>
        <w:t xml:space="preserve">Ministry (departmental) level. For example, when the development of the </w:t>
      </w:r>
      <w:proofErr w:type="spellStart"/>
      <w:r w:rsidR="00776A7F" w:rsidRPr="00A53A81">
        <w:rPr>
          <w:sz w:val="24"/>
        </w:rPr>
        <w:t>Ormen</w:t>
      </w:r>
      <w:proofErr w:type="spellEnd"/>
      <w:r w:rsidR="00776A7F" w:rsidRPr="00A53A81">
        <w:rPr>
          <w:sz w:val="24"/>
        </w:rPr>
        <w:t xml:space="preserve"> Lange </w:t>
      </w:r>
      <w:proofErr w:type="spellStart"/>
      <w:r w:rsidR="00776A7F" w:rsidRPr="00A53A81">
        <w:rPr>
          <w:sz w:val="24"/>
        </w:rPr>
        <w:t>PDO</w:t>
      </w:r>
      <w:proofErr w:type="spellEnd"/>
      <w:r w:rsidR="00776A7F" w:rsidRPr="00A53A81">
        <w:rPr>
          <w:sz w:val="24"/>
        </w:rPr>
        <w:t xml:space="preserve"> was submitted, it was considered and approved by the Norwegian Parliament (</w:t>
      </w:r>
      <w:proofErr w:type="spellStart"/>
      <w:r w:rsidR="00776A7F" w:rsidRPr="00A53A81">
        <w:rPr>
          <w:sz w:val="24"/>
        </w:rPr>
        <w:t>Stortinget</w:t>
      </w:r>
      <w:proofErr w:type="spellEnd"/>
      <w:r w:rsidR="00776A7F" w:rsidRPr="00A53A81">
        <w:rPr>
          <w:sz w:val="24"/>
        </w:rPr>
        <w:t xml:space="preserve">). The approval at parliamentary process ensures transparency in the assessment and approvals process, and enables the parliament to vote as a collective to </w:t>
      </w:r>
      <w:r w:rsidR="005B7716" w:rsidRPr="00A53A81">
        <w:rPr>
          <w:sz w:val="24"/>
        </w:rPr>
        <w:t xml:space="preserve">approve or reject a major project. </w:t>
      </w:r>
    </w:p>
    <w:p w:rsidR="00171AC8" w:rsidRDefault="00AE7A6E" w:rsidP="000C64F2">
      <w:pPr>
        <w:pStyle w:val="Heading2"/>
      </w:pPr>
      <w:bookmarkStart w:id="19" w:name="_Toc232948484"/>
      <w:r>
        <w:t xml:space="preserve">Third </w:t>
      </w:r>
      <w:r w:rsidR="00171AC8">
        <w:t>party</w:t>
      </w:r>
      <w:r>
        <w:t xml:space="preserve"> access</w:t>
      </w:r>
      <w:bookmarkEnd w:id="19"/>
    </w:p>
    <w:p w:rsidR="001126CA" w:rsidRPr="00A53A81" w:rsidRDefault="001126CA" w:rsidP="000C64F2">
      <w:pPr>
        <w:widowControl w:val="0"/>
        <w:autoSpaceDE w:val="0"/>
        <w:autoSpaceDN w:val="0"/>
        <w:adjustRightInd w:val="0"/>
        <w:spacing w:after="240"/>
        <w:jc w:val="both"/>
        <w:rPr>
          <w:rFonts w:cstheme="minorHAnsi"/>
          <w:sz w:val="24"/>
          <w:lang w:val="en-US"/>
        </w:rPr>
      </w:pPr>
      <w:r w:rsidRPr="00A53A81">
        <w:rPr>
          <w:rFonts w:cstheme="minorHAnsi"/>
          <w:sz w:val="24"/>
          <w:lang w:val="en-US"/>
        </w:rPr>
        <w:t xml:space="preserve">As part of a major project, the Norwegian Government has the legislative capacity to order </w:t>
      </w:r>
      <w:r w:rsidR="00D34161" w:rsidRPr="00A53A81">
        <w:rPr>
          <w:rFonts w:cstheme="minorHAnsi"/>
          <w:sz w:val="24"/>
          <w:lang w:val="en-US"/>
        </w:rPr>
        <w:t xml:space="preserve">that a </w:t>
      </w:r>
      <w:r w:rsidR="005F2F06" w:rsidRPr="00A53A81">
        <w:rPr>
          <w:rFonts w:cstheme="minorHAnsi"/>
          <w:sz w:val="24"/>
          <w:lang w:val="en-US"/>
        </w:rPr>
        <w:t>licensee</w:t>
      </w:r>
      <w:r w:rsidR="00D34161" w:rsidRPr="00A53A81">
        <w:rPr>
          <w:rFonts w:cstheme="minorHAnsi"/>
          <w:sz w:val="24"/>
          <w:lang w:val="en-US"/>
        </w:rPr>
        <w:t xml:space="preserve"> must provide third parties access to their facilities. Such facilities may include platform, storage, accommodation, or pipeline facilities. This access will be required in order to achieve the regulatory objectives stipulated under section 1-2 and 4-1 of the </w:t>
      </w:r>
      <w:proofErr w:type="spellStart"/>
      <w:r w:rsidR="00D34161" w:rsidRPr="00A53A81">
        <w:rPr>
          <w:rFonts w:cstheme="minorHAnsi"/>
          <w:sz w:val="24"/>
          <w:lang w:val="en-US"/>
        </w:rPr>
        <w:t>PAA</w:t>
      </w:r>
      <w:proofErr w:type="spellEnd"/>
      <w:r w:rsidR="00D34161" w:rsidRPr="00A53A81">
        <w:rPr>
          <w:rFonts w:cstheme="minorHAnsi"/>
          <w:sz w:val="24"/>
          <w:lang w:val="en-US"/>
        </w:rPr>
        <w:t xml:space="preserve">, including that of prudent production and </w:t>
      </w:r>
      <w:r w:rsidR="00C51C41" w:rsidRPr="00A53A81">
        <w:rPr>
          <w:rFonts w:cstheme="minorHAnsi"/>
          <w:sz w:val="24"/>
          <w:lang w:val="en-US"/>
        </w:rPr>
        <w:t xml:space="preserve">benefiting </w:t>
      </w:r>
      <w:r w:rsidR="00984BB0" w:rsidRPr="00A53A81">
        <w:rPr>
          <w:rFonts w:cstheme="minorHAnsi"/>
          <w:sz w:val="24"/>
          <w:lang w:val="en-US"/>
        </w:rPr>
        <w:t>Norwegian</w:t>
      </w:r>
      <w:r w:rsidR="00C51C41" w:rsidRPr="00A53A81">
        <w:rPr>
          <w:rFonts w:cstheme="minorHAnsi"/>
          <w:sz w:val="24"/>
          <w:lang w:val="en-US"/>
        </w:rPr>
        <w:t xml:space="preserve"> society as a whole. </w:t>
      </w:r>
      <w:r w:rsidR="00984BB0" w:rsidRPr="00A53A81">
        <w:rPr>
          <w:rFonts w:cstheme="minorHAnsi"/>
          <w:sz w:val="24"/>
          <w:lang w:val="en-US"/>
        </w:rPr>
        <w:t>The requirement to allow third party access to facil</w:t>
      </w:r>
      <w:r w:rsidR="00BA3B87" w:rsidRPr="00A53A81">
        <w:rPr>
          <w:rFonts w:cstheme="minorHAnsi"/>
          <w:sz w:val="24"/>
          <w:lang w:val="en-US"/>
        </w:rPr>
        <w:t>ities is outlined in section 4-8</w:t>
      </w:r>
      <w:r w:rsidR="00984BB0" w:rsidRPr="00A53A81">
        <w:rPr>
          <w:rFonts w:cstheme="minorHAnsi"/>
          <w:sz w:val="24"/>
          <w:lang w:val="en-US"/>
        </w:rPr>
        <w:t xml:space="preserve"> of the </w:t>
      </w:r>
      <w:proofErr w:type="spellStart"/>
      <w:r w:rsidR="00984BB0" w:rsidRPr="00A53A81">
        <w:rPr>
          <w:rFonts w:cstheme="minorHAnsi"/>
          <w:sz w:val="24"/>
          <w:lang w:val="en-US"/>
        </w:rPr>
        <w:t>PAA</w:t>
      </w:r>
      <w:proofErr w:type="spellEnd"/>
      <w:r w:rsidR="00984BB0" w:rsidRPr="00A53A81">
        <w:rPr>
          <w:rFonts w:cstheme="minorHAnsi"/>
          <w:sz w:val="24"/>
          <w:lang w:val="en-US"/>
        </w:rPr>
        <w:t xml:space="preserve">: </w:t>
      </w:r>
    </w:p>
    <w:p w:rsidR="00476D54" w:rsidRPr="00A53A81" w:rsidRDefault="00476D54" w:rsidP="000C64F2">
      <w:pPr>
        <w:widowControl w:val="0"/>
        <w:autoSpaceDE w:val="0"/>
        <w:autoSpaceDN w:val="0"/>
        <w:adjustRightInd w:val="0"/>
        <w:spacing w:after="240"/>
        <w:ind w:left="709" w:right="804"/>
        <w:jc w:val="both"/>
        <w:rPr>
          <w:rFonts w:cstheme="minorHAnsi"/>
          <w:szCs w:val="20"/>
          <w:lang w:val="en-US"/>
        </w:rPr>
      </w:pPr>
      <w:r w:rsidRPr="00A53A81">
        <w:rPr>
          <w:rFonts w:cstheme="minorHAnsi"/>
          <w:szCs w:val="20"/>
          <w:lang w:val="en-US"/>
        </w:rPr>
        <w:t>The Ministry may decide that facilities comprised by Sections 4-2 and 4-3, and which are owned or used by a licensee, may be used by others, if so warranted by considerations for efficient operation or for the benefit of society, and the Ministry deems that such use would not constitute any</w:t>
      </w:r>
      <w:r w:rsidR="00D34161" w:rsidRPr="00A53A81">
        <w:rPr>
          <w:rFonts w:cstheme="minorHAnsi"/>
          <w:szCs w:val="20"/>
          <w:lang w:val="en-US"/>
        </w:rPr>
        <w:t xml:space="preserve"> </w:t>
      </w:r>
      <w:r w:rsidRPr="00A53A81">
        <w:rPr>
          <w:rFonts w:cstheme="minorHAnsi"/>
          <w:szCs w:val="20"/>
          <w:lang w:val="en-US"/>
        </w:rPr>
        <w:t xml:space="preserve">unreasonable detriment of the licensee’s own requirements or those of someone who has already been assured the right of use. Nevertheless, natural gas undertakings and eligible customers domiciled in an </w:t>
      </w:r>
      <w:proofErr w:type="spellStart"/>
      <w:r w:rsidRPr="00A53A81">
        <w:rPr>
          <w:rFonts w:cstheme="minorHAnsi"/>
          <w:szCs w:val="20"/>
          <w:lang w:val="en-US"/>
        </w:rPr>
        <w:t>EEA</w:t>
      </w:r>
      <w:proofErr w:type="spellEnd"/>
      <w:r w:rsidRPr="00A53A81">
        <w:rPr>
          <w:rFonts w:cstheme="minorHAnsi"/>
          <w:szCs w:val="20"/>
          <w:lang w:val="en-US"/>
        </w:rPr>
        <w:t xml:space="preserve"> State shall have a right of access to upstream pipeline networks, including facilities supplying technical services incidental to such access. The Ministry stipulates further rules in the form of regulations and may impose conditions and issue orders relating to such access in the individual case.</w:t>
      </w:r>
    </w:p>
    <w:p w:rsidR="00476D54" w:rsidRPr="00A53A81" w:rsidRDefault="00476D54" w:rsidP="000C64F2">
      <w:pPr>
        <w:widowControl w:val="0"/>
        <w:autoSpaceDE w:val="0"/>
        <w:autoSpaceDN w:val="0"/>
        <w:adjustRightInd w:val="0"/>
        <w:spacing w:after="240"/>
        <w:ind w:left="709" w:right="804"/>
        <w:jc w:val="both"/>
        <w:rPr>
          <w:rFonts w:cstheme="minorHAnsi"/>
          <w:szCs w:val="20"/>
          <w:lang w:val="en-US"/>
        </w:rPr>
      </w:pPr>
      <w:r w:rsidRPr="00A53A81">
        <w:rPr>
          <w:rFonts w:cstheme="minorHAnsi"/>
          <w:szCs w:val="20"/>
          <w:lang w:val="en-US"/>
        </w:rPr>
        <w:t>Any agreement on the use of facilities comprised by Sections 4-2 and 4-3 shall be submitted to the Ministry for approval unless otherwise decided by the Ministry. The Ministry may on approving an agreement according to the first sentence, or in the event that no such agreement is reached within a reasonable period of time, as well as in the case of an order according to the first paragraph, stipulate tariffs and other conditions or subsequently alter the conditions that have been agreed, approved or stipulated, in order to ensure that implementation of projects is carried out with due regard to considerations relating to resource management and providing the owner of the facility with a reasonable profit taking into account, among other things, investments and risks.</w:t>
      </w:r>
      <w:r w:rsidR="00C51C41" w:rsidRPr="00A53A81">
        <w:rPr>
          <w:rStyle w:val="FootnoteReference"/>
          <w:rFonts w:cstheme="minorHAnsi"/>
          <w:szCs w:val="20"/>
          <w:lang w:val="en-US"/>
        </w:rPr>
        <w:footnoteReference w:id="9"/>
      </w:r>
    </w:p>
    <w:p w:rsidR="00171AC8" w:rsidRDefault="00BA3B87" w:rsidP="000C64F2">
      <w:pPr>
        <w:jc w:val="both"/>
      </w:pPr>
      <w:r w:rsidRPr="00A53A81">
        <w:rPr>
          <w:sz w:val="24"/>
        </w:rPr>
        <w:t>When undertaking major project assessment and development, the Norwegian Government assesses existing facilities is and infrastruct</w:t>
      </w:r>
      <w:r w:rsidR="008545F8" w:rsidRPr="00A53A81">
        <w:rPr>
          <w:sz w:val="24"/>
        </w:rPr>
        <w:t xml:space="preserve">ure, ensuring that there is </w:t>
      </w:r>
      <w:r w:rsidR="008545F8" w:rsidRPr="00A53A81">
        <w:rPr>
          <w:sz w:val="24"/>
        </w:rPr>
        <w:lastRenderedPageBreak/>
        <w:t xml:space="preserve">no </w:t>
      </w:r>
      <w:r w:rsidRPr="00A53A81">
        <w:rPr>
          <w:sz w:val="24"/>
        </w:rPr>
        <w:t xml:space="preserve">duplication of facilities and that all </w:t>
      </w:r>
      <w:r w:rsidR="005F2F06" w:rsidRPr="00A53A81">
        <w:rPr>
          <w:sz w:val="24"/>
        </w:rPr>
        <w:t>licensees</w:t>
      </w:r>
      <w:r w:rsidR="008545F8" w:rsidRPr="00A53A81">
        <w:rPr>
          <w:sz w:val="24"/>
        </w:rPr>
        <w:t xml:space="preserve"> have access to appropriate infrastructure to ensure that the petroleum can be developed in a timely manner consistent with regulatory objectives. </w:t>
      </w:r>
    </w:p>
    <w:p w:rsidR="008545F8" w:rsidRDefault="008545F8" w:rsidP="000C64F2">
      <w:pPr>
        <w:pStyle w:val="Heading3"/>
      </w:pPr>
      <w:bookmarkStart w:id="20" w:name="_Toc232948485"/>
      <w:r>
        <w:t>Example of major project development and third party access to infrastructure</w:t>
      </w:r>
      <w:r w:rsidR="00DE4938">
        <w:t xml:space="preserve">: the Johan </w:t>
      </w:r>
      <w:r w:rsidR="00DE4938" w:rsidRPr="00E1263D">
        <w:t>Sverdrup</w:t>
      </w:r>
      <w:r w:rsidR="00DE4938">
        <w:t xml:space="preserve"> field in the North Sea</w:t>
      </w:r>
      <w:bookmarkEnd w:id="20"/>
    </w:p>
    <w:p w:rsidR="0016100A" w:rsidRPr="00A53A81" w:rsidRDefault="008545F8" w:rsidP="000C64F2">
      <w:pPr>
        <w:jc w:val="both"/>
        <w:rPr>
          <w:sz w:val="24"/>
        </w:rPr>
      </w:pPr>
      <w:r w:rsidRPr="00A53A81">
        <w:rPr>
          <w:sz w:val="24"/>
        </w:rPr>
        <w:t xml:space="preserve">The development of petroleum resources in the North Sea has occurred for the last forty years. As such, there is an </w:t>
      </w:r>
      <w:proofErr w:type="spellStart"/>
      <w:r w:rsidRPr="00A53A81">
        <w:rPr>
          <w:sz w:val="24"/>
        </w:rPr>
        <w:t>acknowledgement</w:t>
      </w:r>
      <w:proofErr w:type="spellEnd"/>
      <w:r w:rsidRPr="00A53A81">
        <w:rPr>
          <w:sz w:val="24"/>
        </w:rPr>
        <w:t xml:space="preserve"> that the infrastructure is ageing and will need to be upgraded or removed. Most fields in the area are ending their production life, and petroleum </w:t>
      </w:r>
      <w:r w:rsidR="00DE4938" w:rsidRPr="00A53A81">
        <w:rPr>
          <w:sz w:val="24"/>
        </w:rPr>
        <w:t xml:space="preserve">facilities are also approaching the end of their useful life. However, in 2010-11, </w:t>
      </w:r>
      <w:proofErr w:type="spellStart"/>
      <w:r w:rsidR="00DE4938" w:rsidRPr="00A53A81">
        <w:rPr>
          <w:sz w:val="24"/>
        </w:rPr>
        <w:t>Lundin</w:t>
      </w:r>
      <w:proofErr w:type="spellEnd"/>
      <w:r w:rsidR="00DE4938" w:rsidRPr="00A53A81">
        <w:rPr>
          <w:sz w:val="24"/>
        </w:rPr>
        <w:t xml:space="preserve"> Petroleum and Statoil </w:t>
      </w:r>
      <w:r w:rsidR="00E1263D" w:rsidRPr="00A53A81">
        <w:rPr>
          <w:sz w:val="24"/>
        </w:rPr>
        <w:t xml:space="preserve">discovered a major new field (the Johan Sverdrup) </w:t>
      </w:r>
      <w:r w:rsidR="00DE4938" w:rsidRPr="00A53A81">
        <w:rPr>
          <w:sz w:val="24"/>
        </w:rPr>
        <w:t xml:space="preserve">in two licence areas that had been surrendered in the </w:t>
      </w:r>
      <w:proofErr w:type="spellStart"/>
      <w:r w:rsidR="00DE4938" w:rsidRPr="00A53A81">
        <w:rPr>
          <w:sz w:val="24"/>
        </w:rPr>
        <w:t>1980s</w:t>
      </w:r>
      <w:proofErr w:type="spellEnd"/>
      <w:r w:rsidR="00DE4938" w:rsidRPr="00A53A81">
        <w:rPr>
          <w:sz w:val="24"/>
        </w:rPr>
        <w:t>.</w:t>
      </w:r>
      <w:r w:rsidRPr="00A53A81">
        <w:rPr>
          <w:sz w:val="24"/>
        </w:rPr>
        <w:t xml:space="preserve"> </w:t>
      </w:r>
      <w:r w:rsidR="00E1263D" w:rsidRPr="00A53A81">
        <w:rPr>
          <w:sz w:val="24"/>
        </w:rPr>
        <w:t>T</w:t>
      </w:r>
      <w:r w:rsidR="00DE4938" w:rsidRPr="00A53A81">
        <w:rPr>
          <w:sz w:val="24"/>
        </w:rPr>
        <w:t xml:space="preserve">his field was discovered as a result of the application of new technologies </w:t>
      </w:r>
      <w:r w:rsidR="00E1263D" w:rsidRPr="00A53A81">
        <w:rPr>
          <w:sz w:val="24"/>
        </w:rPr>
        <w:t xml:space="preserve">over </w:t>
      </w:r>
      <w:r w:rsidR="00A6260D" w:rsidRPr="00A53A81">
        <w:rPr>
          <w:sz w:val="24"/>
        </w:rPr>
        <w:t xml:space="preserve">previously explored areas. Nearby infrastructure is ageing, however without access to this infrastructure the economic viability of development of the field would be more marginal. Therefore, under the provisions of section 1-2 and 4-1 of the </w:t>
      </w:r>
      <w:proofErr w:type="spellStart"/>
      <w:r w:rsidR="00A6260D" w:rsidRPr="00A53A81">
        <w:rPr>
          <w:sz w:val="24"/>
        </w:rPr>
        <w:t>PAA</w:t>
      </w:r>
      <w:proofErr w:type="spellEnd"/>
      <w:r w:rsidR="00A6260D" w:rsidRPr="00A53A81">
        <w:rPr>
          <w:sz w:val="24"/>
        </w:rPr>
        <w:t xml:space="preserve">, the Norwegian Government </w:t>
      </w:r>
      <w:r w:rsidR="00E127ED" w:rsidRPr="00A53A81">
        <w:rPr>
          <w:sz w:val="24"/>
        </w:rPr>
        <w:t xml:space="preserve">will prioritise the development of the field, which is expected to </w:t>
      </w:r>
      <w:r w:rsidR="001403ED">
        <w:rPr>
          <w:sz w:val="24"/>
        </w:rPr>
        <w:t>be a multi-billion dollar investment</w:t>
      </w:r>
      <w:r w:rsidR="00E127ED" w:rsidRPr="00181539">
        <w:rPr>
          <w:sz w:val="24"/>
        </w:rPr>
        <w:t>. As part</w:t>
      </w:r>
      <w:r w:rsidR="00E127ED" w:rsidRPr="00A53A81">
        <w:rPr>
          <w:sz w:val="24"/>
        </w:rPr>
        <w:t xml:space="preserve"> of the development, there will be a requirement under section 4-8 of the </w:t>
      </w:r>
      <w:proofErr w:type="spellStart"/>
      <w:r w:rsidR="00E127ED" w:rsidRPr="00A53A81">
        <w:rPr>
          <w:sz w:val="24"/>
        </w:rPr>
        <w:t>PAA</w:t>
      </w:r>
      <w:proofErr w:type="spellEnd"/>
      <w:r w:rsidR="00E127ED" w:rsidRPr="00A53A81">
        <w:rPr>
          <w:sz w:val="24"/>
        </w:rPr>
        <w:t xml:space="preserve"> that other </w:t>
      </w:r>
      <w:r w:rsidR="0016100A" w:rsidRPr="00A53A81">
        <w:rPr>
          <w:sz w:val="24"/>
        </w:rPr>
        <w:t>platform and pipeline operators</w:t>
      </w:r>
      <w:r w:rsidR="00E127ED" w:rsidRPr="00A53A81">
        <w:rPr>
          <w:sz w:val="24"/>
        </w:rPr>
        <w:t xml:space="preserve"> will grant third party </w:t>
      </w:r>
      <w:r w:rsidR="0016100A" w:rsidRPr="00A53A81">
        <w:rPr>
          <w:sz w:val="24"/>
        </w:rPr>
        <w:t xml:space="preserve">access to the operator, Statoil. This third party access is necessary to </w:t>
      </w:r>
      <w:r w:rsidR="00E127ED" w:rsidRPr="00A53A81">
        <w:rPr>
          <w:sz w:val="24"/>
        </w:rPr>
        <w:t xml:space="preserve">ensure that the petroleum resources can be developed in a manner that is economically viable and efficient, with minimal environmental impact. </w:t>
      </w:r>
    </w:p>
    <w:p w:rsidR="008545F8" w:rsidRPr="008545F8" w:rsidRDefault="00E127ED" w:rsidP="000C64F2">
      <w:pPr>
        <w:jc w:val="both"/>
      </w:pPr>
      <w:r w:rsidRPr="00A53A81">
        <w:rPr>
          <w:sz w:val="24"/>
        </w:rPr>
        <w:t>This contrasts to</w:t>
      </w:r>
      <w:r w:rsidR="00B83CB5" w:rsidRPr="00A53A81">
        <w:rPr>
          <w:sz w:val="24"/>
        </w:rPr>
        <w:t xml:space="preserve"> </w:t>
      </w:r>
      <w:proofErr w:type="spellStart"/>
      <w:r w:rsidR="00B83CB5" w:rsidRPr="00A53A81">
        <w:rPr>
          <w:sz w:val="24"/>
        </w:rPr>
        <w:t>CSG</w:t>
      </w:r>
      <w:proofErr w:type="spellEnd"/>
      <w:r w:rsidR="00B83CB5" w:rsidRPr="00A53A81">
        <w:rPr>
          <w:sz w:val="24"/>
        </w:rPr>
        <w:t xml:space="preserve">-LNG </w:t>
      </w:r>
      <w:proofErr w:type="spellStart"/>
      <w:r w:rsidR="00B83CB5" w:rsidRPr="00A53A81">
        <w:rPr>
          <w:sz w:val="24"/>
        </w:rPr>
        <w:t>MPDAS</w:t>
      </w:r>
      <w:proofErr w:type="spellEnd"/>
      <w:r w:rsidR="00B83CB5" w:rsidRPr="00A53A81">
        <w:rPr>
          <w:sz w:val="24"/>
        </w:rPr>
        <w:t xml:space="preserve"> in Queensland, where at present there are </w:t>
      </w:r>
      <w:r w:rsidR="0061169D">
        <w:rPr>
          <w:sz w:val="24"/>
        </w:rPr>
        <w:t>four</w:t>
      </w:r>
      <w:r w:rsidR="00B83CB5" w:rsidRPr="00A53A81">
        <w:rPr>
          <w:sz w:val="24"/>
        </w:rPr>
        <w:t xml:space="preserve"> separate project proponents </w:t>
      </w:r>
      <w:r w:rsidR="001403ED">
        <w:rPr>
          <w:sz w:val="24"/>
        </w:rPr>
        <w:t xml:space="preserve">(Queensland Curtis LNG, </w:t>
      </w:r>
      <w:r w:rsidR="0061169D">
        <w:rPr>
          <w:sz w:val="24"/>
        </w:rPr>
        <w:t xml:space="preserve">Gladstone LNG, Arrow LNG and Australia Pacific LNG) </w:t>
      </w:r>
      <w:r w:rsidR="00B83CB5" w:rsidRPr="00A53A81">
        <w:rPr>
          <w:sz w:val="24"/>
        </w:rPr>
        <w:t xml:space="preserve">constructing pipelines and LNG processing facilities in Gladstone in order to process the coal seam gas originating from the central Queensland gas fields. </w:t>
      </w:r>
    </w:p>
    <w:p w:rsidR="00AE7A6E" w:rsidRDefault="00FC7F72" w:rsidP="000C64F2">
      <w:pPr>
        <w:pStyle w:val="Heading2"/>
      </w:pPr>
      <w:bookmarkStart w:id="21" w:name="_Toc232948486"/>
      <w:r>
        <w:t>Single operator for multiple facilities</w:t>
      </w:r>
      <w:bookmarkEnd w:id="21"/>
      <w:r w:rsidR="00AB43D0">
        <w:t xml:space="preserve"> - </w:t>
      </w:r>
    </w:p>
    <w:p w:rsidR="001126CA" w:rsidRPr="00A53A81" w:rsidRDefault="001126CA" w:rsidP="000C64F2">
      <w:pPr>
        <w:jc w:val="both"/>
        <w:rPr>
          <w:sz w:val="24"/>
        </w:rPr>
      </w:pPr>
      <w:r w:rsidRPr="00A53A81">
        <w:rPr>
          <w:sz w:val="24"/>
        </w:rPr>
        <w:t>In a</w:t>
      </w:r>
      <w:r w:rsidR="00FC7F72" w:rsidRPr="00A53A81">
        <w:rPr>
          <w:sz w:val="24"/>
        </w:rPr>
        <w:t xml:space="preserve">ddition to the capacity under the </w:t>
      </w:r>
      <w:r w:rsidR="0061169D">
        <w:rPr>
          <w:sz w:val="24"/>
        </w:rPr>
        <w:t xml:space="preserve">Norwegian </w:t>
      </w:r>
      <w:proofErr w:type="spellStart"/>
      <w:r w:rsidR="00FC7F72" w:rsidRPr="00A53A81">
        <w:rPr>
          <w:sz w:val="24"/>
        </w:rPr>
        <w:t>PDO</w:t>
      </w:r>
      <w:proofErr w:type="spellEnd"/>
      <w:r w:rsidR="00FC7F72" w:rsidRPr="00A53A81">
        <w:rPr>
          <w:sz w:val="24"/>
        </w:rPr>
        <w:t xml:space="preserve"> for pro</w:t>
      </w:r>
      <w:r w:rsidR="00CC55A7" w:rsidRPr="00A53A81">
        <w:rPr>
          <w:sz w:val="24"/>
        </w:rPr>
        <w:t>j</w:t>
      </w:r>
      <w:r w:rsidR="0061169D">
        <w:rPr>
          <w:sz w:val="24"/>
        </w:rPr>
        <w:t xml:space="preserve">ect development and assessment </w:t>
      </w:r>
      <w:r w:rsidR="00CC55A7" w:rsidRPr="00A53A81">
        <w:rPr>
          <w:sz w:val="24"/>
        </w:rPr>
        <w:t xml:space="preserve">the legal right to third party access to facilities, there is also provision under the Norwegian legal framework to grant a single operator overall responsibility for not only the petroleum producing facility, but also the associated </w:t>
      </w:r>
      <w:r w:rsidR="002C000C" w:rsidRPr="00A53A81">
        <w:rPr>
          <w:sz w:val="24"/>
        </w:rPr>
        <w:t>facilities, including pipelines and la</w:t>
      </w:r>
      <w:r w:rsidR="00370EC6" w:rsidRPr="00A53A81">
        <w:rPr>
          <w:sz w:val="24"/>
        </w:rPr>
        <w:t>nd based processing facilities:</w:t>
      </w:r>
    </w:p>
    <w:p w:rsidR="001126CA" w:rsidRPr="00A53A81" w:rsidRDefault="001126CA" w:rsidP="000C64F2">
      <w:pPr>
        <w:widowControl w:val="0"/>
        <w:autoSpaceDE w:val="0"/>
        <w:autoSpaceDN w:val="0"/>
        <w:adjustRightInd w:val="0"/>
        <w:spacing w:after="240"/>
        <w:ind w:left="851" w:right="1229"/>
        <w:jc w:val="both"/>
        <w:rPr>
          <w:rFonts w:cstheme="minorHAnsi"/>
          <w:sz w:val="24"/>
          <w:lang w:val="en-US"/>
        </w:rPr>
      </w:pPr>
      <w:r w:rsidRPr="00A53A81">
        <w:rPr>
          <w:rFonts w:cstheme="minorHAnsi"/>
          <w:sz w:val="24"/>
          <w:lang w:val="en-US"/>
        </w:rPr>
        <w:t>The Ministry may appoint someone to assume extended operator responsibility for the overall operation of upstream pipeline network and associated facilities, including undertake change of operator when warranted for particular reasons.</w:t>
      </w:r>
    </w:p>
    <w:p w:rsidR="001126CA" w:rsidRPr="00A53A81" w:rsidRDefault="001126CA" w:rsidP="000C64F2">
      <w:pPr>
        <w:widowControl w:val="0"/>
        <w:autoSpaceDE w:val="0"/>
        <w:autoSpaceDN w:val="0"/>
        <w:adjustRightInd w:val="0"/>
        <w:spacing w:after="240"/>
        <w:ind w:left="851" w:right="1229"/>
        <w:jc w:val="both"/>
        <w:rPr>
          <w:rFonts w:cstheme="minorHAnsi"/>
          <w:sz w:val="24"/>
          <w:lang w:val="en-US"/>
        </w:rPr>
      </w:pPr>
      <w:r w:rsidRPr="00A53A81">
        <w:rPr>
          <w:rFonts w:cstheme="minorHAnsi"/>
          <w:sz w:val="24"/>
          <w:lang w:val="en-US"/>
        </w:rPr>
        <w:t xml:space="preserve">The overall operation of upstream pipeline network and associated facilities shall be carried out in accordance with prudent technical and sound economic principles. Whoever has the extended operator responsibility as mentioned in the first </w:t>
      </w:r>
      <w:r w:rsidRPr="00A53A81">
        <w:rPr>
          <w:rFonts w:cstheme="minorHAnsi"/>
          <w:sz w:val="24"/>
          <w:lang w:val="en-US"/>
        </w:rPr>
        <w:lastRenderedPageBreak/>
        <w:t>paragraph, shall act in a neutral and non- discriminatory manner.</w:t>
      </w:r>
    </w:p>
    <w:p w:rsidR="001126CA" w:rsidRPr="00A53A81" w:rsidRDefault="001126CA" w:rsidP="000C64F2">
      <w:pPr>
        <w:widowControl w:val="0"/>
        <w:autoSpaceDE w:val="0"/>
        <w:autoSpaceDN w:val="0"/>
        <w:adjustRightInd w:val="0"/>
        <w:spacing w:after="240"/>
        <w:ind w:left="851" w:right="1229"/>
        <w:jc w:val="both"/>
        <w:rPr>
          <w:rFonts w:cstheme="minorHAnsi"/>
          <w:sz w:val="24"/>
          <w:lang w:val="en-US"/>
        </w:rPr>
      </w:pPr>
      <w:r w:rsidRPr="00A53A81">
        <w:rPr>
          <w:rFonts w:cstheme="minorHAnsi"/>
          <w:sz w:val="24"/>
          <w:lang w:val="en-US"/>
        </w:rPr>
        <w:t xml:space="preserve">The King may issue further rules relating to the responsibility as mentioned in the first and second paragraphs, including deciding that whoever has been assigned to assume this responsibility, shall also make decisions in respect of access to upstream pipeline network, and may order owners and users of upstream pipeline network and associated facilities and licensees of production </w:t>
      </w:r>
      <w:proofErr w:type="spellStart"/>
      <w:r w:rsidRPr="00A53A81">
        <w:rPr>
          <w:rFonts w:cstheme="minorHAnsi"/>
          <w:sz w:val="24"/>
          <w:lang w:val="en-US"/>
        </w:rPr>
        <w:t>licences</w:t>
      </w:r>
      <w:proofErr w:type="spellEnd"/>
      <w:r w:rsidRPr="00A53A81">
        <w:rPr>
          <w:rFonts w:cstheme="minorHAnsi"/>
          <w:sz w:val="24"/>
          <w:lang w:val="en-US"/>
        </w:rPr>
        <w:t xml:space="preserve"> where petroleum is produced, to adapt their activities. Such order might be given to ensure prudent resource management and efficient operation of the of upstream pipeline network in question.</w:t>
      </w:r>
      <w:r w:rsidR="00370EC6" w:rsidRPr="00A53A81">
        <w:rPr>
          <w:rStyle w:val="FootnoteReference"/>
          <w:rFonts w:cstheme="minorHAnsi"/>
          <w:sz w:val="24"/>
          <w:lang w:val="en-US"/>
        </w:rPr>
        <w:footnoteReference w:id="10"/>
      </w:r>
    </w:p>
    <w:p w:rsidR="00AB43D0" w:rsidRDefault="00AB43D0" w:rsidP="00AB43D0">
      <w:pPr>
        <w:pStyle w:val="Heading3"/>
      </w:pPr>
      <w:r>
        <w:t xml:space="preserve">The example of </w:t>
      </w:r>
      <w:proofErr w:type="spellStart"/>
      <w:r>
        <w:t>Ormen</w:t>
      </w:r>
      <w:proofErr w:type="spellEnd"/>
      <w:r>
        <w:t xml:space="preserve"> Lange</w:t>
      </w:r>
    </w:p>
    <w:p w:rsidR="00AB43D0" w:rsidRDefault="0061169D" w:rsidP="000C64F2">
      <w:pPr>
        <w:jc w:val="both"/>
        <w:rPr>
          <w:sz w:val="24"/>
        </w:rPr>
      </w:pPr>
      <w:r>
        <w:rPr>
          <w:sz w:val="24"/>
        </w:rPr>
        <w:t>The integration of</w:t>
      </w:r>
      <w:r w:rsidR="002C000C" w:rsidRPr="00A53A81">
        <w:rPr>
          <w:sz w:val="24"/>
        </w:rPr>
        <w:t xml:space="preserve"> facilities into a single major pr</w:t>
      </w:r>
      <w:r w:rsidR="00AB43D0">
        <w:rPr>
          <w:sz w:val="24"/>
        </w:rPr>
        <w:t>oject development</w:t>
      </w:r>
      <w:r w:rsidR="00E46360" w:rsidRPr="00A53A81">
        <w:rPr>
          <w:sz w:val="24"/>
        </w:rPr>
        <w:t xml:space="preserve"> considerably </w:t>
      </w:r>
      <w:r w:rsidR="00CA1398">
        <w:rPr>
          <w:sz w:val="24"/>
        </w:rPr>
        <w:t>reduces</w:t>
      </w:r>
      <w:r w:rsidR="002C000C" w:rsidRPr="00A53A81">
        <w:rPr>
          <w:sz w:val="24"/>
        </w:rPr>
        <w:t xml:space="preserve"> regulatory and approvals duplication. </w:t>
      </w:r>
    </w:p>
    <w:p w:rsidR="00AB43D0" w:rsidRDefault="00CB01C8" w:rsidP="000C64F2">
      <w:pPr>
        <w:jc w:val="both"/>
        <w:rPr>
          <w:sz w:val="24"/>
        </w:rPr>
      </w:pPr>
      <w:r w:rsidRPr="00A53A81">
        <w:rPr>
          <w:sz w:val="24"/>
        </w:rPr>
        <w:t xml:space="preserve">An </w:t>
      </w:r>
      <w:r w:rsidR="00E46360" w:rsidRPr="00A53A81">
        <w:rPr>
          <w:sz w:val="24"/>
        </w:rPr>
        <w:t>excellent example of this is the development of the</w:t>
      </w:r>
      <w:r w:rsidR="0013373B" w:rsidRPr="00A53A81">
        <w:rPr>
          <w:sz w:val="24"/>
        </w:rPr>
        <w:t xml:space="preserve"> giant</w:t>
      </w:r>
      <w:r w:rsidR="00E46360" w:rsidRPr="00A53A81">
        <w:rPr>
          <w:sz w:val="24"/>
        </w:rPr>
        <w:t xml:space="preserve"> </w:t>
      </w:r>
      <w:proofErr w:type="spellStart"/>
      <w:r w:rsidR="00E46360" w:rsidRPr="00A53A81">
        <w:rPr>
          <w:i/>
          <w:sz w:val="24"/>
        </w:rPr>
        <w:t>Ormen</w:t>
      </w:r>
      <w:proofErr w:type="spellEnd"/>
      <w:r w:rsidR="00E46360" w:rsidRPr="00A53A81">
        <w:rPr>
          <w:i/>
          <w:sz w:val="24"/>
        </w:rPr>
        <w:t xml:space="preserve"> Lange</w:t>
      </w:r>
      <w:r w:rsidR="00E46360" w:rsidRPr="00A53A81">
        <w:rPr>
          <w:sz w:val="24"/>
        </w:rPr>
        <w:t xml:space="preserve"> </w:t>
      </w:r>
      <w:r w:rsidR="0013373B" w:rsidRPr="00A53A81">
        <w:rPr>
          <w:sz w:val="24"/>
        </w:rPr>
        <w:t xml:space="preserve">gas </w:t>
      </w:r>
      <w:r w:rsidR="00E46360" w:rsidRPr="00A53A81">
        <w:rPr>
          <w:sz w:val="24"/>
        </w:rPr>
        <w:t>field</w:t>
      </w:r>
      <w:r w:rsidR="0013373B" w:rsidRPr="00A53A81">
        <w:rPr>
          <w:sz w:val="24"/>
        </w:rPr>
        <w:t xml:space="preserve"> in the Norwegian Sea. </w:t>
      </w:r>
      <w:r w:rsidR="000C0E3D" w:rsidRPr="00A53A81">
        <w:rPr>
          <w:sz w:val="24"/>
        </w:rPr>
        <w:t xml:space="preserve">This mega-project was </w:t>
      </w:r>
      <w:r w:rsidR="00AB43D0">
        <w:rPr>
          <w:sz w:val="24"/>
        </w:rPr>
        <w:t xml:space="preserve">developed </w:t>
      </w:r>
      <w:r w:rsidR="000C0E3D" w:rsidRPr="00A53A81">
        <w:rPr>
          <w:sz w:val="24"/>
        </w:rPr>
        <w:t xml:space="preserve">under a single </w:t>
      </w:r>
      <w:proofErr w:type="spellStart"/>
      <w:r w:rsidR="000C0E3D" w:rsidRPr="00A53A81">
        <w:rPr>
          <w:sz w:val="24"/>
        </w:rPr>
        <w:t>PDO</w:t>
      </w:r>
      <w:proofErr w:type="spellEnd"/>
      <w:r w:rsidR="000C0E3D" w:rsidRPr="00A53A81">
        <w:rPr>
          <w:sz w:val="24"/>
        </w:rPr>
        <w:t xml:space="preserve">, ensuring that all necessary approvals and </w:t>
      </w:r>
      <w:r w:rsidR="0013373B" w:rsidRPr="00A53A81">
        <w:rPr>
          <w:sz w:val="24"/>
        </w:rPr>
        <w:t>regulatory</w:t>
      </w:r>
      <w:r w:rsidR="000C0E3D" w:rsidRPr="00A53A81">
        <w:rPr>
          <w:sz w:val="24"/>
        </w:rPr>
        <w:t xml:space="preserve"> </w:t>
      </w:r>
      <w:r w:rsidR="0013373B" w:rsidRPr="00A53A81">
        <w:rPr>
          <w:sz w:val="24"/>
        </w:rPr>
        <w:t>requirements</w:t>
      </w:r>
      <w:r w:rsidR="000C0E3D" w:rsidRPr="00A53A81">
        <w:rPr>
          <w:sz w:val="24"/>
        </w:rPr>
        <w:t xml:space="preserve"> were encapsulated together as a single project, rather than each segment of the project (</w:t>
      </w:r>
      <w:r w:rsidR="005F2F06" w:rsidRPr="00A53A81">
        <w:rPr>
          <w:sz w:val="24"/>
        </w:rPr>
        <w:t>i.e.</w:t>
      </w:r>
      <w:r w:rsidR="000C0E3D" w:rsidRPr="00A53A81">
        <w:rPr>
          <w:sz w:val="24"/>
        </w:rPr>
        <w:t xml:space="preserve"> gas </w:t>
      </w:r>
      <w:r w:rsidR="002658AD" w:rsidRPr="00A53A81">
        <w:rPr>
          <w:sz w:val="24"/>
        </w:rPr>
        <w:t>processing</w:t>
      </w:r>
      <w:r w:rsidR="000C0E3D" w:rsidRPr="00A53A81">
        <w:rPr>
          <w:sz w:val="24"/>
        </w:rPr>
        <w:t xml:space="preserve"> facility, pipeline</w:t>
      </w:r>
      <w:r w:rsidR="0013373B" w:rsidRPr="00A53A81">
        <w:rPr>
          <w:sz w:val="24"/>
        </w:rPr>
        <w:t>s</w:t>
      </w:r>
      <w:r w:rsidR="000C0E3D" w:rsidRPr="00A53A81">
        <w:rPr>
          <w:sz w:val="24"/>
        </w:rPr>
        <w:t xml:space="preserve">, </w:t>
      </w:r>
      <w:r w:rsidR="0013373B" w:rsidRPr="00A53A81">
        <w:rPr>
          <w:sz w:val="24"/>
        </w:rPr>
        <w:t xml:space="preserve">and </w:t>
      </w:r>
      <w:r w:rsidR="000C0E3D" w:rsidRPr="00A53A81">
        <w:rPr>
          <w:sz w:val="24"/>
        </w:rPr>
        <w:t>production platform</w:t>
      </w:r>
      <w:r w:rsidR="002658AD" w:rsidRPr="00A53A81">
        <w:rPr>
          <w:sz w:val="24"/>
        </w:rPr>
        <w:t>).</w:t>
      </w:r>
      <w:r w:rsidR="00D91421" w:rsidRPr="00A53A81">
        <w:rPr>
          <w:sz w:val="24"/>
        </w:rPr>
        <w:t xml:space="preserve"> </w:t>
      </w:r>
      <w:r w:rsidR="00AB43D0" w:rsidRPr="00A53A81">
        <w:rPr>
          <w:sz w:val="24"/>
        </w:rPr>
        <w:t xml:space="preserve">The </w:t>
      </w:r>
      <w:proofErr w:type="spellStart"/>
      <w:r w:rsidR="00AB43D0">
        <w:rPr>
          <w:sz w:val="24"/>
        </w:rPr>
        <w:t>PDO</w:t>
      </w:r>
      <w:proofErr w:type="spellEnd"/>
      <w:r w:rsidR="00AB43D0" w:rsidRPr="00A53A81">
        <w:rPr>
          <w:sz w:val="24"/>
        </w:rPr>
        <w:t xml:space="preserve"> comprised</w:t>
      </w:r>
      <w:r w:rsidR="00AB43D0">
        <w:rPr>
          <w:sz w:val="24"/>
        </w:rPr>
        <w:t xml:space="preserve"> two sub-projects: </w:t>
      </w:r>
      <w:r w:rsidR="00AB43D0" w:rsidRPr="00A53A81">
        <w:rPr>
          <w:sz w:val="24"/>
        </w:rPr>
        <w:t xml:space="preserve"> the </w:t>
      </w:r>
      <w:r w:rsidR="00AB43D0">
        <w:rPr>
          <w:sz w:val="24"/>
        </w:rPr>
        <w:t xml:space="preserve">subsea </w:t>
      </w:r>
      <w:r w:rsidR="00AB43D0" w:rsidRPr="00A53A81">
        <w:rPr>
          <w:sz w:val="24"/>
        </w:rPr>
        <w:t xml:space="preserve">production facilities, </w:t>
      </w:r>
      <w:r w:rsidR="00AB43D0">
        <w:rPr>
          <w:sz w:val="24"/>
        </w:rPr>
        <w:t>and the</w:t>
      </w:r>
      <w:r w:rsidR="00AB43D0" w:rsidRPr="00A53A81">
        <w:rPr>
          <w:sz w:val="24"/>
        </w:rPr>
        <w:t xml:space="preserve"> </w:t>
      </w:r>
      <w:proofErr w:type="spellStart"/>
      <w:r w:rsidR="00AB43D0" w:rsidRPr="00A53A81">
        <w:rPr>
          <w:sz w:val="24"/>
        </w:rPr>
        <w:t>Nyhanma</w:t>
      </w:r>
      <w:proofErr w:type="spellEnd"/>
      <w:r w:rsidR="00AB43D0" w:rsidRPr="00A53A81">
        <w:rPr>
          <w:sz w:val="24"/>
        </w:rPr>
        <w:t xml:space="preserve"> gas processing facility.</w:t>
      </w:r>
    </w:p>
    <w:p w:rsidR="00E9709A" w:rsidRDefault="00E9709A" w:rsidP="000C64F2">
      <w:pPr>
        <w:jc w:val="both"/>
        <w:rPr>
          <w:sz w:val="24"/>
        </w:rPr>
      </w:pPr>
      <w:r>
        <w:rPr>
          <w:sz w:val="24"/>
        </w:rPr>
        <w:t xml:space="preserve">The </w:t>
      </w:r>
      <w:proofErr w:type="spellStart"/>
      <w:r>
        <w:rPr>
          <w:sz w:val="24"/>
        </w:rPr>
        <w:t>Ormen</w:t>
      </w:r>
      <w:proofErr w:type="spellEnd"/>
      <w:r>
        <w:rPr>
          <w:sz w:val="24"/>
        </w:rPr>
        <w:t xml:space="preserve"> </w:t>
      </w:r>
      <w:r w:rsidR="004B44C0">
        <w:rPr>
          <w:sz w:val="24"/>
        </w:rPr>
        <w:t xml:space="preserve">Lange </w:t>
      </w:r>
      <w:proofErr w:type="spellStart"/>
      <w:r w:rsidR="004B44C0">
        <w:rPr>
          <w:sz w:val="24"/>
        </w:rPr>
        <w:t>PDO</w:t>
      </w:r>
      <w:proofErr w:type="spellEnd"/>
      <w:r w:rsidR="004B44C0">
        <w:rPr>
          <w:sz w:val="24"/>
        </w:rPr>
        <w:t xml:space="preserve"> also contained </w:t>
      </w:r>
      <w:r>
        <w:rPr>
          <w:sz w:val="24"/>
        </w:rPr>
        <w:t xml:space="preserve">the </w:t>
      </w:r>
      <w:proofErr w:type="spellStart"/>
      <w:r>
        <w:rPr>
          <w:sz w:val="24"/>
        </w:rPr>
        <w:t>PIO</w:t>
      </w:r>
      <w:proofErr w:type="spellEnd"/>
      <w:r>
        <w:rPr>
          <w:sz w:val="24"/>
        </w:rPr>
        <w:t xml:space="preserve"> </w:t>
      </w:r>
      <w:r w:rsidR="00AD139D">
        <w:rPr>
          <w:sz w:val="24"/>
        </w:rPr>
        <w:t xml:space="preserve">for the pipeline of the produced gas from </w:t>
      </w:r>
      <w:proofErr w:type="spellStart"/>
      <w:r w:rsidR="00AD139D">
        <w:rPr>
          <w:sz w:val="24"/>
        </w:rPr>
        <w:t>Ormen</w:t>
      </w:r>
      <w:proofErr w:type="spellEnd"/>
      <w:r w:rsidR="00AD139D">
        <w:rPr>
          <w:sz w:val="24"/>
        </w:rPr>
        <w:t xml:space="preserve"> Lange to </w:t>
      </w:r>
      <w:proofErr w:type="spellStart"/>
      <w:r w:rsidR="00AD139D">
        <w:rPr>
          <w:sz w:val="24"/>
        </w:rPr>
        <w:t>Nyhanma</w:t>
      </w:r>
      <w:proofErr w:type="spellEnd"/>
      <w:r w:rsidR="00AD139D">
        <w:rPr>
          <w:sz w:val="24"/>
        </w:rPr>
        <w:t xml:space="preserve">, and the </w:t>
      </w:r>
      <w:proofErr w:type="spellStart"/>
      <w:r w:rsidR="00AD139D">
        <w:rPr>
          <w:sz w:val="24"/>
        </w:rPr>
        <w:t>Langeled</w:t>
      </w:r>
      <w:proofErr w:type="spellEnd"/>
      <w:r w:rsidR="00AD139D">
        <w:rPr>
          <w:sz w:val="24"/>
        </w:rPr>
        <w:t xml:space="preserve"> </w:t>
      </w:r>
      <w:r w:rsidR="004B44C0">
        <w:rPr>
          <w:sz w:val="24"/>
        </w:rPr>
        <w:t>pipeline</w:t>
      </w:r>
      <w:r w:rsidR="00AD139D">
        <w:rPr>
          <w:sz w:val="24"/>
        </w:rPr>
        <w:t xml:space="preserve"> from </w:t>
      </w:r>
      <w:proofErr w:type="spellStart"/>
      <w:r w:rsidR="00AD139D">
        <w:rPr>
          <w:sz w:val="24"/>
        </w:rPr>
        <w:t>Nyhanma</w:t>
      </w:r>
      <w:proofErr w:type="spellEnd"/>
      <w:r w:rsidR="00AD139D">
        <w:rPr>
          <w:sz w:val="24"/>
        </w:rPr>
        <w:t xml:space="preserve"> (Norway) to Easington in the UK.</w:t>
      </w:r>
    </w:p>
    <w:p w:rsidR="00016B08" w:rsidRDefault="00016B08" w:rsidP="000C64F2">
      <w:pPr>
        <w:jc w:val="both"/>
        <w:rPr>
          <w:sz w:val="24"/>
        </w:rPr>
      </w:pPr>
      <w:r>
        <w:rPr>
          <w:sz w:val="24"/>
        </w:rPr>
        <w:t xml:space="preserve">A number of </w:t>
      </w:r>
      <w:r w:rsidR="00AD139D">
        <w:rPr>
          <w:sz w:val="24"/>
        </w:rPr>
        <w:t>excellent</w:t>
      </w:r>
      <w:r>
        <w:rPr>
          <w:sz w:val="24"/>
        </w:rPr>
        <w:t xml:space="preserve"> resources regarding the </w:t>
      </w:r>
      <w:proofErr w:type="spellStart"/>
      <w:r>
        <w:rPr>
          <w:sz w:val="24"/>
        </w:rPr>
        <w:t>Ormen</w:t>
      </w:r>
      <w:proofErr w:type="spellEnd"/>
      <w:r>
        <w:rPr>
          <w:sz w:val="24"/>
        </w:rPr>
        <w:t xml:space="preserve"> Lange Project</w:t>
      </w:r>
      <w:r w:rsidR="00AB43D0">
        <w:rPr>
          <w:sz w:val="24"/>
        </w:rPr>
        <w:t xml:space="preserve"> and how the project was </w:t>
      </w:r>
      <w:r w:rsidR="00333513">
        <w:rPr>
          <w:sz w:val="24"/>
        </w:rPr>
        <w:t xml:space="preserve">developed under a single </w:t>
      </w:r>
      <w:proofErr w:type="spellStart"/>
      <w:r w:rsidR="00333513">
        <w:rPr>
          <w:sz w:val="24"/>
        </w:rPr>
        <w:t>PDO</w:t>
      </w:r>
      <w:proofErr w:type="spellEnd"/>
      <w:r>
        <w:rPr>
          <w:sz w:val="24"/>
        </w:rPr>
        <w:t xml:space="preserve"> are included below: </w:t>
      </w:r>
    </w:p>
    <w:p w:rsidR="00822212" w:rsidRPr="004B44C0" w:rsidRDefault="00D147D3" w:rsidP="00016B08">
      <w:pPr>
        <w:pStyle w:val="ListParagraph"/>
        <w:numPr>
          <w:ilvl w:val="0"/>
          <w:numId w:val="17"/>
        </w:numPr>
        <w:jc w:val="both"/>
      </w:pPr>
      <w:hyperlink r:id="rId12" w:history="1">
        <w:r w:rsidR="00016B08" w:rsidRPr="004B44C0">
          <w:rPr>
            <w:rStyle w:val="Hyperlink"/>
          </w:rPr>
          <w:t>http://</w:t>
        </w:r>
        <w:proofErr w:type="spellStart"/>
        <w:r w:rsidR="00016B08" w:rsidRPr="004B44C0">
          <w:rPr>
            <w:rStyle w:val="Hyperlink"/>
          </w:rPr>
          <w:t>www.igu.org</w:t>
        </w:r>
        <w:proofErr w:type="spellEnd"/>
        <w:r w:rsidR="00016B08" w:rsidRPr="004B44C0">
          <w:rPr>
            <w:rStyle w:val="Hyperlink"/>
          </w:rPr>
          <w:t>/html/</w:t>
        </w:r>
        <w:proofErr w:type="spellStart"/>
        <w:r w:rsidR="00016B08" w:rsidRPr="004B44C0">
          <w:rPr>
            <w:rStyle w:val="Hyperlink"/>
          </w:rPr>
          <w:t>wgc2006</w:t>
        </w:r>
        <w:proofErr w:type="spellEnd"/>
        <w:r w:rsidR="00016B08" w:rsidRPr="004B44C0">
          <w:rPr>
            <w:rStyle w:val="Hyperlink"/>
          </w:rPr>
          <w:t>/</w:t>
        </w:r>
        <w:proofErr w:type="spellStart"/>
        <w:r w:rsidR="00016B08" w:rsidRPr="004B44C0">
          <w:rPr>
            <w:rStyle w:val="Hyperlink"/>
          </w:rPr>
          <w:t>pdf</w:t>
        </w:r>
        <w:proofErr w:type="spellEnd"/>
        <w:r w:rsidR="00016B08" w:rsidRPr="004B44C0">
          <w:rPr>
            <w:rStyle w:val="Hyperlink"/>
          </w:rPr>
          <w:t>/paper/</w:t>
        </w:r>
        <w:proofErr w:type="spellStart"/>
        <w:r w:rsidR="00016B08" w:rsidRPr="004B44C0">
          <w:rPr>
            <w:rStyle w:val="Hyperlink"/>
          </w:rPr>
          <w:t>add21361.pdf</w:t>
        </w:r>
        <w:proofErr w:type="spellEnd"/>
      </w:hyperlink>
      <w:r w:rsidR="00016B08" w:rsidRPr="004B44C0">
        <w:t xml:space="preserve"> </w:t>
      </w:r>
    </w:p>
    <w:p w:rsidR="00016B08" w:rsidRPr="004B44C0" w:rsidRDefault="00D147D3" w:rsidP="00016B08">
      <w:pPr>
        <w:pStyle w:val="ListParagraph"/>
        <w:numPr>
          <w:ilvl w:val="0"/>
          <w:numId w:val="17"/>
        </w:numPr>
        <w:jc w:val="both"/>
      </w:pPr>
      <w:hyperlink r:id="rId13" w:history="1">
        <w:r w:rsidR="00016B08" w:rsidRPr="004B44C0">
          <w:rPr>
            <w:rStyle w:val="Hyperlink"/>
          </w:rPr>
          <w:t>http://www.uio.no/studier/emner/matnat/math/MEK4450/h11/undervisningsmateriale/modul-1/2%20-%20Field%20development.pdf</w:t>
        </w:r>
      </w:hyperlink>
      <w:r w:rsidR="00016B08" w:rsidRPr="004B44C0">
        <w:t xml:space="preserve"> </w:t>
      </w:r>
    </w:p>
    <w:p w:rsidR="004F3BB7" w:rsidRPr="004B44C0" w:rsidRDefault="00D147D3" w:rsidP="00016B08">
      <w:pPr>
        <w:pStyle w:val="ListParagraph"/>
        <w:numPr>
          <w:ilvl w:val="0"/>
          <w:numId w:val="17"/>
        </w:numPr>
        <w:jc w:val="both"/>
      </w:pPr>
      <w:hyperlink r:id="rId14" w:history="1">
        <w:r w:rsidR="004F3BB7" w:rsidRPr="004B44C0">
          <w:rPr>
            <w:rStyle w:val="Hyperlink"/>
          </w:rPr>
          <w:t>http://e-</w:t>
        </w:r>
        <w:proofErr w:type="spellStart"/>
        <w:r w:rsidR="004F3BB7" w:rsidRPr="004B44C0">
          <w:rPr>
            <w:rStyle w:val="Hyperlink"/>
          </w:rPr>
          <w:t>book.lib.sjtu.edu.cn</w:t>
        </w:r>
        <w:proofErr w:type="spellEnd"/>
        <w:r w:rsidR="004F3BB7" w:rsidRPr="004B44C0">
          <w:rPr>
            <w:rStyle w:val="Hyperlink"/>
          </w:rPr>
          <w:t>/</w:t>
        </w:r>
        <w:proofErr w:type="spellStart"/>
        <w:r w:rsidR="004F3BB7" w:rsidRPr="004B44C0">
          <w:rPr>
            <w:rStyle w:val="Hyperlink"/>
          </w:rPr>
          <w:t>otc</w:t>
        </w:r>
        <w:proofErr w:type="spellEnd"/>
        <w:r w:rsidR="004F3BB7" w:rsidRPr="004B44C0">
          <w:rPr>
            <w:rStyle w:val="Hyperlink"/>
          </w:rPr>
          <w:t>-2007/</w:t>
        </w:r>
        <w:proofErr w:type="spellStart"/>
        <w:r w:rsidR="004F3BB7" w:rsidRPr="004B44C0">
          <w:rPr>
            <w:rStyle w:val="Hyperlink"/>
          </w:rPr>
          <w:t>pdfs</w:t>
        </w:r>
        <w:proofErr w:type="spellEnd"/>
        <w:r w:rsidR="004F3BB7" w:rsidRPr="004B44C0">
          <w:rPr>
            <w:rStyle w:val="Hyperlink"/>
          </w:rPr>
          <w:t>/</w:t>
        </w:r>
        <w:proofErr w:type="spellStart"/>
        <w:r w:rsidR="004F3BB7" w:rsidRPr="004B44C0">
          <w:rPr>
            <w:rStyle w:val="Hyperlink"/>
          </w:rPr>
          <w:t>otc18971.pdf</w:t>
        </w:r>
        <w:proofErr w:type="spellEnd"/>
      </w:hyperlink>
      <w:r w:rsidR="004F3BB7" w:rsidRPr="004B44C0">
        <w:t xml:space="preserve"> </w:t>
      </w:r>
    </w:p>
    <w:p w:rsidR="004F3BB7" w:rsidRPr="004B44C0" w:rsidRDefault="00D147D3" w:rsidP="00016B08">
      <w:pPr>
        <w:pStyle w:val="ListParagraph"/>
        <w:numPr>
          <w:ilvl w:val="0"/>
          <w:numId w:val="17"/>
        </w:numPr>
        <w:jc w:val="both"/>
      </w:pPr>
      <w:hyperlink r:id="rId15" w:history="1">
        <w:r w:rsidR="004B44C0" w:rsidRPr="004B44C0">
          <w:rPr>
            <w:rStyle w:val="Hyperlink"/>
          </w:rPr>
          <w:t>http://www.navitas.no/site/img/366/Hydro_OrmenLange_Ulsteinvik_081105.pdf</w:t>
        </w:r>
      </w:hyperlink>
      <w:r w:rsidR="004B44C0" w:rsidRPr="004B44C0">
        <w:t xml:space="preserve"> </w:t>
      </w:r>
    </w:p>
    <w:p w:rsidR="00AE7A6E" w:rsidRDefault="00AE7A6E" w:rsidP="000C64F2">
      <w:pPr>
        <w:pStyle w:val="Heading1"/>
      </w:pPr>
      <w:bookmarkStart w:id="22" w:name="_Toc232948487"/>
      <w:r>
        <w:lastRenderedPageBreak/>
        <w:t>Major project dev</w:t>
      </w:r>
      <w:r w:rsidR="00171AC8">
        <w:t>elopment and approvals in Western Australia: Use of State agreem</w:t>
      </w:r>
      <w:r w:rsidR="002A6918">
        <w:t>e</w:t>
      </w:r>
      <w:r w:rsidR="00171AC8">
        <w:t>nts</w:t>
      </w:r>
      <w:bookmarkEnd w:id="22"/>
    </w:p>
    <w:p w:rsidR="00171AC8" w:rsidRDefault="00171AC8" w:rsidP="000C64F2">
      <w:pPr>
        <w:pStyle w:val="Heading2"/>
      </w:pPr>
      <w:bookmarkStart w:id="23" w:name="_Toc232948488"/>
      <w:r>
        <w:t>Overview of State agreements</w:t>
      </w:r>
      <w:bookmarkEnd w:id="23"/>
    </w:p>
    <w:p w:rsidR="00B854CE" w:rsidRPr="00FF246C" w:rsidRDefault="00D91421" w:rsidP="00D91421">
      <w:pPr>
        <w:jc w:val="both"/>
        <w:rPr>
          <w:sz w:val="24"/>
        </w:rPr>
      </w:pPr>
      <w:r w:rsidRPr="00FF246C">
        <w:rPr>
          <w:sz w:val="24"/>
        </w:rPr>
        <w:t>An excellent example of reduction of regulatory burden in the development and assessment of major projects is the use of State agreements in Western Australia.</w:t>
      </w:r>
      <w:r w:rsidR="00975F1C" w:rsidRPr="00FF246C">
        <w:rPr>
          <w:rStyle w:val="FootnoteReference"/>
          <w:sz w:val="24"/>
        </w:rPr>
        <w:footnoteReference w:id="11"/>
      </w:r>
      <w:r w:rsidRPr="00FF246C">
        <w:rPr>
          <w:sz w:val="24"/>
        </w:rPr>
        <w:t xml:space="preserve"> </w:t>
      </w:r>
      <w:r w:rsidR="00B854CE" w:rsidRPr="00FF246C">
        <w:rPr>
          <w:rStyle w:val="apple-style-span"/>
          <w:color w:val="000000"/>
          <w:sz w:val="24"/>
          <w:szCs w:val="26"/>
        </w:rPr>
        <w:t>State Agreements are contracts between the Government of Western Australia and proponents of major resource projects (both mining and petroleum, onshore and offshore). They are ratified by an Act of the State Parliament.</w:t>
      </w:r>
      <w:r w:rsidR="00B854CE" w:rsidRPr="00FF246C">
        <w:rPr>
          <w:rStyle w:val="FootnoteReference"/>
          <w:color w:val="000000"/>
          <w:sz w:val="24"/>
          <w:szCs w:val="26"/>
        </w:rPr>
        <w:footnoteReference w:id="12"/>
      </w:r>
      <w:r w:rsidR="00B854CE" w:rsidRPr="00FF246C">
        <w:rPr>
          <w:rStyle w:val="apple-style-span"/>
          <w:color w:val="000000"/>
          <w:sz w:val="24"/>
          <w:szCs w:val="26"/>
        </w:rPr>
        <w:t xml:space="preserve"> They specify the rights, obligations, terms and conditions for development of the project and establish a framework for ongoing relations and cooperation between the State and the </w:t>
      </w:r>
      <w:r w:rsidR="00B854CE" w:rsidRPr="00FF246C">
        <w:rPr>
          <w:sz w:val="24"/>
        </w:rPr>
        <w:t>companies developing the petroleum</w:t>
      </w:r>
      <w:r w:rsidR="00B854CE" w:rsidRPr="00FF246C">
        <w:rPr>
          <w:rStyle w:val="apple-style-span"/>
          <w:color w:val="000000"/>
          <w:sz w:val="24"/>
          <w:szCs w:val="26"/>
        </w:rPr>
        <w:t>.</w:t>
      </w:r>
      <w:r w:rsidR="00B854CE" w:rsidRPr="00FF246C">
        <w:rPr>
          <w:rStyle w:val="FootnoteReference"/>
          <w:sz w:val="24"/>
          <w:szCs w:val="26"/>
        </w:rPr>
        <w:footnoteReference w:id="13"/>
      </w:r>
      <w:r w:rsidR="00B854CE" w:rsidRPr="00FF246C">
        <w:rPr>
          <w:sz w:val="24"/>
          <w:szCs w:val="26"/>
        </w:rPr>
        <w:t xml:space="preserve"> </w:t>
      </w:r>
      <w:r w:rsidR="00B854CE" w:rsidRPr="00FF246C">
        <w:rPr>
          <w:sz w:val="24"/>
        </w:rPr>
        <w:t>Rather than a regulatory tool for resource development, State Agreements are a facilitating mechanism, ensuring development of specific long-term projects through a negotiated agreement to ensure long-term certainty, land tenure and complex approvals. They are utilised to provide greater certainty to the project, security of tenure, and reduce sovereign risk for investors.</w:t>
      </w:r>
      <w:r w:rsidR="00B854CE" w:rsidRPr="00FF246C">
        <w:rPr>
          <w:rStyle w:val="FootnoteReference"/>
          <w:sz w:val="24"/>
        </w:rPr>
        <w:footnoteReference w:id="14"/>
      </w:r>
    </w:p>
    <w:p w:rsidR="00B854CE" w:rsidRPr="00FF246C" w:rsidRDefault="00B854CE" w:rsidP="000C64F2">
      <w:pPr>
        <w:pStyle w:val="Default"/>
        <w:spacing w:before="60" w:after="60" w:line="276" w:lineRule="auto"/>
        <w:jc w:val="both"/>
        <w:rPr>
          <w:rFonts w:asciiTheme="minorHAnsi" w:hAnsiTheme="minorHAnsi" w:cstheme="minorHAnsi"/>
          <w:szCs w:val="22"/>
        </w:rPr>
      </w:pPr>
      <w:r w:rsidRPr="00FF246C">
        <w:rPr>
          <w:rFonts w:asciiTheme="minorHAnsi" w:hAnsiTheme="minorHAnsi" w:cstheme="minorHAnsi"/>
          <w:szCs w:val="22"/>
        </w:rPr>
        <w:t>When entering into a State Agreement, the Western Australian government seeks to satisfy several objectives. Primarily, the objective is to facilitate the efficient and effective development of Western Australia’s petroleum resources.</w:t>
      </w:r>
      <w:r w:rsidRPr="00FF246C">
        <w:rPr>
          <w:rStyle w:val="FootnoteReference"/>
          <w:rFonts w:asciiTheme="minorHAnsi" w:hAnsiTheme="minorHAnsi" w:cstheme="minorHAnsi"/>
          <w:szCs w:val="22"/>
        </w:rPr>
        <w:footnoteReference w:id="15"/>
      </w:r>
      <w:r w:rsidRPr="00FF246C">
        <w:rPr>
          <w:rFonts w:asciiTheme="minorHAnsi" w:hAnsiTheme="minorHAnsi" w:cstheme="minorHAnsi"/>
          <w:szCs w:val="22"/>
        </w:rPr>
        <w:t xml:space="preserve"> This includes managing the development by ensuring it is consistent with state policies on issues such as land use, conservation, competition, and infrastructure.</w:t>
      </w:r>
      <w:r w:rsidRPr="00FF246C">
        <w:rPr>
          <w:rStyle w:val="FootnoteReference"/>
          <w:rFonts w:asciiTheme="minorHAnsi" w:hAnsiTheme="minorHAnsi" w:cstheme="minorHAnsi"/>
          <w:szCs w:val="22"/>
        </w:rPr>
        <w:footnoteReference w:id="16"/>
      </w:r>
      <w:r w:rsidRPr="00FF246C">
        <w:rPr>
          <w:rFonts w:asciiTheme="minorHAnsi" w:hAnsiTheme="minorHAnsi" w:cstheme="minorHAnsi"/>
          <w:szCs w:val="22"/>
        </w:rPr>
        <w:t xml:space="preserve"> However, the government also seeks to ensure that the resource development provides economic and social benefits for the Western Australian community.</w:t>
      </w:r>
      <w:r w:rsidRPr="00FF246C">
        <w:rPr>
          <w:rStyle w:val="FootnoteReference"/>
          <w:rFonts w:asciiTheme="minorHAnsi" w:hAnsiTheme="minorHAnsi" w:cstheme="minorHAnsi"/>
          <w:szCs w:val="22"/>
        </w:rPr>
        <w:footnoteReference w:id="17"/>
      </w:r>
      <w:r w:rsidRPr="00FF246C">
        <w:rPr>
          <w:rFonts w:asciiTheme="minorHAnsi" w:hAnsiTheme="minorHAnsi" w:cstheme="minorHAnsi"/>
          <w:szCs w:val="22"/>
        </w:rPr>
        <w:t xml:space="preserve"> </w:t>
      </w:r>
    </w:p>
    <w:p w:rsidR="00B854CE" w:rsidRPr="00FF246C" w:rsidRDefault="00B854CE" w:rsidP="000C64F2">
      <w:pPr>
        <w:spacing w:before="60" w:after="60"/>
        <w:jc w:val="both"/>
        <w:rPr>
          <w:sz w:val="24"/>
          <w:szCs w:val="26"/>
        </w:rPr>
      </w:pPr>
      <w:r w:rsidRPr="00FF246C">
        <w:rPr>
          <w:sz w:val="24"/>
          <w:szCs w:val="26"/>
        </w:rPr>
        <w:t>Western Australian State Agreements generally operate thro</w:t>
      </w:r>
      <w:r w:rsidR="00201983">
        <w:rPr>
          <w:sz w:val="24"/>
          <w:szCs w:val="26"/>
        </w:rPr>
        <w:t xml:space="preserve">ughout the life of the project. They are statutory agreements that have been passes by the Western Australian parliament. </w:t>
      </w:r>
      <w:r w:rsidRPr="00FF246C">
        <w:rPr>
          <w:sz w:val="24"/>
          <w:szCs w:val="26"/>
        </w:rPr>
        <w:t xml:space="preserve">To this end, there are provisions in the State Agreements that deal with matters such as assignment, variation of </w:t>
      </w:r>
      <w:proofErr w:type="spellStart"/>
      <w:r w:rsidRPr="00FF246C">
        <w:rPr>
          <w:sz w:val="24"/>
          <w:szCs w:val="26"/>
        </w:rPr>
        <w:t>contractual</w:t>
      </w:r>
      <w:proofErr w:type="spellEnd"/>
      <w:r w:rsidRPr="00FF246C">
        <w:rPr>
          <w:sz w:val="24"/>
          <w:szCs w:val="26"/>
        </w:rPr>
        <w:t xml:space="preserve"> provisions, and </w:t>
      </w:r>
      <w:r w:rsidRPr="00FF246C">
        <w:rPr>
          <w:i/>
          <w:sz w:val="24"/>
          <w:szCs w:val="26"/>
        </w:rPr>
        <w:t>force majeure</w:t>
      </w:r>
      <w:r w:rsidRPr="00FF246C">
        <w:rPr>
          <w:sz w:val="24"/>
          <w:szCs w:val="26"/>
        </w:rPr>
        <w:t>. Provisions are also included for the submission of additional proposals if the joint venturers wish to modify, expand or vary the project. It is important to note that only the JV parties can alter the terms of the project, since the State Agreement does not give the Western Australian government the right to alter the project proposal once it has been approved by the parliament.</w:t>
      </w:r>
    </w:p>
    <w:p w:rsidR="00B854CE" w:rsidRPr="00FF246C" w:rsidRDefault="00B854CE" w:rsidP="000C64F2">
      <w:pPr>
        <w:spacing w:before="60" w:after="60"/>
        <w:jc w:val="both"/>
        <w:rPr>
          <w:sz w:val="24"/>
          <w:szCs w:val="26"/>
        </w:rPr>
      </w:pPr>
      <w:r w:rsidRPr="00FF246C">
        <w:rPr>
          <w:sz w:val="24"/>
          <w:szCs w:val="26"/>
        </w:rPr>
        <w:t xml:space="preserve">Although not compulsory, there is some indication that the Australian resources industry approves of State Agreements, particularly for large projects. This is indicated by the take-up rate of Western Australian State Agreements, which have been used for the last 40 years. Currently, state agreements are utilised in over 70% </w:t>
      </w:r>
      <w:r w:rsidRPr="00FF246C">
        <w:rPr>
          <w:sz w:val="24"/>
          <w:szCs w:val="26"/>
        </w:rPr>
        <w:lastRenderedPageBreak/>
        <w:t>of all major development projects in Western Australia, accounting for over $4 billion in processed minerals and energy production in Western Australia.</w:t>
      </w:r>
      <w:r w:rsidRPr="00FF246C">
        <w:rPr>
          <w:rStyle w:val="FootnoteReference"/>
          <w:sz w:val="24"/>
          <w:szCs w:val="26"/>
        </w:rPr>
        <w:footnoteReference w:id="18"/>
      </w:r>
      <w:r w:rsidRPr="00FF246C">
        <w:rPr>
          <w:sz w:val="24"/>
          <w:szCs w:val="26"/>
        </w:rPr>
        <w:t xml:space="preserve"> </w:t>
      </w:r>
    </w:p>
    <w:p w:rsidR="00171AC8" w:rsidRPr="00FF246C" w:rsidRDefault="00B854CE" w:rsidP="000C64F2">
      <w:pPr>
        <w:spacing w:before="60" w:after="60"/>
        <w:jc w:val="both"/>
        <w:rPr>
          <w:sz w:val="24"/>
          <w:szCs w:val="26"/>
        </w:rPr>
      </w:pPr>
      <w:r w:rsidRPr="00FF246C">
        <w:rPr>
          <w:sz w:val="24"/>
          <w:szCs w:val="26"/>
        </w:rPr>
        <w:t>The State Agreements reduce a large amount of regulatory burden for oil companies, since project approvals at state and federal level are fast tracked, as well as brought together under a single umbrella.</w:t>
      </w:r>
      <w:r w:rsidRPr="00FF246C">
        <w:rPr>
          <w:rStyle w:val="FootnoteReference"/>
          <w:sz w:val="24"/>
          <w:szCs w:val="26"/>
        </w:rPr>
        <w:footnoteReference w:id="19"/>
      </w:r>
      <w:r w:rsidRPr="00FF246C">
        <w:rPr>
          <w:sz w:val="24"/>
          <w:szCs w:val="26"/>
        </w:rPr>
        <w:t xml:space="preserve"> Once a State Agreement has been ratified by the Western Australian parliament, it is the only regulatory compliance document required for project development. This considerably reduces compliance burden and costs for oil companies, thus contributing to sustainable economic development of offshore petroleum resources. To date, State Agreements have been used in all major resources projects in Western Australia, including the North West Shelf Gas Project and the Barrow Island Gas Project, and include several international oil companies.</w:t>
      </w:r>
      <w:r w:rsidRPr="00FF246C">
        <w:rPr>
          <w:rStyle w:val="FootnoteReference"/>
          <w:sz w:val="24"/>
          <w:szCs w:val="26"/>
        </w:rPr>
        <w:footnoteReference w:id="20"/>
      </w:r>
    </w:p>
    <w:p w:rsidR="004C154A" w:rsidRDefault="00171AC8" w:rsidP="000C64F2">
      <w:pPr>
        <w:pStyle w:val="Heading2"/>
      </w:pPr>
      <w:bookmarkStart w:id="24" w:name="_Toc232948489"/>
      <w:r>
        <w:t>Use of State Agreements: Buru Energy in the Canning Basin</w:t>
      </w:r>
      <w:bookmarkEnd w:id="24"/>
      <w:r>
        <w:t xml:space="preserve"> </w:t>
      </w:r>
      <w:bookmarkEnd w:id="9"/>
    </w:p>
    <w:p w:rsidR="00D275B3" w:rsidRDefault="00F951E9" w:rsidP="00F951E9">
      <w:pPr>
        <w:jc w:val="both"/>
      </w:pPr>
      <w:r>
        <w:t xml:space="preserve">The use of state agreements for the development of major projects can be illustrated by the State Agreement concluded between Buru Energy and the Western Australian government </w:t>
      </w:r>
      <w:r w:rsidR="00B641E1">
        <w:t xml:space="preserve">in November 2012 </w:t>
      </w:r>
      <w:r>
        <w:t xml:space="preserve">to develop the vast </w:t>
      </w:r>
      <w:r w:rsidR="00EC5590">
        <w:t xml:space="preserve">shale gas resources in the Canning Basin. </w:t>
      </w:r>
    </w:p>
    <w:p w:rsidR="005E0A28" w:rsidRDefault="00E93030" w:rsidP="00F951E9">
      <w:pPr>
        <w:jc w:val="both"/>
        <w:rPr>
          <w:rFonts w:cstheme="minorHAnsi"/>
          <w:sz w:val="24"/>
          <w:szCs w:val="24"/>
          <w:lang w:val="en-US"/>
        </w:rPr>
      </w:pPr>
      <w:r w:rsidRPr="00E93030">
        <w:rPr>
          <w:rFonts w:cstheme="minorHAnsi"/>
          <w:sz w:val="24"/>
          <w:szCs w:val="24"/>
          <w:lang w:val="en-US"/>
        </w:rPr>
        <w:t>In November 2012 Buru Energy and the Mitsubishi Corporation</w:t>
      </w:r>
      <w:r w:rsidR="008B3E05">
        <w:rPr>
          <w:rFonts w:cstheme="minorHAnsi"/>
          <w:sz w:val="24"/>
          <w:szCs w:val="24"/>
          <w:lang w:val="en-US"/>
        </w:rPr>
        <w:t xml:space="preserve"> (the </w:t>
      </w:r>
      <w:proofErr w:type="spellStart"/>
      <w:r w:rsidR="008B3E05">
        <w:rPr>
          <w:rFonts w:cstheme="minorHAnsi"/>
          <w:sz w:val="24"/>
          <w:szCs w:val="24"/>
          <w:lang w:val="en-US"/>
        </w:rPr>
        <w:t>permitholders</w:t>
      </w:r>
      <w:proofErr w:type="spellEnd"/>
      <w:r w:rsidR="008B3E05">
        <w:rPr>
          <w:rFonts w:cstheme="minorHAnsi"/>
          <w:sz w:val="24"/>
          <w:szCs w:val="24"/>
          <w:lang w:val="en-US"/>
        </w:rPr>
        <w:t>)</w:t>
      </w:r>
      <w:r w:rsidRPr="00E93030">
        <w:rPr>
          <w:rFonts w:cstheme="minorHAnsi"/>
          <w:sz w:val="24"/>
          <w:szCs w:val="24"/>
          <w:lang w:val="en-US"/>
        </w:rPr>
        <w:t>, shale gas explorers in the Canning Basin, executed a State agreement governing the exploration and development of permit areas EP 371, 391, 431 and 436 in the Canni</w:t>
      </w:r>
      <w:r>
        <w:rPr>
          <w:rFonts w:cstheme="minorHAnsi"/>
          <w:sz w:val="24"/>
          <w:szCs w:val="24"/>
          <w:lang w:val="en-US"/>
        </w:rPr>
        <w:t xml:space="preserve">ng Basin. </w:t>
      </w:r>
      <w:r w:rsidRPr="00E93030">
        <w:rPr>
          <w:rFonts w:cstheme="minorHAnsi"/>
          <w:sz w:val="24"/>
          <w:szCs w:val="24"/>
          <w:lang w:val="en-US"/>
        </w:rPr>
        <w:t>The S</w:t>
      </w:r>
      <w:r w:rsidR="008B3E05">
        <w:rPr>
          <w:rFonts w:cstheme="minorHAnsi"/>
          <w:sz w:val="24"/>
          <w:szCs w:val="24"/>
          <w:lang w:val="en-US"/>
        </w:rPr>
        <w:t xml:space="preserve">tate </w:t>
      </w:r>
      <w:r w:rsidRPr="00E93030">
        <w:rPr>
          <w:rFonts w:cstheme="minorHAnsi"/>
          <w:sz w:val="24"/>
          <w:szCs w:val="24"/>
          <w:lang w:val="en-US"/>
        </w:rPr>
        <w:t>A</w:t>
      </w:r>
      <w:r w:rsidR="008B3E05">
        <w:rPr>
          <w:rFonts w:cstheme="minorHAnsi"/>
          <w:sz w:val="24"/>
          <w:szCs w:val="24"/>
          <w:lang w:val="en-US"/>
        </w:rPr>
        <w:t>greement</w:t>
      </w:r>
      <w:r w:rsidRPr="00E93030">
        <w:rPr>
          <w:rFonts w:cstheme="minorHAnsi"/>
          <w:sz w:val="24"/>
          <w:szCs w:val="24"/>
          <w:lang w:val="en-US"/>
        </w:rPr>
        <w:t xml:space="preserve"> provides the permit holders with a mechanism to relieve them from their existing relinquishment obligations for 25 years, with an option to e</w:t>
      </w:r>
      <w:r w:rsidR="008B3E05">
        <w:rPr>
          <w:rFonts w:cstheme="minorHAnsi"/>
          <w:sz w:val="24"/>
          <w:szCs w:val="24"/>
          <w:lang w:val="en-US"/>
        </w:rPr>
        <w:t xml:space="preserve">xtend for a further 25 years. </w:t>
      </w:r>
      <w:r w:rsidR="005E0A28">
        <w:rPr>
          <w:rFonts w:cstheme="minorHAnsi"/>
          <w:sz w:val="24"/>
          <w:szCs w:val="24"/>
          <w:lang w:val="en-US"/>
        </w:rPr>
        <w:t xml:space="preserve">It </w:t>
      </w:r>
      <w:r w:rsidRPr="00E93030">
        <w:rPr>
          <w:rFonts w:cstheme="minorHAnsi"/>
          <w:sz w:val="24"/>
          <w:szCs w:val="24"/>
          <w:lang w:val="en-US"/>
        </w:rPr>
        <w:t xml:space="preserve">also allows appraisal work for gas discoveries to be credited against ongoing work commitments in adjacent permit areas, enabling work programs to be </w:t>
      </w:r>
      <w:r w:rsidR="00AB43D0" w:rsidRPr="00E93030">
        <w:rPr>
          <w:rFonts w:cstheme="minorHAnsi"/>
          <w:sz w:val="24"/>
          <w:szCs w:val="24"/>
          <w:lang w:val="en-US"/>
        </w:rPr>
        <w:t>optimized</w:t>
      </w:r>
      <w:r w:rsidRPr="00E93030">
        <w:rPr>
          <w:rFonts w:cstheme="minorHAnsi"/>
          <w:sz w:val="24"/>
          <w:szCs w:val="24"/>
          <w:lang w:val="en-US"/>
        </w:rPr>
        <w:t xml:space="preserve"> for efficient and timely development of the gas resources</w:t>
      </w:r>
      <w:r w:rsidR="0059658B">
        <w:rPr>
          <w:rFonts w:cstheme="minorHAnsi"/>
          <w:sz w:val="24"/>
          <w:szCs w:val="24"/>
          <w:lang w:val="en-US"/>
        </w:rPr>
        <w:t xml:space="preserve"> in the Canning Basin</w:t>
      </w:r>
      <w:r w:rsidRPr="00E93030">
        <w:rPr>
          <w:rFonts w:cstheme="minorHAnsi"/>
          <w:sz w:val="24"/>
          <w:szCs w:val="24"/>
          <w:lang w:val="en-US"/>
        </w:rPr>
        <w:t xml:space="preserve">. </w:t>
      </w:r>
    </w:p>
    <w:p w:rsidR="00EC5590" w:rsidRPr="00E93030" w:rsidRDefault="00E93030" w:rsidP="00F951E9">
      <w:pPr>
        <w:jc w:val="both"/>
        <w:rPr>
          <w:rFonts w:cstheme="minorHAnsi"/>
          <w:sz w:val="24"/>
          <w:szCs w:val="24"/>
        </w:rPr>
      </w:pPr>
      <w:r w:rsidRPr="00E93030">
        <w:rPr>
          <w:rFonts w:cstheme="minorHAnsi"/>
          <w:sz w:val="24"/>
          <w:szCs w:val="24"/>
          <w:lang w:val="en-US"/>
        </w:rPr>
        <w:t>As part of the S</w:t>
      </w:r>
      <w:r w:rsidR="005E0A28">
        <w:rPr>
          <w:rFonts w:cstheme="minorHAnsi"/>
          <w:sz w:val="24"/>
          <w:szCs w:val="24"/>
          <w:lang w:val="en-US"/>
        </w:rPr>
        <w:t>tate Agreement</w:t>
      </w:r>
      <w:r w:rsidRPr="00E93030">
        <w:rPr>
          <w:rFonts w:cstheme="minorHAnsi"/>
          <w:sz w:val="24"/>
          <w:szCs w:val="24"/>
          <w:lang w:val="en-US"/>
        </w:rPr>
        <w:t>, th</w:t>
      </w:r>
      <w:r w:rsidR="005E0A28">
        <w:rPr>
          <w:rFonts w:cstheme="minorHAnsi"/>
          <w:sz w:val="24"/>
          <w:szCs w:val="24"/>
          <w:lang w:val="en-US"/>
        </w:rPr>
        <w:t>e WA Department of State D</w:t>
      </w:r>
      <w:r w:rsidRPr="00E93030">
        <w:rPr>
          <w:rFonts w:cstheme="minorHAnsi"/>
          <w:sz w:val="24"/>
          <w:szCs w:val="24"/>
          <w:lang w:val="en-US"/>
        </w:rPr>
        <w:t>evelopment will take a lead agency role in the development of infrastructure</w:t>
      </w:r>
      <w:r w:rsidR="0059658B">
        <w:rPr>
          <w:rFonts w:cstheme="minorHAnsi"/>
          <w:sz w:val="24"/>
          <w:szCs w:val="24"/>
          <w:lang w:val="en-US"/>
        </w:rPr>
        <w:t xml:space="preserve"> in the area,</w:t>
      </w:r>
      <w:r w:rsidRPr="00E93030">
        <w:rPr>
          <w:rFonts w:cstheme="minorHAnsi"/>
          <w:sz w:val="24"/>
          <w:szCs w:val="24"/>
          <w:lang w:val="en-US"/>
        </w:rPr>
        <w:t xml:space="preserve"> including the timely and effective approval of a domestic energy pipeline for WA, and the development and facilitation of the development of LNG facilities in the Pilbara region once sufficient domestic gas has been identified to sustain the domestic gas project.</w:t>
      </w:r>
      <w:r w:rsidR="005E0A28">
        <w:rPr>
          <w:rFonts w:cstheme="minorHAnsi"/>
          <w:sz w:val="24"/>
          <w:szCs w:val="24"/>
          <w:lang w:val="en-US"/>
        </w:rPr>
        <w:t xml:space="preserve"> This means that all ap</w:t>
      </w:r>
      <w:r w:rsidR="0059658B">
        <w:rPr>
          <w:rFonts w:cstheme="minorHAnsi"/>
          <w:sz w:val="24"/>
          <w:szCs w:val="24"/>
          <w:lang w:val="en-US"/>
        </w:rPr>
        <w:t>p</w:t>
      </w:r>
      <w:r w:rsidR="005E0A28">
        <w:rPr>
          <w:rFonts w:cstheme="minorHAnsi"/>
          <w:sz w:val="24"/>
          <w:szCs w:val="24"/>
          <w:lang w:val="en-US"/>
        </w:rPr>
        <w:t>rovals, assessment and de</w:t>
      </w:r>
      <w:r w:rsidR="0059658B">
        <w:rPr>
          <w:rFonts w:cstheme="minorHAnsi"/>
          <w:sz w:val="24"/>
          <w:szCs w:val="24"/>
          <w:lang w:val="en-US"/>
        </w:rPr>
        <w:t xml:space="preserve">velopment for all aspects of the project are encapsulated under the State Agreement, similar to the development of the </w:t>
      </w:r>
      <w:proofErr w:type="spellStart"/>
      <w:r w:rsidR="0059658B" w:rsidRPr="0059658B">
        <w:rPr>
          <w:rFonts w:cstheme="minorHAnsi"/>
          <w:i/>
          <w:sz w:val="24"/>
          <w:szCs w:val="24"/>
          <w:lang w:val="en-US"/>
        </w:rPr>
        <w:t>Ormen</w:t>
      </w:r>
      <w:proofErr w:type="spellEnd"/>
      <w:r w:rsidR="0059658B" w:rsidRPr="0059658B">
        <w:rPr>
          <w:rFonts w:cstheme="minorHAnsi"/>
          <w:i/>
          <w:sz w:val="24"/>
          <w:szCs w:val="24"/>
          <w:lang w:val="en-US"/>
        </w:rPr>
        <w:t xml:space="preserve"> Lange</w:t>
      </w:r>
      <w:r w:rsidR="0059658B">
        <w:rPr>
          <w:rFonts w:cstheme="minorHAnsi"/>
          <w:sz w:val="24"/>
          <w:szCs w:val="24"/>
          <w:lang w:val="en-US"/>
        </w:rPr>
        <w:t xml:space="preserve"> major project in Norway. </w:t>
      </w:r>
    </w:p>
    <w:p w:rsidR="008B3E05" w:rsidRPr="0073444C" w:rsidRDefault="00C2488B" w:rsidP="0073444C">
      <w:pPr>
        <w:jc w:val="both"/>
        <w:rPr>
          <w:rFonts w:eastAsia="Times New Roman" w:cs="Times New Roman"/>
          <w:sz w:val="24"/>
          <w:szCs w:val="24"/>
        </w:rPr>
      </w:pPr>
      <w:r w:rsidRPr="0073444C">
        <w:rPr>
          <w:rFonts w:ascii="Arial" w:eastAsia="Times New Roman" w:hAnsi="Arial" w:cs="Arial"/>
          <w:sz w:val="24"/>
          <w:szCs w:val="24"/>
        </w:rPr>
        <w:t>Although</w:t>
      </w:r>
      <w:r w:rsidR="00F44436">
        <w:rPr>
          <w:rFonts w:ascii="Arial" w:eastAsia="Times New Roman" w:hAnsi="Arial" w:cs="Arial"/>
          <w:sz w:val="24"/>
          <w:szCs w:val="24"/>
        </w:rPr>
        <w:t xml:space="preserve"> State A</w:t>
      </w:r>
      <w:r w:rsidRPr="0073444C">
        <w:rPr>
          <w:rFonts w:ascii="Arial" w:eastAsia="Times New Roman" w:hAnsi="Arial" w:cs="Arial"/>
          <w:sz w:val="24"/>
          <w:szCs w:val="24"/>
        </w:rPr>
        <w:t>greements are common in Western Australia, the Buru energy State A</w:t>
      </w:r>
      <w:r w:rsidR="008B3E05" w:rsidRPr="0073444C">
        <w:rPr>
          <w:rFonts w:ascii="Arial" w:eastAsia="Times New Roman" w:hAnsi="Arial" w:cs="Arial"/>
          <w:sz w:val="24"/>
          <w:szCs w:val="24"/>
        </w:rPr>
        <w:t xml:space="preserve">greement is unique </w:t>
      </w:r>
      <w:r w:rsidRPr="0073444C">
        <w:rPr>
          <w:rFonts w:ascii="Arial" w:eastAsia="Times New Roman" w:hAnsi="Arial" w:cs="Arial"/>
          <w:sz w:val="24"/>
          <w:szCs w:val="24"/>
        </w:rPr>
        <w:t>as it focuses on all aspects of the petroleum chain, from exploration</w:t>
      </w:r>
      <w:r w:rsidR="00F44436">
        <w:rPr>
          <w:rFonts w:ascii="Arial" w:eastAsia="Times New Roman" w:hAnsi="Arial" w:cs="Arial"/>
          <w:sz w:val="24"/>
          <w:szCs w:val="24"/>
        </w:rPr>
        <w:t>,</w:t>
      </w:r>
      <w:r w:rsidRPr="0073444C">
        <w:rPr>
          <w:rFonts w:ascii="Arial" w:eastAsia="Times New Roman" w:hAnsi="Arial" w:cs="Arial"/>
          <w:sz w:val="24"/>
          <w:szCs w:val="24"/>
        </w:rPr>
        <w:t xml:space="preserve"> through </w:t>
      </w:r>
      <w:r w:rsidR="0073444C" w:rsidRPr="0073444C">
        <w:rPr>
          <w:rFonts w:ascii="Arial" w:eastAsia="Times New Roman" w:hAnsi="Arial" w:cs="Arial"/>
          <w:sz w:val="24"/>
          <w:szCs w:val="24"/>
        </w:rPr>
        <w:t>transportation</w:t>
      </w:r>
      <w:r w:rsidR="00F44436">
        <w:rPr>
          <w:rFonts w:ascii="Arial" w:eastAsia="Times New Roman" w:hAnsi="Arial" w:cs="Arial"/>
          <w:sz w:val="24"/>
          <w:szCs w:val="24"/>
        </w:rPr>
        <w:t>,</w:t>
      </w:r>
      <w:r w:rsidRPr="0073444C">
        <w:rPr>
          <w:rFonts w:ascii="Arial" w:eastAsia="Times New Roman" w:hAnsi="Arial" w:cs="Arial"/>
          <w:sz w:val="24"/>
          <w:szCs w:val="24"/>
        </w:rPr>
        <w:t xml:space="preserve"> to </w:t>
      </w:r>
      <w:r w:rsidR="0073444C" w:rsidRPr="0073444C">
        <w:rPr>
          <w:rFonts w:ascii="Arial" w:eastAsia="Times New Roman" w:hAnsi="Arial" w:cs="Arial"/>
          <w:sz w:val="24"/>
          <w:szCs w:val="24"/>
        </w:rPr>
        <w:t>processing. In doing so, the agreement link</w:t>
      </w:r>
      <w:r w:rsidR="00F44436">
        <w:rPr>
          <w:rFonts w:ascii="Arial" w:eastAsia="Times New Roman" w:hAnsi="Arial" w:cs="Arial"/>
          <w:sz w:val="24"/>
          <w:szCs w:val="24"/>
        </w:rPr>
        <w:t>s</w:t>
      </w:r>
      <w:r w:rsidR="0073444C" w:rsidRPr="0073444C">
        <w:rPr>
          <w:rFonts w:ascii="Arial" w:eastAsia="Times New Roman" w:hAnsi="Arial" w:cs="Arial"/>
          <w:sz w:val="24"/>
          <w:szCs w:val="24"/>
        </w:rPr>
        <w:t xml:space="preserve"> onshore Western Australian </w:t>
      </w:r>
      <w:r w:rsidR="008B3E05" w:rsidRPr="0073444C">
        <w:rPr>
          <w:rFonts w:ascii="Arial" w:eastAsia="Times New Roman" w:hAnsi="Arial" w:cs="Arial"/>
          <w:sz w:val="24"/>
          <w:szCs w:val="24"/>
        </w:rPr>
        <w:t>natural gas to the State</w:t>
      </w:r>
      <w:r w:rsidR="0073444C" w:rsidRPr="0073444C">
        <w:rPr>
          <w:rFonts w:ascii="Arial" w:eastAsia="Times New Roman" w:hAnsi="Arial" w:cs="Arial"/>
          <w:sz w:val="24"/>
          <w:szCs w:val="24"/>
        </w:rPr>
        <w:t xml:space="preserve">’s domestic gas pipeline system, </w:t>
      </w:r>
      <w:r w:rsidR="00F44436">
        <w:rPr>
          <w:rFonts w:ascii="Arial" w:eastAsia="Times New Roman" w:hAnsi="Arial" w:cs="Arial"/>
          <w:sz w:val="24"/>
          <w:szCs w:val="24"/>
        </w:rPr>
        <w:lastRenderedPageBreak/>
        <w:t xml:space="preserve">transporting it for use in domestic markets or to LNG processing facilities, thereby </w:t>
      </w:r>
      <w:r w:rsidR="0073444C" w:rsidRPr="0073444C">
        <w:rPr>
          <w:rFonts w:ascii="Arial" w:eastAsia="Times New Roman" w:hAnsi="Arial" w:cs="Arial"/>
          <w:sz w:val="24"/>
          <w:szCs w:val="24"/>
        </w:rPr>
        <w:t>establishing an</w:t>
      </w:r>
      <w:r w:rsidR="008B3E05" w:rsidRPr="0073444C">
        <w:rPr>
          <w:rFonts w:ascii="Arial" w:eastAsia="Times New Roman" w:hAnsi="Arial" w:cs="Arial"/>
          <w:sz w:val="24"/>
          <w:szCs w:val="24"/>
        </w:rPr>
        <w:t xml:space="preserve"> interaction between domestic gas supply and the production of LNG for export.</w:t>
      </w:r>
    </w:p>
    <w:p w:rsidR="0073444C" w:rsidRDefault="00BA131A" w:rsidP="0073444C">
      <w:pPr>
        <w:pStyle w:val="NormalWeb"/>
        <w:spacing w:before="0" w:beforeAutospacing="0" w:after="210" w:afterAutospacing="0" w:line="240" w:lineRule="atLeast"/>
        <w:jc w:val="both"/>
        <w:textAlignment w:val="baseline"/>
        <w:rPr>
          <w:rFonts w:ascii="Arial" w:hAnsi="Arial" w:cs="Arial"/>
          <w:sz w:val="24"/>
          <w:szCs w:val="24"/>
        </w:rPr>
      </w:pPr>
      <w:r>
        <w:rPr>
          <w:rFonts w:ascii="Arial" w:hAnsi="Arial" w:cs="Arial"/>
          <w:sz w:val="24"/>
          <w:szCs w:val="24"/>
        </w:rPr>
        <w:t>As noted by Stuart Barrymore</w:t>
      </w:r>
      <w:r w:rsidR="008B3E05" w:rsidRPr="0073444C">
        <w:rPr>
          <w:rFonts w:ascii="Arial" w:hAnsi="Arial" w:cs="Arial"/>
          <w:sz w:val="24"/>
          <w:szCs w:val="24"/>
        </w:rPr>
        <w:t xml:space="preserve"> </w:t>
      </w:r>
      <w:r w:rsidR="0073444C">
        <w:rPr>
          <w:rFonts w:ascii="Arial" w:hAnsi="Arial" w:cs="Arial"/>
          <w:sz w:val="24"/>
          <w:szCs w:val="24"/>
        </w:rPr>
        <w:t>from Herbert Smit</w:t>
      </w:r>
      <w:r w:rsidR="00F44436">
        <w:rPr>
          <w:rFonts w:ascii="Arial" w:hAnsi="Arial" w:cs="Arial"/>
          <w:sz w:val="24"/>
          <w:szCs w:val="24"/>
        </w:rPr>
        <w:t xml:space="preserve">h </w:t>
      </w:r>
      <w:proofErr w:type="spellStart"/>
      <w:r w:rsidR="00F44436">
        <w:rPr>
          <w:rFonts w:ascii="Arial" w:hAnsi="Arial" w:cs="Arial"/>
          <w:sz w:val="24"/>
          <w:szCs w:val="24"/>
        </w:rPr>
        <w:t>Freehills</w:t>
      </w:r>
      <w:proofErr w:type="spellEnd"/>
      <w:r w:rsidR="00F44436">
        <w:rPr>
          <w:rFonts w:ascii="Arial" w:hAnsi="Arial" w:cs="Arial"/>
          <w:sz w:val="24"/>
          <w:szCs w:val="24"/>
        </w:rPr>
        <w:t>:</w:t>
      </w:r>
    </w:p>
    <w:p w:rsidR="008B3E05" w:rsidRPr="0073444C" w:rsidRDefault="008B3E05" w:rsidP="0073444C">
      <w:pPr>
        <w:pStyle w:val="NormalWeb"/>
        <w:spacing w:before="0" w:beforeAutospacing="0" w:after="210" w:afterAutospacing="0" w:line="240" w:lineRule="atLeast"/>
        <w:ind w:left="851" w:right="804"/>
        <w:jc w:val="both"/>
        <w:textAlignment w:val="baseline"/>
        <w:rPr>
          <w:rFonts w:ascii="Arial" w:hAnsi="Arial" w:cs="Arial"/>
          <w:sz w:val="24"/>
          <w:szCs w:val="24"/>
        </w:rPr>
      </w:pPr>
      <w:r w:rsidRPr="0073444C">
        <w:rPr>
          <w:rFonts w:ascii="Arial" w:hAnsi="Arial" w:cs="Arial"/>
          <w:sz w:val="24"/>
          <w:szCs w:val="24"/>
        </w:rPr>
        <w:t>Without the leadership and assistance from the State, there was a very real risk that the gas exploration effort in the Canning Basis region would become fragmented with long lead times before adequate resources could be found, tested, aggregated, developed and sold</w:t>
      </w:r>
      <w:r w:rsidR="0073444C">
        <w:rPr>
          <w:rFonts w:ascii="Arial" w:hAnsi="Arial" w:cs="Arial"/>
          <w:sz w:val="24"/>
          <w:szCs w:val="24"/>
        </w:rPr>
        <w:t xml:space="preserve">. </w:t>
      </w:r>
      <w:r w:rsidRPr="0073444C">
        <w:rPr>
          <w:rFonts w:ascii="Arial" w:hAnsi="Arial" w:cs="Arial"/>
          <w:sz w:val="24"/>
          <w:szCs w:val="24"/>
        </w:rPr>
        <w:t xml:space="preserve">The novel solutions embodied in the State Agreement give the Joint Venture confidence that they can design an appropriate exploratory and evaluation work program to properly test the </w:t>
      </w:r>
      <w:proofErr w:type="spellStart"/>
      <w:r w:rsidRPr="0073444C">
        <w:rPr>
          <w:rFonts w:ascii="Arial" w:hAnsi="Arial" w:cs="Arial"/>
          <w:sz w:val="24"/>
          <w:szCs w:val="24"/>
        </w:rPr>
        <w:t>prospectivity</w:t>
      </w:r>
      <w:proofErr w:type="spellEnd"/>
      <w:r w:rsidRPr="0073444C">
        <w:rPr>
          <w:rFonts w:ascii="Arial" w:hAnsi="Arial" w:cs="Arial"/>
          <w:sz w:val="24"/>
          <w:szCs w:val="24"/>
        </w:rPr>
        <w:t xml:space="preserve"> and deliverability of gas resources in their Canning Basin Permits. In return, the fruits of such efforts are prioritised for and marketed to the domestic </w:t>
      </w:r>
      <w:r w:rsidR="0073444C">
        <w:rPr>
          <w:rFonts w:ascii="Arial" w:hAnsi="Arial" w:cs="Arial"/>
          <w:sz w:val="24"/>
          <w:szCs w:val="24"/>
        </w:rPr>
        <w:t>customers in Western Australia.</w:t>
      </w:r>
      <w:r w:rsidR="0073444C">
        <w:rPr>
          <w:rStyle w:val="FootnoteReference"/>
          <w:rFonts w:ascii="Arial" w:hAnsi="Arial" w:cs="Arial"/>
          <w:sz w:val="24"/>
          <w:szCs w:val="24"/>
        </w:rPr>
        <w:footnoteReference w:id="21"/>
      </w:r>
    </w:p>
    <w:p w:rsidR="00975F1C" w:rsidRPr="0003259B" w:rsidRDefault="0003259B" w:rsidP="00C2488B">
      <w:pPr>
        <w:jc w:val="both"/>
        <w:rPr>
          <w:sz w:val="24"/>
        </w:rPr>
      </w:pPr>
      <w:r w:rsidRPr="0003259B">
        <w:rPr>
          <w:sz w:val="24"/>
        </w:rPr>
        <w:t xml:space="preserve">The use of State </w:t>
      </w:r>
      <w:r>
        <w:rPr>
          <w:sz w:val="24"/>
        </w:rPr>
        <w:t xml:space="preserve">Agreements for the development of Major Projects in Australia represents a significant tool in reducing regulatory burden and streamlining project development. They are similar to the </w:t>
      </w:r>
      <w:proofErr w:type="spellStart"/>
      <w:r>
        <w:rPr>
          <w:sz w:val="24"/>
        </w:rPr>
        <w:t>PDO</w:t>
      </w:r>
      <w:proofErr w:type="spellEnd"/>
      <w:r>
        <w:rPr>
          <w:sz w:val="24"/>
        </w:rPr>
        <w:t xml:space="preserve"> process in Norway, and </w:t>
      </w:r>
      <w:r w:rsidR="00037308">
        <w:rPr>
          <w:sz w:val="24"/>
        </w:rPr>
        <w:t>expanded use of these agreements in other Australian jurisdictions should be considered.</w:t>
      </w:r>
    </w:p>
    <w:sectPr w:rsidR="00975F1C" w:rsidRPr="0003259B" w:rsidSect="002B352C">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B8" w:rsidRDefault="003D50B8" w:rsidP="00590368">
      <w:pPr>
        <w:spacing w:after="0" w:line="240" w:lineRule="auto"/>
      </w:pPr>
      <w:r>
        <w:separator/>
      </w:r>
    </w:p>
  </w:endnote>
  <w:endnote w:type="continuationSeparator" w:id="0">
    <w:p w:rsidR="003D50B8" w:rsidRDefault="003D50B8" w:rsidP="0059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useo 700">
    <w:altName w:val="Arial"/>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D0" w:rsidRDefault="00D147D3" w:rsidP="00BF617B">
    <w:pPr>
      <w:pStyle w:val="Footer"/>
      <w:rPr>
        <w:rFonts w:asciiTheme="majorHAnsi" w:hAnsiTheme="majorHAnsi"/>
        <w:color w:val="F15A34" w:themeColor="accent1"/>
      </w:rPr>
    </w:pPr>
    <w:r>
      <w:rPr>
        <w:rFonts w:asciiTheme="majorHAnsi" w:hAnsiTheme="majorHAnsi"/>
      </w:rPr>
      <w:pict w14:anchorId="20ACABD4">
        <v:rect id="_x0000_i1027" style="width:451.3pt;height:1.5pt" o:hralign="center" o:hrstd="t" o:hrnoshade="t" o:hr="t" fillcolor="#f15a34 [3204]" stroked="f"/>
      </w:pict>
    </w:r>
  </w:p>
  <w:p w:rsidR="00AB43D0" w:rsidRPr="00BF617B" w:rsidRDefault="00AB43D0" w:rsidP="00BF617B">
    <w:pPr>
      <w:pStyle w:val="Footer"/>
      <w:rPr>
        <w:rFonts w:asciiTheme="majorHAnsi" w:hAnsiTheme="majorHAnsi"/>
      </w:rPr>
    </w:pPr>
    <w:r>
      <w:t xml:space="preserve">                         </w:t>
    </w:r>
    <w:r>
      <w:rPr>
        <w:rFonts w:asciiTheme="majorHAnsi" w:hAnsiTheme="majorHAnsi"/>
      </w:rPr>
      <w:tab/>
    </w:r>
    <w:r>
      <w:rPr>
        <w:rFonts w:asciiTheme="majorHAnsi" w:hAnsiTheme="majorHAnsi"/>
      </w:rPr>
      <w:tab/>
    </w:r>
    <w:r>
      <w:rPr>
        <w:rFonts w:asciiTheme="majorHAnsi" w:hAnsiTheme="majorHAnsi"/>
      </w:rPr>
      <w:tab/>
    </w:r>
    <w:sdt>
      <w:sdtPr>
        <w:id w:val="-1550448349"/>
        <w:docPartObj>
          <w:docPartGallery w:val="Page Numbers (Bottom of Page)"/>
          <w:docPartUnique/>
        </w:docPartObj>
      </w:sdtPr>
      <w:sdtEndPr/>
      <w:sdtContent>
        <w:r>
          <w:fldChar w:fldCharType="begin"/>
        </w:r>
        <w:r>
          <w:instrText xml:space="preserve"> PAGE   \* MERGEFORMAT </w:instrText>
        </w:r>
        <w:r>
          <w:fldChar w:fldCharType="separate"/>
        </w:r>
        <w:r w:rsidR="00D147D3">
          <w:rPr>
            <w:noProof/>
          </w:rPr>
          <w:t>1</w:t>
        </w:r>
        <w:r>
          <w:rPr>
            <w:noProof/>
          </w:rPr>
          <w:fldChar w:fldCharType="end"/>
        </w:r>
      </w:sdtContent>
    </w:sdt>
  </w:p>
  <w:p w:rsidR="00AB43D0" w:rsidRDefault="00AB43D0" w:rsidP="00AD5F9B">
    <w:pPr>
      <w:pStyle w:val="Footer"/>
      <w:tabs>
        <w:tab w:val="left" w:pos="64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B8" w:rsidRDefault="003D50B8" w:rsidP="00590368">
      <w:pPr>
        <w:spacing w:after="0" w:line="240" w:lineRule="auto"/>
      </w:pPr>
      <w:r>
        <w:separator/>
      </w:r>
    </w:p>
  </w:footnote>
  <w:footnote w:type="continuationSeparator" w:id="0">
    <w:p w:rsidR="003D50B8" w:rsidRDefault="003D50B8" w:rsidP="00590368">
      <w:pPr>
        <w:spacing w:after="0" w:line="240" w:lineRule="auto"/>
      </w:pPr>
      <w:r>
        <w:continuationSeparator/>
      </w:r>
    </w:p>
  </w:footnote>
  <w:footnote w:id="1">
    <w:p w:rsidR="00AB43D0" w:rsidRPr="00D275B3" w:rsidRDefault="00AB43D0" w:rsidP="00A53A81">
      <w:pPr>
        <w:pStyle w:val="FootnoteText"/>
        <w:ind w:left="794" w:hanging="720"/>
        <w:contextualSpacing/>
        <w:rPr>
          <w:sz w:val="16"/>
          <w:szCs w:val="16"/>
        </w:rPr>
      </w:pPr>
      <w:r w:rsidRPr="00D275B3">
        <w:rPr>
          <w:rStyle w:val="FootnoteReference"/>
          <w:sz w:val="16"/>
          <w:szCs w:val="16"/>
        </w:rPr>
        <w:footnoteRef/>
      </w:r>
      <w:r w:rsidRPr="00D275B3">
        <w:rPr>
          <w:sz w:val="16"/>
          <w:szCs w:val="16"/>
        </w:rPr>
        <w:t xml:space="preserve"> Australian Productivity Commission, </w:t>
      </w:r>
      <w:r w:rsidRPr="00D275B3">
        <w:rPr>
          <w:i/>
          <w:sz w:val="16"/>
          <w:szCs w:val="16"/>
        </w:rPr>
        <w:t xml:space="preserve">Review of Regulatory Burden on the Upstream (Petroleum and Gas) Sector – Research Report </w:t>
      </w:r>
      <w:r w:rsidRPr="00D275B3">
        <w:rPr>
          <w:sz w:val="16"/>
          <w:szCs w:val="16"/>
        </w:rPr>
        <w:t xml:space="preserve">(2009) </w:t>
      </w:r>
      <w:hyperlink r:id="rId1" w:history="1">
        <w:r w:rsidRPr="00D275B3">
          <w:rPr>
            <w:rStyle w:val="Hyperlink"/>
            <w:sz w:val="16"/>
            <w:szCs w:val="16"/>
          </w:rPr>
          <w:t>http://</w:t>
        </w:r>
        <w:proofErr w:type="spellStart"/>
        <w:r w:rsidRPr="00D275B3">
          <w:rPr>
            <w:rStyle w:val="Hyperlink"/>
            <w:sz w:val="16"/>
            <w:szCs w:val="16"/>
          </w:rPr>
          <w:t>www.pc.gov.au</w:t>
        </w:r>
        <w:proofErr w:type="spellEnd"/>
        <w:r w:rsidRPr="00D275B3">
          <w:rPr>
            <w:rStyle w:val="Hyperlink"/>
            <w:sz w:val="16"/>
            <w:szCs w:val="16"/>
          </w:rPr>
          <w:t>/projects/study/</w:t>
        </w:r>
        <w:proofErr w:type="spellStart"/>
        <w:r w:rsidRPr="00D275B3">
          <w:rPr>
            <w:rStyle w:val="Hyperlink"/>
            <w:sz w:val="16"/>
            <w:szCs w:val="16"/>
          </w:rPr>
          <w:t>upstreampetroleum</w:t>
        </w:r>
        <w:proofErr w:type="spellEnd"/>
        <w:r w:rsidRPr="00D275B3">
          <w:rPr>
            <w:rStyle w:val="Hyperlink"/>
            <w:sz w:val="16"/>
            <w:szCs w:val="16"/>
          </w:rPr>
          <w:t>/report</w:t>
        </w:r>
      </w:hyperlink>
      <w:r w:rsidRPr="00D275B3">
        <w:rPr>
          <w:sz w:val="16"/>
          <w:szCs w:val="16"/>
        </w:rPr>
        <w:t xml:space="preserve">, </w:t>
      </w:r>
      <w:proofErr w:type="spellStart"/>
      <w:r w:rsidRPr="00D275B3">
        <w:rPr>
          <w:sz w:val="16"/>
          <w:szCs w:val="16"/>
        </w:rPr>
        <w:t>VXIII</w:t>
      </w:r>
      <w:proofErr w:type="spellEnd"/>
      <w:r w:rsidRPr="00D275B3">
        <w:rPr>
          <w:sz w:val="16"/>
          <w:szCs w:val="16"/>
        </w:rPr>
        <w:t>.</w:t>
      </w:r>
    </w:p>
  </w:footnote>
  <w:footnote w:id="2">
    <w:p w:rsidR="00AB43D0" w:rsidRPr="00D275B3" w:rsidRDefault="00AB43D0" w:rsidP="00A53A81">
      <w:pPr>
        <w:pStyle w:val="FootnoteText"/>
        <w:ind w:left="709" w:hanging="720"/>
        <w:rPr>
          <w:sz w:val="16"/>
          <w:szCs w:val="16"/>
          <w:lang w:val="en-US"/>
        </w:rPr>
      </w:pPr>
      <w:r w:rsidRPr="00D275B3">
        <w:rPr>
          <w:rStyle w:val="FootnoteReference"/>
          <w:sz w:val="16"/>
          <w:szCs w:val="16"/>
        </w:rPr>
        <w:footnoteRef/>
      </w:r>
      <w:r w:rsidRPr="00D275B3">
        <w:rPr>
          <w:sz w:val="16"/>
          <w:szCs w:val="16"/>
        </w:rPr>
        <w:t xml:space="preserve"> </w:t>
      </w:r>
      <w:r w:rsidRPr="00D275B3">
        <w:rPr>
          <w:sz w:val="16"/>
          <w:szCs w:val="16"/>
          <w:lang w:val="en-US"/>
        </w:rPr>
        <w:t>Ibid, XXIII</w:t>
      </w:r>
    </w:p>
  </w:footnote>
  <w:footnote w:id="3">
    <w:p w:rsidR="00AB43D0" w:rsidRPr="00D275B3" w:rsidRDefault="00AB43D0" w:rsidP="00A53A81">
      <w:pPr>
        <w:pStyle w:val="FootnoteText"/>
        <w:ind w:left="709" w:hanging="720"/>
        <w:contextualSpacing/>
        <w:rPr>
          <w:sz w:val="16"/>
          <w:szCs w:val="16"/>
        </w:rPr>
      </w:pPr>
      <w:r w:rsidRPr="00D275B3">
        <w:rPr>
          <w:rStyle w:val="FootnoteReference"/>
          <w:sz w:val="16"/>
          <w:szCs w:val="16"/>
        </w:rPr>
        <w:footnoteRef/>
      </w:r>
      <w:r w:rsidRPr="00D275B3">
        <w:rPr>
          <w:sz w:val="16"/>
          <w:szCs w:val="16"/>
        </w:rPr>
        <w:t xml:space="preserve"> I</w:t>
      </w:r>
      <w:r w:rsidRPr="00D275B3">
        <w:rPr>
          <w:iCs/>
          <w:sz w:val="16"/>
          <w:szCs w:val="16"/>
        </w:rPr>
        <w:t>bid</w:t>
      </w:r>
      <w:r w:rsidRPr="00D275B3">
        <w:rPr>
          <w:sz w:val="16"/>
          <w:szCs w:val="16"/>
        </w:rPr>
        <w:t xml:space="preserve"> XXIII.</w:t>
      </w:r>
    </w:p>
  </w:footnote>
  <w:footnote w:id="4">
    <w:p w:rsidR="00AB43D0" w:rsidRPr="00D275B3" w:rsidRDefault="00AB43D0" w:rsidP="00A53A81">
      <w:pPr>
        <w:pStyle w:val="FootnoteText"/>
        <w:ind w:left="709" w:hanging="720"/>
        <w:rPr>
          <w:sz w:val="16"/>
          <w:szCs w:val="16"/>
          <w:lang w:val="en-US"/>
        </w:rPr>
      </w:pPr>
      <w:r w:rsidRPr="00D275B3">
        <w:rPr>
          <w:rStyle w:val="FootnoteReference"/>
          <w:sz w:val="16"/>
          <w:szCs w:val="16"/>
        </w:rPr>
        <w:footnoteRef/>
      </w:r>
      <w:r w:rsidRPr="00D275B3">
        <w:rPr>
          <w:sz w:val="16"/>
          <w:szCs w:val="16"/>
        </w:rPr>
        <w:t xml:space="preserve"> </w:t>
      </w:r>
      <w:r w:rsidRPr="00D275B3">
        <w:rPr>
          <w:sz w:val="16"/>
          <w:szCs w:val="16"/>
          <w:lang w:val="en-US"/>
        </w:rPr>
        <w:t>Ibid, XX.</w:t>
      </w:r>
    </w:p>
  </w:footnote>
  <w:footnote w:id="5">
    <w:p w:rsidR="00AB43D0" w:rsidRPr="00D275B3" w:rsidRDefault="00AB43D0" w:rsidP="00A53A81">
      <w:pPr>
        <w:pStyle w:val="FootnoteText"/>
        <w:ind w:left="709" w:hanging="720"/>
        <w:rPr>
          <w:sz w:val="16"/>
          <w:szCs w:val="16"/>
          <w:lang w:val="en-US"/>
        </w:rPr>
      </w:pPr>
      <w:r w:rsidRPr="00D275B3">
        <w:rPr>
          <w:rStyle w:val="FootnoteReference"/>
          <w:sz w:val="16"/>
          <w:szCs w:val="16"/>
        </w:rPr>
        <w:footnoteRef/>
      </w:r>
      <w:r w:rsidRPr="00D275B3">
        <w:rPr>
          <w:sz w:val="16"/>
          <w:szCs w:val="16"/>
        </w:rPr>
        <w:t xml:space="preserve"> The Norwegian ten oil commandments were approved by the Norwegian </w:t>
      </w:r>
      <w:proofErr w:type="spellStart"/>
      <w:r w:rsidRPr="00D275B3">
        <w:rPr>
          <w:sz w:val="16"/>
          <w:szCs w:val="16"/>
        </w:rPr>
        <w:t>Storting</w:t>
      </w:r>
      <w:proofErr w:type="spellEnd"/>
      <w:r w:rsidRPr="00D275B3">
        <w:rPr>
          <w:sz w:val="16"/>
          <w:szCs w:val="16"/>
        </w:rPr>
        <w:t xml:space="preserve"> (Parliament) on 14 June 1971, and comprised the following:</w:t>
      </w:r>
      <w:r w:rsidRPr="00D275B3">
        <w:rPr>
          <w:sz w:val="16"/>
          <w:szCs w:val="16"/>
        </w:rPr>
        <w:br/>
        <w:t>1. That national supervision and control must be ensured for all operations in the Norwegian continental shelf;</w:t>
      </w:r>
      <w:r w:rsidRPr="00D275B3">
        <w:rPr>
          <w:sz w:val="16"/>
          <w:szCs w:val="16"/>
        </w:rPr>
        <w:br/>
        <w:t>2. That petroleum discoveries are exploited in a way that makes Norway as independent as possible of others for its supplies of crude oil;</w:t>
      </w:r>
      <w:r w:rsidRPr="00D275B3">
        <w:rPr>
          <w:sz w:val="16"/>
          <w:szCs w:val="16"/>
        </w:rPr>
        <w:br/>
        <w:t>3. That new industry is developed on the basis of petroleum;</w:t>
      </w:r>
      <w:r w:rsidRPr="00D275B3">
        <w:rPr>
          <w:sz w:val="16"/>
          <w:szCs w:val="16"/>
        </w:rPr>
        <w:br/>
        <w:t>4. That the development of an oil industry must take necessary account of existing industrial activities and the protection of nature and the environment;</w:t>
      </w:r>
      <w:r w:rsidRPr="00D275B3">
        <w:rPr>
          <w:sz w:val="16"/>
          <w:szCs w:val="16"/>
        </w:rPr>
        <w:br/>
        <w:t>5. That flaring of exploitable gas on the Norwegian Continental Shelf must not be accepted, except during brief periods of testing;</w:t>
      </w:r>
      <w:r w:rsidRPr="00D275B3">
        <w:rPr>
          <w:sz w:val="16"/>
          <w:szCs w:val="16"/>
        </w:rPr>
        <w:br/>
        <w:t xml:space="preserve">6. That petroleum from the Norwegian Continental Shelf must as a main rule be landed in Norway, except in those cases where </w:t>
      </w:r>
      <w:proofErr w:type="spellStart"/>
      <w:r w:rsidRPr="00D275B3">
        <w:rPr>
          <w:sz w:val="16"/>
          <w:szCs w:val="16"/>
        </w:rPr>
        <w:t>socio-political</w:t>
      </w:r>
      <w:proofErr w:type="spellEnd"/>
      <w:r w:rsidRPr="00D275B3">
        <w:rPr>
          <w:sz w:val="16"/>
          <w:szCs w:val="16"/>
        </w:rPr>
        <w:t xml:space="preserve"> considerations dictate a different solution;</w:t>
      </w:r>
      <w:r w:rsidRPr="00D275B3">
        <w:rPr>
          <w:sz w:val="16"/>
          <w:szCs w:val="16"/>
        </w:rPr>
        <w:br/>
        <w:t>7. That the State becomes involved at all appropriate levels, and contributes to a coordination of Norwegian interests in Norway’s petroleum industry as well as the creation of an integrated Norwegian oil community which sets its sights both nationally and internationally;</w:t>
      </w:r>
      <w:r w:rsidRPr="00D275B3">
        <w:rPr>
          <w:sz w:val="16"/>
          <w:szCs w:val="16"/>
        </w:rPr>
        <w:br/>
        <w:t>8. That a State oil company be established which can look after the government’s commercial interests and pursue appropriate collaboration with domestic and foreign oil interests;</w:t>
      </w:r>
      <w:r w:rsidRPr="00D275B3">
        <w:rPr>
          <w:sz w:val="16"/>
          <w:szCs w:val="16"/>
        </w:rPr>
        <w:br/>
        <w:t>9. That a pattern of activities is selected north of the 62</w:t>
      </w:r>
      <w:r w:rsidRPr="00D275B3">
        <w:rPr>
          <w:sz w:val="16"/>
          <w:szCs w:val="16"/>
          <w:vertAlign w:val="superscript"/>
        </w:rPr>
        <w:t>nd</w:t>
      </w:r>
      <w:r w:rsidRPr="00D275B3">
        <w:rPr>
          <w:sz w:val="16"/>
          <w:szCs w:val="16"/>
        </w:rPr>
        <w:t xml:space="preserve"> parallel which reflects the special </w:t>
      </w:r>
      <w:proofErr w:type="spellStart"/>
      <w:r w:rsidRPr="00D275B3">
        <w:rPr>
          <w:sz w:val="16"/>
          <w:szCs w:val="16"/>
        </w:rPr>
        <w:t>socio-political</w:t>
      </w:r>
      <w:proofErr w:type="spellEnd"/>
      <w:r w:rsidRPr="00D275B3">
        <w:rPr>
          <w:sz w:val="16"/>
          <w:szCs w:val="16"/>
        </w:rPr>
        <w:t xml:space="preserve"> conditions prevailing in that part of the country; and </w:t>
      </w:r>
      <w:r w:rsidRPr="00D275B3">
        <w:rPr>
          <w:sz w:val="16"/>
          <w:szCs w:val="16"/>
        </w:rPr>
        <w:br/>
        <w:t xml:space="preserve">10. That large Norwegian petroleum discoveries could present new tasks for Norway’s foreign policy. </w:t>
      </w:r>
      <w:r w:rsidRPr="00D275B3">
        <w:rPr>
          <w:sz w:val="16"/>
          <w:szCs w:val="16"/>
        </w:rPr>
        <w:br/>
        <w:t xml:space="preserve">See </w:t>
      </w:r>
      <w:proofErr w:type="spellStart"/>
      <w:r w:rsidRPr="00D275B3">
        <w:rPr>
          <w:sz w:val="16"/>
          <w:szCs w:val="16"/>
        </w:rPr>
        <w:t>Bjørn</w:t>
      </w:r>
      <w:proofErr w:type="spellEnd"/>
      <w:r w:rsidRPr="00D275B3">
        <w:rPr>
          <w:sz w:val="16"/>
          <w:szCs w:val="16"/>
        </w:rPr>
        <w:t xml:space="preserve"> </w:t>
      </w:r>
      <w:proofErr w:type="spellStart"/>
      <w:r w:rsidRPr="00D275B3">
        <w:rPr>
          <w:sz w:val="16"/>
          <w:szCs w:val="16"/>
        </w:rPr>
        <w:t>Vidar</w:t>
      </w:r>
      <w:proofErr w:type="spellEnd"/>
      <w:r w:rsidRPr="00D275B3">
        <w:rPr>
          <w:sz w:val="16"/>
          <w:szCs w:val="16"/>
        </w:rPr>
        <w:t xml:space="preserve"> </w:t>
      </w:r>
      <w:proofErr w:type="spellStart"/>
      <w:r w:rsidRPr="00D275B3">
        <w:rPr>
          <w:sz w:val="16"/>
          <w:szCs w:val="16"/>
        </w:rPr>
        <w:t>Lerøen</w:t>
      </w:r>
      <w:proofErr w:type="spellEnd"/>
      <w:r w:rsidRPr="00D275B3">
        <w:rPr>
          <w:sz w:val="16"/>
          <w:szCs w:val="16"/>
        </w:rPr>
        <w:t>,</w:t>
      </w:r>
      <w:r w:rsidRPr="00D275B3">
        <w:rPr>
          <w:i/>
          <w:sz w:val="16"/>
          <w:szCs w:val="16"/>
        </w:rPr>
        <w:t xml:space="preserve"> Drops of Black Gold: Statoil 1972-2002 </w:t>
      </w:r>
      <w:r w:rsidRPr="00D275B3">
        <w:rPr>
          <w:sz w:val="16"/>
          <w:szCs w:val="16"/>
        </w:rPr>
        <w:t>(2002), 46.</w:t>
      </w:r>
    </w:p>
  </w:footnote>
  <w:footnote w:id="6">
    <w:p w:rsidR="00AB43D0" w:rsidRPr="00D275B3" w:rsidRDefault="00AB43D0" w:rsidP="00A53A81">
      <w:pPr>
        <w:pStyle w:val="FootnoteText"/>
        <w:ind w:left="709" w:hanging="720"/>
        <w:rPr>
          <w:sz w:val="16"/>
          <w:szCs w:val="16"/>
          <w:lang w:val="en-US"/>
        </w:rPr>
      </w:pPr>
      <w:r w:rsidRPr="00D275B3">
        <w:rPr>
          <w:rStyle w:val="FootnoteReference"/>
          <w:sz w:val="16"/>
          <w:szCs w:val="16"/>
        </w:rPr>
        <w:footnoteRef/>
      </w:r>
      <w:r w:rsidRPr="00D275B3">
        <w:rPr>
          <w:sz w:val="16"/>
          <w:szCs w:val="16"/>
        </w:rPr>
        <w:t xml:space="preserve"> </w:t>
      </w:r>
      <w:r w:rsidRPr="00D275B3">
        <w:rPr>
          <w:sz w:val="16"/>
          <w:szCs w:val="16"/>
          <w:lang w:val="en-US"/>
        </w:rPr>
        <w:t xml:space="preserve">Minister of Petroleum and Energy, Ola </w:t>
      </w:r>
      <w:proofErr w:type="spellStart"/>
      <w:r w:rsidRPr="00D275B3">
        <w:rPr>
          <w:sz w:val="16"/>
          <w:szCs w:val="16"/>
          <w:lang w:val="en-US"/>
        </w:rPr>
        <w:t>Borten</w:t>
      </w:r>
      <w:proofErr w:type="spellEnd"/>
      <w:r w:rsidRPr="00D275B3">
        <w:rPr>
          <w:sz w:val="16"/>
          <w:szCs w:val="16"/>
          <w:lang w:val="en-US"/>
        </w:rPr>
        <w:t xml:space="preserve">  Moe, </w:t>
      </w:r>
      <w:hyperlink r:id="rId2" w:history="1">
        <w:r w:rsidRPr="00D275B3">
          <w:rPr>
            <w:rStyle w:val="Hyperlink"/>
            <w:sz w:val="16"/>
            <w:szCs w:val="16"/>
            <w:lang w:val="en-US"/>
          </w:rPr>
          <w:t>http://www.regjeringen.no/en/dep/oed/whats-new/news/2013/norwegian-petroleum-directorate-asked-to.html?id=717107</w:t>
        </w:r>
      </w:hyperlink>
      <w:r w:rsidRPr="00D275B3">
        <w:rPr>
          <w:sz w:val="16"/>
          <w:szCs w:val="16"/>
          <w:lang w:val="en-US"/>
        </w:rPr>
        <w:t xml:space="preserve"> </w:t>
      </w:r>
    </w:p>
  </w:footnote>
  <w:footnote w:id="7">
    <w:p w:rsidR="00AB43D0" w:rsidRPr="00D275B3" w:rsidRDefault="00AB43D0" w:rsidP="00A53A81">
      <w:pPr>
        <w:pStyle w:val="FootnoteText"/>
        <w:ind w:left="709" w:hanging="720"/>
        <w:rPr>
          <w:sz w:val="16"/>
          <w:szCs w:val="16"/>
          <w:lang w:val="en-US"/>
        </w:rPr>
      </w:pPr>
      <w:r w:rsidRPr="00D275B3">
        <w:rPr>
          <w:rStyle w:val="FootnoteReference"/>
          <w:sz w:val="16"/>
          <w:szCs w:val="16"/>
        </w:rPr>
        <w:footnoteRef/>
      </w:r>
      <w:r w:rsidRPr="00D275B3">
        <w:rPr>
          <w:sz w:val="16"/>
          <w:szCs w:val="16"/>
        </w:rPr>
        <w:t xml:space="preserve"> </w:t>
      </w:r>
      <w:r w:rsidRPr="00D275B3">
        <w:rPr>
          <w:sz w:val="16"/>
          <w:szCs w:val="16"/>
          <w:lang w:val="en-US"/>
        </w:rPr>
        <w:t>Section 4-2, Norwegian Petroleum</w:t>
      </w:r>
      <w:r>
        <w:rPr>
          <w:sz w:val="16"/>
          <w:szCs w:val="16"/>
          <w:lang w:val="en-US"/>
        </w:rPr>
        <w:t xml:space="preserve"> A</w:t>
      </w:r>
      <w:r w:rsidRPr="00D275B3">
        <w:rPr>
          <w:sz w:val="16"/>
          <w:szCs w:val="16"/>
          <w:lang w:val="en-US"/>
        </w:rPr>
        <w:t>ctivities Act, 1996.</w:t>
      </w:r>
    </w:p>
  </w:footnote>
  <w:footnote w:id="8">
    <w:p w:rsidR="00AB43D0" w:rsidRPr="00D275B3" w:rsidRDefault="00AB43D0" w:rsidP="00A53A81">
      <w:pPr>
        <w:pStyle w:val="FootnoteText"/>
        <w:ind w:left="709" w:hanging="720"/>
        <w:rPr>
          <w:sz w:val="16"/>
          <w:szCs w:val="16"/>
          <w:lang w:val="en-US"/>
        </w:rPr>
      </w:pPr>
      <w:r w:rsidRPr="00D275B3">
        <w:rPr>
          <w:rStyle w:val="FootnoteReference"/>
          <w:sz w:val="16"/>
          <w:szCs w:val="16"/>
        </w:rPr>
        <w:footnoteRef/>
      </w:r>
      <w:r w:rsidRPr="00D275B3">
        <w:rPr>
          <w:sz w:val="16"/>
          <w:szCs w:val="16"/>
        </w:rPr>
        <w:t xml:space="preserve"> </w:t>
      </w:r>
      <w:r w:rsidRPr="00D275B3">
        <w:rPr>
          <w:sz w:val="16"/>
          <w:szCs w:val="16"/>
          <w:lang w:val="en-US"/>
        </w:rPr>
        <w:t xml:space="preserve">These guidelines can be found at </w:t>
      </w:r>
      <w:hyperlink r:id="rId3" w:history="1">
        <w:r w:rsidRPr="00D275B3">
          <w:rPr>
            <w:rStyle w:val="Hyperlink"/>
            <w:sz w:val="16"/>
            <w:szCs w:val="16"/>
            <w:lang w:val="en-US"/>
          </w:rPr>
          <w:t>http://www.npd.no/Global/Engelsk/5-Rules-and-regulations/Guidelines/PDO-PIO-guidelines_2010.pdf</w:t>
        </w:r>
      </w:hyperlink>
      <w:r w:rsidRPr="00D275B3">
        <w:rPr>
          <w:sz w:val="16"/>
          <w:szCs w:val="16"/>
          <w:lang w:val="en-US"/>
        </w:rPr>
        <w:t xml:space="preserve"> </w:t>
      </w:r>
    </w:p>
  </w:footnote>
  <w:footnote w:id="9">
    <w:p w:rsidR="00AB43D0" w:rsidRPr="00D275B3" w:rsidRDefault="00AB43D0" w:rsidP="00A53A81">
      <w:pPr>
        <w:pStyle w:val="FootnoteText"/>
        <w:ind w:left="709" w:hanging="720"/>
        <w:rPr>
          <w:sz w:val="16"/>
          <w:szCs w:val="16"/>
          <w:lang w:val="en-US"/>
        </w:rPr>
      </w:pPr>
      <w:r w:rsidRPr="00D275B3">
        <w:rPr>
          <w:rStyle w:val="FootnoteReference"/>
          <w:sz w:val="16"/>
          <w:szCs w:val="16"/>
        </w:rPr>
        <w:footnoteRef/>
      </w:r>
      <w:r w:rsidRPr="00D275B3">
        <w:rPr>
          <w:sz w:val="16"/>
          <w:szCs w:val="16"/>
        </w:rPr>
        <w:t xml:space="preserve"> </w:t>
      </w:r>
      <w:r w:rsidRPr="00D275B3">
        <w:rPr>
          <w:sz w:val="16"/>
          <w:szCs w:val="16"/>
          <w:lang w:val="en-US"/>
        </w:rPr>
        <w:t xml:space="preserve">Section </w:t>
      </w:r>
      <w:r>
        <w:rPr>
          <w:sz w:val="16"/>
          <w:szCs w:val="16"/>
          <w:lang w:val="en-US"/>
        </w:rPr>
        <w:t>4-8, Petroleum Activities Act, 1996</w:t>
      </w:r>
    </w:p>
  </w:footnote>
  <w:footnote w:id="10">
    <w:p w:rsidR="00AB43D0" w:rsidRPr="00370EC6" w:rsidRDefault="00AB43D0" w:rsidP="00A53A81">
      <w:pPr>
        <w:pStyle w:val="FootnoteText"/>
        <w:ind w:left="709" w:hanging="720"/>
        <w:rPr>
          <w:sz w:val="16"/>
          <w:szCs w:val="16"/>
          <w:lang w:val="en-US"/>
        </w:rPr>
      </w:pPr>
      <w:r w:rsidRPr="00370EC6">
        <w:rPr>
          <w:rStyle w:val="FootnoteReference"/>
          <w:sz w:val="16"/>
          <w:szCs w:val="16"/>
        </w:rPr>
        <w:footnoteRef/>
      </w:r>
      <w:r w:rsidRPr="00370EC6">
        <w:rPr>
          <w:sz w:val="16"/>
          <w:szCs w:val="16"/>
        </w:rPr>
        <w:t xml:space="preserve"> </w:t>
      </w:r>
      <w:r>
        <w:rPr>
          <w:sz w:val="16"/>
          <w:szCs w:val="16"/>
        </w:rPr>
        <w:t>Petroleum Activities Act 1996, section 4-9.</w:t>
      </w:r>
    </w:p>
  </w:footnote>
  <w:footnote w:id="11">
    <w:p w:rsidR="00AB43D0" w:rsidRPr="00770487" w:rsidRDefault="00AB43D0" w:rsidP="00A53A81">
      <w:pPr>
        <w:pStyle w:val="FootnoteText"/>
        <w:ind w:left="709" w:hanging="720"/>
        <w:rPr>
          <w:sz w:val="16"/>
          <w:szCs w:val="16"/>
          <w:lang w:val="en-US"/>
        </w:rPr>
      </w:pPr>
      <w:r w:rsidRPr="00975F1C">
        <w:rPr>
          <w:rStyle w:val="FootnoteReference"/>
          <w:sz w:val="16"/>
          <w:szCs w:val="16"/>
        </w:rPr>
        <w:footnoteRef/>
      </w:r>
      <w:r w:rsidRPr="00975F1C">
        <w:rPr>
          <w:sz w:val="16"/>
          <w:szCs w:val="16"/>
        </w:rPr>
        <w:t xml:space="preserve"> </w:t>
      </w:r>
      <w:r w:rsidRPr="00975F1C">
        <w:rPr>
          <w:sz w:val="16"/>
          <w:szCs w:val="16"/>
          <w:lang w:val="en-US"/>
        </w:rPr>
        <w:t xml:space="preserve">For an excellent consideration of State agreements refer to Richard Hillman, </w:t>
      </w:r>
      <w:r>
        <w:rPr>
          <w:sz w:val="16"/>
          <w:szCs w:val="16"/>
          <w:lang w:val="en-US"/>
        </w:rPr>
        <w:t xml:space="preserve"> ‘The future role for state agreements in Western Australia’ (2006) 25 </w:t>
      </w:r>
      <w:r>
        <w:rPr>
          <w:i/>
          <w:sz w:val="16"/>
          <w:szCs w:val="16"/>
          <w:lang w:val="en-US"/>
        </w:rPr>
        <w:t xml:space="preserve">Australian Resources and Energy Law Journal </w:t>
      </w:r>
      <w:r>
        <w:rPr>
          <w:sz w:val="16"/>
          <w:szCs w:val="16"/>
          <w:lang w:val="en-US"/>
        </w:rPr>
        <w:t>293-329;</w:t>
      </w:r>
    </w:p>
  </w:footnote>
  <w:footnote w:id="12">
    <w:p w:rsidR="00AB43D0" w:rsidRPr="00D275B3" w:rsidRDefault="00AB43D0" w:rsidP="00A53A81">
      <w:pPr>
        <w:pStyle w:val="FootnoteText"/>
        <w:ind w:left="709" w:hanging="720"/>
        <w:rPr>
          <w:sz w:val="16"/>
          <w:szCs w:val="16"/>
        </w:rPr>
      </w:pPr>
      <w:r w:rsidRPr="00D275B3">
        <w:rPr>
          <w:rStyle w:val="FootnoteReference"/>
          <w:rFonts w:eastAsia="PMingLiU"/>
          <w:sz w:val="16"/>
          <w:szCs w:val="16"/>
        </w:rPr>
        <w:footnoteRef/>
      </w:r>
      <w:r w:rsidRPr="00D275B3">
        <w:rPr>
          <w:sz w:val="16"/>
          <w:szCs w:val="16"/>
        </w:rPr>
        <w:t xml:space="preserve"> Western Australia Department of Industry and Resources, </w:t>
      </w:r>
      <w:r w:rsidRPr="00D275B3">
        <w:rPr>
          <w:i/>
          <w:sz w:val="16"/>
          <w:szCs w:val="16"/>
        </w:rPr>
        <w:t xml:space="preserve">State Agreements </w:t>
      </w:r>
      <w:r w:rsidRPr="00D275B3">
        <w:rPr>
          <w:sz w:val="16"/>
          <w:szCs w:val="16"/>
        </w:rPr>
        <w:t xml:space="preserve">(2007) </w:t>
      </w:r>
      <w:hyperlink r:id="rId4" w:history="1">
        <w:r w:rsidRPr="00D275B3">
          <w:rPr>
            <w:rStyle w:val="Hyperlink"/>
            <w:sz w:val="16"/>
            <w:szCs w:val="16"/>
          </w:rPr>
          <w:t>http://www.doir.wa.gov.au/documents/investment/State_Agreements_text_v2.pdf</w:t>
        </w:r>
      </w:hyperlink>
      <w:r>
        <w:rPr>
          <w:sz w:val="16"/>
          <w:szCs w:val="16"/>
        </w:rPr>
        <w:t xml:space="preserve"> ,</w:t>
      </w:r>
      <w:r w:rsidRPr="00D275B3">
        <w:rPr>
          <w:sz w:val="16"/>
          <w:szCs w:val="16"/>
        </w:rPr>
        <w:t xml:space="preserve"> 1.</w:t>
      </w:r>
    </w:p>
  </w:footnote>
  <w:footnote w:id="13">
    <w:p w:rsidR="00AB43D0" w:rsidRPr="00D275B3" w:rsidRDefault="00AB43D0" w:rsidP="00A53A81">
      <w:pPr>
        <w:pStyle w:val="FootnoteText"/>
        <w:ind w:left="709" w:hanging="720"/>
        <w:rPr>
          <w:sz w:val="16"/>
          <w:szCs w:val="16"/>
        </w:rPr>
      </w:pPr>
      <w:r w:rsidRPr="00D275B3">
        <w:rPr>
          <w:rStyle w:val="FootnoteReference"/>
          <w:rFonts w:eastAsia="PMingLiU"/>
          <w:sz w:val="16"/>
          <w:szCs w:val="16"/>
        </w:rPr>
        <w:footnoteRef/>
      </w:r>
      <w:r w:rsidRPr="00D275B3">
        <w:rPr>
          <w:sz w:val="16"/>
          <w:szCs w:val="16"/>
        </w:rPr>
        <w:t xml:space="preserve"> Western Australia Department of Industry and Resources, </w:t>
      </w:r>
      <w:r w:rsidRPr="00D275B3">
        <w:rPr>
          <w:i/>
          <w:sz w:val="16"/>
          <w:szCs w:val="16"/>
        </w:rPr>
        <w:t xml:space="preserve">State Agreements </w:t>
      </w:r>
      <w:r w:rsidRPr="00D275B3">
        <w:rPr>
          <w:sz w:val="16"/>
          <w:szCs w:val="16"/>
        </w:rPr>
        <w:t xml:space="preserve">(2009) </w:t>
      </w:r>
      <w:hyperlink r:id="rId5" w:anchor="6666" w:history="1">
        <w:r w:rsidRPr="00D275B3">
          <w:rPr>
            <w:rStyle w:val="Hyperlink"/>
            <w:sz w:val="16"/>
            <w:szCs w:val="16"/>
          </w:rPr>
          <w:t>http://</w:t>
        </w:r>
        <w:proofErr w:type="spellStart"/>
        <w:r w:rsidRPr="00D275B3">
          <w:rPr>
            <w:rStyle w:val="Hyperlink"/>
            <w:sz w:val="16"/>
            <w:szCs w:val="16"/>
          </w:rPr>
          <w:t>www.dsd.wa.gov.au</w:t>
        </w:r>
        <w:proofErr w:type="spellEnd"/>
        <w:r w:rsidRPr="00D275B3">
          <w:rPr>
            <w:rStyle w:val="Hyperlink"/>
            <w:sz w:val="16"/>
            <w:szCs w:val="16"/>
          </w:rPr>
          <w:t>/</w:t>
        </w:r>
        <w:proofErr w:type="spellStart"/>
        <w:r w:rsidRPr="00D275B3">
          <w:rPr>
            <w:rStyle w:val="Hyperlink"/>
            <w:sz w:val="16"/>
            <w:szCs w:val="16"/>
          </w:rPr>
          <w:t>6641.aspx#6666</w:t>
        </w:r>
        <w:proofErr w:type="spellEnd"/>
      </w:hyperlink>
      <w:r w:rsidRPr="00D275B3">
        <w:rPr>
          <w:sz w:val="16"/>
          <w:szCs w:val="16"/>
        </w:rPr>
        <w:t>, 1.</w:t>
      </w:r>
    </w:p>
  </w:footnote>
  <w:footnote w:id="14">
    <w:p w:rsidR="00AB43D0" w:rsidRPr="00D275B3" w:rsidRDefault="00AB43D0" w:rsidP="00A53A81">
      <w:pPr>
        <w:pStyle w:val="FootnoteText"/>
        <w:ind w:left="709" w:hanging="720"/>
        <w:rPr>
          <w:sz w:val="16"/>
          <w:szCs w:val="16"/>
        </w:rPr>
      </w:pPr>
      <w:r w:rsidRPr="00D275B3">
        <w:rPr>
          <w:rStyle w:val="FootnoteReference"/>
          <w:rFonts w:eastAsia="PMingLiU"/>
          <w:sz w:val="16"/>
          <w:szCs w:val="16"/>
        </w:rPr>
        <w:footnoteRef/>
      </w:r>
      <w:r w:rsidRPr="00D275B3">
        <w:rPr>
          <w:sz w:val="16"/>
          <w:szCs w:val="16"/>
        </w:rPr>
        <w:t xml:space="preserve"> </w:t>
      </w:r>
      <w:r>
        <w:rPr>
          <w:sz w:val="16"/>
          <w:szCs w:val="16"/>
        </w:rPr>
        <w:t>Ibid</w:t>
      </w:r>
      <w:r w:rsidRPr="00D275B3">
        <w:rPr>
          <w:sz w:val="16"/>
          <w:szCs w:val="16"/>
        </w:rPr>
        <w:t>.</w:t>
      </w:r>
    </w:p>
  </w:footnote>
  <w:footnote w:id="15">
    <w:p w:rsidR="00AB43D0" w:rsidRPr="00D275B3" w:rsidRDefault="00AB43D0" w:rsidP="00A53A81">
      <w:pPr>
        <w:pStyle w:val="FootnoteText"/>
        <w:ind w:left="709" w:hanging="720"/>
        <w:rPr>
          <w:sz w:val="16"/>
          <w:szCs w:val="16"/>
        </w:rPr>
      </w:pPr>
      <w:r w:rsidRPr="00D275B3">
        <w:rPr>
          <w:rStyle w:val="FootnoteReference"/>
          <w:rFonts w:eastAsia="PMingLiU"/>
          <w:sz w:val="16"/>
          <w:szCs w:val="16"/>
        </w:rPr>
        <w:footnoteRef/>
      </w:r>
      <w:r w:rsidRPr="00D275B3">
        <w:rPr>
          <w:sz w:val="16"/>
          <w:szCs w:val="16"/>
        </w:rPr>
        <w:t xml:space="preserve"> </w:t>
      </w:r>
      <w:r>
        <w:rPr>
          <w:sz w:val="16"/>
          <w:szCs w:val="16"/>
        </w:rPr>
        <w:t>Ibid</w:t>
      </w:r>
      <w:r w:rsidRPr="00D275B3">
        <w:rPr>
          <w:sz w:val="16"/>
          <w:szCs w:val="16"/>
        </w:rPr>
        <w:t>.</w:t>
      </w:r>
    </w:p>
  </w:footnote>
  <w:footnote w:id="16">
    <w:p w:rsidR="00AB43D0" w:rsidRPr="00D275B3" w:rsidRDefault="00AB43D0" w:rsidP="00A53A81">
      <w:pPr>
        <w:pStyle w:val="FootnoteText"/>
        <w:ind w:left="709" w:hanging="720"/>
        <w:rPr>
          <w:sz w:val="16"/>
          <w:szCs w:val="16"/>
        </w:rPr>
      </w:pPr>
      <w:r w:rsidRPr="00D275B3">
        <w:rPr>
          <w:rStyle w:val="FootnoteReference"/>
          <w:sz w:val="16"/>
          <w:szCs w:val="16"/>
        </w:rPr>
        <w:footnoteRef/>
      </w:r>
      <w:r w:rsidRPr="00D275B3">
        <w:rPr>
          <w:sz w:val="16"/>
          <w:szCs w:val="16"/>
        </w:rPr>
        <w:t xml:space="preserve"> </w:t>
      </w:r>
      <w:r>
        <w:rPr>
          <w:sz w:val="16"/>
          <w:szCs w:val="16"/>
        </w:rPr>
        <w:t>Ibid</w:t>
      </w:r>
      <w:r w:rsidRPr="00D275B3">
        <w:rPr>
          <w:sz w:val="16"/>
          <w:szCs w:val="16"/>
        </w:rPr>
        <w:t>.</w:t>
      </w:r>
    </w:p>
  </w:footnote>
  <w:footnote w:id="17">
    <w:p w:rsidR="00AB43D0" w:rsidRPr="00D275B3" w:rsidRDefault="00AB43D0" w:rsidP="00A53A81">
      <w:pPr>
        <w:pStyle w:val="FootnoteText"/>
        <w:ind w:left="709" w:hanging="720"/>
        <w:rPr>
          <w:sz w:val="16"/>
          <w:szCs w:val="16"/>
        </w:rPr>
      </w:pPr>
      <w:r w:rsidRPr="00D275B3">
        <w:rPr>
          <w:rStyle w:val="FootnoteReference"/>
          <w:rFonts w:eastAsia="PMingLiU"/>
          <w:sz w:val="16"/>
          <w:szCs w:val="16"/>
        </w:rPr>
        <w:footnoteRef/>
      </w:r>
      <w:r w:rsidRPr="00D275B3">
        <w:rPr>
          <w:sz w:val="16"/>
          <w:szCs w:val="16"/>
        </w:rPr>
        <w:t xml:space="preserve"> </w:t>
      </w:r>
      <w:r>
        <w:rPr>
          <w:sz w:val="16"/>
          <w:szCs w:val="16"/>
        </w:rPr>
        <w:t>Ibid</w:t>
      </w:r>
      <w:r w:rsidRPr="00D275B3">
        <w:rPr>
          <w:sz w:val="16"/>
          <w:szCs w:val="16"/>
        </w:rPr>
        <w:t>.</w:t>
      </w:r>
    </w:p>
  </w:footnote>
  <w:footnote w:id="18">
    <w:p w:rsidR="00AB43D0" w:rsidRPr="00D275B3" w:rsidRDefault="00AB43D0" w:rsidP="00A53A81">
      <w:pPr>
        <w:pStyle w:val="FootnoteText"/>
        <w:ind w:left="709" w:hanging="720"/>
        <w:rPr>
          <w:sz w:val="16"/>
          <w:szCs w:val="16"/>
        </w:rPr>
      </w:pPr>
      <w:r w:rsidRPr="00D275B3">
        <w:rPr>
          <w:rStyle w:val="FootnoteReference"/>
          <w:rFonts w:eastAsia="PMingLiU"/>
          <w:sz w:val="16"/>
          <w:szCs w:val="16"/>
        </w:rPr>
        <w:footnoteRef/>
      </w:r>
      <w:r w:rsidRPr="00D275B3">
        <w:rPr>
          <w:sz w:val="16"/>
          <w:szCs w:val="16"/>
        </w:rPr>
        <w:t xml:space="preserve"> Chamber of Minerals and Energy, </w:t>
      </w:r>
      <w:r w:rsidRPr="00D275B3">
        <w:rPr>
          <w:i/>
          <w:iCs/>
          <w:sz w:val="16"/>
          <w:szCs w:val="16"/>
        </w:rPr>
        <w:t>State Agreements</w:t>
      </w:r>
      <w:r w:rsidRPr="00D275B3">
        <w:rPr>
          <w:sz w:val="16"/>
          <w:szCs w:val="16"/>
        </w:rPr>
        <w:t xml:space="preserve"> (2004), 1.</w:t>
      </w:r>
    </w:p>
  </w:footnote>
  <w:footnote w:id="19">
    <w:p w:rsidR="00AB43D0" w:rsidRPr="00D275B3" w:rsidRDefault="00AB43D0" w:rsidP="00A53A81">
      <w:pPr>
        <w:pStyle w:val="FootnoteText"/>
        <w:ind w:left="709" w:hanging="720"/>
        <w:rPr>
          <w:sz w:val="16"/>
          <w:szCs w:val="16"/>
        </w:rPr>
      </w:pPr>
      <w:r w:rsidRPr="00D275B3">
        <w:rPr>
          <w:rStyle w:val="FootnoteReference"/>
          <w:rFonts w:eastAsia="PMingLiU"/>
          <w:sz w:val="16"/>
          <w:szCs w:val="16"/>
        </w:rPr>
        <w:footnoteRef/>
      </w:r>
      <w:r w:rsidRPr="00D275B3">
        <w:rPr>
          <w:sz w:val="16"/>
          <w:szCs w:val="16"/>
        </w:rPr>
        <w:t xml:space="preserve"> Western Australia Department of Industry and Resources, </w:t>
      </w:r>
      <w:r>
        <w:rPr>
          <w:sz w:val="16"/>
          <w:szCs w:val="16"/>
        </w:rPr>
        <w:t>a</w:t>
      </w:r>
      <w:r>
        <w:rPr>
          <w:i/>
          <w:sz w:val="16"/>
          <w:szCs w:val="16"/>
        </w:rPr>
        <w:t>bove n 13</w:t>
      </w:r>
      <w:r w:rsidRPr="00D275B3">
        <w:rPr>
          <w:sz w:val="16"/>
          <w:szCs w:val="16"/>
        </w:rPr>
        <w:t>, 1.</w:t>
      </w:r>
    </w:p>
  </w:footnote>
  <w:footnote w:id="20">
    <w:p w:rsidR="00AB43D0" w:rsidRPr="00D275B3" w:rsidRDefault="00AB43D0" w:rsidP="00A53A81">
      <w:pPr>
        <w:pStyle w:val="FootnoteText"/>
        <w:ind w:left="709" w:hanging="720"/>
        <w:rPr>
          <w:sz w:val="16"/>
          <w:szCs w:val="16"/>
        </w:rPr>
      </w:pPr>
      <w:r w:rsidRPr="00D275B3">
        <w:rPr>
          <w:rStyle w:val="FootnoteReference"/>
          <w:rFonts w:eastAsia="PMingLiU"/>
          <w:sz w:val="16"/>
          <w:szCs w:val="16"/>
        </w:rPr>
        <w:footnoteRef/>
      </w:r>
      <w:r w:rsidRPr="00D275B3">
        <w:rPr>
          <w:sz w:val="16"/>
          <w:szCs w:val="16"/>
        </w:rPr>
        <w:t xml:space="preserve">This includes agreements concluded under the </w:t>
      </w:r>
      <w:r w:rsidRPr="00D275B3">
        <w:rPr>
          <w:rStyle w:val="apple-style-span"/>
          <w:i/>
          <w:iCs/>
          <w:color w:val="000000"/>
          <w:sz w:val="16"/>
          <w:szCs w:val="16"/>
        </w:rPr>
        <w:t>Anglo-Persian Oil Company Limited’s (Private) Act 1919, British Imperial Oil Company, Limited (Private) Act 1925, Commonwealth Oil Refineries Limited (Private) Act 1940 and   Texas Company (Australasia) Limited (Private) Act 1928.</w:t>
      </w:r>
    </w:p>
  </w:footnote>
  <w:footnote w:id="21">
    <w:p w:rsidR="00AB43D0" w:rsidRPr="008A0173" w:rsidRDefault="00AB43D0" w:rsidP="008A0173">
      <w:pPr>
        <w:pStyle w:val="FootnoteText"/>
        <w:ind w:left="720" w:hanging="720"/>
        <w:rPr>
          <w:lang w:val="en-US"/>
        </w:rPr>
      </w:pPr>
      <w:r w:rsidRPr="008A0173">
        <w:rPr>
          <w:rStyle w:val="FootnoteReference"/>
          <w:sz w:val="16"/>
        </w:rPr>
        <w:footnoteRef/>
      </w:r>
      <w:r w:rsidRPr="008A0173">
        <w:rPr>
          <w:sz w:val="16"/>
        </w:rPr>
        <w:t xml:space="preserve"> Herbert Smith </w:t>
      </w:r>
      <w:proofErr w:type="spellStart"/>
      <w:r w:rsidRPr="008A0173">
        <w:rPr>
          <w:sz w:val="16"/>
        </w:rPr>
        <w:t>Freehills</w:t>
      </w:r>
      <w:proofErr w:type="spellEnd"/>
      <w:r w:rsidRPr="008A0173">
        <w:rPr>
          <w:sz w:val="16"/>
        </w:rPr>
        <w:t xml:space="preserve">, </w:t>
      </w:r>
      <w:r w:rsidRPr="008A0173">
        <w:rPr>
          <w:i/>
          <w:sz w:val="16"/>
        </w:rPr>
        <w:t xml:space="preserve">Herbert Smith </w:t>
      </w:r>
      <w:proofErr w:type="spellStart"/>
      <w:r w:rsidRPr="008A0173">
        <w:rPr>
          <w:i/>
          <w:sz w:val="16"/>
        </w:rPr>
        <w:t>Freehils</w:t>
      </w:r>
      <w:proofErr w:type="spellEnd"/>
      <w:r w:rsidRPr="008A0173">
        <w:rPr>
          <w:i/>
          <w:sz w:val="16"/>
        </w:rPr>
        <w:t xml:space="preserve"> advises Buru and Mitsubishi on State Gas Agreement </w:t>
      </w:r>
      <w:r w:rsidRPr="008A0173">
        <w:rPr>
          <w:sz w:val="16"/>
        </w:rPr>
        <w:t xml:space="preserve">(2012) </w:t>
      </w:r>
      <w:hyperlink r:id="rId6" w:history="1">
        <w:r w:rsidRPr="008A0173">
          <w:rPr>
            <w:rStyle w:val="Hyperlink"/>
            <w:sz w:val="16"/>
          </w:rPr>
          <w:t>http://www.herbertsmithfreehills.com/news/news20121107-hsf-advises-buru-and-mitsubishi-on-canning-basin-stage-gas-agreement</w:t>
        </w:r>
      </w:hyperlink>
      <w:r w:rsidRPr="008A0173">
        <w:rPr>
          <w:sz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EC4ABA"/>
    <w:multiLevelType w:val="hybridMultilevel"/>
    <w:tmpl w:val="0420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A7082"/>
    <w:multiLevelType w:val="hybridMultilevel"/>
    <w:tmpl w:val="D8025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4B079D"/>
    <w:multiLevelType w:val="hybridMultilevel"/>
    <w:tmpl w:val="A3269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316C2"/>
    <w:multiLevelType w:val="multilevel"/>
    <w:tmpl w:val="E1646EE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014BA2"/>
    <w:multiLevelType w:val="hybridMultilevel"/>
    <w:tmpl w:val="8ED2ACA4"/>
    <w:lvl w:ilvl="0" w:tplc="02A843C4">
      <w:start w:val="1"/>
      <w:numFmt w:val="bullet"/>
      <w:pStyle w:val="DotPoint"/>
      <w:lvlText w:val=""/>
      <w:lvlJc w:val="left"/>
      <w:pPr>
        <w:ind w:left="-324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6">
    <w:nsid w:val="358A3BBC"/>
    <w:multiLevelType w:val="hybridMultilevel"/>
    <w:tmpl w:val="AFB099BE"/>
    <w:lvl w:ilvl="0" w:tplc="04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9E37F34"/>
    <w:multiLevelType w:val="hybridMultilevel"/>
    <w:tmpl w:val="683AD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0171F8"/>
    <w:multiLevelType w:val="hybridMultilevel"/>
    <w:tmpl w:val="57A02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4F298D"/>
    <w:multiLevelType w:val="hybridMultilevel"/>
    <w:tmpl w:val="920A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B37D5"/>
    <w:multiLevelType w:val="multilevel"/>
    <w:tmpl w:val="5EC4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E609CE"/>
    <w:multiLevelType w:val="hybridMultilevel"/>
    <w:tmpl w:val="D26403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2C7B76"/>
    <w:multiLevelType w:val="hybridMultilevel"/>
    <w:tmpl w:val="7956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80154D"/>
    <w:multiLevelType w:val="hybridMultilevel"/>
    <w:tmpl w:val="330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E48DF"/>
    <w:multiLevelType w:val="hybridMultilevel"/>
    <w:tmpl w:val="C87CE250"/>
    <w:lvl w:ilvl="0" w:tplc="D294F4E0">
      <w:start w:val="1"/>
      <w:numFmt w:val="bullet"/>
      <w:pStyle w:val="CVBullet"/>
      <w:lvlText w:val=""/>
      <w:lvlJc w:val="left"/>
      <w:pPr>
        <w:tabs>
          <w:tab w:val="num" w:pos="284"/>
        </w:tabs>
        <w:ind w:left="284" w:hanging="284"/>
      </w:pPr>
      <w:rPr>
        <w:rFonts w:ascii="Symbol" w:hAnsi="Symbol" w:hint="default"/>
        <w:color w:val="80808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4FF4867"/>
    <w:multiLevelType w:val="hybridMultilevel"/>
    <w:tmpl w:val="0FDC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7C554E"/>
    <w:multiLevelType w:val="hybridMultilevel"/>
    <w:tmpl w:val="2F543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9"/>
  </w:num>
  <w:num w:numId="4">
    <w:abstractNumId w:val="3"/>
  </w:num>
  <w:num w:numId="5">
    <w:abstractNumId w:val="12"/>
  </w:num>
  <w:num w:numId="6">
    <w:abstractNumId w:val="8"/>
  </w:num>
  <w:num w:numId="7">
    <w:abstractNumId w:val="6"/>
  </w:num>
  <w:num w:numId="8">
    <w:abstractNumId w:val="16"/>
  </w:num>
  <w:num w:numId="9">
    <w:abstractNumId w:val="7"/>
  </w:num>
  <w:num w:numId="10">
    <w:abstractNumId w:val="11"/>
  </w:num>
  <w:num w:numId="11">
    <w:abstractNumId w:val="2"/>
  </w:num>
  <w:num w:numId="12">
    <w:abstractNumId w:val="4"/>
  </w:num>
  <w:num w:numId="13">
    <w:abstractNumId w:val="13"/>
  </w:num>
  <w:num w:numId="14">
    <w:abstractNumId w:val="0"/>
  </w:num>
  <w:num w:numId="15">
    <w:abstractNumId w:val="15"/>
  </w:num>
  <w:num w:numId="16">
    <w:abstractNumId w:val="10"/>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2E"/>
    <w:rsid w:val="000152AE"/>
    <w:rsid w:val="00016B08"/>
    <w:rsid w:val="00021819"/>
    <w:rsid w:val="0002285B"/>
    <w:rsid w:val="0002324D"/>
    <w:rsid w:val="00030A29"/>
    <w:rsid w:val="0003259B"/>
    <w:rsid w:val="00037308"/>
    <w:rsid w:val="00037731"/>
    <w:rsid w:val="00042517"/>
    <w:rsid w:val="0004288C"/>
    <w:rsid w:val="00057DE1"/>
    <w:rsid w:val="00061706"/>
    <w:rsid w:val="000643AE"/>
    <w:rsid w:val="00065D41"/>
    <w:rsid w:val="00070AB9"/>
    <w:rsid w:val="00070BA2"/>
    <w:rsid w:val="000749D8"/>
    <w:rsid w:val="0008779B"/>
    <w:rsid w:val="0009683E"/>
    <w:rsid w:val="000B6BFE"/>
    <w:rsid w:val="000B72CA"/>
    <w:rsid w:val="000C01E0"/>
    <w:rsid w:val="000C0E3D"/>
    <w:rsid w:val="000C0E82"/>
    <w:rsid w:val="000C2099"/>
    <w:rsid w:val="000C64F2"/>
    <w:rsid w:val="000C7894"/>
    <w:rsid w:val="000C79B1"/>
    <w:rsid w:val="000D37BB"/>
    <w:rsid w:val="000F68F3"/>
    <w:rsid w:val="001126CA"/>
    <w:rsid w:val="00112D6C"/>
    <w:rsid w:val="00113079"/>
    <w:rsid w:val="00114812"/>
    <w:rsid w:val="001241EA"/>
    <w:rsid w:val="00126B7D"/>
    <w:rsid w:val="0013373B"/>
    <w:rsid w:val="00134094"/>
    <w:rsid w:val="001403ED"/>
    <w:rsid w:val="001510BB"/>
    <w:rsid w:val="001531E2"/>
    <w:rsid w:val="00156B92"/>
    <w:rsid w:val="0016100A"/>
    <w:rsid w:val="0016233F"/>
    <w:rsid w:val="00163EAF"/>
    <w:rsid w:val="00165417"/>
    <w:rsid w:val="00171AC8"/>
    <w:rsid w:val="00181539"/>
    <w:rsid w:val="00186358"/>
    <w:rsid w:val="00193D39"/>
    <w:rsid w:val="00195878"/>
    <w:rsid w:val="00197CA6"/>
    <w:rsid w:val="001B010A"/>
    <w:rsid w:val="001B2E14"/>
    <w:rsid w:val="001C0FDE"/>
    <w:rsid w:val="001C360C"/>
    <w:rsid w:val="001C50CC"/>
    <w:rsid w:val="001D6F57"/>
    <w:rsid w:val="001E2741"/>
    <w:rsid w:val="001F1D33"/>
    <w:rsid w:val="001F4DF2"/>
    <w:rsid w:val="001F5ADF"/>
    <w:rsid w:val="001F6BF2"/>
    <w:rsid w:val="00201983"/>
    <w:rsid w:val="00201F19"/>
    <w:rsid w:val="00205602"/>
    <w:rsid w:val="002105DB"/>
    <w:rsid w:val="00224DBA"/>
    <w:rsid w:val="00226A09"/>
    <w:rsid w:val="00233C3B"/>
    <w:rsid w:val="00234A2E"/>
    <w:rsid w:val="00235DDB"/>
    <w:rsid w:val="00236618"/>
    <w:rsid w:val="00240A17"/>
    <w:rsid w:val="0024385A"/>
    <w:rsid w:val="00244B18"/>
    <w:rsid w:val="00254D30"/>
    <w:rsid w:val="0025675D"/>
    <w:rsid w:val="002575C2"/>
    <w:rsid w:val="0025794B"/>
    <w:rsid w:val="00262110"/>
    <w:rsid w:val="002646D2"/>
    <w:rsid w:val="002658AD"/>
    <w:rsid w:val="00267974"/>
    <w:rsid w:val="00270410"/>
    <w:rsid w:val="00277527"/>
    <w:rsid w:val="00287014"/>
    <w:rsid w:val="002A14D1"/>
    <w:rsid w:val="002A2525"/>
    <w:rsid w:val="002A6918"/>
    <w:rsid w:val="002B11EF"/>
    <w:rsid w:val="002B352C"/>
    <w:rsid w:val="002C000C"/>
    <w:rsid w:val="002C3ADC"/>
    <w:rsid w:val="002C5D1C"/>
    <w:rsid w:val="002D11E6"/>
    <w:rsid w:val="002D1C71"/>
    <w:rsid w:val="002D60E9"/>
    <w:rsid w:val="002E27B6"/>
    <w:rsid w:val="002E4E0C"/>
    <w:rsid w:val="002F11DA"/>
    <w:rsid w:val="00301DE8"/>
    <w:rsid w:val="003211B7"/>
    <w:rsid w:val="00321B64"/>
    <w:rsid w:val="00326A05"/>
    <w:rsid w:val="00332A1E"/>
    <w:rsid w:val="00333513"/>
    <w:rsid w:val="00334037"/>
    <w:rsid w:val="00336723"/>
    <w:rsid w:val="00340AD4"/>
    <w:rsid w:val="00342F12"/>
    <w:rsid w:val="0034338A"/>
    <w:rsid w:val="0034566C"/>
    <w:rsid w:val="00345993"/>
    <w:rsid w:val="0034705F"/>
    <w:rsid w:val="003607FE"/>
    <w:rsid w:val="00363F2E"/>
    <w:rsid w:val="0036482C"/>
    <w:rsid w:val="00366556"/>
    <w:rsid w:val="00370EC6"/>
    <w:rsid w:val="00372977"/>
    <w:rsid w:val="00383A8C"/>
    <w:rsid w:val="00383FD7"/>
    <w:rsid w:val="00386E0F"/>
    <w:rsid w:val="00392162"/>
    <w:rsid w:val="00392BE4"/>
    <w:rsid w:val="0039320C"/>
    <w:rsid w:val="003A3AF6"/>
    <w:rsid w:val="003A4A9E"/>
    <w:rsid w:val="003A64BC"/>
    <w:rsid w:val="003B1BB5"/>
    <w:rsid w:val="003B7F8E"/>
    <w:rsid w:val="003D50B8"/>
    <w:rsid w:val="003F0AB7"/>
    <w:rsid w:val="003F3E8A"/>
    <w:rsid w:val="00400F99"/>
    <w:rsid w:val="004026E7"/>
    <w:rsid w:val="004028D7"/>
    <w:rsid w:val="00404A8A"/>
    <w:rsid w:val="00411BBB"/>
    <w:rsid w:val="00413389"/>
    <w:rsid w:val="004136E8"/>
    <w:rsid w:val="00431DDE"/>
    <w:rsid w:val="0043279A"/>
    <w:rsid w:val="004350E5"/>
    <w:rsid w:val="0044328C"/>
    <w:rsid w:val="0044583B"/>
    <w:rsid w:val="00452E6E"/>
    <w:rsid w:val="00465FF0"/>
    <w:rsid w:val="00476D54"/>
    <w:rsid w:val="0048079D"/>
    <w:rsid w:val="0048119E"/>
    <w:rsid w:val="00486034"/>
    <w:rsid w:val="004A096A"/>
    <w:rsid w:val="004A0F97"/>
    <w:rsid w:val="004A13A6"/>
    <w:rsid w:val="004A79BD"/>
    <w:rsid w:val="004B09BE"/>
    <w:rsid w:val="004B2D99"/>
    <w:rsid w:val="004B44C0"/>
    <w:rsid w:val="004B4CAE"/>
    <w:rsid w:val="004C1274"/>
    <w:rsid w:val="004C154A"/>
    <w:rsid w:val="004C6783"/>
    <w:rsid w:val="004D356C"/>
    <w:rsid w:val="004D3A37"/>
    <w:rsid w:val="004D5D44"/>
    <w:rsid w:val="004D6A72"/>
    <w:rsid w:val="004E035B"/>
    <w:rsid w:val="004E6ED8"/>
    <w:rsid w:val="004F0A80"/>
    <w:rsid w:val="004F2B86"/>
    <w:rsid w:val="004F3269"/>
    <w:rsid w:val="004F3BB7"/>
    <w:rsid w:val="004F6334"/>
    <w:rsid w:val="00502681"/>
    <w:rsid w:val="00502A76"/>
    <w:rsid w:val="00515791"/>
    <w:rsid w:val="00517F7A"/>
    <w:rsid w:val="0053194E"/>
    <w:rsid w:val="0053482F"/>
    <w:rsid w:val="0053575E"/>
    <w:rsid w:val="00545639"/>
    <w:rsid w:val="0054631C"/>
    <w:rsid w:val="00546984"/>
    <w:rsid w:val="0055006C"/>
    <w:rsid w:val="005500C8"/>
    <w:rsid w:val="0055037F"/>
    <w:rsid w:val="00550B70"/>
    <w:rsid w:val="005542C1"/>
    <w:rsid w:val="00562A98"/>
    <w:rsid w:val="00562B96"/>
    <w:rsid w:val="005655A2"/>
    <w:rsid w:val="00570569"/>
    <w:rsid w:val="00570C7D"/>
    <w:rsid w:val="005763C5"/>
    <w:rsid w:val="00583FBC"/>
    <w:rsid w:val="00590368"/>
    <w:rsid w:val="005959BB"/>
    <w:rsid w:val="0059658B"/>
    <w:rsid w:val="005A44B7"/>
    <w:rsid w:val="005B0044"/>
    <w:rsid w:val="005B277E"/>
    <w:rsid w:val="005B4119"/>
    <w:rsid w:val="005B4551"/>
    <w:rsid w:val="005B7716"/>
    <w:rsid w:val="005C1B31"/>
    <w:rsid w:val="005C4F01"/>
    <w:rsid w:val="005C6FF6"/>
    <w:rsid w:val="005D185D"/>
    <w:rsid w:val="005D1BAF"/>
    <w:rsid w:val="005D6896"/>
    <w:rsid w:val="005D6AA1"/>
    <w:rsid w:val="005E0A28"/>
    <w:rsid w:val="005E1832"/>
    <w:rsid w:val="005E51CB"/>
    <w:rsid w:val="005E7441"/>
    <w:rsid w:val="005F0FA5"/>
    <w:rsid w:val="005F22E8"/>
    <w:rsid w:val="005F2F06"/>
    <w:rsid w:val="005F4C7D"/>
    <w:rsid w:val="00604175"/>
    <w:rsid w:val="006070E4"/>
    <w:rsid w:val="0061169D"/>
    <w:rsid w:val="00613236"/>
    <w:rsid w:val="006230C7"/>
    <w:rsid w:val="006261D3"/>
    <w:rsid w:val="00630145"/>
    <w:rsid w:val="00641A29"/>
    <w:rsid w:val="00645391"/>
    <w:rsid w:val="00647118"/>
    <w:rsid w:val="0065383C"/>
    <w:rsid w:val="00667EE2"/>
    <w:rsid w:val="006718A1"/>
    <w:rsid w:val="00673C36"/>
    <w:rsid w:val="006743E7"/>
    <w:rsid w:val="00677FB4"/>
    <w:rsid w:val="0068103D"/>
    <w:rsid w:val="00683734"/>
    <w:rsid w:val="00687CF2"/>
    <w:rsid w:val="00687EAE"/>
    <w:rsid w:val="00693718"/>
    <w:rsid w:val="006A00CE"/>
    <w:rsid w:val="006B3277"/>
    <w:rsid w:val="006B6F3E"/>
    <w:rsid w:val="006B73F3"/>
    <w:rsid w:val="006C1003"/>
    <w:rsid w:val="006E05F3"/>
    <w:rsid w:val="006E1D66"/>
    <w:rsid w:val="006E1E7B"/>
    <w:rsid w:val="006E3112"/>
    <w:rsid w:val="006E381D"/>
    <w:rsid w:val="006E79A0"/>
    <w:rsid w:val="006F656F"/>
    <w:rsid w:val="00701FD4"/>
    <w:rsid w:val="00707342"/>
    <w:rsid w:val="00726C39"/>
    <w:rsid w:val="00727262"/>
    <w:rsid w:val="0073201C"/>
    <w:rsid w:val="00733D5B"/>
    <w:rsid w:val="0073444C"/>
    <w:rsid w:val="00752EEB"/>
    <w:rsid w:val="007574EF"/>
    <w:rsid w:val="00761B54"/>
    <w:rsid w:val="00762B90"/>
    <w:rsid w:val="00765871"/>
    <w:rsid w:val="00770487"/>
    <w:rsid w:val="00776A7F"/>
    <w:rsid w:val="00784561"/>
    <w:rsid w:val="0078638C"/>
    <w:rsid w:val="00792FB9"/>
    <w:rsid w:val="00793485"/>
    <w:rsid w:val="007A0A16"/>
    <w:rsid w:val="007A0A64"/>
    <w:rsid w:val="007A1092"/>
    <w:rsid w:val="007A2CE2"/>
    <w:rsid w:val="007B1874"/>
    <w:rsid w:val="007B34FA"/>
    <w:rsid w:val="007C3F14"/>
    <w:rsid w:val="007C4851"/>
    <w:rsid w:val="007C5489"/>
    <w:rsid w:val="007D5ADC"/>
    <w:rsid w:val="007F0C8C"/>
    <w:rsid w:val="008057E1"/>
    <w:rsid w:val="008104C2"/>
    <w:rsid w:val="00821346"/>
    <w:rsid w:val="00822212"/>
    <w:rsid w:val="00823916"/>
    <w:rsid w:val="008266BB"/>
    <w:rsid w:val="00827C6B"/>
    <w:rsid w:val="00833DF4"/>
    <w:rsid w:val="00840E04"/>
    <w:rsid w:val="00841A59"/>
    <w:rsid w:val="00853CA9"/>
    <w:rsid w:val="008545F8"/>
    <w:rsid w:val="008548C1"/>
    <w:rsid w:val="00857EA5"/>
    <w:rsid w:val="00862513"/>
    <w:rsid w:val="00864B4E"/>
    <w:rsid w:val="00866AE8"/>
    <w:rsid w:val="00867FCC"/>
    <w:rsid w:val="00885065"/>
    <w:rsid w:val="00893A66"/>
    <w:rsid w:val="0089489A"/>
    <w:rsid w:val="008956D8"/>
    <w:rsid w:val="008A0173"/>
    <w:rsid w:val="008A07F8"/>
    <w:rsid w:val="008A4ABA"/>
    <w:rsid w:val="008B3E05"/>
    <w:rsid w:val="008B600D"/>
    <w:rsid w:val="008D63EF"/>
    <w:rsid w:val="008E67DD"/>
    <w:rsid w:val="008E6D50"/>
    <w:rsid w:val="008E7BD9"/>
    <w:rsid w:val="00902320"/>
    <w:rsid w:val="00902C04"/>
    <w:rsid w:val="00904241"/>
    <w:rsid w:val="00911CB5"/>
    <w:rsid w:val="00914C69"/>
    <w:rsid w:val="00916C98"/>
    <w:rsid w:val="009259F8"/>
    <w:rsid w:val="0092629C"/>
    <w:rsid w:val="00926F62"/>
    <w:rsid w:val="00927D6D"/>
    <w:rsid w:val="00937B94"/>
    <w:rsid w:val="009403AC"/>
    <w:rsid w:val="00941392"/>
    <w:rsid w:val="00942A53"/>
    <w:rsid w:val="00942D47"/>
    <w:rsid w:val="00954508"/>
    <w:rsid w:val="00956CFD"/>
    <w:rsid w:val="00961EC9"/>
    <w:rsid w:val="00966109"/>
    <w:rsid w:val="00975F1C"/>
    <w:rsid w:val="0098462C"/>
    <w:rsid w:val="00984BB0"/>
    <w:rsid w:val="009869ED"/>
    <w:rsid w:val="0099145E"/>
    <w:rsid w:val="00994004"/>
    <w:rsid w:val="009A5271"/>
    <w:rsid w:val="009A5F60"/>
    <w:rsid w:val="009A73EE"/>
    <w:rsid w:val="009B08E8"/>
    <w:rsid w:val="009B142B"/>
    <w:rsid w:val="009B31A7"/>
    <w:rsid w:val="009B45C8"/>
    <w:rsid w:val="009C01D9"/>
    <w:rsid w:val="009C048A"/>
    <w:rsid w:val="009C4B87"/>
    <w:rsid w:val="009C5BF8"/>
    <w:rsid w:val="009C7419"/>
    <w:rsid w:val="009D3FE2"/>
    <w:rsid w:val="009E482F"/>
    <w:rsid w:val="009E49E0"/>
    <w:rsid w:val="009E6C3B"/>
    <w:rsid w:val="009F14C9"/>
    <w:rsid w:val="00A03A0D"/>
    <w:rsid w:val="00A03D46"/>
    <w:rsid w:val="00A07E66"/>
    <w:rsid w:val="00A127FB"/>
    <w:rsid w:val="00A12B80"/>
    <w:rsid w:val="00A14780"/>
    <w:rsid w:val="00A16297"/>
    <w:rsid w:val="00A230A6"/>
    <w:rsid w:val="00A23A06"/>
    <w:rsid w:val="00A23A9F"/>
    <w:rsid w:val="00A25B1D"/>
    <w:rsid w:val="00A32AEB"/>
    <w:rsid w:val="00A349D4"/>
    <w:rsid w:val="00A44B2F"/>
    <w:rsid w:val="00A457E5"/>
    <w:rsid w:val="00A463C1"/>
    <w:rsid w:val="00A50C98"/>
    <w:rsid w:val="00A53A81"/>
    <w:rsid w:val="00A61211"/>
    <w:rsid w:val="00A6260D"/>
    <w:rsid w:val="00A6512E"/>
    <w:rsid w:val="00A703AE"/>
    <w:rsid w:val="00A75645"/>
    <w:rsid w:val="00A75C62"/>
    <w:rsid w:val="00A848FE"/>
    <w:rsid w:val="00A84EA8"/>
    <w:rsid w:val="00A85AEE"/>
    <w:rsid w:val="00AB43D0"/>
    <w:rsid w:val="00AB6E83"/>
    <w:rsid w:val="00AB7A81"/>
    <w:rsid w:val="00AC0BE3"/>
    <w:rsid w:val="00AC12B4"/>
    <w:rsid w:val="00AC5FC8"/>
    <w:rsid w:val="00AD139D"/>
    <w:rsid w:val="00AD487F"/>
    <w:rsid w:val="00AD4E7B"/>
    <w:rsid w:val="00AD5F9B"/>
    <w:rsid w:val="00AE7A6E"/>
    <w:rsid w:val="00AF0B44"/>
    <w:rsid w:val="00B1014D"/>
    <w:rsid w:val="00B10F94"/>
    <w:rsid w:val="00B135E3"/>
    <w:rsid w:val="00B15989"/>
    <w:rsid w:val="00B15F54"/>
    <w:rsid w:val="00B161D9"/>
    <w:rsid w:val="00B17A22"/>
    <w:rsid w:val="00B20830"/>
    <w:rsid w:val="00B31487"/>
    <w:rsid w:val="00B350D4"/>
    <w:rsid w:val="00B37689"/>
    <w:rsid w:val="00B40871"/>
    <w:rsid w:val="00B431AC"/>
    <w:rsid w:val="00B47582"/>
    <w:rsid w:val="00B50446"/>
    <w:rsid w:val="00B52C63"/>
    <w:rsid w:val="00B6176C"/>
    <w:rsid w:val="00B63B85"/>
    <w:rsid w:val="00B641E1"/>
    <w:rsid w:val="00B715BC"/>
    <w:rsid w:val="00B7467B"/>
    <w:rsid w:val="00B75AE3"/>
    <w:rsid w:val="00B80A07"/>
    <w:rsid w:val="00B820ED"/>
    <w:rsid w:val="00B82AAA"/>
    <w:rsid w:val="00B83CB5"/>
    <w:rsid w:val="00B854CE"/>
    <w:rsid w:val="00BA131A"/>
    <w:rsid w:val="00BA3B87"/>
    <w:rsid w:val="00BB37F4"/>
    <w:rsid w:val="00BB4BBA"/>
    <w:rsid w:val="00BB5462"/>
    <w:rsid w:val="00BC0566"/>
    <w:rsid w:val="00BC1AE9"/>
    <w:rsid w:val="00BC1C9E"/>
    <w:rsid w:val="00BD1AA1"/>
    <w:rsid w:val="00BD43E0"/>
    <w:rsid w:val="00BE0676"/>
    <w:rsid w:val="00BE2A40"/>
    <w:rsid w:val="00BE7953"/>
    <w:rsid w:val="00BF617B"/>
    <w:rsid w:val="00C06FFD"/>
    <w:rsid w:val="00C0730B"/>
    <w:rsid w:val="00C116EB"/>
    <w:rsid w:val="00C15B29"/>
    <w:rsid w:val="00C20E84"/>
    <w:rsid w:val="00C2488B"/>
    <w:rsid w:val="00C25F2E"/>
    <w:rsid w:val="00C25FDD"/>
    <w:rsid w:val="00C260F8"/>
    <w:rsid w:val="00C47722"/>
    <w:rsid w:val="00C51C41"/>
    <w:rsid w:val="00C548B3"/>
    <w:rsid w:val="00C636B5"/>
    <w:rsid w:val="00C80F47"/>
    <w:rsid w:val="00C851A5"/>
    <w:rsid w:val="00C87CC8"/>
    <w:rsid w:val="00C900F2"/>
    <w:rsid w:val="00C93536"/>
    <w:rsid w:val="00CA1398"/>
    <w:rsid w:val="00CA372E"/>
    <w:rsid w:val="00CB01C8"/>
    <w:rsid w:val="00CB6891"/>
    <w:rsid w:val="00CC55A7"/>
    <w:rsid w:val="00CD0BC5"/>
    <w:rsid w:val="00CD663D"/>
    <w:rsid w:val="00CF1010"/>
    <w:rsid w:val="00CF2DE3"/>
    <w:rsid w:val="00D00671"/>
    <w:rsid w:val="00D06FEC"/>
    <w:rsid w:val="00D1057D"/>
    <w:rsid w:val="00D10791"/>
    <w:rsid w:val="00D13442"/>
    <w:rsid w:val="00D147D3"/>
    <w:rsid w:val="00D275B3"/>
    <w:rsid w:val="00D30920"/>
    <w:rsid w:val="00D32606"/>
    <w:rsid w:val="00D32958"/>
    <w:rsid w:val="00D34161"/>
    <w:rsid w:val="00D36630"/>
    <w:rsid w:val="00D42135"/>
    <w:rsid w:val="00D423C0"/>
    <w:rsid w:val="00D4357F"/>
    <w:rsid w:val="00D4427F"/>
    <w:rsid w:val="00D47AE5"/>
    <w:rsid w:val="00D50C52"/>
    <w:rsid w:val="00D64D14"/>
    <w:rsid w:val="00D73EDD"/>
    <w:rsid w:val="00D75C76"/>
    <w:rsid w:val="00D80FC4"/>
    <w:rsid w:val="00D81F53"/>
    <w:rsid w:val="00D91421"/>
    <w:rsid w:val="00D91594"/>
    <w:rsid w:val="00D92C54"/>
    <w:rsid w:val="00D979C5"/>
    <w:rsid w:val="00DA0AB8"/>
    <w:rsid w:val="00DA13B3"/>
    <w:rsid w:val="00DB12F1"/>
    <w:rsid w:val="00DB33BC"/>
    <w:rsid w:val="00DC3FFE"/>
    <w:rsid w:val="00DC4D9F"/>
    <w:rsid w:val="00DC67CB"/>
    <w:rsid w:val="00DD17CB"/>
    <w:rsid w:val="00DD1B14"/>
    <w:rsid w:val="00DD3D7E"/>
    <w:rsid w:val="00DD4900"/>
    <w:rsid w:val="00DD6EB2"/>
    <w:rsid w:val="00DE030A"/>
    <w:rsid w:val="00DE14F4"/>
    <w:rsid w:val="00DE4938"/>
    <w:rsid w:val="00E0482F"/>
    <w:rsid w:val="00E05A45"/>
    <w:rsid w:val="00E07784"/>
    <w:rsid w:val="00E11811"/>
    <w:rsid w:val="00E11B4C"/>
    <w:rsid w:val="00E1263D"/>
    <w:rsid w:val="00E127ED"/>
    <w:rsid w:val="00E13FDA"/>
    <w:rsid w:val="00E21E0D"/>
    <w:rsid w:val="00E369AB"/>
    <w:rsid w:val="00E46360"/>
    <w:rsid w:val="00E60FE3"/>
    <w:rsid w:val="00E61DA3"/>
    <w:rsid w:val="00E63DE9"/>
    <w:rsid w:val="00E71400"/>
    <w:rsid w:val="00E76612"/>
    <w:rsid w:val="00E76626"/>
    <w:rsid w:val="00E7703B"/>
    <w:rsid w:val="00E77143"/>
    <w:rsid w:val="00E847C9"/>
    <w:rsid w:val="00E86520"/>
    <w:rsid w:val="00E8760C"/>
    <w:rsid w:val="00E87758"/>
    <w:rsid w:val="00E93030"/>
    <w:rsid w:val="00E93233"/>
    <w:rsid w:val="00E93560"/>
    <w:rsid w:val="00E9709A"/>
    <w:rsid w:val="00E97CEA"/>
    <w:rsid w:val="00EA4C00"/>
    <w:rsid w:val="00EA540A"/>
    <w:rsid w:val="00EB1A24"/>
    <w:rsid w:val="00EB3497"/>
    <w:rsid w:val="00EB4C7A"/>
    <w:rsid w:val="00EC0853"/>
    <w:rsid w:val="00EC3AFF"/>
    <w:rsid w:val="00EC45F9"/>
    <w:rsid w:val="00EC5590"/>
    <w:rsid w:val="00EC74EF"/>
    <w:rsid w:val="00ED1F57"/>
    <w:rsid w:val="00ED40E9"/>
    <w:rsid w:val="00EE6B76"/>
    <w:rsid w:val="00EE6FA1"/>
    <w:rsid w:val="00EE6FF1"/>
    <w:rsid w:val="00EF06CB"/>
    <w:rsid w:val="00EF07E2"/>
    <w:rsid w:val="00EF0804"/>
    <w:rsid w:val="00EF19BF"/>
    <w:rsid w:val="00EF2EA8"/>
    <w:rsid w:val="00EF4D20"/>
    <w:rsid w:val="00EF57AC"/>
    <w:rsid w:val="00EF5ECD"/>
    <w:rsid w:val="00EF7F67"/>
    <w:rsid w:val="00F03FC4"/>
    <w:rsid w:val="00F051BA"/>
    <w:rsid w:val="00F05CE8"/>
    <w:rsid w:val="00F172E4"/>
    <w:rsid w:val="00F254CD"/>
    <w:rsid w:val="00F31EE3"/>
    <w:rsid w:val="00F31EFB"/>
    <w:rsid w:val="00F3264F"/>
    <w:rsid w:val="00F35A75"/>
    <w:rsid w:val="00F36586"/>
    <w:rsid w:val="00F44436"/>
    <w:rsid w:val="00F45066"/>
    <w:rsid w:val="00F61E35"/>
    <w:rsid w:val="00F627B1"/>
    <w:rsid w:val="00F74AEC"/>
    <w:rsid w:val="00F821B6"/>
    <w:rsid w:val="00F82B1D"/>
    <w:rsid w:val="00F83416"/>
    <w:rsid w:val="00F951E9"/>
    <w:rsid w:val="00FB2EC5"/>
    <w:rsid w:val="00FB3759"/>
    <w:rsid w:val="00FB455F"/>
    <w:rsid w:val="00FC3F6A"/>
    <w:rsid w:val="00FC41DE"/>
    <w:rsid w:val="00FC7F72"/>
    <w:rsid w:val="00FD306A"/>
    <w:rsid w:val="00FE0BEC"/>
    <w:rsid w:val="00FE21E2"/>
    <w:rsid w:val="00FF246C"/>
    <w:rsid w:val="00FF31CB"/>
    <w:rsid w:val="00FF48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07F8"/>
    <w:pPr>
      <w:keepNext/>
      <w:keepLines/>
      <w:numPr>
        <w:numId w:val="12"/>
      </w:numPr>
      <w:spacing w:before="120" w:after="120"/>
      <w:outlineLvl w:val="0"/>
    </w:pPr>
    <w:rPr>
      <w:rFonts w:asciiTheme="majorHAnsi" w:eastAsiaTheme="majorEastAsia" w:hAnsiTheme="majorHAnsi" w:cstheme="majorBidi"/>
      <w:b/>
      <w:bCs/>
      <w:color w:val="CD340E" w:themeColor="accent1" w:themeShade="BF"/>
      <w:sz w:val="28"/>
      <w:szCs w:val="28"/>
      <w:lang w:eastAsia="en-US"/>
    </w:rPr>
  </w:style>
  <w:style w:type="paragraph" w:styleId="Heading2">
    <w:name w:val="heading 2"/>
    <w:basedOn w:val="Normal"/>
    <w:next w:val="Normal"/>
    <w:link w:val="Heading2Char"/>
    <w:uiPriority w:val="9"/>
    <w:unhideWhenUsed/>
    <w:qFormat/>
    <w:rsid w:val="00AF0B44"/>
    <w:pPr>
      <w:keepNext/>
      <w:keepLines/>
      <w:spacing w:before="200" w:after="0"/>
      <w:outlineLvl w:val="1"/>
    </w:pPr>
    <w:rPr>
      <w:rFonts w:asciiTheme="majorHAnsi" w:eastAsiaTheme="majorEastAsia" w:hAnsiTheme="majorHAnsi" w:cstheme="majorBidi"/>
      <w:b/>
      <w:bCs/>
      <w:color w:val="F15A34" w:themeColor="accent1"/>
      <w:sz w:val="26"/>
      <w:szCs w:val="26"/>
    </w:rPr>
  </w:style>
  <w:style w:type="paragraph" w:styleId="Heading3">
    <w:name w:val="heading 3"/>
    <w:basedOn w:val="Normal"/>
    <w:next w:val="Normal"/>
    <w:link w:val="Heading3Char"/>
    <w:uiPriority w:val="9"/>
    <w:unhideWhenUsed/>
    <w:qFormat/>
    <w:rsid w:val="00C25F2E"/>
    <w:pPr>
      <w:keepNext/>
      <w:keepLines/>
      <w:spacing w:before="200" w:after="0"/>
      <w:outlineLvl w:val="2"/>
    </w:pPr>
    <w:rPr>
      <w:rFonts w:asciiTheme="majorHAnsi" w:eastAsiaTheme="majorEastAsia" w:hAnsiTheme="majorHAnsi" w:cstheme="majorBidi"/>
      <w:b/>
      <w:bCs/>
      <w:color w:val="F15A34" w:themeColor="accent1"/>
    </w:rPr>
  </w:style>
  <w:style w:type="paragraph" w:styleId="Heading4">
    <w:name w:val="heading 4"/>
    <w:basedOn w:val="Normal"/>
    <w:next w:val="Normal"/>
    <w:link w:val="Heading4Char"/>
    <w:uiPriority w:val="9"/>
    <w:unhideWhenUsed/>
    <w:qFormat/>
    <w:rsid w:val="00AF0B44"/>
    <w:pPr>
      <w:keepNext/>
      <w:keepLines/>
      <w:spacing w:before="200" w:after="0"/>
      <w:outlineLvl w:val="3"/>
    </w:pPr>
    <w:rPr>
      <w:rFonts w:asciiTheme="majorHAnsi" w:eastAsiaTheme="majorEastAsia" w:hAnsiTheme="majorHAnsi" w:cstheme="majorBidi"/>
      <w:b/>
      <w:bCs/>
      <w:i/>
      <w:iCs/>
      <w:color w:val="F15A3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SRM1">
    <w:name w:val="CSRM 1"/>
    <w:basedOn w:val="TableNormal"/>
    <w:uiPriority w:val="99"/>
    <w:qFormat/>
    <w:rsid w:val="0098462C"/>
    <w:pPr>
      <w:spacing w:after="0" w:line="240" w:lineRule="auto"/>
      <w:jc w:val="center"/>
    </w:pPr>
    <w:tblPr>
      <w:tblStyleRowBandSize w:val="1"/>
      <w:tblInd w:w="0" w:type="dxa"/>
      <w:tblBorders>
        <w:top w:val="single" w:sz="4" w:space="0" w:color="F15A34" w:themeColor="accent1"/>
        <w:left w:val="single" w:sz="4" w:space="0" w:color="F15A34" w:themeColor="accent1"/>
        <w:bottom w:val="single" w:sz="4" w:space="0" w:color="F15A34" w:themeColor="accent1"/>
        <w:right w:val="single" w:sz="4" w:space="0" w:color="F15A34" w:themeColor="accent1"/>
      </w:tblBorders>
      <w:tblCellMar>
        <w:top w:w="0" w:type="dxa"/>
        <w:left w:w="108" w:type="dxa"/>
        <w:bottom w:w="0" w:type="dxa"/>
        <w:right w:w="108" w:type="dxa"/>
      </w:tblCellMar>
    </w:tblPr>
    <w:tcPr>
      <w:vAlign w:val="center"/>
    </w:tcPr>
    <w:tblStylePr w:type="firstRow">
      <w:rPr>
        <w:b/>
      </w:rPr>
      <w:tblPr/>
      <w:tcPr>
        <w:tcBorders>
          <w:top w:val="single" w:sz="4" w:space="0" w:color="F15A34" w:themeColor="accent1"/>
          <w:left w:val="single" w:sz="4" w:space="0" w:color="F15A34" w:themeColor="accent1"/>
          <w:bottom w:val="single" w:sz="4" w:space="0" w:color="F15A34" w:themeColor="accent1"/>
          <w:right w:val="single" w:sz="4" w:space="0" w:color="F15A34" w:themeColor="accent1"/>
        </w:tcBorders>
      </w:tcPr>
    </w:tblStylePr>
    <w:tblStylePr w:type="band2Horz">
      <w:tblPr/>
      <w:tcPr>
        <w:shd w:val="clear" w:color="auto" w:fill="FCDDD6" w:themeFill="accent1" w:themeFillTint="33"/>
      </w:tcPr>
    </w:tblStylePr>
  </w:style>
  <w:style w:type="table" w:customStyle="1" w:styleId="CSRMv1">
    <w:name w:val="CSRM v1"/>
    <w:basedOn w:val="TableNormal"/>
    <w:uiPriority w:val="99"/>
    <w:qFormat/>
    <w:rsid w:val="0098462C"/>
    <w:pPr>
      <w:spacing w:after="0" w:line="240" w:lineRule="auto"/>
    </w:pPr>
    <w:tblPr>
      <w:tblStyleRowBandSize w:val="1"/>
      <w:tblInd w:w="0" w:type="dxa"/>
      <w:tblBorders>
        <w:top w:val="single" w:sz="4" w:space="0" w:color="F15A34" w:themeColor="accent1"/>
        <w:left w:val="single" w:sz="4" w:space="0" w:color="F15A34" w:themeColor="accent1"/>
        <w:bottom w:val="single" w:sz="4" w:space="0" w:color="F15A34" w:themeColor="accent1"/>
        <w:right w:val="single" w:sz="4" w:space="0" w:color="F15A34" w:themeColor="accent1"/>
      </w:tblBorders>
      <w:tblCellMar>
        <w:top w:w="0" w:type="dxa"/>
        <w:left w:w="108" w:type="dxa"/>
        <w:bottom w:w="0" w:type="dxa"/>
        <w:right w:w="108" w:type="dxa"/>
      </w:tblCellMar>
    </w:tblPr>
    <w:tblStylePr w:type="firstRow">
      <w:pPr>
        <w:jc w:val="center"/>
      </w:pPr>
      <w:rPr>
        <w:b/>
        <w:color w:val="auto"/>
      </w:rPr>
      <w:tblPr/>
      <w:tcPr>
        <w:tcBorders>
          <w:top w:val="single" w:sz="4" w:space="0" w:color="F15A34" w:themeColor="accent1"/>
          <w:left w:val="single" w:sz="4" w:space="0" w:color="F15A34" w:themeColor="accent1"/>
          <w:bottom w:val="single" w:sz="4" w:space="0" w:color="F15A34" w:themeColor="accent1"/>
          <w:right w:val="single" w:sz="4" w:space="0" w:color="F15A34" w:themeColor="accent1"/>
        </w:tcBorders>
        <w:shd w:val="clear" w:color="auto" w:fill="FFFFFF" w:themeFill="background1"/>
      </w:tcPr>
    </w:tblStylePr>
    <w:tblStylePr w:type="firstCol">
      <w:tblPr/>
      <w:tcPr>
        <w:tcBorders>
          <w:left w:val="single" w:sz="4" w:space="0" w:color="F15A34" w:themeColor="accent1"/>
        </w:tcBorders>
      </w:tcPr>
    </w:tblStylePr>
    <w:tblStylePr w:type="lastCol">
      <w:tblPr/>
      <w:tcPr>
        <w:tcBorders>
          <w:right w:val="single" w:sz="4" w:space="0" w:color="F15A34" w:themeColor="accent1"/>
        </w:tcBorders>
      </w:tcPr>
    </w:tblStylePr>
    <w:tblStylePr w:type="band1Horz">
      <w:pPr>
        <w:jc w:val="center"/>
      </w:pPr>
      <w:tblPr/>
      <w:tcPr>
        <w:tcBorders>
          <w:left w:val="single" w:sz="4" w:space="0" w:color="F15A34" w:themeColor="accent1"/>
          <w:right w:val="single" w:sz="4" w:space="0" w:color="F15A34" w:themeColor="accent1"/>
        </w:tcBorders>
        <w:shd w:val="clear" w:color="auto" w:fill="FCDDD6" w:themeFill="accent1" w:themeFillTint="33"/>
      </w:tcPr>
    </w:tblStylePr>
    <w:tblStylePr w:type="band2Horz">
      <w:pPr>
        <w:jc w:val="center"/>
      </w:pPr>
      <w:tblPr/>
      <w:tcPr>
        <w:tcBorders>
          <w:left w:val="single" w:sz="4" w:space="0" w:color="F15A34" w:themeColor="accent1"/>
          <w:right w:val="nil"/>
        </w:tcBorders>
      </w:tcPr>
    </w:tblStylePr>
  </w:style>
  <w:style w:type="table" w:customStyle="1" w:styleId="CSRMv3">
    <w:name w:val="CSRM v3"/>
    <w:basedOn w:val="TableNormal"/>
    <w:uiPriority w:val="99"/>
    <w:qFormat/>
    <w:rsid w:val="0098462C"/>
    <w:pPr>
      <w:spacing w:after="0" w:line="240" w:lineRule="auto"/>
    </w:pPr>
    <w:tblPr>
      <w:tblStyleRowBandSize w:val="1"/>
      <w:tblInd w:w="0" w:type="dxa"/>
      <w:tblBorders>
        <w:top w:val="single" w:sz="4" w:space="0" w:color="F15A34" w:themeColor="accent1"/>
        <w:left w:val="single" w:sz="4" w:space="0" w:color="F15A34" w:themeColor="accent1"/>
        <w:bottom w:val="single" w:sz="4" w:space="0" w:color="F15A34" w:themeColor="accent1"/>
        <w:right w:val="single" w:sz="4" w:space="0" w:color="F15A34" w:themeColor="accent1"/>
      </w:tblBorders>
      <w:tblCellMar>
        <w:top w:w="0" w:type="dxa"/>
        <w:left w:w="108" w:type="dxa"/>
        <w:bottom w:w="0" w:type="dxa"/>
        <w:right w:w="108" w:type="dxa"/>
      </w:tblCellMar>
    </w:tblPr>
    <w:tblStylePr w:type="firstRow">
      <w:pPr>
        <w:jc w:val="center"/>
      </w:pPr>
      <w:rPr>
        <w:b/>
      </w:rPr>
      <w:tblPr/>
      <w:tcPr>
        <w:tcBorders>
          <w:top w:val="single" w:sz="4" w:space="0" w:color="F15A34" w:themeColor="accent1"/>
          <w:left w:val="single" w:sz="4" w:space="0" w:color="F15A34" w:themeColor="accent1"/>
          <w:bottom w:val="single" w:sz="4" w:space="0" w:color="F15A34" w:themeColor="accent1"/>
          <w:right w:val="single" w:sz="4" w:space="0" w:color="F15A34" w:themeColor="accent1"/>
        </w:tcBorders>
        <w:shd w:val="clear" w:color="auto" w:fill="FFFFFF" w:themeFill="background1"/>
        <w:vAlign w:val="center"/>
      </w:tcPr>
    </w:tblStylePr>
    <w:tblStylePr w:type="lastRow">
      <w:pPr>
        <w:jc w:val="center"/>
      </w:pPr>
      <w:tblPr/>
      <w:tcPr>
        <w:tcBorders>
          <w:left w:val="single" w:sz="4" w:space="0" w:color="F15A34" w:themeColor="accent1"/>
          <w:bottom w:val="single" w:sz="4" w:space="0" w:color="F15A34" w:themeColor="accent1"/>
          <w:right w:val="single" w:sz="4" w:space="0" w:color="F15A34" w:themeColor="accent1"/>
        </w:tcBorders>
      </w:tcPr>
    </w:tblStylePr>
    <w:tblStylePr w:type="band1Horz">
      <w:pPr>
        <w:jc w:val="center"/>
      </w:pPr>
      <w:tblPr/>
      <w:tcPr>
        <w:tcBorders>
          <w:left w:val="single" w:sz="4" w:space="0" w:color="F15A34" w:themeColor="accent1"/>
          <w:right w:val="single" w:sz="4" w:space="0" w:color="F15A34" w:themeColor="accent1"/>
        </w:tcBorders>
        <w:shd w:val="clear" w:color="auto" w:fill="FCDDD6" w:themeFill="accent1" w:themeFillTint="33"/>
      </w:tcPr>
    </w:tblStylePr>
    <w:tblStylePr w:type="band2Horz">
      <w:pPr>
        <w:jc w:val="center"/>
      </w:pPr>
      <w:tblPr/>
      <w:tcPr>
        <w:tcBorders>
          <w:left w:val="single" w:sz="4" w:space="0" w:color="F15A34" w:themeColor="accent1"/>
          <w:right w:val="single" w:sz="4" w:space="0" w:color="F15A34" w:themeColor="accent1"/>
        </w:tcBorders>
      </w:tcPr>
    </w:tblStylePr>
  </w:style>
  <w:style w:type="character" w:customStyle="1" w:styleId="Heading3Char">
    <w:name w:val="Heading 3 Char"/>
    <w:basedOn w:val="DefaultParagraphFont"/>
    <w:link w:val="Heading3"/>
    <w:uiPriority w:val="9"/>
    <w:rsid w:val="00C25F2E"/>
    <w:rPr>
      <w:rFonts w:asciiTheme="majorHAnsi" w:eastAsiaTheme="majorEastAsia" w:hAnsiTheme="majorHAnsi" w:cstheme="majorBidi"/>
      <w:b/>
      <w:bCs/>
      <w:color w:val="F15A34" w:themeColor="accent1"/>
    </w:rPr>
  </w:style>
  <w:style w:type="paragraph" w:styleId="Header">
    <w:name w:val="header"/>
    <w:basedOn w:val="Normal"/>
    <w:link w:val="HeaderChar"/>
    <w:uiPriority w:val="99"/>
    <w:unhideWhenUsed/>
    <w:rsid w:val="00C25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F2E"/>
  </w:style>
  <w:style w:type="paragraph" w:styleId="Footer">
    <w:name w:val="footer"/>
    <w:basedOn w:val="Normal"/>
    <w:link w:val="FooterChar"/>
    <w:uiPriority w:val="99"/>
    <w:unhideWhenUsed/>
    <w:rsid w:val="00C25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F2E"/>
  </w:style>
  <w:style w:type="character" w:styleId="Hyperlink">
    <w:name w:val="Hyperlink"/>
    <w:basedOn w:val="DefaultParagraphFont"/>
    <w:uiPriority w:val="99"/>
    <w:unhideWhenUsed/>
    <w:rsid w:val="00C25F2E"/>
    <w:rPr>
      <w:color w:val="00A3D6" w:themeColor="hyperlink"/>
      <w:u w:val="single"/>
    </w:rPr>
  </w:style>
  <w:style w:type="paragraph" w:customStyle="1" w:styleId="DotPoint">
    <w:name w:val="Dot Point"/>
    <w:basedOn w:val="ListParagraph"/>
    <w:link w:val="DotPointChar"/>
    <w:rsid w:val="00C25F2E"/>
    <w:pPr>
      <w:numPr>
        <w:numId w:val="1"/>
      </w:numPr>
      <w:ind w:left="720" w:firstLine="0"/>
    </w:pPr>
  </w:style>
  <w:style w:type="character" w:customStyle="1" w:styleId="DotPointChar">
    <w:name w:val="Dot Point Char"/>
    <w:basedOn w:val="DefaultParagraphFont"/>
    <w:link w:val="DotPoint"/>
    <w:rsid w:val="00C25F2E"/>
  </w:style>
  <w:style w:type="paragraph" w:customStyle="1" w:styleId="Paragraph">
    <w:name w:val="Paragraph"/>
    <w:basedOn w:val="Normal"/>
    <w:link w:val="ParagraphChar"/>
    <w:qFormat/>
    <w:rsid w:val="00C25F2E"/>
    <w:pPr>
      <w:jc w:val="both"/>
    </w:pPr>
  </w:style>
  <w:style w:type="character" w:customStyle="1" w:styleId="ParagraphChar">
    <w:name w:val="Paragraph Char"/>
    <w:basedOn w:val="DefaultParagraphFont"/>
    <w:link w:val="Paragraph"/>
    <w:rsid w:val="00C25F2E"/>
  </w:style>
  <w:style w:type="paragraph" w:styleId="Title">
    <w:name w:val="Title"/>
    <w:basedOn w:val="Normal"/>
    <w:next w:val="Normal"/>
    <w:link w:val="TitleChar"/>
    <w:uiPriority w:val="10"/>
    <w:qFormat/>
    <w:rsid w:val="00C25F2E"/>
    <w:pPr>
      <w:pBdr>
        <w:bottom w:val="single" w:sz="8" w:space="4" w:color="F15A34"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28"/>
      <w:szCs w:val="52"/>
    </w:rPr>
  </w:style>
  <w:style w:type="character" w:customStyle="1" w:styleId="TitleChar">
    <w:name w:val="Title Char"/>
    <w:basedOn w:val="DefaultParagraphFont"/>
    <w:link w:val="Title"/>
    <w:uiPriority w:val="10"/>
    <w:rsid w:val="00C25F2E"/>
    <w:rPr>
      <w:rFonts w:asciiTheme="majorHAnsi" w:eastAsiaTheme="majorEastAsia" w:hAnsiTheme="majorHAnsi" w:cstheme="majorBidi"/>
      <w:color w:val="4A4F64" w:themeColor="text2" w:themeShade="BF"/>
      <w:spacing w:val="5"/>
      <w:kern w:val="28"/>
      <w:sz w:val="28"/>
      <w:szCs w:val="52"/>
    </w:rPr>
  </w:style>
  <w:style w:type="paragraph" w:styleId="TOC2">
    <w:name w:val="toc 2"/>
    <w:basedOn w:val="Normal"/>
    <w:next w:val="Normal"/>
    <w:autoRedefine/>
    <w:uiPriority w:val="39"/>
    <w:unhideWhenUsed/>
    <w:rsid w:val="00C25F2E"/>
    <w:pPr>
      <w:spacing w:after="0"/>
    </w:pPr>
    <w:rPr>
      <w:rFonts w:cstheme="minorHAnsi"/>
    </w:rPr>
  </w:style>
  <w:style w:type="paragraph" w:styleId="TOC1">
    <w:name w:val="toc 1"/>
    <w:basedOn w:val="Normal"/>
    <w:next w:val="Normal"/>
    <w:autoRedefine/>
    <w:uiPriority w:val="39"/>
    <w:unhideWhenUsed/>
    <w:rsid w:val="004F3269"/>
    <w:pPr>
      <w:tabs>
        <w:tab w:val="right" w:leader="dot" w:pos="9016"/>
      </w:tabs>
      <w:spacing w:before="120" w:after="0"/>
    </w:pPr>
    <w:rPr>
      <w:rFonts w:asciiTheme="majorHAnsi" w:hAnsiTheme="majorHAnsi"/>
      <w:b/>
      <w:color w:val="548DD4"/>
      <w:sz w:val="24"/>
      <w:szCs w:val="24"/>
    </w:rPr>
  </w:style>
  <w:style w:type="paragraph" w:customStyle="1" w:styleId="H1NotIncluded">
    <w:name w:val="H1 Not Included"/>
    <w:basedOn w:val="Heading1"/>
    <w:link w:val="H1NotIncludedChar"/>
    <w:rsid w:val="00C25F2E"/>
  </w:style>
  <w:style w:type="paragraph" w:customStyle="1" w:styleId="TitleNotIncluded">
    <w:name w:val="Title Not Included"/>
    <w:basedOn w:val="Title"/>
    <w:link w:val="TitleNotIncludedChar"/>
    <w:qFormat/>
    <w:rsid w:val="00C25F2E"/>
  </w:style>
  <w:style w:type="character" w:customStyle="1" w:styleId="H1NotIncludedChar">
    <w:name w:val="H1 Not Included Char"/>
    <w:basedOn w:val="Heading1Char"/>
    <w:link w:val="H1NotIncluded"/>
    <w:rsid w:val="00C25F2E"/>
    <w:rPr>
      <w:rFonts w:asciiTheme="majorHAnsi" w:eastAsiaTheme="majorEastAsia" w:hAnsiTheme="majorHAnsi" w:cstheme="majorBidi"/>
      <w:b/>
      <w:bCs/>
      <w:color w:val="CD340E" w:themeColor="accent1" w:themeShade="BF"/>
      <w:sz w:val="28"/>
      <w:szCs w:val="28"/>
      <w:lang w:eastAsia="en-US"/>
    </w:rPr>
  </w:style>
  <w:style w:type="character" w:customStyle="1" w:styleId="TitleNotIncludedChar">
    <w:name w:val="Title Not Included Char"/>
    <w:basedOn w:val="TitleChar"/>
    <w:link w:val="TitleNotIncluded"/>
    <w:rsid w:val="00C25F2E"/>
    <w:rPr>
      <w:rFonts w:asciiTheme="majorHAnsi" w:eastAsiaTheme="majorEastAsia" w:hAnsiTheme="majorHAnsi" w:cstheme="majorBidi"/>
      <w:color w:val="4A4F64" w:themeColor="text2" w:themeShade="BF"/>
      <w:spacing w:val="5"/>
      <w:kern w:val="28"/>
      <w:sz w:val="28"/>
      <w:szCs w:val="52"/>
    </w:rPr>
  </w:style>
  <w:style w:type="paragraph" w:styleId="ListParagraph">
    <w:name w:val="List Paragraph"/>
    <w:basedOn w:val="Normal"/>
    <w:link w:val="ListParagraphChar"/>
    <w:uiPriority w:val="34"/>
    <w:qFormat/>
    <w:rsid w:val="00C25F2E"/>
    <w:pPr>
      <w:ind w:left="720"/>
      <w:contextualSpacing/>
    </w:pPr>
  </w:style>
  <w:style w:type="character" w:customStyle="1" w:styleId="Heading1Char">
    <w:name w:val="Heading 1 Char"/>
    <w:basedOn w:val="DefaultParagraphFont"/>
    <w:link w:val="Heading1"/>
    <w:uiPriority w:val="9"/>
    <w:rsid w:val="008A07F8"/>
    <w:rPr>
      <w:rFonts w:asciiTheme="majorHAnsi" w:eastAsiaTheme="majorEastAsia" w:hAnsiTheme="majorHAnsi" w:cstheme="majorBidi"/>
      <w:b/>
      <w:bCs/>
      <w:color w:val="CD340E" w:themeColor="accent1" w:themeShade="BF"/>
      <w:sz w:val="28"/>
      <w:szCs w:val="28"/>
      <w:lang w:eastAsia="en-US"/>
    </w:rPr>
  </w:style>
  <w:style w:type="character" w:customStyle="1" w:styleId="Heading2Char">
    <w:name w:val="Heading 2 Char"/>
    <w:basedOn w:val="DefaultParagraphFont"/>
    <w:link w:val="Heading2"/>
    <w:uiPriority w:val="9"/>
    <w:rsid w:val="00AF0B44"/>
    <w:rPr>
      <w:rFonts w:asciiTheme="majorHAnsi" w:eastAsiaTheme="majorEastAsia" w:hAnsiTheme="majorHAnsi" w:cstheme="majorBidi"/>
      <w:b/>
      <w:bCs/>
      <w:color w:val="F15A34" w:themeColor="accent1"/>
      <w:sz w:val="26"/>
      <w:szCs w:val="26"/>
    </w:rPr>
  </w:style>
  <w:style w:type="character" w:customStyle="1" w:styleId="Heading4Char">
    <w:name w:val="Heading 4 Char"/>
    <w:basedOn w:val="DefaultParagraphFont"/>
    <w:link w:val="Heading4"/>
    <w:uiPriority w:val="9"/>
    <w:rsid w:val="00AF0B44"/>
    <w:rPr>
      <w:rFonts w:asciiTheme="majorHAnsi" w:eastAsiaTheme="majorEastAsia" w:hAnsiTheme="majorHAnsi" w:cstheme="majorBidi"/>
      <w:b/>
      <w:bCs/>
      <w:i/>
      <w:iCs/>
      <w:color w:val="F15A34" w:themeColor="accent1"/>
    </w:rPr>
  </w:style>
  <w:style w:type="table" w:customStyle="1" w:styleId="LightShading-Accent15">
    <w:name w:val="Light Shading - Accent 15"/>
    <w:basedOn w:val="TableNormal"/>
    <w:uiPriority w:val="60"/>
    <w:rsid w:val="00126B7D"/>
    <w:pPr>
      <w:spacing w:after="0" w:line="240" w:lineRule="auto"/>
    </w:pPr>
    <w:rPr>
      <w:color w:val="CD340E" w:themeColor="accent1" w:themeShade="BF"/>
    </w:rPr>
    <w:tblPr>
      <w:tblStyleRowBandSize w:val="1"/>
      <w:tblStyleColBandSize w:val="1"/>
      <w:tblInd w:w="0" w:type="dxa"/>
      <w:tblBorders>
        <w:top w:val="single" w:sz="8" w:space="0" w:color="F15A34" w:themeColor="accent1"/>
        <w:bottom w:val="single" w:sz="8" w:space="0" w:color="F15A3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15A34" w:themeColor="accent1"/>
          <w:left w:val="nil"/>
          <w:bottom w:val="single" w:sz="8" w:space="0" w:color="F15A34" w:themeColor="accent1"/>
          <w:right w:val="nil"/>
          <w:insideH w:val="nil"/>
          <w:insideV w:val="nil"/>
        </w:tcBorders>
      </w:tcPr>
    </w:tblStylePr>
    <w:tblStylePr w:type="lastRow">
      <w:pPr>
        <w:spacing w:before="0" w:after="0" w:line="240" w:lineRule="auto"/>
      </w:pPr>
      <w:rPr>
        <w:b/>
        <w:bCs/>
      </w:rPr>
      <w:tblPr/>
      <w:tcPr>
        <w:tcBorders>
          <w:top w:val="single" w:sz="8" w:space="0" w:color="F15A34" w:themeColor="accent1"/>
          <w:left w:val="nil"/>
          <w:bottom w:val="single" w:sz="8" w:space="0" w:color="F15A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6CC" w:themeFill="accent1" w:themeFillTint="3F"/>
      </w:tcPr>
    </w:tblStylePr>
    <w:tblStylePr w:type="band1Horz">
      <w:tblPr/>
      <w:tcPr>
        <w:tcBorders>
          <w:left w:val="nil"/>
          <w:right w:val="nil"/>
          <w:insideH w:val="nil"/>
          <w:insideV w:val="nil"/>
        </w:tcBorders>
        <w:shd w:val="clear" w:color="auto" w:fill="FBD6CC" w:themeFill="accent1" w:themeFillTint="3F"/>
      </w:tcPr>
    </w:tblStylePr>
  </w:style>
  <w:style w:type="paragraph" w:styleId="Caption">
    <w:name w:val="caption"/>
    <w:basedOn w:val="Normal"/>
    <w:next w:val="Normal"/>
    <w:uiPriority w:val="35"/>
    <w:unhideWhenUsed/>
    <w:qFormat/>
    <w:rsid w:val="00126B7D"/>
    <w:pPr>
      <w:spacing w:line="240" w:lineRule="auto"/>
    </w:pPr>
    <w:rPr>
      <w:b/>
      <w:bCs/>
      <w:color w:val="F15A34" w:themeColor="accent1"/>
      <w:sz w:val="18"/>
      <w:szCs w:val="18"/>
    </w:rPr>
  </w:style>
  <w:style w:type="character" w:customStyle="1" w:styleId="ListParagraphChar">
    <w:name w:val="List Paragraph Char"/>
    <w:basedOn w:val="DefaultParagraphFont"/>
    <w:link w:val="ListParagraph"/>
    <w:uiPriority w:val="99"/>
    <w:rsid w:val="00126B7D"/>
  </w:style>
  <w:style w:type="table" w:customStyle="1" w:styleId="LightShading-Accent111">
    <w:name w:val="Light Shading - Accent 111"/>
    <w:basedOn w:val="TableNormal"/>
    <w:uiPriority w:val="60"/>
    <w:rsid w:val="00126B7D"/>
    <w:pPr>
      <w:spacing w:after="0" w:line="240" w:lineRule="auto"/>
    </w:pPr>
    <w:rPr>
      <w:color w:val="CD340E" w:themeColor="accent1" w:themeShade="BF"/>
    </w:rPr>
    <w:tblPr>
      <w:tblStyleRowBandSize w:val="1"/>
      <w:tblStyleColBandSize w:val="1"/>
      <w:tblInd w:w="0" w:type="dxa"/>
      <w:tblBorders>
        <w:top w:val="single" w:sz="8" w:space="0" w:color="F15A34" w:themeColor="accent1"/>
        <w:bottom w:val="single" w:sz="8" w:space="0" w:color="F15A3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15A34" w:themeColor="accent1"/>
          <w:left w:val="nil"/>
          <w:bottom w:val="single" w:sz="8" w:space="0" w:color="F15A34" w:themeColor="accent1"/>
          <w:right w:val="nil"/>
          <w:insideH w:val="nil"/>
          <w:insideV w:val="nil"/>
        </w:tcBorders>
      </w:tcPr>
    </w:tblStylePr>
    <w:tblStylePr w:type="lastRow">
      <w:pPr>
        <w:spacing w:before="0" w:after="0" w:line="240" w:lineRule="auto"/>
      </w:pPr>
      <w:rPr>
        <w:b/>
        <w:bCs/>
      </w:rPr>
      <w:tblPr/>
      <w:tcPr>
        <w:tcBorders>
          <w:top w:val="single" w:sz="8" w:space="0" w:color="F15A34" w:themeColor="accent1"/>
          <w:left w:val="nil"/>
          <w:bottom w:val="single" w:sz="8" w:space="0" w:color="F15A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6CC" w:themeFill="accent1" w:themeFillTint="3F"/>
      </w:tcPr>
    </w:tblStylePr>
    <w:tblStylePr w:type="band1Horz">
      <w:tblPr/>
      <w:tcPr>
        <w:tcBorders>
          <w:left w:val="nil"/>
          <w:right w:val="nil"/>
          <w:insideH w:val="nil"/>
          <w:insideV w:val="nil"/>
        </w:tcBorders>
        <w:shd w:val="clear" w:color="auto" w:fill="FBD6CC" w:themeFill="accent1" w:themeFillTint="3F"/>
      </w:tcPr>
    </w:tblStylePr>
  </w:style>
  <w:style w:type="paragraph" w:styleId="BalloonText">
    <w:name w:val="Balloon Text"/>
    <w:basedOn w:val="Normal"/>
    <w:link w:val="BalloonTextChar"/>
    <w:uiPriority w:val="99"/>
    <w:semiHidden/>
    <w:unhideWhenUsed/>
    <w:rsid w:val="00991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45E"/>
    <w:rPr>
      <w:rFonts w:ascii="Tahoma" w:hAnsi="Tahoma" w:cs="Tahoma"/>
      <w:sz w:val="16"/>
      <w:szCs w:val="16"/>
    </w:rPr>
  </w:style>
  <w:style w:type="table" w:customStyle="1" w:styleId="LightGrid-Accent11">
    <w:name w:val="Light Grid - Accent 11"/>
    <w:basedOn w:val="TableNormal"/>
    <w:uiPriority w:val="62"/>
    <w:rsid w:val="0099145E"/>
    <w:pPr>
      <w:spacing w:after="0" w:line="240" w:lineRule="auto"/>
    </w:pPr>
    <w:tblPr>
      <w:tblStyleRowBandSize w:val="1"/>
      <w:tblStyleColBandSize w:val="1"/>
      <w:tblInd w:w="0" w:type="dxa"/>
      <w:tblBorders>
        <w:top w:val="single" w:sz="8" w:space="0" w:color="F15A34" w:themeColor="accent1"/>
        <w:left w:val="single" w:sz="8" w:space="0" w:color="F15A34" w:themeColor="accent1"/>
        <w:bottom w:val="single" w:sz="8" w:space="0" w:color="F15A34" w:themeColor="accent1"/>
        <w:right w:val="single" w:sz="8" w:space="0" w:color="F15A34" w:themeColor="accent1"/>
        <w:insideH w:val="single" w:sz="8" w:space="0" w:color="F15A34" w:themeColor="accent1"/>
        <w:insideV w:val="single" w:sz="8" w:space="0" w:color="F15A3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15A34" w:themeColor="accent1"/>
          <w:left w:val="single" w:sz="8" w:space="0" w:color="F15A34" w:themeColor="accent1"/>
          <w:bottom w:val="single" w:sz="18" w:space="0" w:color="F15A34" w:themeColor="accent1"/>
          <w:right w:val="single" w:sz="8" w:space="0" w:color="F15A34" w:themeColor="accent1"/>
          <w:insideH w:val="nil"/>
          <w:insideV w:val="single" w:sz="8" w:space="0" w:color="F15A3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5A34" w:themeColor="accent1"/>
          <w:left w:val="single" w:sz="8" w:space="0" w:color="F15A34" w:themeColor="accent1"/>
          <w:bottom w:val="single" w:sz="8" w:space="0" w:color="F15A34" w:themeColor="accent1"/>
          <w:right w:val="single" w:sz="8" w:space="0" w:color="F15A34" w:themeColor="accent1"/>
          <w:insideH w:val="nil"/>
          <w:insideV w:val="single" w:sz="8" w:space="0" w:color="F15A3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5A34" w:themeColor="accent1"/>
          <w:left w:val="single" w:sz="8" w:space="0" w:color="F15A34" w:themeColor="accent1"/>
          <w:bottom w:val="single" w:sz="8" w:space="0" w:color="F15A34" w:themeColor="accent1"/>
          <w:right w:val="single" w:sz="8" w:space="0" w:color="F15A34" w:themeColor="accent1"/>
        </w:tcBorders>
      </w:tcPr>
    </w:tblStylePr>
    <w:tblStylePr w:type="band1Vert">
      <w:tblPr/>
      <w:tcPr>
        <w:tcBorders>
          <w:top w:val="single" w:sz="8" w:space="0" w:color="F15A34" w:themeColor="accent1"/>
          <w:left w:val="single" w:sz="8" w:space="0" w:color="F15A34" w:themeColor="accent1"/>
          <w:bottom w:val="single" w:sz="8" w:space="0" w:color="F15A34" w:themeColor="accent1"/>
          <w:right w:val="single" w:sz="8" w:space="0" w:color="F15A34" w:themeColor="accent1"/>
        </w:tcBorders>
        <w:shd w:val="clear" w:color="auto" w:fill="FBD6CC" w:themeFill="accent1" w:themeFillTint="3F"/>
      </w:tcPr>
    </w:tblStylePr>
    <w:tblStylePr w:type="band1Horz">
      <w:tblPr/>
      <w:tcPr>
        <w:tcBorders>
          <w:top w:val="single" w:sz="8" w:space="0" w:color="F15A34" w:themeColor="accent1"/>
          <w:left w:val="single" w:sz="8" w:space="0" w:color="F15A34" w:themeColor="accent1"/>
          <w:bottom w:val="single" w:sz="8" w:space="0" w:color="F15A34" w:themeColor="accent1"/>
          <w:right w:val="single" w:sz="8" w:space="0" w:color="F15A34" w:themeColor="accent1"/>
          <w:insideV w:val="single" w:sz="8" w:space="0" w:color="F15A34" w:themeColor="accent1"/>
        </w:tcBorders>
        <w:shd w:val="clear" w:color="auto" w:fill="FBD6CC" w:themeFill="accent1" w:themeFillTint="3F"/>
      </w:tcPr>
    </w:tblStylePr>
    <w:tblStylePr w:type="band2Horz">
      <w:tblPr/>
      <w:tcPr>
        <w:tcBorders>
          <w:top w:val="single" w:sz="8" w:space="0" w:color="F15A34" w:themeColor="accent1"/>
          <w:left w:val="single" w:sz="8" w:space="0" w:color="F15A34" w:themeColor="accent1"/>
          <w:bottom w:val="single" w:sz="8" w:space="0" w:color="F15A34" w:themeColor="accent1"/>
          <w:right w:val="single" w:sz="8" w:space="0" w:color="F15A34" w:themeColor="accent1"/>
          <w:insideV w:val="single" w:sz="8" w:space="0" w:color="F15A34" w:themeColor="accent1"/>
        </w:tcBorders>
      </w:tcPr>
    </w:tblStylePr>
  </w:style>
  <w:style w:type="paragraph" w:styleId="NoSpacing">
    <w:name w:val="No Spacing"/>
    <w:link w:val="NoSpacingChar"/>
    <w:uiPriority w:val="1"/>
    <w:rsid w:val="0099145E"/>
    <w:pPr>
      <w:spacing w:after="0" w:line="240" w:lineRule="auto"/>
    </w:pPr>
    <w:rPr>
      <w:lang w:val="en-US"/>
    </w:rPr>
  </w:style>
  <w:style w:type="character" w:customStyle="1" w:styleId="NoSpacingChar">
    <w:name w:val="No Spacing Char"/>
    <w:basedOn w:val="DefaultParagraphFont"/>
    <w:link w:val="NoSpacing"/>
    <w:uiPriority w:val="1"/>
    <w:rsid w:val="0099145E"/>
    <w:rPr>
      <w:rFonts w:eastAsiaTheme="minorEastAsia"/>
      <w:lang w:val="en-US"/>
    </w:rPr>
  </w:style>
  <w:style w:type="table" w:customStyle="1" w:styleId="MediumShading1-Accent11">
    <w:name w:val="Medium Shading 1 - Accent 11"/>
    <w:basedOn w:val="TableNormal"/>
    <w:uiPriority w:val="63"/>
    <w:rsid w:val="0099145E"/>
    <w:pPr>
      <w:spacing w:after="0" w:line="240" w:lineRule="auto"/>
    </w:pPr>
    <w:tblPr>
      <w:tblStyleRowBandSize w:val="1"/>
      <w:tblStyleColBandSize w:val="1"/>
      <w:tblInd w:w="0" w:type="dxa"/>
      <w:tblBorders>
        <w:top w:val="single" w:sz="8" w:space="0" w:color="F48366" w:themeColor="accent1" w:themeTint="BF"/>
        <w:left w:val="single" w:sz="8" w:space="0" w:color="F48366" w:themeColor="accent1" w:themeTint="BF"/>
        <w:bottom w:val="single" w:sz="8" w:space="0" w:color="F48366" w:themeColor="accent1" w:themeTint="BF"/>
        <w:right w:val="single" w:sz="8" w:space="0" w:color="F48366" w:themeColor="accent1" w:themeTint="BF"/>
        <w:insideH w:val="single" w:sz="8" w:space="0" w:color="F4836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48366" w:themeColor="accent1" w:themeTint="BF"/>
          <w:left w:val="single" w:sz="8" w:space="0" w:color="F48366" w:themeColor="accent1" w:themeTint="BF"/>
          <w:bottom w:val="single" w:sz="8" w:space="0" w:color="F48366" w:themeColor="accent1" w:themeTint="BF"/>
          <w:right w:val="single" w:sz="8" w:space="0" w:color="F48366" w:themeColor="accent1" w:themeTint="BF"/>
          <w:insideH w:val="nil"/>
          <w:insideV w:val="nil"/>
        </w:tcBorders>
        <w:shd w:val="clear" w:color="auto" w:fill="F15A34" w:themeFill="accent1"/>
      </w:tcPr>
    </w:tblStylePr>
    <w:tblStylePr w:type="lastRow">
      <w:pPr>
        <w:spacing w:before="0" w:after="0" w:line="240" w:lineRule="auto"/>
      </w:pPr>
      <w:rPr>
        <w:b/>
        <w:bCs/>
      </w:rPr>
      <w:tblPr/>
      <w:tcPr>
        <w:tcBorders>
          <w:top w:val="double" w:sz="6" w:space="0" w:color="F48366" w:themeColor="accent1" w:themeTint="BF"/>
          <w:left w:val="single" w:sz="8" w:space="0" w:color="F48366" w:themeColor="accent1" w:themeTint="BF"/>
          <w:bottom w:val="single" w:sz="8" w:space="0" w:color="F48366" w:themeColor="accent1" w:themeTint="BF"/>
          <w:right w:val="single" w:sz="8" w:space="0" w:color="F4836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6CC" w:themeFill="accent1" w:themeFillTint="3F"/>
      </w:tcPr>
    </w:tblStylePr>
    <w:tblStylePr w:type="band1Horz">
      <w:tblPr/>
      <w:tcPr>
        <w:tcBorders>
          <w:insideH w:val="nil"/>
          <w:insideV w:val="nil"/>
        </w:tcBorders>
        <w:shd w:val="clear" w:color="auto" w:fill="FBD6CC" w:themeFill="accent1" w:themeFillTint="3F"/>
      </w:tcPr>
    </w:tblStylePr>
    <w:tblStylePr w:type="band2Horz">
      <w:tblPr/>
      <w:tcPr>
        <w:tcBorders>
          <w:insideH w:val="nil"/>
          <w:insideV w:val="nil"/>
        </w:tcBorders>
      </w:tcPr>
    </w:tblStylePr>
  </w:style>
  <w:style w:type="character" w:customStyle="1" w:styleId="hps">
    <w:name w:val="hps"/>
    <w:basedOn w:val="DefaultParagraphFont"/>
    <w:rsid w:val="0055006C"/>
  </w:style>
  <w:style w:type="table" w:styleId="TableGrid">
    <w:name w:val="Table Grid"/>
    <w:basedOn w:val="TableNormal"/>
    <w:uiPriority w:val="59"/>
    <w:rsid w:val="005A4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VBullet">
    <w:name w:val="CV Bullet"/>
    <w:basedOn w:val="Normal"/>
    <w:rsid w:val="004A096A"/>
    <w:pPr>
      <w:numPr>
        <w:numId w:val="2"/>
      </w:numPr>
      <w:spacing w:after="120" w:line="260" w:lineRule="atLeast"/>
      <w:contextualSpacing/>
    </w:pPr>
    <w:rPr>
      <w:rFonts w:ascii="Arial" w:eastAsia="Times New Roman" w:hAnsi="Arial" w:cs="Times New Roman"/>
      <w:sz w:val="20"/>
      <w:szCs w:val="14"/>
    </w:rPr>
  </w:style>
  <w:style w:type="paragraph" w:customStyle="1" w:styleId="CVQualificationHeading">
    <w:name w:val="CV Qualification Heading"/>
    <w:basedOn w:val="Normal"/>
    <w:next w:val="CVBullet"/>
    <w:rsid w:val="004A096A"/>
    <w:pPr>
      <w:keepNext/>
      <w:spacing w:after="60" w:line="240" w:lineRule="auto"/>
    </w:pPr>
    <w:rPr>
      <w:rFonts w:ascii="Arial Bold" w:eastAsia="Times New Roman" w:hAnsi="Arial Bold" w:cs="Times New Roman"/>
      <w:b/>
      <w:color w:val="808080"/>
      <w:sz w:val="18"/>
      <w:szCs w:val="14"/>
    </w:rPr>
  </w:style>
  <w:style w:type="paragraph" w:customStyle="1" w:styleId="CVBodyText">
    <w:name w:val="CV Body Text"/>
    <w:basedOn w:val="Normal"/>
    <w:link w:val="CVBodyTextChar"/>
    <w:rsid w:val="004A096A"/>
    <w:pPr>
      <w:spacing w:after="120" w:line="260" w:lineRule="atLeast"/>
      <w:jc w:val="both"/>
    </w:pPr>
    <w:rPr>
      <w:rFonts w:ascii="Arial" w:eastAsia="Times New Roman" w:hAnsi="Arial" w:cs="Times New Roman"/>
      <w:sz w:val="20"/>
    </w:rPr>
  </w:style>
  <w:style w:type="paragraph" w:customStyle="1" w:styleId="CVName">
    <w:name w:val="CV Name"/>
    <w:basedOn w:val="Normal"/>
    <w:next w:val="CVPosition"/>
    <w:rsid w:val="004A096A"/>
    <w:pPr>
      <w:spacing w:after="0" w:line="360" w:lineRule="atLeast"/>
    </w:pPr>
    <w:rPr>
      <w:rFonts w:ascii="Arial Bold" w:eastAsia="Times New Roman" w:hAnsi="Arial Bold" w:cs="Times New Roman"/>
      <w:b/>
      <w:color w:val="0C479D"/>
      <w:sz w:val="24"/>
      <w:szCs w:val="32"/>
    </w:rPr>
  </w:style>
  <w:style w:type="paragraph" w:customStyle="1" w:styleId="CVPosition">
    <w:name w:val="CV Position"/>
    <w:basedOn w:val="Normal"/>
    <w:next w:val="CVBodyText"/>
    <w:rsid w:val="004A096A"/>
    <w:pPr>
      <w:spacing w:after="280" w:line="360" w:lineRule="atLeast"/>
    </w:pPr>
    <w:rPr>
      <w:rFonts w:ascii="Arial" w:eastAsia="Times New Roman" w:hAnsi="Arial" w:cs="Times New Roman"/>
      <w:i/>
      <w:color w:val="0C479D"/>
      <w:sz w:val="18"/>
      <w:szCs w:val="32"/>
    </w:rPr>
  </w:style>
  <w:style w:type="paragraph" w:customStyle="1" w:styleId="CVHeading">
    <w:name w:val="CV Heading"/>
    <w:basedOn w:val="Normal"/>
    <w:next w:val="CVBodyText"/>
    <w:rsid w:val="004A096A"/>
    <w:pPr>
      <w:keepNext/>
      <w:spacing w:before="240" w:after="60" w:line="280" w:lineRule="atLeast"/>
    </w:pPr>
    <w:rPr>
      <w:rFonts w:ascii="Arial Bold" w:eastAsia="Times New Roman" w:hAnsi="Arial Bold" w:cs="Times New Roman"/>
      <w:b/>
      <w:color w:val="666666"/>
      <w:szCs w:val="20"/>
    </w:rPr>
  </w:style>
  <w:style w:type="paragraph" w:customStyle="1" w:styleId="CVQualification">
    <w:name w:val="CV Qualification"/>
    <w:basedOn w:val="Normal"/>
    <w:rsid w:val="004A096A"/>
    <w:pPr>
      <w:spacing w:after="60" w:line="240" w:lineRule="auto"/>
    </w:pPr>
    <w:rPr>
      <w:rFonts w:ascii="Arial" w:eastAsia="Times New Roman" w:hAnsi="Arial" w:cs="Times New Roman"/>
      <w:i/>
      <w:color w:val="666666"/>
      <w:sz w:val="16"/>
      <w:szCs w:val="24"/>
    </w:rPr>
  </w:style>
  <w:style w:type="character" w:customStyle="1" w:styleId="CVBodyTextChar">
    <w:name w:val="CV Body Text Char"/>
    <w:basedOn w:val="DefaultParagraphFont"/>
    <w:link w:val="CVBodyText"/>
    <w:rsid w:val="004A096A"/>
    <w:rPr>
      <w:rFonts w:ascii="Arial" w:eastAsia="Times New Roman" w:hAnsi="Arial" w:cs="Times New Roman"/>
      <w:sz w:val="20"/>
      <w:lang w:eastAsia="en-AU"/>
    </w:rPr>
  </w:style>
  <w:style w:type="paragraph" w:styleId="BodyText">
    <w:name w:val="Body Text"/>
    <w:basedOn w:val="Normal"/>
    <w:link w:val="BodyTextChar"/>
    <w:rsid w:val="00F03FC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03FC4"/>
    <w:rPr>
      <w:rFonts w:ascii="Times New Roman" w:eastAsia="Times New Roman" w:hAnsi="Times New Roman" w:cs="Times New Roman"/>
      <w:b/>
      <w:bCs/>
      <w:sz w:val="24"/>
      <w:szCs w:val="24"/>
    </w:rPr>
  </w:style>
  <w:style w:type="table" w:styleId="LightList-Accent2">
    <w:name w:val="Light List Accent 2"/>
    <w:basedOn w:val="TableNormal"/>
    <w:uiPriority w:val="61"/>
    <w:rsid w:val="00EC45F9"/>
    <w:pPr>
      <w:spacing w:after="0" w:line="240" w:lineRule="auto"/>
    </w:pPr>
    <w:tblPr>
      <w:tblStyleRowBandSize w:val="1"/>
      <w:tblStyleColBandSize w:val="1"/>
      <w:tblInd w:w="0" w:type="dxa"/>
      <w:tblBorders>
        <w:top w:val="single" w:sz="8" w:space="0" w:color="B45031" w:themeColor="accent2"/>
        <w:left w:val="single" w:sz="8" w:space="0" w:color="B45031" w:themeColor="accent2"/>
        <w:bottom w:val="single" w:sz="8" w:space="0" w:color="B45031" w:themeColor="accent2"/>
        <w:right w:val="single" w:sz="8" w:space="0" w:color="B450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45031" w:themeFill="accent2"/>
      </w:tcPr>
    </w:tblStylePr>
    <w:tblStylePr w:type="lastRow">
      <w:pPr>
        <w:spacing w:before="0" w:after="0" w:line="240" w:lineRule="auto"/>
      </w:pPr>
      <w:rPr>
        <w:b/>
        <w:bCs/>
      </w:rPr>
      <w:tblPr/>
      <w:tcPr>
        <w:tcBorders>
          <w:top w:val="double" w:sz="6" w:space="0" w:color="B45031" w:themeColor="accent2"/>
          <w:left w:val="single" w:sz="8" w:space="0" w:color="B45031" w:themeColor="accent2"/>
          <w:bottom w:val="single" w:sz="8" w:space="0" w:color="B45031" w:themeColor="accent2"/>
          <w:right w:val="single" w:sz="8" w:space="0" w:color="B45031" w:themeColor="accent2"/>
        </w:tcBorders>
      </w:tcPr>
    </w:tblStylePr>
    <w:tblStylePr w:type="firstCol">
      <w:rPr>
        <w:b/>
        <w:bCs/>
      </w:rPr>
    </w:tblStylePr>
    <w:tblStylePr w:type="lastCol">
      <w:rPr>
        <w:b/>
        <w:bCs/>
      </w:rPr>
    </w:tblStylePr>
    <w:tblStylePr w:type="band1Vert">
      <w:tblPr/>
      <w:tcPr>
        <w:tcBorders>
          <w:top w:val="single" w:sz="8" w:space="0" w:color="B45031" w:themeColor="accent2"/>
          <w:left w:val="single" w:sz="8" w:space="0" w:color="B45031" w:themeColor="accent2"/>
          <w:bottom w:val="single" w:sz="8" w:space="0" w:color="B45031" w:themeColor="accent2"/>
          <w:right w:val="single" w:sz="8" w:space="0" w:color="B45031" w:themeColor="accent2"/>
        </w:tcBorders>
      </w:tcPr>
    </w:tblStylePr>
    <w:tblStylePr w:type="band1Horz">
      <w:tblPr/>
      <w:tcPr>
        <w:tcBorders>
          <w:top w:val="single" w:sz="8" w:space="0" w:color="B45031" w:themeColor="accent2"/>
          <w:left w:val="single" w:sz="8" w:space="0" w:color="B45031" w:themeColor="accent2"/>
          <w:bottom w:val="single" w:sz="8" w:space="0" w:color="B45031" w:themeColor="accent2"/>
          <w:right w:val="single" w:sz="8" w:space="0" w:color="B45031" w:themeColor="accent2"/>
        </w:tcBorders>
      </w:tcPr>
    </w:tblStylePr>
  </w:style>
  <w:style w:type="character" w:styleId="CommentReference">
    <w:name w:val="annotation reference"/>
    <w:basedOn w:val="DefaultParagraphFont"/>
    <w:uiPriority w:val="99"/>
    <w:semiHidden/>
    <w:unhideWhenUsed/>
    <w:rsid w:val="00733D5B"/>
    <w:rPr>
      <w:sz w:val="16"/>
      <w:szCs w:val="16"/>
    </w:rPr>
  </w:style>
  <w:style w:type="paragraph" w:styleId="CommentText">
    <w:name w:val="annotation text"/>
    <w:basedOn w:val="Normal"/>
    <w:link w:val="CommentTextChar"/>
    <w:uiPriority w:val="99"/>
    <w:semiHidden/>
    <w:unhideWhenUsed/>
    <w:rsid w:val="00733D5B"/>
    <w:pPr>
      <w:spacing w:line="240" w:lineRule="auto"/>
    </w:pPr>
    <w:rPr>
      <w:sz w:val="20"/>
      <w:szCs w:val="20"/>
    </w:rPr>
  </w:style>
  <w:style w:type="character" w:customStyle="1" w:styleId="CommentTextChar">
    <w:name w:val="Comment Text Char"/>
    <w:basedOn w:val="DefaultParagraphFont"/>
    <w:link w:val="CommentText"/>
    <w:uiPriority w:val="99"/>
    <w:semiHidden/>
    <w:rsid w:val="00733D5B"/>
    <w:rPr>
      <w:sz w:val="20"/>
      <w:szCs w:val="20"/>
    </w:rPr>
  </w:style>
  <w:style w:type="paragraph" w:styleId="CommentSubject">
    <w:name w:val="annotation subject"/>
    <w:basedOn w:val="CommentText"/>
    <w:next w:val="CommentText"/>
    <w:link w:val="CommentSubjectChar"/>
    <w:uiPriority w:val="99"/>
    <w:semiHidden/>
    <w:unhideWhenUsed/>
    <w:rsid w:val="00733D5B"/>
    <w:rPr>
      <w:b/>
      <w:bCs/>
    </w:rPr>
  </w:style>
  <w:style w:type="character" w:customStyle="1" w:styleId="CommentSubjectChar">
    <w:name w:val="Comment Subject Char"/>
    <w:basedOn w:val="CommentTextChar"/>
    <w:link w:val="CommentSubject"/>
    <w:uiPriority w:val="99"/>
    <w:semiHidden/>
    <w:rsid w:val="00733D5B"/>
    <w:rPr>
      <w:b/>
      <w:bCs/>
      <w:sz w:val="20"/>
      <w:szCs w:val="20"/>
    </w:rPr>
  </w:style>
  <w:style w:type="paragraph" w:customStyle="1" w:styleId="AgreementName">
    <w:name w:val="Agreement Name"/>
    <w:basedOn w:val="Normal"/>
    <w:rsid w:val="007A0A64"/>
    <w:pPr>
      <w:spacing w:before="120" w:after="120" w:line="240" w:lineRule="auto"/>
    </w:pPr>
    <w:rPr>
      <w:rFonts w:ascii="Arial" w:eastAsia="Times New Roman" w:hAnsi="Arial" w:cs="Arial"/>
      <w:b/>
      <w:noProof/>
      <w:sz w:val="40"/>
      <w:szCs w:val="40"/>
    </w:rPr>
  </w:style>
  <w:style w:type="paragraph" w:styleId="Revision">
    <w:name w:val="Revision"/>
    <w:hidden/>
    <w:uiPriority w:val="99"/>
    <w:semiHidden/>
    <w:rsid w:val="005500C8"/>
    <w:pPr>
      <w:spacing w:after="0" w:line="240" w:lineRule="auto"/>
    </w:pPr>
  </w:style>
  <w:style w:type="paragraph" w:customStyle="1" w:styleId="Default">
    <w:name w:val="Default"/>
    <w:uiPriority w:val="99"/>
    <w:rsid w:val="00502A76"/>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9F14C9"/>
    <w:pPr>
      <w:spacing w:after="0"/>
      <w:ind w:left="220"/>
    </w:pPr>
    <w:rPr>
      <w:rFonts w:cstheme="minorHAnsi"/>
      <w:i/>
    </w:rPr>
  </w:style>
  <w:style w:type="table" w:styleId="LightShading-Accent3">
    <w:name w:val="Light Shading Accent 3"/>
    <w:basedOn w:val="TableNormal"/>
    <w:uiPriority w:val="60"/>
    <w:rsid w:val="00C80F47"/>
    <w:pPr>
      <w:spacing w:after="0" w:line="240" w:lineRule="auto"/>
    </w:pPr>
    <w:rPr>
      <w:color w:val="3A4A52" w:themeColor="accent3" w:themeShade="BF"/>
    </w:rPr>
    <w:tblPr>
      <w:tblStyleRowBandSize w:val="1"/>
      <w:tblStyleColBandSize w:val="1"/>
      <w:tblInd w:w="0" w:type="dxa"/>
      <w:tblBorders>
        <w:top w:val="single" w:sz="8" w:space="0" w:color="4E646F" w:themeColor="accent3"/>
        <w:bottom w:val="single" w:sz="8" w:space="0" w:color="4E646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646F" w:themeColor="accent3"/>
          <w:left w:val="nil"/>
          <w:bottom w:val="single" w:sz="8" w:space="0" w:color="4E646F" w:themeColor="accent3"/>
          <w:right w:val="nil"/>
          <w:insideH w:val="nil"/>
          <w:insideV w:val="nil"/>
        </w:tcBorders>
      </w:tcPr>
    </w:tblStylePr>
    <w:tblStylePr w:type="lastRow">
      <w:pPr>
        <w:spacing w:before="0" w:after="0" w:line="240" w:lineRule="auto"/>
      </w:pPr>
      <w:rPr>
        <w:b/>
        <w:bCs/>
      </w:rPr>
      <w:tblPr/>
      <w:tcPr>
        <w:tcBorders>
          <w:top w:val="single" w:sz="8" w:space="0" w:color="4E646F" w:themeColor="accent3"/>
          <w:left w:val="nil"/>
          <w:bottom w:val="single" w:sz="8" w:space="0" w:color="4E64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9DE" w:themeFill="accent3" w:themeFillTint="3F"/>
      </w:tcPr>
    </w:tblStylePr>
    <w:tblStylePr w:type="band1Horz">
      <w:tblPr/>
      <w:tcPr>
        <w:tcBorders>
          <w:left w:val="nil"/>
          <w:right w:val="nil"/>
          <w:insideH w:val="nil"/>
          <w:insideV w:val="nil"/>
        </w:tcBorders>
        <w:shd w:val="clear" w:color="auto" w:fill="D0D9DE" w:themeFill="accent3" w:themeFillTint="3F"/>
      </w:tcPr>
    </w:tblStylePr>
  </w:style>
  <w:style w:type="paragraph" w:styleId="TOC4">
    <w:name w:val="toc 4"/>
    <w:basedOn w:val="Normal"/>
    <w:next w:val="Normal"/>
    <w:autoRedefine/>
    <w:uiPriority w:val="39"/>
    <w:unhideWhenUsed/>
    <w:rsid w:val="0053194E"/>
    <w:pPr>
      <w:pBdr>
        <w:between w:val="double" w:sz="6" w:space="0" w:color="auto"/>
      </w:pBdr>
      <w:spacing w:after="0"/>
      <w:ind w:left="440"/>
    </w:pPr>
    <w:rPr>
      <w:rFonts w:cstheme="minorHAnsi"/>
      <w:sz w:val="20"/>
      <w:szCs w:val="20"/>
    </w:rPr>
  </w:style>
  <w:style w:type="paragraph" w:styleId="TOC5">
    <w:name w:val="toc 5"/>
    <w:basedOn w:val="Normal"/>
    <w:next w:val="Normal"/>
    <w:autoRedefine/>
    <w:uiPriority w:val="39"/>
    <w:unhideWhenUsed/>
    <w:rsid w:val="0053194E"/>
    <w:pPr>
      <w:pBdr>
        <w:between w:val="double" w:sz="6" w:space="0" w:color="auto"/>
      </w:pBdr>
      <w:spacing w:after="0"/>
      <w:ind w:left="660"/>
    </w:pPr>
    <w:rPr>
      <w:rFonts w:cstheme="minorHAnsi"/>
      <w:sz w:val="20"/>
      <w:szCs w:val="20"/>
    </w:rPr>
  </w:style>
  <w:style w:type="paragraph" w:styleId="TOC6">
    <w:name w:val="toc 6"/>
    <w:basedOn w:val="Normal"/>
    <w:next w:val="Normal"/>
    <w:autoRedefine/>
    <w:uiPriority w:val="39"/>
    <w:unhideWhenUsed/>
    <w:rsid w:val="0053194E"/>
    <w:pPr>
      <w:pBdr>
        <w:between w:val="double" w:sz="6" w:space="0" w:color="auto"/>
      </w:pBdr>
      <w:spacing w:after="0"/>
      <w:ind w:left="880"/>
    </w:pPr>
    <w:rPr>
      <w:rFonts w:cstheme="minorHAnsi"/>
      <w:sz w:val="20"/>
      <w:szCs w:val="20"/>
    </w:rPr>
  </w:style>
  <w:style w:type="paragraph" w:styleId="TOC7">
    <w:name w:val="toc 7"/>
    <w:basedOn w:val="Normal"/>
    <w:next w:val="Normal"/>
    <w:autoRedefine/>
    <w:uiPriority w:val="39"/>
    <w:unhideWhenUsed/>
    <w:rsid w:val="0053194E"/>
    <w:pPr>
      <w:pBdr>
        <w:between w:val="double" w:sz="6" w:space="0" w:color="auto"/>
      </w:pBdr>
      <w:spacing w:after="0"/>
      <w:ind w:left="1100"/>
    </w:pPr>
    <w:rPr>
      <w:rFonts w:cstheme="minorHAnsi"/>
      <w:sz w:val="20"/>
      <w:szCs w:val="20"/>
    </w:rPr>
  </w:style>
  <w:style w:type="paragraph" w:styleId="TOC8">
    <w:name w:val="toc 8"/>
    <w:basedOn w:val="Normal"/>
    <w:next w:val="Normal"/>
    <w:autoRedefine/>
    <w:uiPriority w:val="39"/>
    <w:unhideWhenUsed/>
    <w:rsid w:val="0053194E"/>
    <w:pPr>
      <w:pBdr>
        <w:between w:val="double" w:sz="6" w:space="0" w:color="auto"/>
      </w:pBdr>
      <w:spacing w:after="0"/>
      <w:ind w:left="1320"/>
    </w:pPr>
    <w:rPr>
      <w:rFonts w:cstheme="minorHAnsi"/>
      <w:sz w:val="20"/>
      <w:szCs w:val="20"/>
    </w:rPr>
  </w:style>
  <w:style w:type="paragraph" w:styleId="TOC9">
    <w:name w:val="toc 9"/>
    <w:basedOn w:val="Normal"/>
    <w:next w:val="Normal"/>
    <w:autoRedefine/>
    <w:uiPriority w:val="39"/>
    <w:unhideWhenUsed/>
    <w:rsid w:val="0053194E"/>
    <w:pPr>
      <w:pBdr>
        <w:between w:val="double" w:sz="6" w:space="0" w:color="auto"/>
      </w:pBdr>
      <w:spacing w:after="0"/>
      <w:ind w:left="1540"/>
    </w:pPr>
    <w:rPr>
      <w:rFonts w:cstheme="minorHAnsi"/>
      <w:sz w:val="20"/>
      <w:szCs w:val="20"/>
    </w:rPr>
  </w:style>
  <w:style w:type="paragraph" w:styleId="FootnoteText">
    <w:name w:val="footnote text"/>
    <w:aliases w:val="Char, Char"/>
    <w:basedOn w:val="Normal"/>
    <w:link w:val="FootnoteTextChar"/>
    <w:unhideWhenUsed/>
    <w:rsid w:val="00821346"/>
    <w:pPr>
      <w:spacing w:after="0" w:line="240" w:lineRule="auto"/>
    </w:pPr>
    <w:rPr>
      <w:sz w:val="24"/>
      <w:szCs w:val="24"/>
    </w:rPr>
  </w:style>
  <w:style w:type="character" w:customStyle="1" w:styleId="FootnoteTextChar">
    <w:name w:val="Footnote Text Char"/>
    <w:aliases w:val="Char Char, Char Char1"/>
    <w:basedOn w:val="DefaultParagraphFont"/>
    <w:link w:val="FootnoteText"/>
    <w:uiPriority w:val="99"/>
    <w:rsid w:val="00821346"/>
    <w:rPr>
      <w:sz w:val="24"/>
      <w:szCs w:val="24"/>
    </w:rPr>
  </w:style>
  <w:style w:type="character" w:styleId="FootnoteReference">
    <w:name w:val="footnote reference"/>
    <w:basedOn w:val="DefaultParagraphFont"/>
    <w:unhideWhenUsed/>
    <w:rsid w:val="00821346"/>
    <w:rPr>
      <w:vertAlign w:val="superscript"/>
    </w:rPr>
  </w:style>
  <w:style w:type="paragraph" w:styleId="Quote">
    <w:name w:val="Quote"/>
    <w:basedOn w:val="Normal"/>
    <w:next w:val="Normal"/>
    <w:link w:val="QuoteChar"/>
    <w:uiPriority w:val="29"/>
    <w:qFormat/>
    <w:rsid w:val="000C0E82"/>
    <w:rPr>
      <w:i/>
      <w:iCs/>
      <w:color w:val="000000" w:themeColor="text1"/>
    </w:rPr>
  </w:style>
  <w:style w:type="character" w:customStyle="1" w:styleId="QuoteChar">
    <w:name w:val="Quote Char"/>
    <w:basedOn w:val="DefaultParagraphFont"/>
    <w:link w:val="Quote"/>
    <w:uiPriority w:val="29"/>
    <w:rsid w:val="000C0E82"/>
    <w:rPr>
      <w:i/>
      <w:iCs/>
      <w:color w:val="000000" w:themeColor="text1"/>
    </w:rPr>
  </w:style>
  <w:style w:type="character" w:styleId="FollowedHyperlink">
    <w:name w:val="FollowedHyperlink"/>
    <w:basedOn w:val="DefaultParagraphFont"/>
    <w:uiPriority w:val="99"/>
    <w:semiHidden/>
    <w:unhideWhenUsed/>
    <w:rsid w:val="00EF07E2"/>
    <w:rPr>
      <w:color w:val="694F07" w:themeColor="followedHyperlink"/>
      <w:u w:val="single"/>
    </w:rPr>
  </w:style>
  <w:style w:type="paragraph" w:styleId="NormalWeb">
    <w:name w:val="Normal (Web)"/>
    <w:basedOn w:val="Normal"/>
    <w:uiPriority w:val="99"/>
    <w:semiHidden/>
    <w:unhideWhenUsed/>
    <w:rsid w:val="0016233F"/>
    <w:pPr>
      <w:spacing w:before="100" w:beforeAutospacing="1" w:after="100" w:afterAutospacing="1" w:line="240" w:lineRule="auto"/>
    </w:pPr>
    <w:rPr>
      <w:rFonts w:ascii="Times" w:hAnsi="Times" w:cs="Times New Roman"/>
      <w:sz w:val="20"/>
      <w:szCs w:val="20"/>
      <w:lang w:eastAsia="en-US"/>
    </w:rPr>
  </w:style>
  <w:style w:type="character" w:customStyle="1" w:styleId="apple-converted-space">
    <w:name w:val="apple-converted-space"/>
    <w:basedOn w:val="DefaultParagraphFont"/>
    <w:rsid w:val="00EF5ECD"/>
  </w:style>
  <w:style w:type="character" w:customStyle="1" w:styleId="personname">
    <w:name w:val="person_name"/>
    <w:basedOn w:val="DefaultParagraphFont"/>
    <w:rsid w:val="001C0FDE"/>
  </w:style>
  <w:style w:type="character" w:styleId="Emphasis">
    <w:name w:val="Emphasis"/>
    <w:basedOn w:val="DefaultParagraphFont"/>
    <w:uiPriority w:val="20"/>
    <w:qFormat/>
    <w:rsid w:val="001C0FDE"/>
    <w:rPr>
      <w:i/>
      <w:iCs/>
    </w:rPr>
  </w:style>
  <w:style w:type="paragraph" w:styleId="TOCHeading">
    <w:name w:val="TOC Heading"/>
    <w:basedOn w:val="Heading1"/>
    <w:next w:val="Normal"/>
    <w:uiPriority w:val="39"/>
    <w:unhideWhenUsed/>
    <w:qFormat/>
    <w:rsid w:val="00DD17CB"/>
    <w:pPr>
      <w:numPr>
        <w:numId w:val="0"/>
      </w:numPr>
      <w:spacing w:before="480" w:after="0"/>
      <w:outlineLvl w:val="9"/>
    </w:pPr>
    <w:rPr>
      <w:lang w:val="en-US" w:eastAsia="ja-JP"/>
    </w:rPr>
  </w:style>
  <w:style w:type="character" w:styleId="Strong">
    <w:name w:val="Strong"/>
    <w:basedOn w:val="DefaultParagraphFont"/>
    <w:uiPriority w:val="22"/>
    <w:qFormat/>
    <w:rsid w:val="00D30920"/>
    <w:rPr>
      <w:b/>
      <w:bCs/>
    </w:rPr>
  </w:style>
  <w:style w:type="character" w:customStyle="1" w:styleId="FootnoteTextChar2">
    <w:name w:val="Footnote Text Char2"/>
    <w:aliases w:val="Char Char2, Char Char"/>
    <w:basedOn w:val="DefaultParagraphFont"/>
    <w:uiPriority w:val="99"/>
    <w:locked/>
    <w:rsid w:val="00B854CE"/>
    <w:rPr>
      <w:rFonts w:ascii="Times New Roman" w:hAnsi="Times New Roman" w:cs="Times New Roman"/>
      <w:sz w:val="20"/>
      <w:szCs w:val="20"/>
    </w:rPr>
  </w:style>
  <w:style w:type="character" w:customStyle="1" w:styleId="apple-style-span">
    <w:name w:val="apple-style-span"/>
    <w:basedOn w:val="DefaultParagraphFont"/>
    <w:uiPriority w:val="99"/>
    <w:rsid w:val="00B854C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07F8"/>
    <w:pPr>
      <w:keepNext/>
      <w:keepLines/>
      <w:numPr>
        <w:numId w:val="12"/>
      </w:numPr>
      <w:spacing w:before="120" w:after="120"/>
      <w:outlineLvl w:val="0"/>
    </w:pPr>
    <w:rPr>
      <w:rFonts w:asciiTheme="majorHAnsi" w:eastAsiaTheme="majorEastAsia" w:hAnsiTheme="majorHAnsi" w:cstheme="majorBidi"/>
      <w:b/>
      <w:bCs/>
      <w:color w:val="CD340E" w:themeColor="accent1" w:themeShade="BF"/>
      <w:sz w:val="28"/>
      <w:szCs w:val="28"/>
      <w:lang w:eastAsia="en-US"/>
    </w:rPr>
  </w:style>
  <w:style w:type="paragraph" w:styleId="Heading2">
    <w:name w:val="heading 2"/>
    <w:basedOn w:val="Normal"/>
    <w:next w:val="Normal"/>
    <w:link w:val="Heading2Char"/>
    <w:uiPriority w:val="9"/>
    <w:unhideWhenUsed/>
    <w:qFormat/>
    <w:rsid w:val="00AF0B44"/>
    <w:pPr>
      <w:keepNext/>
      <w:keepLines/>
      <w:spacing w:before="200" w:after="0"/>
      <w:outlineLvl w:val="1"/>
    </w:pPr>
    <w:rPr>
      <w:rFonts w:asciiTheme="majorHAnsi" w:eastAsiaTheme="majorEastAsia" w:hAnsiTheme="majorHAnsi" w:cstheme="majorBidi"/>
      <w:b/>
      <w:bCs/>
      <w:color w:val="F15A34" w:themeColor="accent1"/>
      <w:sz w:val="26"/>
      <w:szCs w:val="26"/>
    </w:rPr>
  </w:style>
  <w:style w:type="paragraph" w:styleId="Heading3">
    <w:name w:val="heading 3"/>
    <w:basedOn w:val="Normal"/>
    <w:next w:val="Normal"/>
    <w:link w:val="Heading3Char"/>
    <w:uiPriority w:val="9"/>
    <w:unhideWhenUsed/>
    <w:qFormat/>
    <w:rsid w:val="00C25F2E"/>
    <w:pPr>
      <w:keepNext/>
      <w:keepLines/>
      <w:spacing w:before="200" w:after="0"/>
      <w:outlineLvl w:val="2"/>
    </w:pPr>
    <w:rPr>
      <w:rFonts w:asciiTheme="majorHAnsi" w:eastAsiaTheme="majorEastAsia" w:hAnsiTheme="majorHAnsi" w:cstheme="majorBidi"/>
      <w:b/>
      <w:bCs/>
      <w:color w:val="F15A34" w:themeColor="accent1"/>
    </w:rPr>
  </w:style>
  <w:style w:type="paragraph" w:styleId="Heading4">
    <w:name w:val="heading 4"/>
    <w:basedOn w:val="Normal"/>
    <w:next w:val="Normal"/>
    <w:link w:val="Heading4Char"/>
    <w:uiPriority w:val="9"/>
    <w:unhideWhenUsed/>
    <w:qFormat/>
    <w:rsid w:val="00AF0B44"/>
    <w:pPr>
      <w:keepNext/>
      <w:keepLines/>
      <w:spacing w:before="200" w:after="0"/>
      <w:outlineLvl w:val="3"/>
    </w:pPr>
    <w:rPr>
      <w:rFonts w:asciiTheme="majorHAnsi" w:eastAsiaTheme="majorEastAsia" w:hAnsiTheme="majorHAnsi" w:cstheme="majorBidi"/>
      <w:b/>
      <w:bCs/>
      <w:i/>
      <w:iCs/>
      <w:color w:val="F15A3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SRM1">
    <w:name w:val="CSRM 1"/>
    <w:basedOn w:val="TableNormal"/>
    <w:uiPriority w:val="99"/>
    <w:qFormat/>
    <w:rsid w:val="0098462C"/>
    <w:pPr>
      <w:spacing w:after="0" w:line="240" w:lineRule="auto"/>
      <w:jc w:val="center"/>
    </w:pPr>
    <w:tblPr>
      <w:tblStyleRowBandSize w:val="1"/>
      <w:tblInd w:w="0" w:type="dxa"/>
      <w:tblBorders>
        <w:top w:val="single" w:sz="4" w:space="0" w:color="F15A34" w:themeColor="accent1"/>
        <w:left w:val="single" w:sz="4" w:space="0" w:color="F15A34" w:themeColor="accent1"/>
        <w:bottom w:val="single" w:sz="4" w:space="0" w:color="F15A34" w:themeColor="accent1"/>
        <w:right w:val="single" w:sz="4" w:space="0" w:color="F15A34" w:themeColor="accent1"/>
      </w:tblBorders>
      <w:tblCellMar>
        <w:top w:w="0" w:type="dxa"/>
        <w:left w:w="108" w:type="dxa"/>
        <w:bottom w:w="0" w:type="dxa"/>
        <w:right w:w="108" w:type="dxa"/>
      </w:tblCellMar>
    </w:tblPr>
    <w:tcPr>
      <w:vAlign w:val="center"/>
    </w:tcPr>
    <w:tblStylePr w:type="firstRow">
      <w:rPr>
        <w:b/>
      </w:rPr>
      <w:tblPr/>
      <w:tcPr>
        <w:tcBorders>
          <w:top w:val="single" w:sz="4" w:space="0" w:color="F15A34" w:themeColor="accent1"/>
          <w:left w:val="single" w:sz="4" w:space="0" w:color="F15A34" w:themeColor="accent1"/>
          <w:bottom w:val="single" w:sz="4" w:space="0" w:color="F15A34" w:themeColor="accent1"/>
          <w:right w:val="single" w:sz="4" w:space="0" w:color="F15A34" w:themeColor="accent1"/>
        </w:tcBorders>
      </w:tcPr>
    </w:tblStylePr>
    <w:tblStylePr w:type="band2Horz">
      <w:tblPr/>
      <w:tcPr>
        <w:shd w:val="clear" w:color="auto" w:fill="FCDDD6" w:themeFill="accent1" w:themeFillTint="33"/>
      </w:tcPr>
    </w:tblStylePr>
  </w:style>
  <w:style w:type="table" w:customStyle="1" w:styleId="CSRMv1">
    <w:name w:val="CSRM v1"/>
    <w:basedOn w:val="TableNormal"/>
    <w:uiPriority w:val="99"/>
    <w:qFormat/>
    <w:rsid w:val="0098462C"/>
    <w:pPr>
      <w:spacing w:after="0" w:line="240" w:lineRule="auto"/>
    </w:pPr>
    <w:tblPr>
      <w:tblStyleRowBandSize w:val="1"/>
      <w:tblInd w:w="0" w:type="dxa"/>
      <w:tblBorders>
        <w:top w:val="single" w:sz="4" w:space="0" w:color="F15A34" w:themeColor="accent1"/>
        <w:left w:val="single" w:sz="4" w:space="0" w:color="F15A34" w:themeColor="accent1"/>
        <w:bottom w:val="single" w:sz="4" w:space="0" w:color="F15A34" w:themeColor="accent1"/>
        <w:right w:val="single" w:sz="4" w:space="0" w:color="F15A34" w:themeColor="accent1"/>
      </w:tblBorders>
      <w:tblCellMar>
        <w:top w:w="0" w:type="dxa"/>
        <w:left w:w="108" w:type="dxa"/>
        <w:bottom w:w="0" w:type="dxa"/>
        <w:right w:w="108" w:type="dxa"/>
      </w:tblCellMar>
    </w:tblPr>
    <w:tblStylePr w:type="firstRow">
      <w:pPr>
        <w:jc w:val="center"/>
      </w:pPr>
      <w:rPr>
        <w:b/>
        <w:color w:val="auto"/>
      </w:rPr>
      <w:tblPr/>
      <w:tcPr>
        <w:tcBorders>
          <w:top w:val="single" w:sz="4" w:space="0" w:color="F15A34" w:themeColor="accent1"/>
          <w:left w:val="single" w:sz="4" w:space="0" w:color="F15A34" w:themeColor="accent1"/>
          <w:bottom w:val="single" w:sz="4" w:space="0" w:color="F15A34" w:themeColor="accent1"/>
          <w:right w:val="single" w:sz="4" w:space="0" w:color="F15A34" w:themeColor="accent1"/>
        </w:tcBorders>
        <w:shd w:val="clear" w:color="auto" w:fill="FFFFFF" w:themeFill="background1"/>
      </w:tcPr>
    </w:tblStylePr>
    <w:tblStylePr w:type="firstCol">
      <w:tblPr/>
      <w:tcPr>
        <w:tcBorders>
          <w:left w:val="single" w:sz="4" w:space="0" w:color="F15A34" w:themeColor="accent1"/>
        </w:tcBorders>
      </w:tcPr>
    </w:tblStylePr>
    <w:tblStylePr w:type="lastCol">
      <w:tblPr/>
      <w:tcPr>
        <w:tcBorders>
          <w:right w:val="single" w:sz="4" w:space="0" w:color="F15A34" w:themeColor="accent1"/>
        </w:tcBorders>
      </w:tcPr>
    </w:tblStylePr>
    <w:tblStylePr w:type="band1Horz">
      <w:pPr>
        <w:jc w:val="center"/>
      </w:pPr>
      <w:tblPr/>
      <w:tcPr>
        <w:tcBorders>
          <w:left w:val="single" w:sz="4" w:space="0" w:color="F15A34" w:themeColor="accent1"/>
          <w:right w:val="single" w:sz="4" w:space="0" w:color="F15A34" w:themeColor="accent1"/>
        </w:tcBorders>
        <w:shd w:val="clear" w:color="auto" w:fill="FCDDD6" w:themeFill="accent1" w:themeFillTint="33"/>
      </w:tcPr>
    </w:tblStylePr>
    <w:tblStylePr w:type="band2Horz">
      <w:pPr>
        <w:jc w:val="center"/>
      </w:pPr>
      <w:tblPr/>
      <w:tcPr>
        <w:tcBorders>
          <w:left w:val="single" w:sz="4" w:space="0" w:color="F15A34" w:themeColor="accent1"/>
          <w:right w:val="nil"/>
        </w:tcBorders>
      </w:tcPr>
    </w:tblStylePr>
  </w:style>
  <w:style w:type="table" w:customStyle="1" w:styleId="CSRMv3">
    <w:name w:val="CSRM v3"/>
    <w:basedOn w:val="TableNormal"/>
    <w:uiPriority w:val="99"/>
    <w:qFormat/>
    <w:rsid w:val="0098462C"/>
    <w:pPr>
      <w:spacing w:after="0" w:line="240" w:lineRule="auto"/>
    </w:pPr>
    <w:tblPr>
      <w:tblStyleRowBandSize w:val="1"/>
      <w:tblInd w:w="0" w:type="dxa"/>
      <w:tblBorders>
        <w:top w:val="single" w:sz="4" w:space="0" w:color="F15A34" w:themeColor="accent1"/>
        <w:left w:val="single" w:sz="4" w:space="0" w:color="F15A34" w:themeColor="accent1"/>
        <w:bottom w:val="single" w:sz="4" w:space="0" w:color="F15A34" w:themeColor="accent1"/>
        <w:right w:val="single" w:sz="4" w:space="0" w:color="F15A34" w:themeColor="accent1"/>
      </w:tblBorders>
      <w:tblCellMar>
        <w:top w:w="0" w:type="dxa"/>
        <w:left w:w="108" w:type="dxa"/>
        <w:bottom w:w="0" w:type="dxa"/>
        <w:right w:w="108" w:type="dxa"/>
      </w:tblCellMar>
    </w:tblPr>
    <w:tblStylePr w:type="firstRow">
      <w:pPr>
        <w:jc w:val="center"/>
      </w:pPr>
      <w:rPr>
        <w:b/>
      </w:rPr>
      <w:tblPr/>
      <w:tcPr>
        <w:tcBorders>
          <w:top w:val="single" w:sz="4" w:space="0" w:color="F15A34" w:themeColor="accent1"/>
          <w:left w:val="single" w:sz="4" w:space="0" w:color="F15A34" w:themeColor="accent1"/>
          <w:bottom w:val="single" w:sz="4" w:space="0" w:color="F15A34" w:themeColor="accent1"/>
          <w:right w:val="single" w:sz="4" w:space="0" w:color="F15A34" w:themeColor="accent1"/>
        </w:tcBorders>
        <w:shd w:val="clear" w:color="auto" w:fill="FFFFFF" w:themeFill="background1"/>
        <w:vAlign w:val="center"/>
      </w:tcPr>
    </w:tblStylePr>
    <w:tblStylePr w:type="lastRow">
      <w:pPr>
        <w:jc w:val="center"/>
      </w:pPr>
      <w:tblPr/>
      <w:tcPr>
        <w:tcBorders>
          <w:left w:val="single" w:sz="4" w:space="0" w:color="F15A34" w:themeColor="accent1"/>
          <w:bottom w:val="single" w:sz="4" w:space="0" w:color="F15A34" w:themeColor="accent1"/>
          <w:right w:val="single" w:sz="4" w:space="0" w:color="F15A34" w:themeColor="accent1"/>
        </w:tcBorders>
      </w:tcPr>
    </w:tblStylePr>
    <w:tblStylePr w:type="band1Horz">
      <w:pPr>
        <w:jc w:val="center"/>
      </w:pPr>
      <w:tblPr/>
      <w:tcPr>
        <w:tcBorders>
          <w:left w:val="single" w:sz="4" w:space="0" w:color="F15A34" w:themeColor="accent1"/>
          <w:right w:val="single" w:sz="4" w:space="0" w:color="F15A34" w:themeColor="accent1"/>
        </w:tcBorders>
        <w:shd w:val="clear" w:color="auto" w:fill="FCDDD6" w:themeFill="accent1" w:themeFillTint="33"/>
      </w:tcPr>
    </w:tblStylePr>
    <w:tblStylePr w:type="band2Horz">
      <w:pPr>
        <w:jc w:val="center"/>
      </w:pPr>
      <w:tblPr/>
      <w:tcPr>
        <w:tcBorders>
          <w:left w:val="single" w:sz="4" w:space="0" w:color="F15A34" w:themeColor="accent1"/>
          <w:right w:val="single" w:sz="4" w:space="0" w:color="F15A34" w:themeColor="accent1"/>
        </w:tcBorders>
      </w:tcPr>
    </w:tblStylePr>
  </w:style>
  <w:style w:type="character" w:customStyle="1" w:styleId="Heading3Char">
    <w:name w:val="Heading 3 Char"/>
    <w:basedOn w:val="DefaultParagraphFont"/>
    <w:link w:val="Heading3"/>
    <w:uiPriority w:val="9"/>
    <w:rsid w:val="00C25F2E"/>
    <w:rPr>
      <w:rFonts w:asciiTheme="majorHAnsi" w:eastAsiaTheme="majorEastAsia" w:hAnsiTheme="majorHAnsi" w:cstheme="majorBidi"/>
      <w:b/>
      <w:bCs/>
      <w:color w:val="F15A34" w:themeColor="accent1"/>
    </w:rPr>
  </w:style>
  <w:style w:type="paragraph" w:styleId="Header">
    <w:name w:val="header"/>
    <w:basedOn w:val="Normal"/>
    <w:link w:val="HeaderChar"/>
    <w:uiPriority w:val="99"/>
    <w:unhideWhenUsed/>
    <w:rsid w:val="00C25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F2E"/>
  </w:style>
  <w:style w:type="paragraph" w:styleId="Footer">
    <w:name w:val="footer"/>
    <w:basedOn w:val="Normal"/>
    <w:link w:val="FooterChar"/>
    <w:uiPriority w:val="99"/>
    <w:unhideWhenUsed/>
    <w:rsid w:val="00C25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F2E"/>
  </w:style>
  <w:style w:type="character" w:styleId="Hyperlink">
    <w:name w:val="Hyperlink"/>
    <w:basedOn w:val="DefaultParagraphFont"/>
    <w:uiPriority w:val="99"/>
    <w:unhideWhenUsed/>
    <w:rsid w:val="00C25F2E"/>
    <w:rPr>
      <w:color w:val="00A3D6" w:themeColor="hyperlink"/>
      <w:u w:val="single"/>
    </w:rPr>
  </w:style>
  <w:style w:type="paragraph" w:customStyle="1" w:styleId="DotPoint">
    <w:name w:val="Dot Point"/>
    <w:basedOn w:val="ListParagraph"/>
    <w:link w:val="DotPointChar"/>
    <w:rsid w:val="00C25F2E"/>
    <w:pPr>
      <w:numPr>
        <w:numId w:val="1"/>
      </w:numPr>
      <w:ind w:left="720" w:firstLine="0"/>
    </w:pPr>
  </w:style>
  <w:style w:type="character" w:customStyle="1" w:styleId="DotPointChar">
    <w:name w:val="Dot Point Char"/>
    <w:basedOn w:val="DefaultParagraphFont"/>
    <w:link w:val="DotPoint"/>
    <w:rsid w:val="00C25F2E"/>
  </w:style>
  <w:style w:type="paragraph" w:customStyle="1" w:styleId="Paragraph">
    <w:name w:val="Paragraph"/>
    <w:basedOn w:val="Normal"/>
    <w:link w:val="ParagraphChar"/>
    <w:qFormat/>
    <w:rsid w:val="00C25F2E"/>
    <w:pPr>
      <w:jc w:val="both"/>
    </w:pPr>
  </w:style>
  <w:style w:type="character" w:customStyle="1" w:styleId="ParagraphChar">
    <w:name w:val="Paragraph Char"/>
    <w:basedOn w:val="DefaultParagraphFont"/>
    <w:link w:val="Paragraph"/>
    <w:rsid w:val="00C25F2E"/>
  </w:style>
  <w:style w:type="paragraph" w:styleId="Title">
    <w:name w:val="Title"/>
    <w:basedOn w:val="Normal"/>
    <w:next w:val="Normal"/>
    <w:link w:val="TitleChar"/>
    <w:uiPriority w:val="10"/>
    <w:qFormat/>
    <w:rsid w:val="00C25F2E"/>
    <w:pPr>
      <w:pBdr>
        <w:bottom w:val="single" w:sz="8" w:space="4" w:color="F15A34"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28"/>
      <w:szCs w:val="52"/>
    </w:rPr>
  </w:style>
  <w:style w:type="character" w:customStyle="1" w:styleId="TitleChar">
    <w:name w:val="Title Char"/>
    <w:basedOn w:val="DefaultParagraphFont"/>
    <w:link w:val="Title"/>
    <w:uiPriority w:val="10"/>
    <w:rsid w:val="00C25F2E"/>
    <w:rPr>
      <w:rFonts w:asciiTheme="majorHAnsi" w:eastAsiaTheme="majorEastAsia" w:hAnsiTheme="majorHAnsi" w:cstheme="majorBidi"/>
      <w:color w:val="4A4F64" w:themeColor="text2" w:themeShade="BF"/>
      <w:spacing w:val="5"/>
      <w:kern w:val="28"/>
      <w:sz w:val="28"/>
      <w:szCs w:val="52"/>
    </w:rPr>
  </w:style>
  <w:style w:type="paragraph" w:styleId="TOC2">
    <w:name w:val="toc 2"/>
    <w:basedOn w:val="Normal"/>
    <w:next w:val="Normal"/>
    <w:autoRedefine/>
    <w:uiPriority w:val="39"/>
    <w:unhideWhenUsed/>
    <w:rsid w:val="00C25F2E"/>
    <w:pPr>
      <w:spacing w:after="0"/>
    </w:pPr>
    <w:rPr>
      <w:rFonts w:cstheme="minorHAnsi"/>
    </w:rPr>
  </w:style>
  <w:style w:type="paragraph" w:styleId="TOC1">
    <w:name w:val="toc 1"/>
    <w:basedOn w:val="Normal"/>
    <w:next w:val="Normal"/>
    <w:autoRedefine/>
    <w:uiPriority w:val="39"/>
    <w:unhideWhenUsed/>
    <w:rsid w:val="004F3269"/>
    <w:pPr>
      <w:tabs>
        <w:tab w:val="right" w:leader="dot" w:pos="9016"/>
      </w:tabs>
      <w:spacing w:before="120" w:after="0"/>
    </w:pPr>
    <w:rPr>
      <w:rFonts w:asciiTheme="majorHAnsi" w:hAnsiTheme="majorHAnsi"/>
      <w:b/>
      <w:color w:val="548DD4"/>
      <w:sz w:val="24"/>
      <w:szCs w:val="24"/>
    </w:rPr>
  </w:style>
  <w:style w:type="paragraph" w:customStyle="1" w:styleId="H1NotIncluded">
    <w:name w:val="H1 Not Included"/>
    <w:basedOn w:val="Heading1"/>
    <w:link w:val="H1NotIncludedChar"/>
    <w:rsid w:val="00C25F2E"/>
  </w:style>
  <w:style w:type="paragraph" w:customStyle="1" w:styleId="TitleNotIncluded">
    <w:name w:val="Title Not Included"/>
    <w:basedOn w:val="Title"/>
    <w:link w:val="TitleNotIncludedChar"/>
    <w:qFormat/>
    <w:rsid w:val="00C25F2E"/>
  </w:style>
  <w:style w:type="character" w:customStyle="1" w:styleId="H1NotIncludedChar">
    <w:name w:val="H1 Not Included Char"/>
    <w:basedOn w:val="Heading1Char"/>
    <w:link w:val="H1NotIncluded"/>
    <w:rsid w:val="00C25F2E"/>
    <w:rPr>
      <w:rFonts w:asciiTheme="majorHAnsi" w:eastAsiaTheme="majorEastAsia" w:hAnsiTheme="majorHAnsi" w:cstheme="majorBidi"/>
      <w:b/>
      <w:bCs/>
      <w:color w:val="CD340E" w:themeColor="accent1" w:themeShade="BF"/>
      <w:sz w:val="28"/>
      <w:szCs w:val="28"/>
      <w:lang w:eastAsia="en-US"/>
    </w:rPr>
  </w:style>
  <w:style w:type="character" w:customStyle="1" w:styleId="TitleNotIncludedChar">
    <w:name w:val="Title Not Included Char"/>
    <w:basedOn w:val="TitleChar"/>
    <w:link w:val="TitleNotIncluded"/>
    <w:rsid w:val="00C25F2E"/>
    <w:rPr>
      <w:rFonts w:asciiTheme="majorHAnsi" w:eastAsiaTheme="majorEastAsia" w:hAnsiTheme="majorHAnsi" w:cstheme="majorBidi"/>
      <w:color w:val="4A4F64" w:themeColor="text2" w:themeShade="BF"/>
      <w:spacing w:val="5"/>
      <w:kern w:val="28"/>
      <w:sz w:val="28"/>
      <w:szCs w:val="52"/>
    </w:rPr>
  </w:style>
  <w:style w:type="paragraph" w:styleId="ListParagraph">
    <w:name w:val="List Paragraph"/>
    <w:basedOn w:val="Normal"/>
    <w:link w:val="ListParagraphChar"/>
    <w:uiPriority w:val="34"/>
    <w:qFormat/>
    <w:rsid w:val="00C25F2E"/>
    <w:pPr>
      <w:ind w:left="720"/>
      <w:contextualSpacing/>
    </w:pPr>
  </w:style>
  <w:style w:type="character" w:customStyle="1" w:styleId="Heading1Char">
    <w:name w:val="Heading 1 Char"/>
    <w:basedOn w:val="DefaultParagraphFont"/>
    <w:link w:val="Heading1"/>
    <w:uiPriority w:val="9"/>
    <w:rsid w:val="008A07F8"/>
    <w:rPr>
      <w:rFonts w:asciiTheme="majorHAnsi" w:eastAsiaTheme="majorEastAsia" w:hAnsiTheme="majorHAnsi" w:cstheme="majorBidi"/>
      <w:b/>
      <w:bCs/>
      <w:color w:val="CD340E" w:themeColor="accent1" w:themeShade="BF"/>
      <w:sz w:val="28"/>
      <w:szCs w:val="28"/>
      <w:lang w:eastAsia="en-US"/>
    </w:rPr>
  </w:style>
  <w:style w:type="character" w:customStyle="1" w:styleId="Heading2Char">
    <w:name w:val="Heading 2 Char"/>
    <w:basedOn w:val="DefaultParagraphFont"/>
    <w:link w:val="Heading2"/>
    <w:uiPriority w:val="9"/>
    <w:rsid w:val="00AF0B44"/>
    <w:rPr>
      <w:rFonts w:asciiTheme="majorHAnsi" w:eastAsiaTheme="majorEastAsia" w:hAnsiTheme="majorHAnsi" w:cstheme="majorBidi"/>
      <w:b/>
      <w:bCs/>
      <w:color w:val="F15A34" w:themeColor="accent1"/>
      <w:sz w:val="26"/>
      <w:szCs w:val="26"/>
    </w:rPr>
  </w:style>
  <w:style w:type="character" w:customStyle="1" w:styleId="Heading4Char">
    <w:name w:val="Heading 4 Char"/>
    <w:basedOn w:val="DefaultParagraphFont"/>
    <w:link w:val="Heading4"/>
    <w:uiPriority w:val="9"/>
    <w:rsid w:val="00AF0B44"/>
    <w:rPr>
      <w:rFonts w:asciiTheme="majorHAnsi" w:eastAsiaTheme="majorEastAsia" w:hAnsiTheme="majorHAnsi" w:cstheme="majorBidi"/>
      <w:b/>
      <w:bCs/>
      <w:i/>
      <w:iCs/>
      <w:color w:val="F15A34" w:themeColor="accent1"/>
    </w:rPr>
  </w:style>
  <w:style w:type="table" w:customStyle="1" w:styleId="LightShading-Accent15">
    <w:name w:val="Light Shading - Accent 15"/>
    <w:basedOn w:val="TableNormal"/>
    <w:uiPriority w:val="60"/>
    <w:rsid w:val="00126B7D"/>
    <w:pPr>
      <w:spacing w:after="0" w:line="240" w:lineRule="auto"/>
    </w:pPr>
    <w:rPr>
      <w:color w:val="CD340E" w:themeColor="accent1" w:themeShade="BF"/>
    </w:rPr>
    <w:tblPr>
      <w:tblStyleRowBandSize w:val="1"/>
      <w:tblStyleColBandSize w:val="1"/>
      <w:tblInd w:w="0" w:type="dxa"/>
      <w:tblBorders>
        <w:top w:val="single" w:sz="8" w:space="0" w:color="F15A34" w:themeColor="accent1"/>
        <w:bottom w:val="single" w:sz="8" w:space="0" w:color="F15A3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15A34" w:themeColor="accent1"/>
          <w:left w:val="nil"/>
          <w:bottom w:val="single" w:sz="8" w:space="0" w:color="F15A34" w:themeColor="accent1"/>
          <w:right w:val="nil"/>
          <w:insideH w:val="nil"/>
          <w:insideV w:val="nil"/>
        </w:tcBorders>
      </w:tcPr>
    </w:tblStylePr>
    <w:tblStylePr w:type="lastRow">
      <w:pPr>
        <w:spacing w:before="0" w:after="0" w:line="240" w:lineRule="auto"/>
      </w:pPr>
      <w:rPr>
        <w:b/>
        <w:bCs/>
      </w:rPr>
      <w:tblPr/>
      <w:tcPr>
        <w:tcBorders>
          <w:top w:val="single" w:sz="8" w:space="0" w:color="F15A34" w:themeColor="accent1"/>
          <w:left w:val="nil"/>
          <w:bottom w:val="single" w:sz="8" w:space="0" w:color="F15A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6CC" w:themeFill="accent1" w:themeFillTint="3F"/>
      </w:tcPr>
    </w:tblStylePr>
    <w:tblStylePr w:type="band1Horz">
      <w:tblPr/>
      <w:tcPr>
        <w:tcBorders>
          <w:left w:val="nil"/>
          <w:right w:val="nil"/>
          <w:insideH w:val="nil"/>
          <w:insideV w:val="nil"/>
        </w:tcBorders>
        <w:shd w:val="clear" w:color="auto" w:fill="FBD6CC" w:themeFill="accent1" w:themeFillTint="3F"/>
      </w:tcPr>
    </w:tblStylePr>
  </w:style>
  <w:style w:type="paragraph" w:styleId="Caption">
    <w:name w:val="caption"/>
    <w:basedOn w:val="Normal"/>
    <w:next w:val="Normal"/>
    <w:uiPriority w:val="35"/>
    <w:unhideWhenUsed/>
    <w:qFormat/>
    <w:rsid w:val="00126B7D"/>
    <w:pPr>
      <w:spacing w:line="240" w:lineRule="auto"/>
    </w:pPr>
    <w:rPr>
      <w:b/>
      <w:bCs/>
      <w:color w:val="F15A34" w:themeColor="accent1"/>
      <w:sz w:val="18"/>
      <w:szCs w:val="18"/>
    </w:rPr>
  </w:style>
  <w:style w:type="character" w:customStyle="1" w:styleId="ListParagraphChar">
    <w:name w:val="List Paragraph Char"/>
    <w:basedOn w:val="DefaultParagraphFont"/>
    <w:link w:val="ListParagraph"/>
    <w:uiPriority w:val="99"/>
    <w:rsid w:val="00126B7D"/>
  </w:style>
  <w:style w:type="table" w:customStyle="1" w:styleId="LightShading-Accent111">
    <w:name w:val="Light Shading - Accent 111"/>
    <w:basedOn w:val="TableNormal"/>
    <w:uiPriority w:val="60"/>
    <w:rsid w:val="00126B7D"/>
    <w:pPr>
      <w:spacing w:after="0" w:line="240" w:lineRule="auto"/>
    </w:pPr>
    <w:rPr>
      <w:color w:val="CD340E" w:themeColor="accent1" w:themeShade="BF"/>
    </w:rPr>
    <w:tblPr>
      <w:tblStyleRowBandSize w:val="1"/>
      <w:tblStyleColBandSize w:val="1"/>
      <w:tblInd w:w="0" w:type="dxa"/>
      <w:tblBorders>
        <w:top w:val="single" w:sz="8" w:space="0" w:color="F15A34" w:themeColor="accent1"/>
        <w:bottom w:val="single" w:sz="8" w:space="0" w:color="F15A3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15A34" w:themeColor="accent1"/>
          <w:left w:val="nil"/>
          <w:bottom w:val="single" w:sz="8" w:space="0" w:color="F15A34" w:themeColor="accent1"/>
          <w:right w:val="nil"/>
          <w:insideH w:val="nil"/>
          <w:insideV w:val="nil"/>
        </w:tcBorders>
      </w:tcPr>
    </w:tblStylePr>
    <w:tblStylePr w:type="lastRow">
      <w:pPr>
        <w:spacing w:before="0" w:after="0" w:line="240" w:lineRule="auto"/>
      </w:pPr>
      <w:rPr>
        <w:b/>
        <w:bCs/>
      </w:rPr>
      <w:tblPr/>
      <w:tcPr>
        <w:tcBorders>
          <w:top w:val="single" w:sz="8" w:space="0" w:color="F15A34" w:themeColor="accent1"/>
          <w:left w:val="nil"/>
          <w:bottom w:val="single" w:sz="8" w:space="0" w:color="F15A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6CC" w:themeFill="accent1" w:themeFillTint="3F"/>
      </w:tcPr>
    </w:tblStylePr>
    <w:tblStylePr w:type="band1Horz">
      <w:tblPr/>
      <w:tcPr>
        <w:tcBorders>
          <w:left w:val="nil"/>
          <w:right w:val="nil"/>
          <w:insideH w:val="nil"/>
          <w:insideV w:val="nil"/>
        </w:tcBorders>
        <w:shd w:val="clear" w:color="auto" w:fill="FBD6CC" w:themeFill="accent1" w:themeFillTint="3F"/>
      </w:tcPr>
    </w:tblStylePr>
  </w:style>
  <w:style w:type="paragraph" w:styleId="BalloonText">
    <w:name w:val="Balloon Text"/>
    <w:basedOn w:val="Normal"/>
    <w:link w:val="BalloonTextChar"/>
    <w:uiPriority w:val="99"/>
    <w:semiHidden/>
    <w:unhideWhenUsed/>
    <w:rsid w:val="00991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45E"/>
    <w:rPr>
      <w:rFonts w:ascii="Tahoma" w:hAnsi="Tahoma" w:cs="Tahoma"/>
      <w:sz w:val="16"/>
      <w:szCs w:val="16"/>
    </w:rPr>
  </w:style>
  <w:style w:type="table" w:customStyle="1" w:styleId="LightGrid-Accent11">
    <w:name w:val="Light Grid - Accent 11"/>
    <w:basedOn w:val="TableNormal"/>
    <w:uiPriority w:val="62"/>
    <w:rsid w:val="0099145E"/>
    <w:pPr>
      <w:spacing w:after="0" w:line="240" w:lineRule="auto"/>
    </w:pPr>
    <w:tblPr>
      <w:tblStyleRowBandSize w:val="1"/>
      <w:tblStyleColBandSize w:val="1"/>
      <w:tblInd w:w="0" w:type="dxa"/>
      <w:tblBorders>
        <w:top w:val="single" w:sz="8" w:space="0" w:color="F15A34" w:themeColor="accent1"/>
        <w:left w:val="single" w:sz="8" w:space="0" w:color="F15A34" w:themeColor="accent1"/>
        <w:bottom w:val="single" w:sz="8" w:space="0" w:color="F15A34" w:themeColor="accent1"/>
        <w:right w:val="single" w:sz="8" w:space="0" w:color="F15A34" w:themeColor="accent1"/>
        <w:insideH w:val="single" w:sz="8" w:space="0" w:color="F15A34" w:themeColor="accent1"/>
        <w:insideV w:val="single" w:sz="8" w:space="0" w:color="F15A3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15A34" w:themeColor="accent1"/>
          <w:left w:val="single" w:sz="8" w:space="0" w:color="F15A34" w:themeColor="accent1"/>
          <w:bottom w:val="single" w:sz="18" w:space="0" w:color="F15A34" w:themeColor="accent1"/>
          <w:right w:val="single" w:sz="8" w:space="0" w:color="F15A34" w:themeColor="accent1"/>
          <w:insideH w:val="nil"/>
          <w:insideV w:val="single" w:sz="8" w:space="0" w:color="F15A3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5A34" w:themeColor="accent1"/>
          <w:left w:val="single" w:sz="8" w:space="0" w:color="F15A34" w:themeColor="accent1"/>
          <w:bottom w:val="single" w:sz="8" w:space="0" w:color="F15A34" w:themeColor="accent1"/>
          <w:right w:val="single" w:sz="8" w:space="0" w:color="F15A34" w:themeColor="accent1"/>
          <w:insideH w:val="nil"/>
          <w:insideV w:val="single" w:sz="8" w:space="0" w:color="F15A3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5A34" w:themeColor="accent1"/>
          <w:left w:val="single" w:sz="8" w:space="0" w:color="F15A34" w:themeColor="accent1"/>
          <w:bottom w:val="single" w:sz="8" w:space="0" w:color="F15A34" w:themeColor="accent1"/>
          <w:right w:val="single" w:sz="8" w:space="0" w:color="F15A34" w:themeColor="accent1"/>
        </w:tcBorders>
      </w:tcPr>
    </w:tblStylePr>
    <w:tblStylePr w:type="band1Vert">
      <w:tblPr/>
      <w:tcPr>
        <w:tcBorders>
          <w:top w:val="single" w:sz="8" w:space="0" w:color="F15A34" w:themeColor="accent1"/>
          <w:left w:val="single" w:sz="8" w:space="0" w:color="F15A34" w:themeColor="accent1"/>
          <w:bottom w:val="single" w:sz="8" w:space="0" w:color="F15A34" w:themeColor="accent1"/>
          <w:right w:val="single" w:sz="8" w:space="0" w:color="F15A34" w:themeColor="accent1"/>
        </w:tcBorders>
        <w:shd w:val="clear" w:color="auto" w:fill="FBD6CC" w:themeFill="accent1" w:themeFillTint="3F"/>
      </w:tcPr>
    </w:tblStylePr>
    <w:tblStylePr w:type="band1Horz">
      <w:tblPr/>
      <w:tcPr>
        <w:tcBorders>
          <w:top w:val="single" w:sz="8" w:space="0" w:color="F15A34" w:themeColor="accent1"/>
          <w:left w:val="single" w:sz="8" w:space="0" w:color="F15A34" w:themeColor="accent1"/>
          <w:bottom w:val="single" w:sz="8" w:space="0" w:color="F15A34" w:themeColor="accent1"/>
          <w:right w:val="single" w:sz="8" w:space="0" w:color="F15A34" w:themeColor="accent1"/>
          <w:insideV w:val="single" w:sz="8" w:space="0" w:color="F15A34" w:themeColor="accent1"/>
        </w:tcBorders>
        <w:shd w:val="clear" w:color="auto" w:fill="FBD6CC" w:themeFill="accent1" w:themeFillTint="3F"/>
      </w:tcPr>
    </w:tblStylePr>
    <w:tblStylePr w:type="band2Horz">
      <w:tblPr/>
      <w:tcPr>
        <w:tcBorders>
          <w:top w:val="single" w:sz="8" w:space="0" w:color="F15A34" w:themeColor="accent1"/>
          <w:left w:val="single" w:sz="8" w:space="0" w:color="F15A34" w:themeColor="accent1"/>
          <w:bottom w:val="single" w:sz="8" w:space="0" w:color="F15A34" w:themeColor="accent1"/>
          <w:right w:val="single" w:sz="8" w:space="0" w:color="F15A34" w:themeColor="accent1"/>
          <w:insideV w:val="single" w:sz="8" w:space="0" w:color="F15A34" w:themeColor="accent1"/>
        </w:tcBorders>
      </w:tcPr>
    </w:tblStylePr>
  </w:style>
  <w:style w:type="paragraph" w:styleId="NoSpacing">
    <w:name w:val="No Spacing"/>
    <w:link w:val="NoSpacingChar"/>
    <w:uiPriority w:val="1"/>
    <w:rsid w:val="0099145E"/>
    <w:pPr>
      <w:spacing w:after="0" w:line="240" w:lineRule="auto"/>
    </w:pPr>
    <w:rPr>
      <w:lang w:val="en-US"/>
    </w:rPr>
  </w:style>
  <w:style w:type="character" w:customStyle="1" w:styleId="NoSpacingChar">
    <w:name w:val="No Spacing Char"/>
    <w:basedOn w:val="DefaultParagraphFont"/>
    <w:link w:val="NoSpacing"/>
    <w:uiPriority w:val="1"/>
    <w:rsid w:val="0099145E"/>
    <w:rPr>
      <w:rFonts w:eastAsiaTheme="minorEastAsia"/>
      <w:lang w:val="en-US"/>
    </w:rPr>
  </w:style>
  <w:style w:type="table" w:customStyle="1" w:styleId="MediumShading1-Accent11">
    <w:name w:val="Medium Shading 1 - Accent 11"/>
    <w:basedOn w:val="TableNormal"/>
    <w:uiPriority w:val="63"/>
    <w:rsid w:val="0099145E"/>
    <w:pPr>
      <w:spacing w:after="0" w:line="240" w:lineRule="auto"/>
    </w:pPr>
    <w:tblPr>
      <w:tblStyleRowBandSize w:val="1"/>
      <w:tblStyleColBandSize w:val="1"/>
      <w:tblInd w:w="0" w:type="dxa"/>
      <w:tblBorders>
        <w:top w:val="single" w:sz="8" w:space="0" w:color="F48366" w:themeColor="accent1" w:themeTint="BF"/>
        <w:left w:val="single" w:sz="8" w:space="0" w:color="F48366" w:themeColor="accent1" w:themeTint="BF"/>
        <w:bottom w:val="single" w:sz="8" w:space="0" w:color="F48366" w:themeColor="accent1" w:themeTint="BF"/>
        <w:right w:val="single" w:sz="8" w:space="0" w:color="F48366" w:themeColor="accent1" w:themeTint="BF"/>
        <w:insideH w:val="single" w:sz="8" w:space="0" w:color="F4836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48366" w:themeColor="accent1" w:themeTint="BF"/>
          <w:left w:val="single" w:sz="8" w:space="0" w:color="F48366" w:themeColor="accent1" w:themeTint="BF"/>
          <w:bottom w:val="single" w:sz="8" w:space="0" w:color="F48366" w:themeColor="accent1" w:themeTint="BF"/>
          <w:right w:val="single" w:sz="8" w:space="0" w:color="F48366" w:themeColor="accent1" w:themeTint="BF"/>
          <w:insideH w:val="nil"/>
          <w:insideV w:val="nil"/>
        </w:tcBorders>
        <w:shd w:val="clear" w:color="auto" w:fill="F15A34" w:themeFill="accent1"/>
      </w:tcPr>
    </w:tblStylePr>
    <w:tblStylePr w:type="lastRow">
      <w:pPr>
        <w:spacing w:before="0" w:after="0" w:line="240" w:lineRule="auto"/>
      </w:pPr>
      <w:rPr>
        <w:b/>
        <w:bCs/>
      </w:rPr>
      <w:tblPr/>
      <w:tcPr>
        <w:tcBorders>
          <w:top w:val="double" w:sz="6" w:space="0" w:color="F48366" w:themeColor="accent1" w:themeTint="BF"/>
          <w:left w:val="single" w:sz="8" w:space="0" w:color="F48366" w:themeColor="accent1" w:themeTint="BF"/>
          <w:bottom w:val="single" w:sz="8" w:space="0" w:color="F48366" w:themeColor="accent1" w:themeTint="BF"/>
          <w:right w:val="single" w:sz="8" w:space="0" w:color="F4836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6CC" w:themeFill="accent1" w:themeFillTint="3F"/>
      </w:tcPr>
    </w:tblStylePr>
    <w:tblStylePr w:type="band1Horz">
      <w:tblPr/>
      <w:tcPr>
        <w:tcBorders>
          <w:insideH w:val="nil"/>
          <w:insideV w:val="nil"/>
        </w:tcBorders>
        <w:shd w:val="clear" w:color="auto" w:fill="FBD6CC" w:themeFill="accent1" w:themeFillTint="3F"/>
      </w:tcPr>
    </w:tblStylePr>
    <w:tblStylePr w:type="band2Horz">
      <w:tblPr/>
      <w:tcPr>
        <w:tcBorders>
          <w:insideH w:val="nil"/>
          <w:insideV w:val="nil"/>
        </w:tcBorders>
      </w:tcPr>
    </w:tblStylePr>
  </w:style>
  <w:style w:type="character" w:customStyle="1" w:styleId="hps">
    <w:name w:val="hps"/>
    <w:basedOn w:val="DefaultParagraphFont"/>
    <w:rsid w:val="0055006C"/>
  </w:style>
  <w:style w:type="table" w:styleId="TableGrid">
    <w:name w:val="Table Grid"/>
    <w:basedOn w:val="TableNormal"/>
    <w:uiPriority w:val="59"/>
    <w:rsid w:val="005A4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VBullet">
    <w:name w:val="CV Bullet"/>
    <w:basedOn w:val="Normal"/>
    <w:rsid w:val="004A096A"/>
    <w:pPr>
      <w:numPr>
        <w:numId w:val="2"/>
      </w:numPr>
      <w:spacing w:after="120" w:line="260" w:lineRule="atLeast"/>
      <w:contextualSpacing/>
    </w:pPr>
    <w:rPr>
      <w:rFonts w:ascii="Arial" w:eastAsia="Times New Roman" w:hAnsi="Arial" w:cs="Times New Roman"/>
      <w:sz w:val="20"/>
      <w:szCs w:val="14"/>
    </w:rPr>
  </w:style>
  <w:style w:type="paragraph" w:customStyle="1" w:styleId="CVQualificationHeading">
    <w:name w:val="CV Qualification Heading"/>
    <w:basedOn w:val="Normal"/>
    <w:next w:val="CVBullet"/>
    <w:rsid w:val="004A096A"/>
    <w:pPr>
      <w:keepNext/>
      <w:spacing w:after="60" w:line="240" w:lineRule="auto"/>
    </w:pPr>
    <w:rPr>
      <w:rFonts w:ascii="Arial Bold" w:eastAsia="Times New Roman" w:hAnsi="Arial Bold" w:cs="Times New Roman"/>
      <w:b/>
      <w:color w:val="808080"/>
      <w:sz w:val="18"/>
      <w:szCs w:val="14"/>
    </w:rPr>
  </w:style>
  <w:style w:type="paragraph" w:customStyle="1" w:styleId="CVBodyText">
    <w:name w:val="CV Body Text"/>
    <w:basedOn w:val="Normal"/>
    <w:link w:val="CVBodyTextChar"/>
    <w:rsid w:val="004A096A"/>
    <w:pPr>
      <w:spacing w:after="120" w:line="260" w:lineRule="atLeast"/>
      <w:jc w:val="both"/>
    </w:pPr>
    <w:rPr>
      <w:rFonts w:ascii="Arial" w:eastAsia="Times New Roman" w:hAnsi="Arial" w:cs="Times New Roman"/>
      <w:sz w:val="20"/>
    </w:rPr>
  </w:style>
  <w:style w:type="paragraph" w:customStyle="1" w:styleId="CVName">
    <w:name w:val="CV Name"/>
    <w:basedOn w:val="Normal"/>
    <w:next w:val="CVPosition"/>
    <w:rsid w:val="004A096A"/>
    <w:pPr>
      <w:spacing w:after="0" w:line="360" w:lineRule="atLeast"/>
    </w:pPr>
    <w:rPr>
      <w:rFonts w:ascii="Arial Bold" w:eastAsia="Times New Roman" w:hAnsi="Arial Bold" w:cs="Times New Roman"/>
      <w:b/>
      <w:color w:val="0C479D"/>
      <w:sz w:val="24"/>
      <w:szCs w:val="32"/>
    </w:rPr>
  </w:style>
  <w:style w:type="paragraph" w:customStyle="1" w:styleId="CVPosition">
    <w:name w:val="CV Position"/>
    <w:basedOn w:val="Normal"/>
    <w:next w:val="CVBodyText"/>
    <w:rsid w:val="004A096A"/>
    <w:pPr>
      <w:spacing w:after="280" w:line="360" w:lineRule="atLeast"/>
    </w:pPr>
    <w:rPr>
      <w:rFonts w:ascii="Arial" w:eastAsia="Times New Roman" w:hAnsi="Arial" w:cs="Times New Roman"/>
      <w:i/>
      <w:color w:val="0C479D"/>
      <w:sz w:val="18"/>
      <w:szCs w:val="32"/>
    </w:rPr>
  </w:style>
  <w:style w:type="paragraph" w:customStyle="1" w:styleId="CVHeading">
    <w:name w:val="CV Heading"/>
    <w:basedOn w:val="Normal"/>
    <w:next w:val="CVBodyText"/>
    <w:rsid w:val="004A096A"/>
    <w:pPr>
      <w:keepNext/>
      <w:spacing w:before="240" w:after="60" w:line="280" w:lineRule="atLeast"/>
    </w:pPr>
    <w:rPr>
      <w:rFonts w:ascii="Arial Bold" w:eastAsia="Times New Roman" w:hAnsi="Arial Bold" w:cs="Times New Roman"/>
      <w:b/>
      <w:color w:val="666666"/>
      <w:szCs w:val="20"/>
    </w:rPr>
  </w:style>
  <w:style w:type="paragraph" w:customStyle="1" w:styleId="CVQualification">
    <w:name w:val="CV Qualification"/>
    <w:basedOn w:val="Normal"/>
    <w:rsid w:val="004A096A"/>
    <w:pPr>
      <w:spacing w:after="60" w:line="240" w:lineRule="auto"/>
    </w:pPr>
    <w:rPr>
      <w:rFonts w:ascii="Arial" w:eastAsia="Times New Roman" w:hAnsi="Arial" w:cs="Times New Roman"/>
      <w:i/>
      <w:color w:val="666666"/>
      <w:sz w:val="16"/>
      <w:szCs w:val="24"/>
    </w:rPr>
  </w:style>
  <w:style w:type="character" w:customStyle="1" w:styleId="CVBodyTextChar">
    <w:name w:val="CV Body Text Char"/>
    <w:basedOn w:val="DefaultParagraphFont"/>
    <w:link w:val="CVBodyText"/>
    <w:rsid w:val="004A096A"/>
    <w:rPr>
      <w:rFonts w:ascii="Arial" w:eastAsia="Times New Roman" w:hAnsi="Arial" w:cs="Times New Roman"/>
      <w:sz w:val="20"/>
      <w:lang w:eastAsia="en-AU"/>
    </w:rPr>
  </w:style>
  <w:style w:type="paragraph" w:styleId="BodyText">
    <w:name w:val="Body Text"/>
    <w:basedOn w:val="Normal"/>
    <w:link w:val="BodyTextChar"/>
    <w:rsid w:val="00F03FC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03FC4"/>
    <w:rPr>
      <w:rFonts w:ascii="Times New Roman" w:eastAsia="Times New Roman" w:hAnsi="Times New Roman" w:cs="Times New Roman"/>
      <w:b/>
      <w:bCs/>
      <w:sz w:val="24"/>
      <w:szCs w:val="24"/>
    </w:rPr>
  </w:style>
  <w:style w:type="table" w:styleId="LightList-Accent2">
    <w:name w:val="Light List Accent 2"/>
    <w:basedOn w:val="TableNormal"/>
    <w:uiPriority w:val="61"/>
    <w:rsid w:val="00EC45F9"/>
    <w:pPr>
      <w:spacing w:after="0" w:line="240" w:lineRule="auto"/>
    </w:pPr>
    <w:tblPr>
      <w:tblStyleRowBandSize w:val="1"/>
      <w:tblStyleColBandSize w:val="1"/>
      <w:tblInd w:w="0" w:type="dxa"/>
      <w:tblBorders>
        <w:top w:val="single" w:sz="8" w:space="0" w:color="B45031" w:themeColor="accent2"/>
        <w:left w:val="single" w:sz="8" w:space="0" w:color="B45031" w:themeColor="accent2"/>
        <w:bottom w:val="single" w:sz="8" w:space="0" w:color="B45031" w:themeColor="accent2"/>
        <w:right w:val="single" w:sz="8" w:space="0" w:color="B450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45031" w:themeFill="accent2"/>
      </w:tcPr>
    </w:tblStylePr>
    <w:tblStylePr w:type="lastRow">
      <w:pPr>
        <w:spacing w:before="0" w:after="0" w:line="240" w:lineRule="auto"/>
      </w:pPr>
      <w:rPr>
        <w:b/>
        <w:bCs/>
      </w:rPr>
      <w:tblPr/>
      <w:tcPr>
        <w:tcBorders>
          <w:top w:val="double" w:sz="6" w:space="0" w:color="B45031" w:themeColor="accent2"/>
          <w:left w:val="single" w:sz="8" w:space="0" w:color="B45031" w:themeColor="accent2"/>
          <w:bottom w:val="single" w:sz="8" w:space="0" w:color="B45031" w:themeColor="accent2"/>
          <w:right w:val="single" w:sz="8" w:space="0" w:color="B45031" w:themeColor="accent2"/>
        </w:tcBorders>
      </w:tcPr>
    </w:tblStylePr>
    <w:tblStylePr w:type="firstCol">
      <w:rPr>
        <w:b/>
        <w:bCs/>
      </w:rPr>
    </w:tblStylePr>
    <w:tblStylePr w:type="lastCol">
      <w:rPr>
        <w:b/>
        <w:bCs/>
      </w:rPr>
    </w:tblStylePr>
    <w:tblStylePr w:type="band1Vert">
      <w:tblPr/>
      <w:tcPr>
        <w:tcBorders>
          <w:top w:val="single" w:sz="8" w:space="0" w:color="B45031" w:themeColor="accent2"/>
          <w:left w:val="single" w:sz="8" w:space="0" w:color="B45031" w:themeColor="accent2"/>
          <w:bottom w:val="single" w:sz="8" w:space="0" w:color="B45031" w:themeColor="accent2"/>
          <w:right w:val="single" w:sz="8" w:space="0" w:color="B45031" w:themeColor="accent2"/>
        </w:tcBorders>
      </w:tcPr>
    </w:tblStylePr>
    <w:tblStylePr w:type="band1Horz">
      <w:tblPr/>
      <w:tcPr>
        <w:tcBorders>
          <w:top w:val="single" w:sz="8" w:space="0" w:color="B45031" w:themeColor="accent2"/>
          <w:left w:val="single" w:sz="8" w:space="0" w:color="B45031" w:themeColor="accent2"/>
          <w:bottom w:val="single" w:sz="8" w:space="0" w:color="B45031" w:themeColor="accent2"/>
          <w:right w:val="single" w:sz="8" w:space="0" w:color="B45031" w:themeColor="accent2"/>
        </w:tcBorders>
      </w:tcPr>
    </w:tblStylePr>
  </w:style>
  <w:style w:type="character" w:styleId="CommentReference">
    <w:name w:val="annotation reference"/>
    <w:basedOn w:val="DefaultParagraphFont"/>
    <w:uiPriority w:val="99"/>
    <w:semiHidden/>
    <w:unhideWhenUsed/>
    <w:rsid w:val="00733D5B"/>
    <w:rPr>
      <w:sz w:val="16"/>
      <w:szCs w:val="16"/>
    </w:rPr>
  </w:style>
  <w:style w:type="paragraph" w:styleId="CommentText">
    <w:name w:val="annotation text"/>
    <w:basedOn w:val="Normal"/>
    <w:link w:val="CommentTextChar"/>
    <w:uiPriority w:val="99"/>
    <w:semiHidden/>
    <w:unhideWhenUsed/>
    <w:rsid w:val="00733D5B"/>
    <w:pPr>
      <w:spacing w:line="240" w:lineRule="auto"/>
    </w:pPr>
    <w:rPr>
      <w:sz w:val="20"/>
      <w:szCs w:val="20"/>
    </w:rPr>
  </w:style>
  <w:style w:type="character" w:customStyle="1" w:styleId="CommentTextChar">
    <w:name w:val="Comment Text Char"/>
    <w:basedOn w:val="DefaultParagraphFont"/>
    <w:link w:val="CommentText"/>
    <w:uiPriority w:val="99"/>
    <w:semiHidden/>
    <w:rsid w:val="00733D5B"/>
    <w:rPr>
      <w:sz w:val="20"/>
      <w:szCs w:val="20"/>
    </w:rPr>
  </w:style>
  <w:style w:type="paragraph" w:styleId="CommentSubject">
    <w:name w:val="annotation subject"/>
    <w:basedOn w:val="CommentText"/>
    <w:next w:val="CommentText"/>
    <w:link w:val="CommentSubjectChar"/>
    <w:uiPriority w:val="99"/>
    <w:semiHidden/>
    <w:unhideWhenUsed/>
    <w:rsid w:val="00733D5B"/>
    <w:rPr>
      <w:b/>
      <w:bCs/>
    </w:rPr>
  </w:style>
  <w:style w:type="character" w:customStyle="1" w:styleId="CommentSubjectChar">
    <w:name w:val="Comment Subject Char"/>
    <w:basedOn w:val="CommentTextChar"/>
    <w:link w:val="CommentSubject"/>
    <w:uiPriority w:val="99"/>
    <w:semiHidden/>
    <w:rsid w:val="00733D5B"/>
    <w:rPr>
      <w:b/>
      <w:bCs/>
      <w:sz w:val="20"/>
      <w:szCs w:val="20"/>
    </w:rPr>
  </w:style>
  <w:style w:type="paragraph" w:customStyle="1" w:styleId="AgreementName">
    <w:name w:val="Agreement Name"/>
    <w:basedOn w:val="Normal"/>
    <w:rsid w:val="007A0A64"/>
    <w:pPr>
      <w:spacing w:before="120" w:after="120" w:line="240" w:lineRule="auto"/>
    </w:pPr>
    <w:rPr>
      <w:rFonts w:ascii="Arial" w:eastAsia="Times New Roman" w:hAnsi="Arial" w:cs="Arial"/>
      <w:b/>
      <w:noProof/>
      <w:sz w:val="40"/>
      <w:szCs w:val="40"/>
    </w:rPr>
  </w:style>
  <w:style w:type="paragraph" w:styleId="Revision">
    <w:name w:val="Revision"/>
    <w:hidden/>
    <w:uiPriority w:val="99"/>
    <w:semiHidden/>
    <w:rsid w:val="005500C8"/>
    <w:pPr>
      <w:spacing w:after="0" w:line="240" w:lineRule="auto"/>
    </w:pPr>
  </w:style>
  <w:style w:type="paragraph" w:customStyle="1" w:styleId="Default">
    <w:name w:val="Default"/>
    <w:uiPriority w:val="99"/>
    <w:rsid w:val="00502A76"/>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9F14C9"/>
    <w:pPr>
      <w:spacing w:after="0"/>
      <w:ind w:left="220"/>
    </w:pPr>
    <w:rPr>
      <w:rFonts w:cstheme="minorHAnsi"/>
      <w:i/>
    </w:rPr>
  </w:style>
  <w:style w:type="table" w:styleId="LightShading-Accent3">
    <w:name w:val="Light Shading Accent 3"/>
    <w:basedOn w:val="TableNormal"/>
    <w:uiPriority w:val="60"/>
    <w:rsid w:val="00C80F47"/>
    <w:pPr>
      <w:spacing w:after="0" w:line="240" w:lineRule="auto"/>
    </w:pPr>
    <w:rPr>
      <w:color w:val="3A4A52" w:themeColor="accent3" w:themeShade="BF"/>
    </w:rPr>
    <w:tblPr>
      <w:tblStyleRowBandSize w:val="1"/>
      <w:tblStyleColBandSize w:val="1"/>
      <w:tblInd w:w="0" w:type="dxa"/>
      <w:tblBorders>
        <w:top w:val="single" w:sz="8" w:space="0" w:color="4E646F" w:themeColor="accent3"/>
        <w:bottom w:val="single" w:sz="8" w:space="0" w:color="4E646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646F" w:themeColor="accent3"/>
          <w:left w:val="nil"/>
          <w:bottom w:val="single" w:sz="8" w:space="0" w:color="4E646F" w:themeColor="accent3"/>
          <w:right w:val="nil"/>
          <w:insideH w:val="nil"/>
          <w:insideV w:val="nil"/>
        </w:tcBorders>
      </w:tcPr>
    </w:tblStylePr>
    <w:tblStylePr w:type="lastRow">
      <w:pPr>
        <w:spacing w:before="0" w:after="0" w:line="240" w:lineRule="auto"/>
      </w:pPr>
      <w:rPr>
        <w:b/>
        <w:bCs/>
      </w:rPr>
      <w:tblPr/>
      <w:tcPr>
        <w:tcBorders>
          <w:top w:val="single" w:sz="8" w:space="0" w:color="4E646F" w:themeColor="accent3"/>
          <w:left w:val="nil"/>
          <w:bottom w:val="single" w:sz="8" w:space="0" w:color="4E64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9DE" w:themeFill="accent3" w:themeFillTint="3F"/>
      </w:tcPr>
    </w:tblStylePr>
    <w:tblStylePr w:type="band1Horz">
      <w:tblPr/>
      <w:tcPr>
        <w:tcBorders>
          <w:left w:val="nil"/>
          <w:right w:val="nil"/>
          <w:insideH w:val="nil"/>
          <w:insideV w:val="nil"/>
        </w:tcBorders>
        <w:shd w:val="clear" w:color="auto" w:fill="D0D9DE" w:themeFill="accent3" w:themeFillTint="3F"/>
      </w:tcPr>
    </w:tblStylePr>
  </w:style>
  <w:style w:type="paragraph" w:styleId="TOC4">
    <w:name w:val="toc 4"/>
    <w:basedOn w:val="Normal"/>
    <w:next w:val="Normal"/>
    <w:autoRedefine/>
    <w:uiPriority w:val="39"/>
    <w:unhideWhenUsed/>
    <w:rsid w:val="0053194E"/>
    <w:pPr>
      <w:pBdr>
        <w:between w:val="double" w:sz="6" w:space="0" w:color="auto"/>
      </w:pBdr>
      <w:spacing w:after="0"/>
      <w:ind w:left="440"/>
    </w:pPr>
    <w:rPr>
      <w:rFonts w:cstheme="minorHAnsi"/>
      <w:sz w:val="20"/>
      <w:szCs w:val="20"/>
    </w:rPr>
  </w:style>
  <w:style w:type="paragraph" w:styleId="TOC5">
    <w:name w:val="toc 5"/>
    <w:basedOn w:val="Normal"/>
    <w:next w:val="Normal"/>
    <w:autoRedefine/>
    <w:uiPriority w:val="39"/>
    <w:unhideWhenUsed/>
    <w:rsid w:val="0053194E"/>
    <w:pPr>
      <w:pBdr>
        <w:between w:val="double" w:sz="6" w:space="0" w:color="auto"/>
      </w:pBdr>
      <w:spacing w:after="0"/>
      <w:ind w:left="660"/>
    </w:pPr>
    <w:rPr>
      <w:rFonts w:cstheme="minorHAnsi"/>
      <w:sz w:val="20"/>
      <w:szCs w:val="20"/>
    </w:rPr>
  </w:style>
  <w:style w:type="paragraph" w:styleId="TOC6">
    <w:name w:val="toc 6"/>
    <w:basedOn w:val="Normal"/>
    <w:next w:val="Normal"/>
    <w:autoRedefine/>
    <w:uiPriority w:val="39"/>
    <w:unhideWhenUsed/>
    <w:rsid w:val="0053194E"/>
    <w:pPr>
      <w:pBdr>
        <w:between w:val="double" w:sz="6" w:space="0" w:color="auto"/>
      </w:pBdr>
      <w:spacing w:after="0"/>
      <w:ind w:left="880"/>
    </w:pPr>
    <w:rPr>
      <w:rFonts w:cstheme="minorHAnsi"/>
      <w:sz w:val="20"/>
      <w:szCs w:val="20"/>
    </w:rPr>
  </w:style>
  <w:style w:type="paragraph" w:styleId="TOC7">
    <w:name w:val="toc 7"/>
    <w:basedOn w:val="Normal"/>
    <w:next w:val="Normal"/>
    <w:autoRedefine/>
    <w:uiPriority w:val="39"/>
    <w:unhideWhenUsed/>
    <w:rsid w:val="0053194E"/>
    <w:pPr>
      <w:pBdr>
        <w:between w:val="double" w:sz="6" w:space="0" w:color="auto"/>
      </w:pBdr>
      <w:spacing w:after="0"/>
      <w:ind w:left="1100"/>
    </w:pPr>
    <w:rPr>
      <w:rFonts w:cstheme="minorHAnsi"/>
      <w:sz w:val="20"/>
      <w:szCs w:val="20"/>
    </w:rPr>
  </w:style>
  <w:style w:type="paragraph" w:styleId="TOC8">
    <w:name w:val="toc 8"/>
    <w:basedOn w:val="Normal"/>
    <w:next w:val="Normal"/>
    <w:autoRedefine/>
    <w:uiPriority w:val="39"/>
    <w:unhideWhenUsed/>
    <w:rsid w:val="0053194E"/>
    <w:pPr>
      <w:pBdr>
        <w:between w:val="double" w:sz="6" w:space="0" w:color="auto"/>
      </w:pBdr>
      <w:spacing w:after="0"/>
      <w:ind w:left="1320"/>
    </w:pPr>
    <w:rPr>
      <w:rFonts w:cstheme="minorHAnsi"/>
      <w:sz w:val="20"/>
      <w:szCs w:val="20"/>
    </w:rPr>
  </w:style>
  <w:style w:type="paragraph" w:styleId="TOC9">
    <w:name w:val="toc 9"/>
    <w:basedOn w:val="Normal"/>
    <w:next w:val="Normal"/>
    <w:autoRedefine/>
    <w:uiPriority w:val="39"/>
    <w:unhideWhenUsed/>
    <w:rsid w:val="0053194E"/>
    <w:pPr>
      <w:pBdr>
        <w:between w:val="double" w:sz="6" w:space="0" w:color="auto"/>
      </w:pBdr>
      <w:spacing w:after="0"/>
      <w:ind w:left="1540"/>
    </w:pPr>
    <w:rPr>
      <w:rFonts w:cstheme="minorHAnsi"/>
      <w:sz w:val="20"/>
      <w:szCs w:val="20"/>
    </w:rPr>
  </w:style>
  <w:style w:type="paragraph" w:styleId="FootnoteText">
    <w:name w:val="footnote text"/>
    <w:aliases w:val="Char, Char"/>
    <w:basedOn w:val="Normal"/>
    <w:link w:val="FootnoteTextChar"/>
    <w:unhideWhenUsed/>
    <w:rsid w:val="00821346"/>
    <w:pPr>
      <w:spacing w:after="0" w:line="240" w:lineRule="auto"/>
    </w:pPr>
    <w:rPr>
      <w:sz w:val="24"/>
      <w:szCs w:val="24"/>
    </w:rPr>
  </w:style>
  <w:style w:type="character" w:customStyle="1" w:styleId="FootnoteTextChar">
    <w:name w:val="Footnote Text Char"/>
    <w:aliases w:val="Char Char, Char Char1"/>
    <w:basedOn w:val="DefaultParagraphFont"/>
    <w:link w:val="FootnoteText"/>
    <w:uiPriority w:val="99"/>
    <w:rsid w:val="00821346"/>
    <w:rPr>
      <w:sz w:val="24"/>
      <w:szCs w:val="24"/>
    </w:rPr>
  </w:style>
  <w:style w:type="character" w:styleId="FootnoteReference">
    <w:name w:val="footnote reference"/>
    <w:basedOn w:val="DefaultParagraphFont"/>
    <w:unhideWhenUsed/>
    <w:rsid w:val="00821346"/>
    <w:rPr>
      <w:vertAlign w:val="superscript"/>
    </w:rPr>
  </w:style>
  <w:style w:type="paragraph" w:styleId="Quote">
    <w:name w:val="Quote"/>
    <w:basedOn w:val="Normal"/>
    <w:next w:val="Normal"/>
    <w:link w:val="QuoteChar"/>
    <w:uiPriority w:val="29"/>
    <w:qFormat/>
    <w:rsid w:val="000C0E82"/>
    <w:rPr>
      <w:i/>
      <w:iCs/>
      <w:color w:val="000000" w:themeColor="text1"/>
    </w:rPr>
  </w:style>
  <w:style w:type="character" w:customStyle="1" w:styleId="QuoteChar">
    <w:name w:val="Quote Char"/>
    <w:basedOn w:val="DefaultParagraphFont"/>
    <w:link w:val="Quote"/>
    <w:uiPriority w:val="29"/>
    <w:rsid w:val="000C0E82"/>
    <w:rPr>
      <w:i/>
      <w:iCs/>
      <w:color w:val="000000" w:themeColor="text1"/>
    </w:rPr>
  </w:style>
  <w:style w:type="character" w:styleId="FollowedHyperlink">
    <w:name w:val="FollowedHyperlink"/>
    <w:basedOn w:val="DefaultParagraphFont"/>
    <w:uiPriority w:val="99"/>
    <w:semiHidden/>
    <w:unhideWhenUsed/>
    <w:rsid w:val="00EF07E2"/>
    <w:rPr>
      <w:color w:val="694F07" w:themeColor="followedHyperlink"/>
      <w:u w:val="single"/>
    </w:rPr>
  </w:style>
  <w:style w:type="paragraph" w:styleId="NormalWeb">
    <w:name w:val="Normal (Web)"/>
    <w:basedOn w:val="Normal"/>
    <w:uiPriority w:val="99"/>
    <w:semiHidden/>
    <w:unhideWhenUsed/>
    <w:rsid w:val="0016233F"/>
    <w:pPr>
      <w:spacing w:before="100" w:beforeAutospacing="1" w:after="100" w:afterAutospacing="1" w:line="240" w:lineRule="auto"/>
    </w:pPr>
    <w:rPr>
      <w:rFonts w:ascii="Times" w:hAnsi="Times" w:cs="Times New Roman"/>
      <w:sz w:val="20"/>
      <w:szCs w:val="20"/>
      <w:lang w:eastAsia="en-US"/>
    </w:rPr>
  </w:style>
  <w:style w:type="character" w:customStyle="1" w:styleId="apple-converted-space">
    <w:name w:val="apple-converted-space"/>
    <w:basedOn w:val="DefaultParagraphFont"/>
    <w:rsid w:val="00EF5ECD"/>
  </w:style>
  <w:style w:type="character" w:customStyle="1" w:styleId="personname">
    <w:name w:val="person_name"/>
    <w:basedOn w:val="DefaultParagraphFont"/>
    <w:rsid w:val="001C0FDE"/>
  </w:style>
  <w:style w:type="character" w:styleId="Emphasis">
    <w:name w:val="Emphasis"/>
    <w:basedOn w:val="DefaultParagraphFont"/>
    <w:uiPriority w:val="20"/>
    <w:qFormat/>
    <w:rsid w:val="001C0FDE"/>
    <w:rPr>
      <w:i/>
      <w:iCs/>
    </w:rPr>
  </w:style>
  <w:style w:type="paragraph" w:styleId="TOCHeading">
    <w:name w:val="TOC Heading"/>
    <w:basedOn w:val="Heading1"/>
    <w:next w:val="Normal"/>
    <w:uiPriority w:val="39"/>
    <w:unhideWhenUsed/>
    <w:qFormat/>
    <w:rsid w:val="00DD17CB"/>
    <w:pPr>
      <w:numPr>
        <w:numId w:val="0"/>
      </w:numPr>
      <w:spacing w:before="480" w:after="0"/>
      <w:outlineLvl w:val="9"/>
    </w:pPr>
    <w:rPr>
      <w:lang w:val="en-US" w:eastAsia="ja-JP"/>
    </w:rPr>
  </w:style>
  <w:style w:type="character" w:styleId="Strong">
    <w:name w:val="Strong"/>
    <w:basedOn w:val="DefaultParagraphFont"/>
    <w:uiPriority w:val="22"/>
    <w:qFormat/>
    <w:rsid w:val="00D30920"/>
    <w:rPr>
      <w:b/>
      <w:bCs/>
    </w:rPr>
  </w:style>
  <w:style w:type="character" w:customStyle="1" w:styleId="FootnoteTextChar2">
    <w:name w:val="Footnote Text Char2"/>
    <w:aliases w:val="Char Char2, Char Char"/>
    <w:basedOn w:val="DefaultParagraphFont"/>
    <w:uiPriority w:val="99"/>
    <w:locked/>
    <w:rsid w:val="00B854CE"/>
    <w:rPr>
      <w:rFonts w:ascii="Times New Roman" w:hAnsi="Times New Roman" w:cs="Times New Roman"/>
      <w:sz w:val="20"/>
      <w:szCs w:val="20"/>
    </w:rPr>
  </w:style>
  <w:style w:type="character" w:customStyle="1" w:styleId="apple-style-span">
    <w:name w:val="apple-style-span"/>
    <w:basedOn w:val="DefaultParagraphFont"/>
    <w:uiPriority w:val="99"/>
    <w:rsid w:val="00B854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67">
      <w:bodyDiv w:val="1"/>
      <w:marLeft w:val="0"/>
      <w:marRight w:val="0"/>
      <w:marTop w:val="0"/>
      <w:marBottom w:val="0"/>
      <w:divBdr>
        <w:top w:val="none" w:sz="0" w:space="0" w:color="auto"/>
        <w:left w:val="none" w:sz="0" w:space="0" w:color="auto"/>
        <w:bottom w:val="none" w:sz="0" w:space="0" w:color="auto"/>
        <w:right w:val="none" w:sz="0" w:space="0" w:color="auto"/>
      </w:divBdr>
    </w:div>
    <w:div w:id="61486141">
      <w:bodyDiv w:val="1"/>
      <w:marLeft w:val="0"/>
      <w:marRight w:val="0"/>
      <w:marTop w:val="0"/>
      <w:marBottom w:val="0"/>
      <w:divBdr>
        <w:top w:val="none" w:sz="0" w:space="0" w:color="auto"/>
        <w:left w:val="none" w:sz="0" w:space="0" w:color="auto"/>
        <w:bottom w:val="none" w:sz="0" w:space="0" w:color="auto"/>
        <w:right w:val="none" w:sz="0" w:space="0" w:color="auto"/>
      </w:divBdr>
    </w:div>
    <w:div w:id="118766777">
      <w:bodyDiv w:val="1"/>
      <w:marLeft w:val="0"/>
      <w:marRight w:val="0"/>
      <w:marTop w:val="0"/>
      <w:marBottom w:val="0"/>
      <w:divBdr>
        <w:top w:val="none" w:sz="0" w:space="0" w:color="auto"/>
        <w:left w:val="none" w:sz="0" w:space="0" w:color="auto"/>
        <w:bottom w:val="none" w:sz="0" w:space="0" w:color="auto"/>
        <w:right w:val="none" w:sz="0" w:space="0" w:color="auto"/>
      </w:divBdr>
    </w:div>
    <w:div w:id="144199211">
      <w:bodyDiv w:val="1"/>
      <w:marLeft w:val="0"/>
      <w:marRight w:val="0"/>
      <w:marTop w:val="0"/>
      <w:marBottom w:val="0"/>
      <w:divBdr>
        <w:top w:val="none" w:sz="0" w:space="0" w:color="auto"/>
        <w:left w:val="none" w:sz="0" w:space="0" w:color="auto"/>
        <w:bottom w:val="none" w:sz="0" w:space="0" w:color="auto"/>
        <w:right w:val="none" w:sz="0" w:space="0" w:color="auto"/>
      </w:divBdr>
    </w:div>
    <w:div w:id="165748184">
      <w:bodyDiv w:val="1"/>
      <w:marLeft w:val="0"/>
      <w:marRight w:val="0"/>
      <w:marTop w:val="0"/>
      <w:marBottom w:val="0"/>
      <w:divBdr>
        <w:top w:val="none" w:sz="0" w:space="0" w:color="auto"/>
        <w:left w:val="none" w:sz="0" w:space="0" w:color="auto"/>
        <w:bottom w:val="none" w:sz="0" w:space="0" w:color="auto"/>
        <w:right w:val="none" w:sz="0" w:space="0" w:color="auto"/>
      </w:divBdr>
    </w:div>
    <w:div w:id="187723487">
      <w:bodyDiv w:val="1"/>
      <w:marLeft w:val="0"/>
      <w:marRight w:val="0"/>
      <w:marTop w:val="0"/>
      <w:marBottom w:val="0"/>
      <w:divBdr>
        <w:top w:val="none" w:sz="0" w:space="0" w:color="auto"/>
        <w:left w:val="none" w:sz="0" w:space="0" w:color="auto"/>
        <w:bottom w:val="none" w:sz="0" w:space="0" w:color="auto"/>
        <w:right w:val="none" w:sz="0" w:space="0" w:color="auto"/>
      </w:divBdr>
      <w:divsChild>
        <w:div w:id="1119909052">
          <w:marLeft w:val="0"/>
          <w:marRight w:val="0"/>
          <w:marTop w:val="0"/>
          <w:marBottom w:val="0"/>
          <w:divBdr>
            <w:top w:val="none" w:sz="0" w:space="0" w:color="auto"/>
            <w:left w:val="none" w:sz="0" w:space="0" w:color="auto"/>
            <w:bottom w:val="none" w:sz="0" w:space="0" w:color="auto"/>
            <w:right w:val="none" w:sz="0" w:space="0" w:color="auto"/>
          </w:divBdr>
          <w:divsChild>
            <w:div w:id="1498886433">
              <w:marLeft w:val="0"/>
              <w:marRight w:val="0"/>
              <w:marTop w:val="0"/>
              <w:marBottom w:val="0"/>
              <w:divBdr>
                <w:top w:val="none" w:sz="0" w:space="0" w:color="auto"/>
                <w:left w:val="none" w:sz="0" w:space="0" w:color="auto"/>
                <w:bottom w:val="none" w:sz="0" w:space="0" w:color="auto"/>
                <w:right w:val="none" w:sz="0" w:space="0" w:color="auto"/>
              </w:divBdr>
              <w:divsChild>
                <w:div w:id="1342390722">
                  <w:marLeft w:val="0"/>
                  <w:marRight w:val="0"/>
                  <w:marTop w:val="0"/>
                  <w:marBottom w:val="0"/>
                  <w:divBdr>
                    <w:top w:val="none" w:sz="0" w:space="0" w:color="auto"/>
                    <w:left w:val="none" w:sz="0" w:space="0" w:color="auto"/>
                    <w:bottom w:val="none" w:sz="0" w:space="0" w:color="auto"/>
                    <w:right w:val="none" w:sz="0" w:space="0" w:color="auto"/>
                  </w:divBdr>
                  <w:divsChild>
                    <w:div w:id="8497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35296">
      <w:bodyDiv w:val="1"/>
      <w:marLeft w:val="0"/>
      <w:marRight w:val="0"/>
      <w:marTop w:val="0"/>
      <w:marBottom w:val="0"/>
      <w:divBdr>
        <w:top w:val="none" w:sz="0" w:space="0" w:color="auto"/>
        <w:left w:val="none" w:sz="0" w:space="0" w:color="auto"/>
        <w:bottom w:val="none" w:sz="0" w:space="0" w:color="auto"/>
        <w:right w:val="none" w:sz="0" w:space="0" w:color="auto"/>
      </w:divBdr>
    </w:div>
    <w:div w:id="286472216">
      <w:bodyDiv w:val="1"/>
      <w:marLeft w:val="0"/>
      <w:marRight w:val="0"/>
      <w:marTop w:val="0"/>
      <w:marBottom w:val="0"/>
      <w:divBdr>
        <w:top w:val="none" w:sz="0" w:space="0" w:color="auto"/>
        <w:left w:val="none" w:sz="0" w:space="0" w:color="auto"/>
        <w:bottom w:val="none" w:sz="0" w:space="0" w:color="auto"/>
        <w:right w:val="none" w:sz="0" w:space="0" w:color="auto"/>
      </w:divBdr>
    </w:div>
    <w:div w:id="326792216">
      <w:bodyDiv w:val="1"/>
      <w:marLeft w:val="0"/>
      <w:marRight w:val="0"/>
      <w:marTop w:val="0"/>
      <w:marBottom w:val="0"/>
      <w:divBdr>
        <w:top w:val="none" w:sz="0" w:space="0" w:color="auto"/>
        <w:left w:val="none" w:sz="0" w:space="0" w:color="auto"/>
        <w:bottom w:val="none" w:sz="0" w:space="0" w:color="auto"/>
        <w:right w:val="none" w:sz="0" w:space="0" w:color="auto"/>
      </w:divBdr>
    </w:div>
    <w:div w:id="440879884">
      <w:bodyDiv w:val="1"/>
      <w:marLeft w:val="0"/>
      <w:marRight w:val="0"/>
      <w:marTop w:val="0"/>
      <w:marBottom w:val="0"/>
      <w:divBdr>
        <w:top w:val="none" w:sz="0" w:space="0" w:color="auto"/>
        <w:left w:val="none" w:sz="0" w:space="0" w:color="auto"/>
        <w:bottom w:val="none" w:sz="0" w:space="0" w:color="auto"/>
        <w:right w:val="none" w:sz="0" w:space="0" w:color="auto"/>
      </w:divBdr>
    </w:div>
    <w:div w:id="550534507">
      <w:bodyDiv w:val="1"/>
      <w:marLeft w:val="0"/>
      <w:marRight w:val="0"/>
      <w:marTop w:val="0"/>
      <w:marBottom w:val="0"/>
      <w:divBdr>
        <w:top w:val="none" w:sz="0" w:space="0" w:color="auto"/>
        <w:left w:val="none" w:sz="0" w:space="0" w:color="auto"/>
        <w:bottom w:val="none" w:sz="0" w:space="0" w:color="auto"/>
        <w:right w:val="none" w:sz="0" w:space="0" w:color="auto"/>
      </w:divBdr>
    </w:div>
    <w:div w:id="554389985">
      <w:bodyDiv w:val="1"/>
      <w:marLeft w:val="0"/>
      <w:marRight w:val="0"/>
      <w:marTop w:val="0"/>
      <w:marBottom w:val="0"/>
      <w:divBdr>
        <w:top w:val="none" w:sz="0" w:space="0" w:color="auto"/>
        <w:left w:val="none" w:sz="0" w:space="0" w:color="auto"/>
        <w:bottom w:val="none" w:sz="0" w:space="0" w:color="auto"/>
        <w:right w:val="none" w:sz="0" w:space="0" w:color="auto"/>
      </w:divBdr>
    </w:div>
    <w:div w:id="753278468">
      <w:bodyDiv w:val="1"/>
      <w:marLeft w:val="0"/>
      <w:marRight w:val="0"/>
      <w:marTop w:val="0"/>
      <w:marBottom w:val="0"/>
      <w:divBdr>
        <w:top w:val="none" w:sz="0" w:space="0" w:color="auto"/>
        <w:left w:val="none" w:sz="0" w:space="0" w:color="auto"/>
        <w:bottom w:val="none" w:sz="0" w:space="0" w:color="auto"/>
        <w:right w:val="none" w:sz="0" w:space="0" w:color="auto"/>
      </w:divBdr>
    </w:div>
    <w:div w:id="1129054470">
      <w:bodyDiv w:val="1"/>
      <w:marLeft w:val="0"/>
      <w:marRight w:val="0"/>
      <w:marTop w:val="0"/>
      <w:marBottom w:val="0"/>
      <w:divBdr>
        <w:top w:val="none" w:sz="0" w:space="0" w:color="auto"/>
        <w:left w:val="none" w:sz="0" w:space="0" w:color="auto"/>
        <w:bottom w:val="none" w:sz="0" w:space="0" w:color="auto"/>
        <w:right w:val="none" w:sz="0" w:space="0" w:color="auto"/>
      </w:divBdr>
    </w:div>
    <w:div w:id="1195459599">
      <w:bodyDiv w:val="1"/>
      <w:marLeft w:val="0"/>
      <w:marRight w:val="0"/>
      <w:marTop w:val="0"/>
      <w:marBottom w:val="0"/>
      <w:divBdr>
        <w:top w:val="none" w:sz="0" w:space="0" w:color="auto"/>
        <w:left w:val="none" w:sz="0" w:space="0" w:color="auto"/>
        <w:bottom w:val="none" w:sz="0" w:space="0" w:color="auto"/>
        <w:right w:val="none" w:sz="0" w:space="0" w:color="auto"/>
      </w:divBdr>
    </w:div>
    <w:div w:id="1287810953">
      <w:bodyDiv w:val="1"/>
      <w:marLeft w:val="0"/>
      <w:marRight w:val="0"/>
      <w:marTop w:val="0"/>
      <w:marBottom w:val="0"/>
      <w:divBdr>
        <w:top w:val="none" w:sz="0" w:space="0" w:color="auto"/>
        <w:left w:val="none" w:sz="0" w:space="0" w:color="auto"/>
        <w:bottom w:val="none" w:sz="0" w:space="0" w:color="auto"/>
        <w:right w:val="none" w:sz="0" w:space="0" w:color="auto"/>
      </w:divBdr>
      <w:divsChild>
        <w:div w:id="46684408">
          <w:marLeft w:val="0"/>
          <w:marRight w:val="0"/>
          <w:marTop w:val="0"/>
          <w:marBottom w:val="0"/>
          <w:divBdr>
            <w:top w:val="none" w:sz="0" w:space="0" w:color="auto"/>
            <w:left w:val="none" w:sz="0" w:space="0" w:color="auto"/>
            <w:bottom w:val="none" w:sz="0" w:space="0" w:color="auto"/>
            <w:right w:val="none" w:sz="0" w:space="0" w:color="auto"/>
          </w:divBdr>
          <w:divsChild>
            <w:div w:id="1305354506">
              <w:marLeft w:val="0"/>
              <w:marRight w:val="0"/>
              <w:marTop w:val="0"/>
              <w:marBottom w:val="0"/>
              <w:divBdr>
                <w:top w:val="none" w:sz="0" w:space="0" w:color="auto"/>
                <w:left w:val="none" w:sz="0" w:space="0" w:color="auto"/>
                <w:bottom w:val="none" w:sz="0" w:space="0" w:color="auto"/>
                <w:right w:val="none" w:sz="0" w:space="0" w:color="auto"/>
              </w:divBdr>
              <w:divsChild>
                <w:div w:id="804465839">
                  <w:marLeft w:val="0"/>
                  <w:marRight w:val="0"/>
                  <w:marTop w:val="0"/>
                  <w:marBottom w:val="0"/>
                  <w:divBdr>
                    <w:top w:val="none" w:sz="0" w:space="0" w:color="auto"/>
                    <w:left w:val="none" w:sz="0" w:space="0" w:color="auto"/>
                    <w:bottom w:val="none" w:sz="0" w:space="0" w:color="auto"/>
                    <w:right w:val="none" w:sz="0" w:space="0" w:color="auto"/>
                  </w:divBdr>
                  <w:divsChild>
                    <w:div w:id="9838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228">
      <w:bodyDiv w:val="1"/>
      <w:marLeft w:val="0"/>
      <w:marRight w:val="0"/>
      <w:marTop w:val="0"/>
      <w:marBottom w:val="0"/>
      <w:divBdr>
        <w:top w:val="none" w:sz="0" w:space="0" w:color="auto"/>
        <w:left w:val="none" w:sz="0" w:space="0" w:color="auto"/>
        <w:bottom w:val="none" w:sz="0" w:space="0" w:color="auto"/>
        <w:right w:val="none" w:sz="0" w:space="0" w:color="auto"/>
      </w:divBdr>
    </w:div>
    <w:div w:id="1601598523">
      <w:bodyDiv w:val="1"/>
      <w:marLeft w:val="0"/>
      <w:marRight w:val="0"/>
      <w:marTop w:val="0"/>
      <w:marBottom w:val="0"/>
      <w:divBdr>
        <w:top w:val="none" w:sz="0" w:space="0" w:color="auto"/>
        <w:left w:val="none" w:sz="0" w:space="0" w:color="auto"/>
        <w:bottom w:val="none" w:sz="0" w:space="0" w:color="auto"/>
        <w:right w:val="none" w:sz="0" w:space="0" w:color="auto"/>
      </w:divBdr>
    </w:div>
    <w:div w:id="1673098725">
      <w:bodyDiv w:val="1"/>
      <w:marLeft w:val="0"/>
      <w:marRight w:val="0"/>
      <w:marTop w:val="0"/>
      <w:marBottom w:val="0"/>
      <w:divBdr>
        <w:top w:val="none" w:sz="0" w:space="0" w:color="auto"/>
        <w:left w:val="none" w:sz="0" w:space="0" w:color="auto"/>
        <w:bottom w:val="none" w:sz="0" w:space="0" w:color="auto"/>
        <w:right w:val="none" w:sz="0" w:space="0" w:color="auto"/>
      </w:divBdr>
    </w:div>
    <w:div w:id="1731154640">
      <w:bodyDiv w:val="1"/>
      <w:marLeft w:val="0"/>
      <w:marRight w:val="0"/>
      <w:marTop w:val="0"/>
      <w:marBottom w:val="0"/>
      <w:divBdr>
        <w:top w:val="none" w:sz="0" w:space="0" w:color="auto"/>
        <w:left w:val="none" w:sz="0" w:space="0" w:color="auto"/>
        <w:bottom w:val="none" w:sz="0" w:space="0" w:color="auto"/>
        <w:right w:val="none" w:sz="0" w:space="0" w:color="auto"/>
      </w:divBdr>
      <w:divsChild>
        <w:div w:id="1642610798">
          <w:marLeft w:val="0"/>
          <w:marRight w:val="0"/>
          <w:marTop w:val="0"/>
          <w:marBottom w:val="0"/>
          <w:divBdr>
            <w:top w:val="none" w:sz="0" w:space="0" w:color="auto"/>
            <w:left w:val="none" w:sz="0" w:space="0" w:color="auto"/>
            <w:bottom w:val="none" w:sz="0" w:space="0" w:color="auto"/>
            <w:right w:val="none" w:sz="0" w:space="0" w:color="auto"/>
          </w:divBdr>
          <w:divsChild>
            <w:div w:id="1092583055">
              <w:marLeft w:val="0"/>
              <w:marRight w:val="0"/>
              <w:marTop w:val="0"/>
              <w:marBottom w:val="0"/>
              <w:divBdr>
                <w:top w:val="none" w:sz="0" w:space="0" w:color="auto"/>
                <w:left w:val="none" w:sz="0" w:space="0" w:color="auto"/>
                <w:bottom w:val="none" w:sz="0" w:space="0" w:color="auto"/>
                <w:right w:val="none" w:sz="0" w:space="0" w:color="auto"/>
              </w:divBdr>
              <w:divsChild>
                <w:div w:id="1932083540">
                  <w:marLeft w:val="0"/>
                  <w:marRight w:val="0"/>
                  <w:marTop w:val="0"/>
                  <w:marBottom w:val="0"/>
                  <w:divBdr>
                    <w:top w:val="none" w:sz="0" w:space="0" w:color="auto"/>
                    <w:left w:val="none" w:sz="0" w:space="0" w:color="auto"/>
                    <w:bottom w:val="none" w:sz="0" w:space="0" w:color="auto"/>
                    <w:right w:val="none" w:sz="0" w:space="0" w:color="auto"/>
                  </w:divBdr>
                  <w:divsChild>
                    <w:div w:id="1555698565">
                      <w:marLeft w:val="0"/>
                      <w:marRight w:val="0"/>
                      <w:marTop w:val="0"/>
                      <w:marBottom w:val="0"/>
                      <w:divBdr>
                        <w:top w:val="none" w:sz="0" w:space="0" w:color="auto"/>
                        <w:left w:val="none" w:sz="0" w:space="0" w:color="auto"/>
                        <w:bottom w:val="none" w:sz="0" w:space="0" w:color="auto"/>
                        <w:right w:val="none" w:sz="0" w:space="0" w:color="auto"/>
                      </w:divBdr>
                      <w:divsChild>
                        <w:div w:id="359357549">
                          <w:marLeft w:val="0"/>
                          <w:marRight w:val="0"/>
                          <w:marTop w:val="0"/>
                          <w:marBottom w:val="0"/>
                          <w:divBdr>
                            <w:top w:val="none" w:sz="0" w:space="0" w:color="auto"/>
                            <w:left w:val="none" w:sz="0" w:space="0" w:color="auto"/>
                            <w:bottom w:val="none" w:sz="0" w:space="0" w:color="auto"/>
                            <w:right w:val="none" w:sz="0" w:space="0" w:color="auto"/>
                          </w:divBdr>
                          <w:divsChild>
                            <w:div w:id="173122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895254">
      <w:bodyDiv w:val="1"/>
      <w:marLeft w:val="0"/>
      <w:marRight w:val="0"/>
      <w:marTop w:val="0"/>
      <w:marBottom w:val="0"/>
      <w:divBdr>
        <w:top w:val="none" w:sz="0" w:space="0" w:color="auto"/>
        <w:left w:val="none" w:sz="0" w:space="0" w:color="auto"/>
        <w:bottom w:val="none" w:sz="0" w:space="0" w:color="auto"/>
        <w:right w:val="none" w:sz="0" w:space="0" w:color="auto"/>
      </w:divBdr>
    </w:div>
    <w:div w:id="1888450993">
      <w:bodyDiv w:val="1"/>
      <w:marLeft w:val="0"/>
      <w:marRight w:val="0"/>
      <w:marTop w:val="0"/>
      <w:marBottom w:val="0"/>
      <w:divBdr>
        <w:top w:val="none" w:sz="0" w:space="0" w:color="auto"/>
        <w:left w:val="none" w:sz="0" w:space="0" w:color="auto"/>
        <w:bottom w:val="none" w:sz="0" w:space="0" w:color="auto"/>
        <w:right w:val="none" w:sz="0" w:space="0" w:color="auto"/>
      </w:divBdr>
    </w:div>
    <w:div w:id="1958440178">
      <w:bodyDiv w:val="1"/>
      <w:marLeft w:val="0"/>
      <w:marRight w:val="0"/>
      <w:marTop w:val="0"/>
      <w:marBottom w:val="0"/>
      <w:divBdr>
        <w:top w:val="none" w:sz="0" w:space="0" w:color="auto"/>
        <w:left w:val="none" w:sz="0" w:space="0" w:color="auto"/>
        <w:bottom w:val="none" w:sz="0" w:space="0" w:color="auto"/>
        <w:right w:val="none" w:sz="0" w:space="0" w:color="auto"/>
      </w:divBdr>
    </w:div>
    <w:div w:id="2049139140">
      <w:bodyDiv w:val="1"/>
      <w:marLeft w:val="0"/>
      <w:marRight w:val="0"/>
      <w:marTop w:val="0"/>
      <w:marBottom w:val="0"/>
      <w:divBdr>
        <w:top w:val="none" w:sz="0" w:space="0" w:color="auto"/>
        <w:left w:val="none" w:sz="0" w:space="0" w:color="auto"/>
        <w:bottom w:val="none" w:sz="0" w:space="0" w:color="auto"/>
        <w:right w:val="none" w:sz="0" w:space="0" w:color="auto"/>
      </w:divBdr>
      <w:divsChild>
        <w:div w:id="1078329454">
          <w:marLeft w:val="0"/>
          <w:marRight w:val="0"/>
          <w:marTop w:val="0"/>
          <w:marBottom w:val="0"/>
          <w:divBdr>
            <w:top w:val="none" w:sz="0" w:space="0" w:color="auto"/>
            <w:left w:val="none" w:sz="0" w:space="0" w:color="auto"/>
            <w:bottom w:val="none" w:sz="0" w:space="0" w:color="auto"/>
            <w:right w:val="none" w:sz="0" w:space="0" w:color="auto"/>
          </w:divBdr>
          <w:divsChild>
            <w:div w:id="958344300">
              <w:marLeft w:val="0"/>
              <w:marRight w:val="0"/>
              <w:marTop w:val="0"/>
              <w:marBottom w:val="0"/>
              <w:divBdr>
                <w:top w:val="none" w:sz="0" w:space="0" w:color="auto"/>
                <w:left w:val="none" w:sz="0" w:space="0" w:color="auto"/>
                <w:bottom w:val="none" w:sz="0" w:space="0" w:color="auto"/>
                <w:right w:val="none" w:sz="0" w:space="0" w:color="auto"/>
              </w:divBdr>
              <w:divsChild>
                <w:div w:id="1345744208">
                  <w:marLeft w:val="0"/>
                  <w:marRight w:val="0"/>
                  <w:marTop w:val="0"/>
                  <w:marBottom w:val="0"/>
                  <w:divBdr>
                    <w:top w:val="none" w:sz="0" w:space="0" w:color="auto"/>
                    <w:left w:val="none" w:sz="0" w:space="0" w:color="auto"/>
                    <w:bottom w:val="none" w:sz="0" w:space="0" w:color="auto"/>
                    <w:right w:val="none" w:sz="0" w:space="0" w:color="auto"/>
                  </w:divBdr>
                  <w:divsChild>
                    <w:div w:id="15994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io.no/studier/emner/matnat/math/MEK4450/h11/undervisningsmateriale/modul-1/2%20-%20Field%20developmen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gu.org/html/wgc2006/pdf/paper/add2136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d.no/Global/Engelsk/5-Rules-and-regulations/Guidelines/PDO-PIO-guidelines_2010.pdf" TargetMode="External"/><Relationship Id="rId5" Type="http://schemas.openxmlformats.org/officeDocument/2006/relationships/settings" Target="settings.xml"/><Relationship Id="rId15" Type="http://schemas.openxmlformats.org/officeDocument/2006/relationships/hyperlink" Target="http://www.navitas.no/site/img/366/Hydro_OrmenLange_Ulsteinvik_081105.pdf" TargetMode="External"/><Relationship Id="rId10" Type="http://schemas.openxmlformats.org/officeDocument/2006/relationships/hyperlink" Target="http://www.npd.no/en/Regulations/Regulations/Petroleum-activities/" TargetMode="External"/><Relationship Id="rId4" Type="http://schemas.microsoft.com/office/2007/relationships/stylesWithEffects" Target="stylesWithEffects.xml"/><Relationship Id="rId9" Type="http://schemas.openxmlformats.org/officeDocument/2006/relationships/hyperlink" Target="http://www.npd.no/en/Regulations/Acts/Petroleum-activities-act/" TargetMode="External"/><Relationship Id="rId14" Type="http://schemas.openxmlformats.org/officeDocument/2006/relationships/hyperlink" Target="http://e-book.lib.sjtu.edu.cn/otc-2007/pdfs/otc1897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pd.no/Global/Engelsk/5-Rules-and-regulations/Guidelines/PDO-PIO-guidelines_2010.pdf" TargetMode="External"/><Relationship Id="rId2" Type="http://schemas.openxmlformats.org/officeDocument/2006/relationships/hyperlink" Target="http://www.regjeringen.no/en/dep/oed/whats-new/news/2013/norwegian-petroleum-directorate-asked-to.html?id=717107" TargetMode="External"/><Relationship Id="rId1" Type="http://schemas.openxmlformats.org/officeDocument/2006/relationships/hyperlink" Target="http://www.pc.gov.au/projects/study/upstreampetroleum/report" TargetMode="External"/><Relationship Id="rId6" Type="http://schemas.openxmlformats.org/officeDocument/2006/relationships/hyperlink" Target="http://www.herbertsmithfreehills.com/news/news20121107-hsf-advises-buru-and-mitsubishi-on-canning-basin-stage-gas-agreement" TargetMode="External"/><Relationship Id="rId5" Type="http://schemas.openxmlformats.org/officeDocument/2006/relationships/hyperlink" Target="http://www.dsd.wa.gov.au/6641.aspx" TargetMode="External"/><Relationship Id="rId4" Type="http://schemas.openxmlformats.org/officeDocument/2006/relationships/hyperlink" Target="http://www.doir.wa.gov.au/documents/investment/State_Agreements_text_v2.pdf" TargetMode="External"/></Relationships>
</file>

<file path=word/theme/theme1.xml><?xml version="1.0" encoding="utf-8"?>
<a:theme xmlns:a="http://schemas.openxmlformats.org/drawingml/2006/main" name="Office Theme">
  <a:themeElements>
    <a:clrScheme name="CSRM 1">
      <a:dk1>
        <a:sysClr val="windowText" lastClr="000000"/>
      </a:dk1>
      <a:lt1>
        <a:sysClr val="window" lastClr="FFFFFF"/>
      </a:lt1>
      <a:dk2>
        <a:srgbClr val="646B86"/>
      </a:dk2>
      <a:lt2>
        <a:srgbClr val="C5D1D7"/>
      </a:lt2>
      <a:accent1>
        <a:srgbClr val="F15A34"/>
      </a:accent1>
      <a:accent2>
        <a:srgbClr val="B45031"/>
      </a:accent2>
      <a:accent3>
        <a:srgbClr val="4E646F"/>
      </a:accent3>
      <a:accent4>
        <a:srgbClr val="0094B5"/>
      </a:accent4>
      <a:accent5>
        <a:srgbClr val="98820D"/>
      </a:accent5>
      <a:accent6>
        <a:srgbClr val="EBE8C8"/>
      </a:accent6>
      <a:hlink>
        <a:srgbClr val="00A3D6"/>
      </a:hlink>
      <a:folHlink>
        <a:srgbClr val="694F07"/>
      </a:folHlink>
    </a:clrScheme>
    <a:fontScheme name="Museo">
      <a:majorFont>
        <a:latin typeface="Museo 700"/>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1DA9-3CDD-45C0-9604-CCA904AE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3689</Words>
  <Characters>22245</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25883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58 - Dr Tina Hunter, TC Beirne School of Law, University of Queensland - Major Project Development Assessment Processes commissioned study</dc:title>
  <dc:creator>Dr Tina Hunter</dc:creator>
  <cp:lastModifiedBy>Productivity Commission</cp:lastModifiedBy>
  <cp:revision>3</cp:revision>
  <cp:lastPrinted>2013-03-12T01:53:00Z</cp:lastPrinted>
  <dcterms:created xsi:type="dcterms:W3CDTF">2013-06-17T03:23:00Z</dcterms:created>
  <dcterms:modified xsi:type="dcterms:W3CDTF">2013-06-17T03:25:00Z</dcterms:modified>
</cp:coreProperties>
</file>