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C8D" w:rsidRDefault="008C5F04" w:rsidP="00900C8D">
      <w:pPr>
        <w:pStyle w:val="BodyText"/>
        <w:rPr>
          <w:rFonts w:ascii="Arial" w:hAnsi="Arial"/>
          <w:sz w:val="32"/>
        </w:rPr>
      </w:pPr>
      <w:bookmarkStart w:id="0" w:name="_GoBack"/>
      <w:bookmarkEnd w:id="0"/>
      <w:r>
        <w:rPr>
          <w:rFonts w:ascii="Arial" w:hAnsi="Arial"/>
          <w:noProof/>
          <w:sz w:val="32"/>
        </w:rPr>
        <w:drawing>
          <wp:anchor distT="0" distB="0" distL="114300" distR="114300" simplePos="0" relativeHeight="251658240" behindDoc="0" locked="0" layoutInCell="1" allowOverlap="1">
            <wp:simplePos x="0" y="0"/>
            <wp:positionH relativeFrom="page">
              <wp:posOffset>-416503</wp:posOffset>
            </wp:positionH>
            <wp:positionV relativeFrom="paragraph">
              <wp:posOffset>-1129747</wp:posOffset>
            </wp:positionV>
            <wp:extent cx="7982916" cy="11291798"/>
            <wp:effectExtent l="0" t="0" r="0" b="5080"/>
            <wp:wrapNone/>
            <wp:docPr id="8" name="Picture 8" descr="The Social and Economic Benefits of Improving Mental Health&#10;&#10;Productivity Commission&#10;Issues Paper&#10;&#10;The Commission has released this &#10;issues paper to assist individuals and organisations to prepare submissions. &#10;It contains and outlines:&#10;the scope of the inquiry&#10;the Commission’s procedures&#10;matters about which the Commission&#10;is seeking comment and information&#10;how to make a submission." title="The Social and Economic Benefits of Improving Ment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ssues-paper-cover-Mental Health.png"/>
                    <pic:cNvPicPr/>
                  </pic:nvPicPr>
                  <pic:blipFill>
                    <a:blip r:embed="rId7">
                      <a:extLst>
                        <a:ext uri="{28A0092B-C50C-407E-A947-70E740481C1C}">
                          <a14:useLocalDpi xmlns:a14="http://schemas.microsoft.com/office/drawing/2010/main" val="0"/>
                        </a:ext>
                      </a:extLst>
                    </a:blip>
                    <a:stretch>
                      <a:fillRect/>
                    </a:stretch>
                  </pic:blipFill>
                  <pic:spPr>
                    <a:xfrm>
                      <a:off x="0" y="0"/>
                      <a:ext cx="7988771" cy="11300080"/>
                    </a:xfrm>
                    <a:prstGeom prst="rect">
                      <a:avLst/>
                    </a:prstGeom>
                  </pic:spPr>
                </pic:pic>
              </a:graphicData>
            </a:graphic>
            <wp14:sizeRelH relativeFrom="page">
              <wp14:pctWidth>0</wp14:pctWidth>
            </wp14:sizeRelH>
            <wp14:sizeRelV relativeFrom="page">
              <wp14:pctHeight>0</wp14:pctHeight>
            </wp14:sizeRelV>
          </wp:anchor>
        </w:drawing>
      </w:r>
    </w:p>
    <w:p w:rsidR="00D96622" w:rsidRDefault="00D96622" w:rsidP="00D96622">
      <w:pPr>
        <w:pStyle w:val="Heading1"/>
        <w:spacing w:before="0"/>
      </w:pPr>
      <w:r>
        <w:br w:type="page"/>
      </w:r>
    </w:p>
    <w:p w:rsidR="00D96622" w:rsidRDefault="00D96622" w:rsidP="00D9662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D96622" w:rsidTr="00634E20">
        <w:trPr>
          <w:tblHeader/>
        </w:trPr>
        <w:tc>
          <w:tcPr>
            <w:tcW w:w="8771" w:type="dxa"/>
            <w:tcBorders>
              <w:top w:val="single" w:sz="6" w:space="0" w:color="78A22F"/>
              <w:left w:val="nil"/>
              <w:bottom w:val="nil"/>
              <w:right w:val="nil"/>
            </w:tcBorders>
            <w:shd w:val="clear" w:color="auto" w:fill="F2F2F2" w:themeFill="background1" w:themeFillShade="F2"/>
          </w:tcPr>
          <w:p w:rsidR="00D96622" w:rsidRPr="008A3857" w:rsidRDefault="00D96622" w:rsidP="00634E20">
            <w:pPr>
              <w:pStyle w:val="BoxTitle"/>
              <w:rPr>
                <w:sz w:val="22"/>
                <w:szCs w:val="22"/>
              </w:rPr>
            </w:pPr>
            <w:r w:rsidRPr="008A3857">
              <w:rPr>
                <w:sz w:val="22"/>
                <w:szCs w:val="22"/>
              </w:rPr>
              <w:t xml:space="preserve">The </w:t>
            </w:r>
            <w:r>
              <w:rPr>
                <w:sz w:val="22"/>
                <w:szCs w:val="22"/>
              </w:rPr>
              <w:t>Issues Paper</w:t>
            </w:r>
          </w:p>
        </w:tc>
      </w:tr>
      <w:tr w:rsidR="00D96622" w:rsidTr="00634E20">
        <w:tc>
          <w:tcPr>
            <w:tcW w:w="8771" w:type="dxa"/>
            <w:tcBorders>
              <w:top w:val="nil"/>
              <w:left w:val="nil"/>
              <w:bottom w:val="nil"/>
              <w:right w:val="nil"/>
            </w:tcBorders>
            <w:shd w:val="clear" w:color="auto" w:fill="F2F2F2" w:themeFill="background1" w:themeFillShade="F2"/>
          </w:tcPr>
          <w:p w:rsidR="00D96622" w:rsidRDefault="00D96622" w:rsidP="00634E20">
            <w:pPr>
              <w:pStyle w:val="Box"/>
            </w:pPr>
            <w:r>
              <w:t xml:space="preserve">The Commission has released this issues paper to assist individuals and organisations to </w:t>
            </w:r>
            <w:r w:rsidR="006170A3">
              <w:t>participate in</w:t>
            </w:r>
            <w:r>
              <w:t xml:space="preserve"> the </w:t>
            </w:r>
            <w:r w:rsidR="00BC2659">
              <w:t>inquiry</w:t>
            </w:r>
            <w:r>
              <w:t>. It contains and outlines:</w:t>
            </w:r>
          </w:p>
          <w:p w:rsidR="00D96622" w:rsidRDefault="00D96622" w:rsidP="0030270A">
            <w:pPr>
              <w:pStyle w:val="BoxListBullet"/>
              <w:spacing w:before="80" w:line="240" w:lineRule="atLeast"/>
            </w:pPr>
            <w:r>
              <w:t xml:space="preserve">the scope of the </w:t>
            </w:r>
            <w:r w:rsidR="00BC2659">
              <w:t>inquiry</w:t>
            </w:r>
          </w:p>
          <w:p w:rsidR="00D96622" w:rsidRDefault="00D96622" w:rsidP="0030270A">
            <w:pPr>
              <w:pStyle w:val="BoxListBullet"/>
              <w:spacing w:before="80" w:line="240" w:lineRule="atLeast"/>
            </w:pPr>
            <w:r>
              <w:t xml:space="preserve">matters about which </w:t>
            </w:r>
            <w:r w:rsidR="001A40AE">
              <w:t>we are</w:t>
            </w:r>
            <w:r>
              <w:t xml:space="preserve"> seeking comment and information</w:t>
            </w:r>
          </w:p>
          <w:p w:rsidR="00D96622" w:rsidRDefault="00D96622" w:rsidP="0030270A">
            <w:pPr>
              <w:pStyle w:val="BoxListBullet"/>
              <w:spacing w:before="80" w:line="240" w:lineRule="atLeast"/>
            </w:pPr>
            <w:r>
              <w:t xml:space="preserve">how to </w:t>
            </w:r>
            <w:r w:rsidR="006170A3">
              <w:t xml:space="preserve">share your views on </w:t>
            </w:r>
            <w:r w:rsidR="001A40AE">
              <w:t xml:space="preserve">the terms of reference and </w:t>
            </w:r>
            <w:r w:rsidR="006170A3">
              <w:t xml:space="preserve">the </w:t>
            </w:r>
            <w:r w:rsidR="001A40AE">
              <w:t>matters</w:t>
            </w:r>
            <w:r w:rsidR="006170A3">
              <w:t xml:space="preserve"> raised</w:t>
            </w:r>
            <w:r>
              <w:t>.</w:t>
            </w:r>
          </w:p>
          <w:p w:rsidR="00D96622" w:rsidRDefault="00D96622" w:rsidP="00634E20">
            <w:pPr>
              <w:pStyle w:val="Box"/>
            </w:pPr>
            <w:r>
              <w:t xml:space="preserve">Participants should not feel that they are restricted to comment only on matters raised in the issues paper. </w:t>
            </w:r>
            <w:r w:rsidR="001A40AE">
              <w:t>We want</w:t>
            </w:r>
            <w:r>
              <w:t xml:space="preserve"> to receive information and comment on </w:t>
            </w:r>
            <w:r w:rsidR="001A40AE">
              <w:t xml:space="preserve">any </w:t>
            </w:r>
            <w:r>
              <w:t xml:space="preserve">issues </w:t>
            </w:r>
            <w:r w:rsidR="001A40AE">
              <w:t>that</w:t>
            </w:r>
            <w:r>
              <w:t xml:space="preserve"> partici</w:t>
            </w:r>
            <w:r w:rsidR="006170A3">
              <w:t xml:space="preserve">pants consider relevant to the </w:t>
            </w:r>
            <w:r>
              <w:t>inquiry’s terms of reference.</w:t>
            </w:r>
          </w:p>
          <w:p w:rsidR="00D96622" w:rsidRDefault="00D96622" w:rsidP="0030270A">
            <w:pPr>
              <w:pStyle w:val="BoxHeading1"/>
              <w:spacing w:before="120"/>
            </w:pPr>
            <w:r>
              <w:t xml:space="preserve">Key </w:t>
            </w:r>
            <w:r w:rsidR="00BC2659">
              <w:t>inquiry</w:t>
            </w:r>
            <w:r>
              <w:t xml:space="preserve">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4656"/>
              <w:gridCol w:w="3816"/>
            </w:tblGrid>
            <w:tr w:rsidR="00D96622" w:rsidTr="001A40AE">
              <w:trPr>
                <w:tblHeader/>
              </w:trPr>
              <w:tc>
                <w:tcPr>
                  <w:tcW w:w="4656" w:type="dxa"/>
                  <w:tcMar>
                    <w:left w:w="0" w:type="dxa"/>
                  </w:tcMar>
                </w:tcPr>
                <w:p w:rsidR="00D96622" w:rsidRDefault="00D96622" w:rsidP="00634E20">
                  <w:pPr>
                    <w:pStyle w:val="Box"/>
                  </w:pPr>
                  <w:r>
                    <w:t>Receipt of terms of reference</w:t>
                  </w:r>
                </w:p>
              </w:tc>
              <w:tc>
                <w:tcPr>
                  <w:tcW w:w="3816" w:type="dxa"/>
                </w:tcPr>
                <w:p w:rsidR="00D96622" w:rsidRPr="00F618DC" w:rsidRDefault="00546EA4" w:rsidP="009231D6">
                  <w:pPr>
                    <w:pStyle w:val="Box"/>
                  </w:pPr>
                  <w:r>
                    <w:t xml:space="preserve">23 </w:t>
                  </w:r>
                  <w:r w:rsidR="007C0913">
                    <w:t>November</w:t>
                  </w:r>
                  <w:r w:rsidR="00F618DC">
                    <w:t xml:space="preserve"> 2018</w:t>
                  </w:r>
                </w:p>
              </w:tc>
            </w:tr>
            <w:tr w:rsidR="000337D0" w:rsidTr="001A40AE">
              <w:tc>
                <w:tcPr>
                  <w:tcW w:w="4656" w:type="dxa"/>
                  <w:tcMar>
                    <w:left w:w="0" w:type="dxa"/>
                  </w:tcMar>
                </w:tcPr>
                <w:p w:rsidR="000337D0" w:rsidRDefault="000337D0" w:rsidP="00634E20">
                  <w:pPr>
                    <w:pStyle w:val="Box"/>
                    <w:spacing w:before="60"/>
                  </w:pPr>
                  <w:r>
                    <w:t>Initial consultations</w:t>
                  </w:r>
                </w:p>
              </w:tc>
              <w:tc>
                <w:tcPr>
                  <w:tcW w:w="3816" w:type="dxa"/>
                </w:tcPr>
                <w:p w:rsidR="000337D0" w:rsidRPr="00F618DC" w:rsidRDefault="007C0913" w:rsidP="007C0913">
                  <w:pPr>
                    <w:pStyle w:val="Box"/>
                    <w:spacing w:before="60"/>
                  </w:pPr>
                  <w:r>
                    <w:t>November</w:t>
                  </w:r>
                  <w:r w:rsidR="00F618DC">
                    <w:t xml:space="preserve"> 2018 to April 2019</w:t>
                  </w:r>
                </w:p>
              </w:tc>
            </w:tr>
            <w:tr w:rsidR="00D96622" w:rsidTr="001A40AE">
              <w:tc>
                <w:tcPr>
                  <w:tcW w:w="4656" w:type="dxa"/>
                  <w:tcMar>
                    <w:left w:w="0" w:type="dxa"/>
                  </w:tcMar>
                </w:tcPr>
                <w:p w:rsidR="00D96622" w:rsidRDefault="0030270A" w:rsidP="00225665">
                  <w:pPr>
                    <w:pStyle w:val="Box"/>
                    <w:spacing w:before="60"/>
                    <w:ind w:left="120" w:hanging="120"/>
                  </w:pPr>
                  <w:r>
                    <w:t>Initial</w:t>
                  </w:r>
                  <w:r w:rsidR="000337D0">
                    <w:t xml:space="preserve"> </w:t>
                  </w:r>
                  <w:r w:rsidR="00D96622">
                    <w:t>submissions</w:t>
                  </w:r>
                  <w:r w:rsidR="006170A3">
                    <w:t xml:space="preserve"> </w:t>
                  </w:r>
                  <w:r>
                    <w:t>due</w:t>
                  </w:r>
                </w:p>
              </w:tc>
              <w:tc>
                <w:tcPr>
                  <w:tcW w:w="3816" w:type="dxa"/>
                </w:tcPr>
                <w:p w:rsidR="00D96622" w:rsidRPr="00F618DC" w:rsidRDefault="008514E6" w:rsidP="008514E6">
                  <w:pPr>
                    <w:pStyle w:val="Box"/>
                    <w:spacing w:before="60"/>
                  </w:pPr>
                  <w:r>
                    <w:t>5 April</w:t>
                  </w:r>
                  <w:r w:rsidR="00F618DC">
                    <w:t xml:space="preserve"> 2019</w:t>
                  </w:r>
                </w:p>
              </w:tc>
            </w:tr>
            <w:tr w:rsidR="00D96622" w:rsidTr="001A40AE">
              <w:tc>
                <w:tcPr>
                  <w:tcW w:w="4656" w:type="dxa"/>
                  <w:tcMar>
                    <w:left w:w="0" w:type="dxa"/>
                  </w:tcMar>
                </w:tcPr>
                <w:p w:rsidR="00D96622" w:rsidRDefault="00D96622" w:rsidP="00634E20">
                  <w:pPr>
                    <w:pStyle w:val="Box"/>
                    <w:spacing w:before="60"/>
                  </w:pPr>
                  <w:r>
                    <w:t>Release of draft report</w:t>
                  </w:r>
                </w:p>
              </w:tc>
              <w:tc>
                <w:tcPr>
                  <w:tcW w:w="3816" w:type="dxa"/>
                </w:tcPr>
                <w:p w:rsidR="00D96622" w:rsidRPr="00F618DC" w:rsidRDefault="008514E6" w:rsidP="007C0913">
                  <w:pPr>
                    <w:pStyle w:val="Box"/>
                    <w:spacing w:before="60"/>
                  </w:pPr>
                  <w:r>
                    <w:t>Timing to be advised</w:t>
                  </w:r>
                </w:p>
              </w:tc>
            </w:tr>
            <w:tr w:rsidR="00D96622" w:rsidTr="001A40AE">
              <w:tc>
                <w:tcPr>
                  <w:tcW w:w="4656" w:type="dxa"/>
                  <w:tcMar>
                    <w:left w:w="0" w:type="dxa"/>
                  </w:tcMar>
                </w:tcPr>
                <w:p w:rsidR="00D96622" w:rsidRDefault="000337D0" w:rsidP="000337D0">
                  <w:pPr>
                    <w:pStyle w:val="Box"/>
                    <w:spacing w:before="60"/>
                  </w:pPr>
                  <w:r>
                    <w:t>Post d</w:t>
                  </w:r>
                  <w:r w:rsidR="00D96622">
                    <w:t>raft report public hearings</w:t>
                  </w:r>
                </w:p>
              </w:tc>
              <w:tc>
                <w:tcPr>
                  <w:tcW w:w="3816" w:type="dxa"/>
                </w:tcPr>
                <w:p w:rsidR="00D96622" w:rsidRPr="00F618DC" w:rsidRDefault="00F618DC" w:rsidP="00F618DC">
                  <w:pPr>
                    <w:pStyle w:val="Box"/>
                    <w:spacing w:before="60"/>
                  </w:pPr>
                  <w:r>
                    <w:t>T</w:t>
                  </w:r>
                  <w:r w:rsidR="004D282C">
                    <w:t>iming t</w:t>
                  </w:r>
                  <w:r>
                    <w:t>o be advised</w:t>
                  </w:r>
                </w:p>
              </w:tc>
            </w:tr>
            <w:tr w:rsidR="000337D0" w:rsidTr="001A40AE">
              <w:tc>
                <w:tcPr>
                  <w:tcW w:w="4656" w:type="dxa"/>
                  <w:tcMar>
                    <w:left w:w="0" w:type="dxa"/>
                  </w:tcMar>
                </w:tcPr>
                <w:p w:rsidR="000337D0" w:rsidRDefault="0030270A" w:rsidP="00225665">
                  <w:pPr>
                    <w:pStyle w:val="Box"/>
                    <w:spacing w:before="60"/>
                    <w:ind w:left="120" w:hanging="120"/>
                  </w:pPr>
                  <w:r>
                    <w:t>S</w:t>
                  </w:r>
                  <w:r w:rsidR="00F618DC">
                    <w:t xml:space="preserve">ubmissions </w:t>
                  </w:r>
                  <w:r w:rsidR="006170A3">
                    <w:t>on the draft report</w:t>
                  </w:r>
                  <w:r>
                    <w:t xml:space="preserve"> due</w:t>
                  </w:r>
                </w:p>
              </w:tc>
              <w:tc>
                <w:tcPr>
                  <w:tcW w:w="3816" w:type="dxa"/>
                </w:tcPr>
                <w:p w:rsidR="000337D0" w:rsidRPr="00F618DC" w:rsidRDefault="006170A3" w:rsidP="00634E20">
                  <w:pPr>
                    <w:pStyle w:val="Box"/>
                    <w:spacing w:before="60"/>
                  </w:pPr>
                  <w:r>
                    <w:t>T</w:t>
                  </w:r>
                  <w:r w:rsidR="004D282C">
                    <w:t>iming t</w:t>
                  </w:r>
                  <w:r>
                    <w:t>o be advised</w:t>
                  </w:r>
                </w:p>
              </w:tc>
            </w:tr>
            <w:tr w:rsidR="006170A3" w:rsidTr="001A40AE">
              <w:tc>
                <w:tcPr>
                  <w:tcW w:w="4656" w:type="dxa"/>
                  <w:tcMar>
                    <w:left w:w="0" w:type="dxa"/>
                  </w:tcMar>
                </w:tcPr>
                <w:p w:rsidR="006170A3" w:rsidRDefault="006170A3" w:rsidP="006170A3">
                  <w:pPr>
                    <w:pStyle w:val="Box"/>
                    <w:spacing w:before="60"/>
                  </w:pPr>
                  <w:r>
                    <w:t>Consultations on the draft report</w:t>
                  </w:r>
                </w:p>
              </w:tc>
              <w:tc>
                <w:tcPr>
                  <w:tcW w:w="3816" w:type="dxa"/>
                </w:tcPr>
                <w:p w:rsidR="006170A3" w:rsidRPr="00F618DC" w:rsidRDefault="004D282C" w:rsidP="00784445">
                  <w:pPr>
                    <w:pStyle w:val="Box"/>
                    <w:spacing w:before="60"/>
                  </w:pPr>
                  <w:r>
                    <w:t xml:space="preserve">November </w:t>
                  </w:r>
                  <w:r w:rsidR="006170A3">
                    <w:t xml:space="preserve">2019 to </w:t>
                  </w:r>
                  <w:r>
                    <w:t>February 2020</w:t>
                  </w:r>
                </w:p>
              </w:tc>
            </w:tr>
            <w:tr w:rsidR="006170A3" w:rsidTr="001A40AE">
              <w:tc>
                <w:tcPr>
                  <w:tcW w:w="4656" w:type="dxa"/>
                  <w:tcMar>
                    <w:left w:w="0" w:type="dxa"/>
                  </w:tcMar>
                </w:tcPr>
                <w:p w:rsidR="006170A3" w:rsidRDefault="006170A3" w:rsidP="006170A3">
                  <w:pPr>
                    <w:pStyle w:val="Box"/>
                    <w:spacing w:before="60"/>
                  </w:pPr>
                  <w:r>
                    <w:t>Final report to Government</w:t>
                  </w:r>
                </w:p>
              </w:tc>
              <w:tc>
                <w:tcPr>
                  <w:tcW w:w="3816" w:type="dxa"/>
                </w:tcPr>
                <w:p w:rsidR="006170A3" w:rsidRPr="00F618DC" w:rsidRDefault="00546EA4" w:rsidP="009231D6">
                  <w:pPr>
                    <w:pStyle w:val="Box"/>
                    <w:spacing w:before="60"/>
                  </w:pPr>
                  <w:r>
                    <w:t xml:space="preserve">23 </w:t>
                  </w:r>
                  <w:r w:rsidR="00355D78">
                    <w:t>May</w:t>
                  </w:r>
                  <w:r w:rsidR="006170A3">
                    <w:t xml:space="preserve"> 2020</w:t>
                  </w:r>
                </w:p>
              </w:tc>
            </w:tr>
          </w:tbl>
          <w:p w:rsidR="00D96622" w:rsidRDefault="00D96622" w:rsidP="0030270A">
            <w:pPr>
              <w:pStyle w:val="BoxHeading1"/>
              <w:spacing w:before="120"/>
            </w:pPr>
            <w:r>
              <w:t xml:space="preserve">Submissions </w:t>
            </w:r>
            <w:r w:rsidR="006170A3">
              <w:t xml:space="preserve">and </w:t>
            </w:r>
            <w:r w:rsidR="00225665">
              <w:t xml:space="preserve">brief </w:t>
            </w:r>
            <w:r w:rsidR="006170A3">
              <w:t xml:space="preserve">comments </w:t>
            </w:r>
            <w:r>
              <w:t>can be 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2270"/>
              <w:gridCol w:w="6202"/>
            </w:tblGrid>
            <w:tr w:rsidR="00D96622" w:rsidTr="00DB5CA5">
              <w:trPr>
                <w:tblHeader/>
              </w:trPr>
              <w:tc>
                <w:tcPr>
                  <w:tcW w:w="2270" w:type="dxa"/>
                  <w:tcMar>
                    <w:left w:w="0" w:type="dxa"/>
                  </w:tcMar>
                </w:tcPr>
                <w:p w:rsidR="00D96622" w:rsidRDefault="00D96622" w:rsidP="00634E20">
                  <w:pPr>
                    <w:pStyle w:val="Box"/>
                  </w:pPr>
                  <w:r>
                    <w:t>Online</w:t>
                  </w:r>
                  <w:r w:rsidR="00DB5CA5">
                    <w:t xml:space="preserve"> (preferred)</w:t>
                  </w:r>
                  <w:r>
                    <w:t>:</w:t>
                  </w:r>
                </w:p>
              </w:tc>
              <w:tc>
                <w:tcPr>
                  <w:tcW w:w="6202" w:type="dxa"/>
                </w:tcPr>
                <w:p w:rsidR="00D96622" w:rsidRPr="00F618DC" w:rsidRDefault="006170A3" w:rsidP="009231D6">
                  <w:pPr>
                    <w:pStyle w:val="Box"/>
                  </w:pPr>
                  <w:r w:rsidRPr="006170A3">
                    <w:t>https://www.pc.gov.au/inquiries/current/</w:t>
                  </w:r>
                  <w:r>
                    <w:t>mental</w:t>
                  </w:r>
                  <w:r w:rsidR="005B43EE">
                    <w:t>-</w:t>
                  </w:r>
                  <w:r>
                    <w:t>health/submissions</w:t>
                  </w:r>
                </w:p>
              </w:tc>
            </w:tr>
            <w:tr w:rsidR="00D96622" w:rsidTr="00DB5CA5">
              <w:tc>
                <w:tcPr>
                  <w:tcW w:w="2270" w:type="dxa"/>
                  <w:tcMar>
                    <w:left w:w="0" w:type="dxa"/>
                  </w:tcMar>
                </w:tcPr>
                <w:p w:rsidR="00D96622" w:rsidRDefault="00D96622" w:rsidP="00634E20">
                  <w:pPr>
                    <w:pStyle w:val="Box"/>
                    <w:spacing w:before="60"/>
                    <w:jc w:val="left"/>
                  </w:pPr>
                  <w:r>
                    <w:t>By post:</w:t>
                  </w:r>
                </w:p>
              </w:tc>
              <w:tc>
                <w:tcPr>
                  <w:tcW w:w="6202" w:type="dxa"/>
                </w:tcPr>
                <w:p w:rsidR="00543967" w:rsidRPr="00572D5F" w:rsidRDefault="00572D5F" w:rsidP="0030270A">
                  <w:pPr>
                    <w:pStyle w:val="Box"/>
                    <w:spacing w:before="60"/>
                    <w:jc w:val="left"/>
                  </w:pPr>
                  <w:r w:rsidRPr="00572D5F">
                    <w:t>Mental Health Inquiry</w:t>
                  </w:r>
                  <w:r w:rsidR="00D96622" w:rsidRPr="00572D5F">
                    <w:br/>
                    <w:t>Productivity Commission</w:t>
                  </w:r>
                  <w:r w:rsidR="00D96622" w:rsidRPr="00572D5F">
                    <w:br/>
                  </w:r>
                  <w:r w:rsidR="00543967">
                    <w:t>GPO Box 1428</w:t>
                  </w:r>
                  <w:r w:rsidR="0030270A">
                    <w:t xml:space="preserve">, </w:t>
                  </w:r>
                  <w:r w:rsidR="001B7DE8">
                    <w:t>Canberra City</w:t>
                  </w:r>
                  <w:r w:rsidR="0030270A">
                    <w:t>,</w:t>
                  </w:r>
                  <w:r w:rsidR="001B7DE8">
                    <w:t xml:space="preserve"> ACT 2601</w:t>
                  </w:r>
                </w:p>
              </w:tc>
            </w:tr>
          </w:tbl>
          <w:p w:rsidR="00D96622" w:rsidRDefault="00D96622" w:rsidP="0030270A">
            <w:pPr>
              <w:pStyle w:val="BoxHeading1"/>
              <w:spacing w:before="120"/>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2388"/>
              <w:gridCol w:w="2268"/>
              <w:gridCol w:w="3816"/>
            </w:tblGrid>
            <w:tr w:rsidR="006170A3" w:rsidTr="001A40AE">
              <w:trPr>
                <w:tblHeader/>
              </w:trPr>
              <w:tc>
                <w:tcPr>
                  <w:tcW w:w="2388" w:type="dxa"/>
                  <w:tcMar>
                    <w:left w:w="0" w:type="dxa"/>
                  </w:tcMar>
                </w:tcPr>
                <w:p w:rsidR="006170A3" w:rsidRDefault="00DC09DB" w:rsidP="006170A3">
                  <w:pPr>
                    <w:pStyle w:val="Box"/>
                  </w:pPr>
                  <w:r>
                    <w:t>Inquiry</w:t>
                  </w:r>
                  <w:r w:rsidR="006170A3">
                    <w:t xml:space="preserve"> matters:</w:t>
                  </w:r>
                </w:p>
              </w:tc>
              <w:tc>
                <w:tcPr>
                  <w:tcW w:w="2268" w:type="dxa"/>
                </w:tcPr>
                <w:p w:rsidR="006170A3" w:rsidRDefault="006170A3" w:rsidP="006170A3">
                  <w:pPr>
                    <w:pStyle w:val="Box"/>
                  </w:pPr>
                  <w:r>
                    <w:t>Tracey Horsfall</w:t>
                  </w:r>
                </w:p>
              </w:tc>
              <w:tc>
                <w:tcPr>
                  <w:tcW w:w="3816" w:type="dxa"/>
                </w:tcPr>
                <w:p w:rsidR="006170A3" w:rsidRDefault="006170A3" w:rsidP="0030270A">
                  <w:pPr>
                    <w:pStyle w:val="Box"/>
                  </w:pPr>
                  <w:r>
                    <w:t>Ph: 02</w:t>
                  </w:r>
                  <w:r w:rsidR="0030270A">
                    <w:t xml:space="preserve"> </w:t>
                  </w:r>
                  <w:r>
                    <w:t>6240</w:t>
                  </w:r>
                  <w:r w:rsidR="0030270A">
                    <w:t xml:space="preserve"> </w:t>
                  </w:r>
                  <w:r>
                    <w:t>3261</w:t>
                  </w:r>
                </w:p>
              </w:tc>
            </w:tr>
            <w:tr w:rsidR="006170A3" w:rsidTr="001A40AE">
              <w:tc>
                <w:tcPr>
                  <w:tcW w:w="2388" w:type="dxa"/>
                  <w:tcMar>
                    <w:left w:w="0" w:type="dxa"/>
                  </w:tcMar>
                </w:tcPr>
                <w:p w:rsidR="006170A3" w:rsidRDefault="006170A3" w:rsidP="001A40AE">
                  <w:pPr>
                    <w:pStyle w:val="Box"/>
                    <w:spacing w:before="60"/>
                  </w:pPr>
                  <w:r>
                    <w:t>Freecall number:</w:t>
                  </w:r>
                </w:p>
              </w:tc>
              <w:tc>
                <w:tcPr>
                  <w:tcW w:w="2268" w:type="dxa"/>
                </w:tcPr>
                <w:p w:rsidR="006170A3" w:rsidRDefault="006170A3" w:rsidP="006170A3">
                  <w:pPr>
                    <w:pStyle w:val="Box"/>
                    <w:spacing w:before="60"/>
                  </w:pPr>
                </w:p>
              </w:tc>
              <w:tc>
                <w:tcPr>
                  <w:tcW w:w="3816" w:type="dxa"/>
                </w:tcPr>
                <w:p w:rsidR="006170A3" w:rsidRDefault="0030270A" w:rsidP="006170A3">
                  <w:pPr>
                    <w:pStyle w:val="Box"/>
                    <w:spacing w:before="60"/>
                  </w:pPr>
                  <w:r>
                    <w:t>Ph: 1800 020 083</w:t>
                  </w:r>
                </w:p>
              </w:tc>
            </w:tr>
            <w:tr w:rsidR="0030270A" w:rsidTr="001A40AE">
              <w:tc>
                <w:tcPr>
                  <w:tcW w:w="2388" w:type="dxa"/>
                  <w:tcMar>
                    <w:left w:w="0" w:type="dxa"/>
                  </w:tcMar>
                </w:tcPr>
                <w:p w:rsidR="0030270A" w:rsidRDefault="0030270A" w:rsidP="006170A3">
                  <w:pPr>
                    <w:pStyle w:val="Box"/>
                    <w:spacing w:before="60"/>
                  </w:pPr>
                  <w:r>
                    <w:t>Website:</w:t>
                  </w:r>
                </w:p>
              </w:tc>
              <w:tc>
                <w:tcPr>
                  <w:tcW w:w="6084" w:type="dxa"/>
                  <w:gridSpan w:val="2"/>
                </w:tcPr>
                <w:p w:rsidR="0030270A" w:rsidRDefault="0030270A" w:rsidP="005B43EE">
                  <w:pPr>
                    <w:pStyle w:val="Box"/>
                    <w:spacing w:before="60"/>
                  </w:pPr>
                  <w:r w:rsidRPr="0030270A">
                    <w:t>www.pc.gov.au</w:t>
                  </w:r>
                  <w:r w:rsidRPr="006170A3">
                    <w:t>/</w:t>
                  </w:r>
                  <w:r>
                    <w:t>mental</w:t>
                  </w:r>
                  <w:r w:rsidR="005B43EE">
                    <w:t>-</w:t>
                  </w:r>
                  <w:r>
                    <w:t>health</w:t>
                  </w:r>
                </w:p>
              </w:tc>
            </w:tr>
          </w:tbl>
          <w:p w:rsidR="006170A3" w:rsidRDefault="006170A3" w:rsidP="0030270A">
            <w:pPr>
              <w:pStyle w:val="BoxHeading1"/>
              <w:spacing w:before="120"/>
            </w:pPr>
            <w:r>
              <w:t>Subscribe for inquiry updates</w:t>
            </w:r>
          </w:p>
          <w:p w:rsidR="00D96622" w:rsidRDefault="006170A3" w:rsidP="00721558">
            <w:pPr>
              <w:pStyle w:val="Box"/>
              <w:spacing w:before="80"/>
            </w:pPr>
            <w:r>
              <w:t>To receive emails updating you on the inquiry consultations and releases, subscribe to the inquiry at:</w:t>
            </w:r>
            <w:r w:rsidR="00721558">
              <w:t xml:space="preserve"> </w:t>
            </w:r>
            <w:r w:rsidRPr="006170A3">
              <w:t>www.pc.gov.au/inquiries/current/</w:t>
            </w:r>
            <w:r>
              <w:t>mentalhealth/subscribe</w:t>
            </w:r>
          </w:p>
        </w:tc>
      </w:tr>
      <w:tr w:rsidR="00D96622" w:rsidTr="00634E20">
        <w:tc>
          <w:tcPr>
            <w:tcW w:w="8771" w:type="dxa"/>
            <w:tcBorders>
              <w:top w:val="nil"/>
              <w:left w:val="nil"/>
              <w:bottom w:val="single" w:sz="6" w:space="0" w:color="78A22F"/>
              <w:right w:val="nil"/>
            </w:tcBorders>
            <w:shd w:val="clear" w:color="auto" w:fill="F2F2F2" w:themeFill="background1" w:themeFillShade="F2"/>
          </w:tcPr>
          <w:p w:rsidR="00D96622" w:rsidRDefault="00D96622" w:rsidP="00634E20">
            <w:pPr>
              <w:pStyle w:val="Box"/>
              <w:spacing w:before="0" w:line="120" w:lineRule="exact"/>
            </w:pPr>
          </w:p>
        </w:tc>
      </w:tr>
    </w:tbl>
    <w:p w:rsidR="00D96622" w:rsidRDefault="00D96622" w:rsidP="0030270A">
      <w:pPr>
        <w:pStyle w:val="BoxSpaceAbove"/>
        <w:spacing w:before="12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D96622" w:rsidTr="00634E20">
        <w:trPr>
          <w:tblHeader/>
        </w:trPr>
        <w:tc>
          <w:tcPr>
            <w:tcW w:w="8771" w:type="dxa"/>
            <w:tcBorders>
              <w:top w:val="single" w:sz="6" w:space="0" w:color="78A22F"/>
              <w:left w:val="nil"/>
              <w:bottom w:val="nil"/>
              <w:right w:val="nil"/>
            </w:tcBorders>
            <w:shd w:val="clear" w:color="auto" w:fill="F2F2F2" w:themeFill="background1" w:themeFillShade="F2"/>
          </w:tcPr>
          <w:p w:rsidR="00D96622" w:rsidRPr="008A3857" w:rsidRDefault="00D96622" w:rsidP="00634E20">
            <w:pPr>
              <w:pStyle w:val="BoxTitle"/>
              <w:rPr>
                <w:sz w:val="22"/>
                <w:szCs w:val="22"/>
              </w:rPr>
            </w:pPr>
            <w:r w:rsidRPr="008A3857">
              <w:rPr>
                <w:sz w:val="22"/>
                <w:szCs w:val="22"/>
              </w:rPr>
              <w:t>The Productivity Commission</w:t>
            </w:r>
          </w:p>
        </w:tc>
      </w:tr>
      <w:tr w:rsidR="00D96622" w:rsidTr="00634E20">
        <w:trPr>
          <w:cantSplit/>
        </w:trPr>
        <w:tc>
          <w:tcPr>
            <w:tcW w:w="8771" w:type="dxa"/>
            <w:tcBorders>
              <w:top w:val="nil"/>
              <w:left w:val="nil"/>
              <w:bottom w:val="nil"/>
              <w:right w:val="nil"/>
            </w:tcBorders>
            <w:shd w:val="clear" w:color="auto" w:fill="F2F2F2" w:themeFill="background1" w:themeFillShade="F2"/>
          </w:tcPr>
          <w:p w:rsidR="00D96622" w:rsidRDefault="00D96622" w:rsidP="00634E20">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D96622" w:rsidRDefault="00D96622" w:rsidP="00634E20">
            <w:pPr>
              <w:pStyle w:val="Box"/>
            </w:pPr>
            <w:r w:rsidRPr="00BB5DCF">
              <w:t>The Commission’s independence is underpinned by an Act of Parliament. Its processes and outputs are open to public scrutiny and are driven by concern for the wellbeing of the community as a whole.</w:t>
            </w:r>
          </w:p>
          <w:p w:rsidR="00D96622" w:rsidRDefault="00D96622" w:rsidP="00634E20">
            <w:pPr>
              <w:pStyle w:val="Box"/>
            </w:pPr>
            <w:r w:rsidRPr="00BB5DCF">
              <w:rPr>
                <w:szCs w:val="24"/>
              </w:rPr>
              <w:t>Further information on the Productivity Commission can be obtained from the Commission’s website (www.pc.gov.au)</w:t>
            </w:r>
            <w:r>
              <w:rPr>
                <w:szCs w:val="24"/>
              </w:rPr>
              <w:t>.</w:t>
            </w:r>
          </w:p>
        </w:tc>
      </w:tr>
      <w:tr w:rsidR="00D96622" w:rsidTr="00634E20">
        <w:trPr>
          <w:cantSplit/>
        </w:trPr>
        <w:tc>
          <w:tcPr>
            <w:tcW w:w="8771" w:type="dxa"/>
            <w:tcBorders>
              <w:top w:val="nil"/>
              <w:left w:val="nil"/>
              <w:bottom w:val="single" w:sz="6" w:space="0" w:color="78A22F"/>
              <w:right w:val="nil"/>
            </w:tcBorders>
            <w:shd w:val="clear" w:color="auto" w:fill="F2F2F2" w:themeFill="background1" w:themeFillShade="F2"/>
          </w:tcPr>
          <w:p w:rsidR="00D96622" w:rsidRDefault="00D96622" w:rsidP="00634E20">
            <w:pPr>
              <w:pStyle w:val="Box"/>
              <w:spacing w:before="0" w:line="120" w:lineRule="exact"/>
            </w:pPr>
          </w:p>
        </w:tc>
      </w:tr>
    </w:tbl>
    <w:p w:rsidR="00D96622" w:rsidRDefault="00D96622" w:rsidP="00D96622">
      <w:pPr>
        <w:pStyle w:val="BodyText"/>
      </w:pPr>
    </w:p>
    <w:p w:rsidR="00D96622" w:rsidRPr="00415F39" w:rsidRDefault="00D96622" w:rsidP="00D96622">
      <w:pPr>
        <w:pStyle w:val="BodyText"/>
        <w:sectPr w:rsidR="00D96622" w:rsidRPr="00415F39" w:rsidSect="00D96622">
          <w:headerReference w:type="even" r:id="rId8"/>
          <w:headerReference w:type="default" r:id="rId9"/>
          <w:footerReference w:type="even" r:id="rId10"/>
          <w:footerReference w:type="default" r:id="rId11"/>
          <w:headerReference w:type="first" r:id="rId12"/>
          <w:footerReference w:type="first" r:id="rId13"/>
          <w:pgSz w:w="11907" w:h="16840" w:code="9"/>
          <w:pgMar w:top="1560" w:right="1304" w:bottom="851" w:left="1814" w:header="1276" w:footer="397" w:gutter="0"/>
          <w:pgNumType w:fmt="lowerRoman" w:chapSep="period"/>
          <w:cols w:space="720"/>
          <w:titlePg/>
        </w:sectPr>
      </w:pPr>
    </w:p>
    <w:p w:rsidR="00D96622" w:rsidRDefault="00D96622" w:rsidP="006E26AB">
      <w:pPr>
        <w:pStyle w:val="Heading2"/>
        <w:spacing w:before="0"/>
      </w:pPr>
      <w:bookmarkStart w:id="1" w:name="_Toc520279308"/>
      <w:bookmarkStart w:id="2" w:name="_Toc528902907"/>
      <w:bookmarkStart w:id="3" w:name="_Toc529979213"/>
      <w:bookmarkStart w:id="4" w:name="_Toc530993231"/>
      <w:bookmarkStart w:id="5" w:name="_Toc534966410"/>
      <w:bookmarkStart w:id="6" w:name="_Toc535242301"/>
      <w:r>
        <w:lastRenderedPageBreak/>
        <w:t>Terms of reference</w:t>
      </w:r>
      <w:bookmarkEnd w:id="1"/>
      <w:bookmarkEnd w:id="2"/>
      <w:bookmarkEnd w:id="3"/>
      <w:bookmarkEnd w:id="4"/>
      <w:bookmarkEnd w:id="5"/>
      <w:bookmarkEnd w:id="6"/>
    </w:p>
    <w:p w:rsidR="00123BDB" w:rsidRPr="000E0E69" w:rsidRDefault="00123BDB" w:rsidP="000E0E69">
      <w:pPr>
        <w:pStyle w:val="BodyText"/>
        <w:spacing w:before="600" w:line="320" w:lineRule="atLeast"/>
        <w:rPr>
          <w:rFonts w:ascii="Arial" w:hAnsi="Arial"/>
          <w:b/>
          <w:color w:val="000000" w:themeColor="text1"/>
          <w:sz w:val="28"/>
          <w:szCs w:val="28"/>
        </w:rPr>
      </w:pPr>
      <w:r w:rsidRPr="000E0E69">
        <w:rPr>
          <w:rFonts w:ascii="Arial" w:hAnsi="Arial"/>
          <w:b/>
          <w:color w:val="000000" w:themeColor="text1"/>
          <w:sz w:val="28"/>
          <w:szCs w:val="28"/>
        </w:rPr>
        <w:t>Inquiry into the economic impacts of mental ill-health</w:t>
      </w:r>
    </w:p>
    <w:p w:rsidR="00123BDB" w:rsidRDefault="00123BDB" w:rsidP="00123BDB">
      <w:pPr>
        <w:pStyle w:val="BodyText"/>
      </w:pPr>
      <w:r>
        <w:t xml:space="preserve">I, Josh Frydenberg, Treasurer, pursuant to Parts 2 and 3 of the </w:t>
      </w:r>
      <w:r w:rsidR="00E22A9A">
        <w:rPr>
          <w:i/>
        </w:rPr>
        <w:t>Productivity Commission Act </w:t>
      </w:r>
      <w:r w:rsidRPr="00E22A9A">
        <w:rPr>
          <w:i/>
        </w:rPr>
        <w:t>1998</w:t>
      </w:r>
      <w:r>
        <w:t>, hereby request that the Productivity Commission (the Commission) undertake an inquiry into the role of improving mental health to support economic participation and enhancing productivity and economic growth.</w:t>
      </w:r>
    </w:p>
    <w:p w:rsidR="00897FB0" w:rsidRPr="007D5EA1" w:rsidRDefault="00897FB0" w:rsidP="00B03DE6">
      <w:pPr>
        <w:pStyle w:val="BodyText"/>
        <w:spacing w:before="360" w:line="320" w:lineRule="atLeast"/>
        <w:rPr>
          <w:rFonts w:ascii="Arial" w:hAnsi="Arial"/>
          <w:b/>
          <w:color w:val="000000" w:themeColor="text1"/>
        </w:rPr>
      </w:pPr>
      <w:r w:rsidRPr="007D5EA1">
        <w:rPr>
          <w:rFonts w:ascii="Arial" w:hAnsi="Arial"/>
          <w:b/>
          <w:color w:val="000000" w:themeColor="text1"/>
        </w:rPr>
        <w:t xml:space="preserve">Background </w:t>
      </w:r>
    </w:p>
    <w:p w:rsidR="00897FB0" w:rsidRDefault="00897FB0" w:rsidP="00897FB0">
      <w:pPr>
        <w:pStyle w:val="BodyText"/>
      </w:pPr>
      <w:r>
        <w:t>In 2014-15, four million Australians reported having experienced a common mental disorder.</w:t>
      </w:r>
    </w:p>
    <w:p w:rsidR="00123BDB" w:rsidRPr="001428BF" w:rsidRDefault="00123BDB" w:rsidP="00123BDB">
      <w:pPr>
        <w:pStyle w:val="BodyText"/>
      </w:pPr>
      <w:r w:rsidRPr="001428BF">
        <w:t>Mental health is a key driver of economic participation and productivity in Australia, and hence has the potential to impact incomes and living standards and social engagement and connectedness. Improved population mental health could also help to reduce costs to the economy over the long term.</w:t>
      </w:r>
    </w:p>
    <w:p w:rsidR="00123BDB" w:rsidRPr="001428BF" w:rsidRDefault="00123BDB" w:rsidP="00123BDB">
      <w:pPr>
        <w:pStyle w:val="BodyText"/>
      </w:pPr>
      <w:r w:rsidRPr="001428BF">
        <w:t>Australian governments devote significant resources to promoting the best possible mental health and wellbeing outcomes. This includes the delivery of acute, recovery and rehabilitation health services, trauma informed care, preventative and early intervention programs, funding non-government organisations and privately delivered services, and providing income support, education, employment, housing and justice. It is important that policy settings are sustainable, efficient and effective in achieving their goals.</w:t>
      </w:r>
    </w:p>
    <w:p w:rsidR="00123BDB" w:rsidRPr="001428BF" w:rsidRDefault="00123BDB" w:rsidP="00123BDB">
      <w:pPr>
        <w:pStyle w:val="BodyText"/>
      </w:pPr>
      <w:r w:rsidRPr="001428BF">
        <w:t>Employers, not-for-profit organisations and carers also play key roles in the mental health of Australians. Many businesses are developing initiatives to support and maintain positive mental health outcomes for their employees as well as helping employees with mental ill</w:t>
      </w:r>
      <w:r w:rsidR="00A71CC5">
        <w:noBreakHyphen/>
      </w:r>
      <w:r w:rsidRPr="001428BF">
        <w:t>health continue to participate in, or return to, work.</w:t>
      </w:r>
    </w:p>
    <w:p w:rsidR="00BA64F3" w:rsidRPr="00DB31A1" w:rsidRDefault="00897FB0" w:rsidP="00B03DE6">
      <w:pPr>
        <w:pStyle w:val="BodyText"/>
        <w:spacing w:before="360" w:line="320" w:lineRule="atLeast"/>
        <w:rPr>
          <w:rFonts w:ascii="Arial" w:hAnsi="Arial"/>
          <w:b/>
          <w:color w:val="000000" w:themeColor="text1"/>
        </w:rPr>
      </w:pPr>
      <w:r w:rsidRPr="00DB31A1">
        <w:rPr>
          <w:rFonts w:ascii="Arial" w:hAnsi="Arial"/>
          <w:b/>
          <w:color w:val="000000" w:themeColor="text1"/>
        </w:rPr>
        <w:t>Scope</w:t>
      </w:r>
    </w:p>
    <w:p w:rsidR="00123BDB" w:rsidRDefault="00123BDB" w:rsidP="00123BDB">
      <w:pPr>
        <w:pStyle w:val="BodyText"/>
      </w:pPr>
      <w:r>
        <w:t xml:space="preserve">The Commission should consider the role of mental health in supporting economic participation, enhancing productivity and economic growth. It should make recommendations, as necessary, to improve population mental health, so as to realise economic and social participation and productivity benefits over the long term. </w:t>
      </w:r>
    </w:p>
    <w:p w:rsidR="00123BDB" w:rsidRDefault="00123BDB" w:rsidP="00123BDB">
      <w:pPr>
        <w:pStyle w:val="BodyText"/>
      </w:pPr>
      <w:r>
        <w:t>Without limiting related matters on which the Commission may report, the Commission should:</w:t>
      </w:r>
    </w:p>
    <w:p w:rsidR="00123BDB" w:rsidRDefault="00123BDB" w:rsidP="00097D3D">
      <w:pPr>
        <w:pStyle w:val="ListBullet"/>
      </w:pPr>
      <w:r>
        <w:t>examine the effect of supporting mental health on economic and social participation, productivity and the Australian economy;</w:t>
      </w:r>
    </w:p>
    <w:p w:rsidR="00123BDB" w:rsidRDefault="00123BDB" w:rsidP="00097D3D">
      <w:pPr>
        <w:pStyle w:val="ListBullet"/>
      </w:pPr>
      <w:r>
        <w:lastRenderedPageBreak/>
        <w:t>examine how sectors beyond health, including education, employment, social services, housing and justice, can contribute to improving mental health and economic participation and productivity;</w:t>
      </w:r>
    </w:p>
    <w:p w:rsidR="00123BDB" w:rsidRDefault="00123BDB" w:rsidP="00097D3D">
      <w:pPr>
        <w:pStyle w:val="ListBullet"/>
      </w:pPr>
      <w:r>
        <w:t>examine the effectiveness of current programs and initiatives across all jurisdictions to improve mental health, suicide prevention and participation, including by governments, employers and professional groups;</w:t>
      </w:r>
    </w:p>
    <w:p w:rsidR="00123BDB" w:rsidRDefault="00123BDB" w:rsidP="00097D3D">
      <w:pPr>
        <w:pStyle w:val="ListBullet"/>
      </w:pPr>
      <w:r>
        <w:t>assess whether the current investment in mental health is delivering value for money and the best outcomes for individuals, their families, society and the economy;</w:t>
      </w:r>
    </w:p>
    <w:p w:rsidR="00123BDB" w:rsidRDefault="00123BDB" w:rsidP="00097D3D">
      <w:pPr>
        <w:pStyle w:val="ListBullet"/>
      </w:pPr>
      <w:r>
        <w:t>draw on domestic and international policies and experience, where appropriate; and</w:t>
      </w:r>
    </w:p>
    <w:p w:rsidR="00123BDB" w:rsidRDefault="00123BDB" w:rsidP="00097D3D">
      <w:pPr>
        <w:pStyle w:val="ListBullet"/>
      </w:pPr>
      <w:r>
        <w:t>develop a framework to measure and report the outcomes of mental health policies and investment on participation, productivity and economic growth over the long term.</w:t>
      </w:r>
    </w:p>
    <w:p w:rsidR="00123BDB" w:rsidRDefault="00123BDB" w:rsidP="00123BDB">
      <w:pPr>
        <w:pStyle w:val="BodyText"/>
      </w:pPr>
      <w:r>
        <w:t>The Commission should have regard to recent and current reviews, including the 2014 Review of National Mental Health Programmes and Services undertaken by the National Mental Health Commission and the Commission's reviews into disability services and the National Disability Insurance Scheme.</w:t>
      </w:r>
    </w:p>
    <w:p w:rsidR="00616EA0" w:rsidRPr="00DB31A1" w:rsidRDefault="00897FB0" w:rsidP="00B03DE6">
      <w:pPr>
        <w:pStyle w:val="BodyText"/>
        <w:spacing w:before="360" w:line="320" w:lineRule="atLeast"/>
        <w:rPr>
          <w:rFonts w:ascii="Arial" w:hAnsi="Arial"/>
          <w:b/>
          <w:color w:val="000000" w:themeColor="text1"/>
        </w:rPr>
      </w:pPr>
      <w:r w:rsidRPr="00DB31A1">
        <w:rPr>
          <w:rFonts w:ascii="Arial" w:hAnsi="Arial"/>
          <w:b/>
          <w:color w:val="000000" w:themeColor="text1"/>
        </w:rPr>
        <w:t>Process</w:t>
      </w:r>
    </w:p>
    <w:p w:rsidR="00897FB0" w:rsidRPr="00EF3EEE" w:rsidRDefault="00897FB0" w:rsidP="00897FB0">
      <w:pPr>
        <w:pStyle w:val="BodyText"/>
        <w:rPr>
          <w:color w:val="000000" w:themeColor="text1"/>
        </w:rPr>
      </w:pPr>
      <w:r w:rsidRPr="00EF3EEE">
        <w:rPr>
          <w:color w:val="000000" w:themeColor="text1"/>
        </w:rPr>
        <w:t xml:space="preserve">The Productivity Commission should undertake broad consultation, including </w:t>
      </w:r>
      <w:r w:rsidR="00123BDB" w:rsidRPr="00EF3EEE">
        <w:rPr>
          <w:color w:val="000000" w:themeColor="text1"/>
        </w:rPr>
        <w:t xml:space="preserve">with carers and consumers, and by </w:t>
      </w:r>
      <w:r w:rsidRPr="00EF3EEE">
        <w:rPr>
          <w:color w:val="000000" w:themeColor="text1"/>
        </w:rPr>
        <w:t>holding hearings in regional Australia, inviting public submissions and releasing a draft report to the public.</w:t>
      </w:r>
    </w:p>
    <w:p w:rsidR="00897FB0" w:rsidRPr="00EF3EEE" w:rsidRDefault="00897FB0" w:rsidP="00897FB0">
      <w:pPr>
        <w:pStyle w:val="BodyText"/>
        <w:rPr>
          <w:color w:val="000000" w:themeColor="text1"/>
        </w:rPr>
      </w:pPr>
      <w:r w:rsidRPr="00EF3EEE">
        <w:rPr>
          <w:color w:val="000000" w:themeColor="text1"/>
        </w:rPr>
        <w:t>The final report should be provided to the Government within 18 months.</w:t>
      </w:r>
    </w:p>
    <w:p w:rsidR="00616EA0" w:rsidRPr="00721558" w:rsidRDefault="002067C0" w:rsidP="00721558">
      <w:pPr>
        <w:pStyle w:val="BodyText"/>
        <w:spacing w:before="360"/>
        <w:rPr>
          <w:b/>
          <w:color w:val="000000" w:themeColor="text1"/>
          <w:lang w:eastAsia="en-US"/>
        </w:rPr>
      </w:pPr>
      <w:r w:rsidRPr="00721558">
        <w:rPr>
          <w:b/>
          <w:color w:val="000000" w:themeColor="text1"/>
          <w:lang w:eastAsia="en-US"/>
        </w:rPr>
        <w:t>J. FRYDENBERG</w:t>
      </w:r>
    </w:p>
    <w:p w:rsidR="00D75F2F" w:rsidRPr="00721558" w:rsidRDefault="00D75F2F" w:rsidP="00D96622">
      <w:pPr>
        <w:pStyle w:val="BodyText"/>
        <w:spacing w:before="0"/>
        <w:rPr>
          <w:b/>
          <w:color w:val="000000" w:themeColor="text1"/>
          <w:lang w:eastAsia="en-US"/>
        </w:rPr>
      </w:pPr>
      <w:r w:rsidRPr="00721558">
        <w:rPr>
          <w:b/>
          <w:color w:val="000000" w:themeColor="text1"/>
          <w:lang w:eastAsia="en-US"/>
        </w:rPr>
        <w:t>Treasurer</w:t>
      </w:r>
    </w:p>
    <w:p w:rsidR="00D96622" w:rsidRPr="00EF3EEE" w:rsidRDefault="00036FE2" w:rsidP="004C2161">
      <w:pPr>
        <w:pStyle w:val="BodyText"/>
        <w:tabs>
          <w:tab w:val="left" w:pos="6877"/>
        </w:tabs>
        <w:rPr>
          <w:color w:val="000000" w:themeColor="text1"/>
        </w:rPr>
      </w:pPr>
      <w:r w:rsidRPr="008D637F">
        <w:rPr>
          <w:color w:val="000000" w:themeColor="text1"/>
        </w:rPr>
        <w:t>[</w:t>
      </w:r>
      <w:r w:rsidR="00256039" w:rsidRPr="00EF3EEE">
        <w:rPr>
          <w:color w:val="000000" w:themeColor="text1"/>
        </w:rPr>
        <w:t xml:space="preserve">Received </w:t>
      </w:r>
      <w:r w:rsidR="00CB39FC" w:rsidRPr="00EF3EEE">
        <w:rPr>
          <w:color w:val="000000" w:themeColor="text1"/>
        </w:rPr>
        <w:t>23 November</w:t>
      </w:r>
      <w:r w:rsidRPr="00EF3EEE">
        <w:rPr>
          <w:color w:val="000000" w:themeColor="text1"/>
        </w:rPr>
        <w:t xml:space="preserve"> 2018</w:t>
      </w:r>
      <w:r w:rsidR="00616EA0" w:rsidRPr="00EF3EEE">
        <w:rPr>
          <w:color w:val="000000" w:themeColor="text1"/>
        </w:rPr>
        <w:t>]</w:t>
      </w:r>
    </w:p>
    <w:p w:rsidR="00D96622" w:rsidRDefault="00D96622" w:rsidP="008D637F">
      <w:pPr>
        <w:pStyle w:val="BodyText"/>
        <w:jc w:val="center"/>
      </w:pPr>
    </w:p>
    <w:p w:rsidR="00D96622" w:rsidRDefault="00D96622" w:rsidP="00D96622">
      <w:pPr>
        <w:pStyle w:val="BodyText"/>
      </w:pPr>
    </w:p>
    <w:p w:rsidR="00D96622" w:rsidRDefault="00D96622" w:rsidP="00D96622">
      <w:pPr>
        <w:pStyle w:val="BodyText"/>
        <w:sectPr w:rsidR="00D96622" w:rsidSect="00634E20">
          <w:headerReference w:type="even" r:id="rId14"/>
          <w:headerReference w:type="default" r:id="rId15"/>
          <w:footerReference w:type="even" r:id="rId16"/>
          <w:footerReference w:type="default" r:id="rId17"/>
          <w:headerReference w:type="first" r:id="rId18"/>
          <w:type w:val="continuous"/>
          <w:pgSz w:w="11907" w:h="16840" w:code="9"/>
          <w:pgMar w:top="1985" w:right="1304" w:bottom="1247" w:left="1814" w:header="1701" w:footer="397" w:gutter="0"/>
          <w:pgNumType w:fmt="lowerRoman" w:start="3" w:chapSep="period"/>
          <w:cols w:space="720"/>
        </w:sectPr>
      </w:pPr>
    </w:p>
    <w:p w:rsidR="00D96622" w:rsidRPr="00763A48" w:rsidRDefault="00D96622" w:rsidP="00661502">
      <w:pPr>
        <w:pStyle w:val="Heading2nosectionno"/>
        <w:spacing w:before="360" w:after="600"/>
      </w:pPr>
      <w:r w:rsidRPr="00763A48">
        <w:lastRenderedPageBreak/>
        <w:t>Contents</w:t>
      </w:r>
    </w:p>
    <w:p w:rsidR="00B96CC4" w:rsidRPr="009D070D" w:rsidRDefault="00B96CC4">
      <w:pPr>
        <w:pStyle w:val="TOC1"/>
        <w:rPr>
          <w:rFonts w:asciiTheme="minorHAnsi" w:eastAsiaTheme="minorEastAsia" w:hAnsiTheme="minorHAnsi" w:cstheme="minorBidi"/>
          <w:b w:val="0"/>
          <w:noProof/>
          <w:sz w:val="22"/>
          <w:szCs w:val="22"/>
          <w:lang w:eastAsia="en-AU"/>
        </w:rPr>
      </w:pPr>
      <w:r w:rsidRPr="009D070D">
        <w:rPr>
          <w:rStyle w:val="Hyperlink"/>
          <w:b w:val="0"/>
          <w:noProof/>
          <w:u w:val="none"/>
        </w:rPr>
        <w:t>Terms of reference</w:t>
      </w:r>
      <w:r w:rsidRPr="009D070D">
        <w:rPr>
          <w:b w:val="0"/>
          <w:noProof/>
          <w:webHidden/>
        </w:rPr>
        <w:tab/>
      </w:r>
      <w:r w:rsidR="00CB6A36" w:rsidRPr="009D070D">
        <w:rPr>
          <w:b w:val="0"/>
          <w:noProof/>
          <w:webHidden/>
        </w:rPr>
        <w:t>iii</w:t>
      </w:r>
    </w:p>
    <w:p w:rsidR="00B96CC4" w:rsidRPr="009D070D" w:rsidRDefault="00B96CC4" w:rsidP="00661502">
      <w:pPr>
        <w:pStyle w:val="TOC1"/>
        <w:spacing w:before="140"/>
        <w:rPr>
          <w:rFonts w:asciiTheme="minorHAnsi" w:eastAsiaTheme="minorEastAsia" w:hAnsiTheme="minorHAnsi" w:cstheme="minorBidi"/>
          <w:b w:val="0"/>
          <w:noProof/>
          <w:sz w:val="22"/>
          <w:szCs w:val="22"/>
          <w:lang w:eastAsia="en-AU"/>
        </w:rPr>
      </w:pPr>
      <w:r w:rsidRPr="009D070D">
        <w:rPr>
          <w:rStyle w:val="Hyperlink"/>
          <w:b w:val="0"/>
          <w:noProof/>
          <w:u w:val="none"/>
        </w:rPr>
        <w:t>1.</w:t>
      </w:r>
      <w:r w:rsidRPr="009D070D">
        <w:rPr>
          <w:rFonts w:asciiTheme="minorHAnsi" w:eastAsiaTheme="minorEastAsia" w:hAnsiTheme="minorHAnsi" w:cstheme="minorBidi"/>
          <w:b w:val="0"/>
          <w:noProof/>
          <w:sz w:val="22"/>
          <w:szCs w:val="22"/>
          <w:lang w:eastAsia="en-AU"/>
        </w:rPr>
        <w:tab/>
      </w:r>
      <w:r w:rsidRPr="009D070D">
        <w:rPr>
          <w:rStyle w:val="Hyperlink"/>
          <w:b w:val="0"/>
          <w:noProof/>
          <w:u w:val="none"/>
        </w:rPr>
        <w:t>What is this inquiry about?</w:t>
      </w:r>
      <w:r w:rsidRPr="009D070D">
        <w:rPr>
          <w:b w:val="0"/>
          <w:noProof/>
          <w:webHidden/>
        </w:rPr>
        <w:tab/>
      </w:r>
      <w:r w:rsidR="00CB6A36" w:rsidRPr="009D070D">
        <w:rPr>
          <w:b w:val="0"/>
          <w:noProof/>
          <w:webHidden/>
        </w:rPr>
        <w:t>1</w:t>
      </w:r>
    </w:p>
    <w:p w:rsidR="00B96CC4" w:rsidRPr="009D070D" w:rsidRDefault="00B96CC4">
      <w:pPr>
        <w:pStyle w:val="TOC1"/>
        <w:rPr>
          <w:rFonts w:asciiTheme="minorHAnsi" w:eastAsiaTheme="minorEastAsia" w:hAnsiTheme="minorHAnsi" w:cstheme="minorBidi"/>
          <w:b w:val="0"/>
          <w:noProof/>
          <w:sz w:val="22"/>
          <w:szCs w:val="22"/>
          <w:lang w:eastAsia="en-AU"/>
        </w:rPr>
      </w:pPr>
      <w:r w:rsidRPr="009D070D">
        <w:rPr>
          <w:rStyle w:val="Hyperlink"/>
          <w:b w:val="0"/>
          <w:noProof/>
          <w:u w:val="none"/>
        </w:rPr>
        <w:t>2.</w:t>
      </w:r>
      <w:r w:rsidRPr="009D070D">
        <w:rPr>
          <w:rFonts w:asciiTheme="minorHAnsi" w:eastAsiaTheme="minorEastAsia" w:hAnsiTheme="minorHAnsi" w:cstheme="minorBidi"/>
          <w:b w:val="0"/>
          <w:noProof/>
          <w:sz w:val="22"/>
          <w:szCs w:val="22"/>
          <w:lang w:eastAsia="en-AU"/>
        </w:rPr>
        <w:tab/>
      </w:r>
      <w:r w:rsidRPr="009D070D">
        <w:rPr>
          <w:rStyle w:val="Hyperlink"/>
          <w:b w:val="0"/>
          <w:noProof/>
          <w:u w:val="none"/>
        </w:rPr>
        <w:t>Assessment approach</w:t>
      </w:r>
      <w:r w:rsidRPr="009D070D">
        <w:rPr>
          <w:b w:val="0"/>
          <w:noProof/>
          <w:webHidden/>
        </w:rPr>
        <w:tab/>
      </w:r>
      <w:r w:rsidR="00CB6A36" w:rsidRPr="009D070D">
        <w:rPr>
          <w:b w:val="0"/>
          <w:noProof/>
          <w:webHidden/>
        </w:rPr>
        <w:t>7</w:t>
      </w:r>
    </w:p>
    <w:p w:rsidR="00B96CC4" w:rsidRPr="009D070D" w:rsidRDefault="00B96CC4">
      <w:pPr>
        <w:pStyle w:val="TOC1"/>
        <w:rPr>
          <w:rFonts w:asciiTheme="minorHAnsi" w:eastAsiaTheme="minorEastAsia" w:hAnsiTheme="minorHAnsi" w:cstheme="minorBidi"/>
          <w:b w:val="0"/>
          <w:noProof/>
          <w:sz w:val="22"/>
          <w:szCs w:val="22"/>
          <w:lang w:eastAsia="en-AU"/>
        </w:rPr>
      </w:pPr>
      <w:r w:rsidRPr="009D070D">
        <w:rPr>
          <w:rStyle w:val="Hyperlink"/>
          <w:b w:val="0"/>
          <w:noProof/>
          <w:u w:val="none"/>
        </w:rPr>
        <w:t>3.</w:t>
      </w:r>
      <w:r w:rsidRPr="009D070D">
        <w:rPr>
          <w:rFonts w:asciiTheme="minorHAnsi" w:eastAsiaTheme="minorEastAsia" w:hAnsiTheme="minorHAnsi" w:cstheme="minorBidi"/>
          <w:b w:val="0"/>
          <w:noProof/>
          <w:sz w:val="22"/>
          <w:szCs w:val="22"/>
          <w:lang w:eastAsia="en-AU"/>
        </w:rPr>
        <w:tab/>
      </w:r>
      <w:r w:rsidRPr="009D070D">
        <w:rPr>
          <w:rStyle w:val="Hyperlink"/>
          <w:b w:val="0"/>
          <w:noProof/>
          <w:u w:val="none"/>
        </w:rPr>
        <w:t>Contributing components to mental health and wellbeing</w:t>
      </w:r>
      <w:r w:rsidRPr="009D070D">
        <w:rPr>
          <w:b w:val="0"/>
          <w:noProof/>
          <w:webHidden/>
        </w:rPr>
        <w:tab/>
      </w:r>
      <w:r w:rsidR="00CB6A36" w:rsidRPr="009D070D">
        <w:rPr>
          <w:b w:val="0"/>
          <w:noProof/>
          <w:webHidden/>
        </w:rPr>
        <w:t>11</w:t>
      </w:r>
    </w:p>
    <w:p w:rsidR="00B96CC4" w:rsidRPr="009D070D" w:rsidRDefault="00B96CC4">
      <w:pPr>
        <w:pStyle w:val="TOC1"/>
        <w:rPr>
          <w:rFonts w:asciiTheme="minorHAnsi" w:eastAsiaTheme="minorEastAsia" w:hAnsiTheme="minorHAnsi" w:cstheme="minorBidi"/>
          <w:b w:val="0"/>
          <w:noProof/>
          <w:sz w:val="22"/>
          <w:szCs w:val="22"/>
          <w:lang w:eastAsia="en-AU"/>
        </w:rPr>
      </w:pPr>
      <w:r w:rsidRPr="009D070D">
        <w:rPr>
          <w:rStyle w:val="Hyperlink"/>
          <w:b w:val="0"/>
          <w:noProof/>
          <w:u w:val="none"/>
        </w:rPr>
        <w:t>4.</w:t>
      </w:r>
      <w:r w:rsidRPr="009D070D">
        <w:rPr>
          <w:rFonts w:asciiTheme="minorHAnsi" w:eastAsiaTheme="minorEastAsia" w:hAnsiTheme="minorHAnsi" w:cstheme="minorBidi"/>
          <w:b w:val="0"/>
          <w:noProof/>
          <w:sz w:val="22"/>
          <w:szCs w:val="22"/>
          <w:lang w:eastAsia="en-AU"/>
        </w:rPr>
        <w:tab/>
      </w:r>
      <w:r w:rsidRPr="009D070D">
        <w:rPr>
          <w:rStyle w:val="Hyperlink"/>
          <w:b w:val="0"/>
          <w:noProof/>
          <w:u w:val="none"/>
        </w:rPr>
        <w:t>Framework to enhance mental health and improve participation and workforce contribution</w:t>
      </w:r>
      <w:r w:rsidRPr="009D070D">
        <w:rPr>
          <w:b w:val="0"/>
          <w:noProof/>
          <w:webHidden/>
        </w:rPr>
        <w:tab/>
      </w:r>
      <w:r w:rsidR="00CB6A36" w:rsidRPr="009D070D">
        <w:rPr>
          <w:b w:val="0"/>
          <w:noProof/>
          <w:webHidden/>
        </w:rPr>
        <w:t>31</w:t>
      </w:r>
    </w:p>
    <w:p w:rsidR="00B96CC4" w:rsidRPr="009D070D" w:rsidRDefault="00B96CC4" w:rsidP="00661502">
      <w:pPr>
        <w:pStyle w:val="TOC1"/>
        <w:spacing w:before="240"/>
        <w:rPr>
          <w:rFonts w:asciiTheme="minorHAnsi" w:eastAsiaTheme="minorEastAsia" w:hAnsiTheme="minorHAnsi" w:cstheme="minorBidi"/>
          <w:b w:val="0"/>
          <w:noProof/>
          <w:sz w:val="22"/>
          <w:szCs w:val="22"/>
          <w:lang w:eastAsia="en-AU"/>
        </w:rPr>
      </w:pPr>
      <w:r w:rsidRPr="009D070D">
        <w:rPr>
          <w:rStyle w:val="Hyperlink"/>
          <w:b w:val="0"/>
          <w:noProof/>
          <w:u w:val="none"/>
        </w:rPr>
        <w:t>References</w:t>
      </w:r>
      <w:r w:rsidRPr="009D070D">
        <w:rPr>
          <w:b w:val="0"/>
          <w:noProof/>
          <w:webHidden/>
        </w:rPr>
        <w:tab/>
      </w:r>
      <w:r w:rsidR="00296753" w:rsidRPr="009D070D">
        <w:rPr>
          <w:b w:val="0"/>
          <w:noProof/>
          <w:webHidden/>
        </w:rPr>
        <w:t>3</w:t>
      </w:r>
      <w:r w:rsidR="009D070D">
        <w:rPr>
          <w:b w:val="0"/>
          <w:noProof/>
          <w:webHidden/>
        </w:rPr>
        <w:t>9</w:t>
      </w:r>
    </w:p>
    <w:p w:rsidR="00D96622" w:rsidRPr="009D070D" w:rsidRDefault="00B96CC4" w:rsidP="00661502">
      <w:pPr>
        <w:pStyle w:val="TOC1"/>
        <w:spacing w:before="240"/>
        <w:rPr>
          <w:b w:val="0"/>
        </w:rPr>
      </w:pPr>
      <w:r w:rsidRPr="009D070D">
        <w:rPr>
          <w:rStyle w:val="Hyperlink"/>
          <w:b w:val="0"/>
          <w:noProof/>
          <w:u w:val="none"/>
        </w:rPr>
        <w:t>Attachment A: How to make a submission or online comment</w:t>
      </w:r>
      <w:r w:rsidRPr="009D070D">
        <w:rPr>
          <w:b w:val="0"/>
          <w:noProof/>
          <w:webHidden/>
        </w:rPr>
        <w:tab/>
      </w:r>
      <w:r w:rsidR="00CB6A36" w:rsidRPr="009D070D">
        <w:rPr>
          <w:b w:val="0"/>
          <w:noProof/>
          <w:webHidden/>
        </w:rPr>
        <w:t>47</w:t>
      </w:r>
    </w:p>
    <w:p w:rsidR="001A466F" w:rsidRPr="009D070D" w:rsidRDefault="001A466F" w:rsidP="00D96622">
      <w:pPr>
        <w:pStyle w:val="BodyText"/>
      </w:pPr>
    </w:p>
    <w:p w:rsidR="00D96622" w:rsidRPr="009D070D" w:rsidRDefault="00D96622" w:rsidP="00D96622">
      <w:pPr>
        <w:pStyle w:val="BodyText"/>
        <w:sectPr w:rsidR="00D96622" w:rsidRPr="009D070D" w:rsidSect="00634E20">
          <w:headerReference w:type="even" r:id="rId19"/>
          <w:headerReference w:type="default" r:id="rId20"/>
          <w:footerReference w:type="even" r:id="rId21"/>
          <w:footerReference w:type="default" r:id="rId22"/>
          <w:headerReference w:type="first" r:id="rId23"/>
          <w:pgSz w:w="11907" w:h="16840" w:code="9"/>
          <w:pgMar w:top="1985" w:right="1304" w:bottom="1247" w:left="1814" w:header="1701" w:footer="397" w:gutter="0"/>
          <w:pgNumType w:fmt="lowerRoman" w:chapSep="period"/>
          <w:cols w:space="720"/>
        </w:sectPr>
      </w:pPr>
    </w:p>
    <w:p w:rsidR="00D3313F" w:rsidRDefault="00CB6A36" w:rsidP="004666BB">
      <w:pPr>
        <w:pStyle w:val="Heading2"/>
        <w:spacing w:before="360"/>
      </w:pPr>
      <w:bookmarkStart w:id="7" w:name="_Toc520279309"/>
      <w:bookmarkStart w:id="8" w:name="_Toc528902908"/>
      <w:bookmarkStart w:id="9" w:name="_Toc529979214"/>
      <w:bookmarkStart w:id="10" w:name="_Toc530993232"/>
      <w:bookmarkStart w:id="11" w:name="_Toc534966411"/>
      <w:bookmarkStart w:id="12" w:name="_Toc535242302"/>
      <w:r>
        <w:rPr>
          <w:noProof/>
        </w:rPr>
        <w:lastRenderedPageBreak/>
        <w:t>1</w:t>
      </w:r>
      <w:r w:rsidR="004E4AC4">
        <w:rPr>
          <w:noProof/>
        </w:rPr>
        <w:t>.</w:t>
      </w:r>
      <w:r w:rsidR="004E4AC4">
        <w:tab/>
        <w:t xml:space="preserve">What </w:t>
      </w:r>
      <w:r w:rsidR="002A26B2">
        <w:t>is</w:t>
      </w:r>
      <w:r w:rsidR="004E4AC4">
        <w:t xml:space="preserve"> </w:t>
      </w:r>
      <w:r w:rsidR="002A26B2">
        <w:t xml:space="preserve">this </w:t>
      </w:r>
      <w:r w:rsidR="004E4AC4">
        <w:t>inquiry about</w:t>
      </w:r>
      <w:bookmarkEnd w:id="7"/>
      <w:r w:rsidR="002A26B2">
        <w:t>?</w:t>
      </w:r>
      <w:bookmarkEnd w:id="8"/>
      <w:bookmarkEnd w:id="9"/>
      <w:bookmarkEnd w:id="10"/>
      <w:bookmarkEnd w:id="11"/>
      <w:bookmarkEnd w:id="12"/>
    </w:p>
    <w:p w:rsidR="002B425C" w:rsidRDefault="00EE597A" w:rsidP="002B425C">
      <w:pPr>
        <w:pStyle w:val="BodyText"/>
      </w:pPr>
      <w:r>
        <w:t>Many</w:t>
      </w:r>
      <w:r w:rsidR="00511D87" w:rsidRPr="005104C1">
        <w:t xml:space="preserve"> Australians experience difficulties with their mental health</w:t>
      </w:r>
      <w:r w:rsidR="00291A7B">
        <w:t xml:space="preserve">. </w:t>
      </w:r>
      <w:r w:rsidR="00F05202">
        <w:t xml:space="preserve">Mental illness is the single largest contributor to years lived in ill-health and is the third largest contributor (after cancer and cardiovascular conditions) to a reduction in the total years of healthy life for Australians </w:t>
      </w:r>
      <w:r w:rsidR="00854FF1" w:rsidRPr="00854FF1">
        <w:rPr>
          <w:szCs w:val="24"/>
        </w:rPr>
        <w:t>(AIHW 2016)</w:t>
      </w:r>
      <w:r w:rsidR="00DA33C3">
        <w:t xml:space="preserve">. </w:t>
      </w:r>
      <w:r w:rsidR="00C124AC">
        <w:t>A</w:t>
      </w:r>
      <w:r w:rsidR="00511D87" w:rsidRPr="005104C1">
        <w:t xml:space="preserve">lmost half of all </w:t>
      </w:r>
      <w:r w:rsidR="0018104E">
        <w:t xml:space="preserve">Australian </w:t>
      </w:r>
      <w:r w:rsidR="00511D87" w:rsidRPr="005104C1">
        <w:t xml:space="preserve">adults have met the diagnostic criteria for an anxiety, </w:t>
      </w:r>
      <w:r w:rsidR="009D19FE">
        <w:t>mood</w:t>
      </w:r>
      <w:r w:rsidR="009D19FE" w:rsidRPr="005104C1">
        <w:t xml:space="preserve"> </w:t>
      </w:r>
      <w:r w:rsidR="00511D87" w:rsidRPr="005104C1">
        <w:t>or substance use disorder at some point in their lives</w:t>
      </w:r>
      <w:r w:rsidR="00B56862">
        <w:t>,</w:t>
      </w:r>
      <w:r>
        <w:t xml:space="preserve"> </w:t>
      </w:r>
      <w:r w:rsidR="00546EA4">
        <w:t>and around 20% will meet the criteria in a given year</w:t>
      </w:r>
      <w:r w:rsidR="00546EA4" w:rsidRPr="005104C1">
        <w:t xml:space="preserve"> </w:t>
      </w:r>
      <w:r w:rsidR="00854FF1" w:rsidRPr="00854FF1">
        <w:rPr>
          <w:szCs w:val="24"/>
        </w:rPr>
        <w:t>(ABS 2008)</w:t>
      </w:r>
      <w:r w:rsidR="00511D87" w:rsidRPr="005104C1">
        <w:t>.</w:t>
      </w:r>
      <w:r w:rsidR="00B5475F">
        <w:t xml:space="preserve"> </w:t>
      </w:r>
      <w:r w:rsidR="002B425C">
        <w:t xml:space="preserve">This is similar to the average experience of developed countries </w:t>
      </w:r>
      <w:r w:rsidR="00854FF1" w:rsidRPr="00854FF1">
        <w:rPr>
          <w:szCs w:val="24"/>
        </w:rPr>
        <w:t>(OECD 2012, 2014)</w:t>
      </w:r>
      <w:r w:rsidR="002B425C">
        <w:t>.</w:t>
      </w:r>
    </w:p>
    <w:p w:rsidR="00856944" w:rsidRDefault="00856944" w:rsidP="00F10E26">
      <w:pPr>
        <w:pStyle w:val="BodyText"/>
      </w:pPr>
      <w:r>
        <w:t xml:space="preserve">Despite a plethora of past reviews and inquiries into mental health in Australia, and positive reforms in services and their delivery, many people are still not getting the support they need to maintain good mental health </w:t>
      </w:r>
      <w:r w:rsidR="00EC7B8D">
        <w:t>or</w:t>
      </w:r>
      <w:r>
        <w:t xml:space="preserve"> recover from episodes of mental ill</w:t>
      </w:r>
      <w:r>
        <w:noBreakHyphen/>
        <w:t xml:space="preserve">health. Mental health </w:t>
      </w:r>
      <w:r w:rsidR="0053356E">
        <w:t>in</w:t>
      </w:r>
      <w:r>
        <w:t xml:space="preserve"> Australia is characterised by:</w:t>
      </w:r>
    </w:p>
    <w:p w:rsidR="00324308" w:rsidRDefault="000A1A7F" w:rsidP="00324308">
      <w:pPr>
        <w:pStyle w:val="ListBullet"/>
      </w:pPr>
      <w:r>
        <w:t>more than 3</w:t>
      </w:r>
      <w:r w:rsidR="00AF15A4">
        <w:t> </w:t>
      </w:r>
      <w:r>
        <w:t xml:space="preserve">100 </w:t>
      </w:r>
      <w:r w:rsidR="00324308">
        <w:t xml:space="preserve">deaths </w:t>
      </w:r>
      <w:r w:rsidR="00AF15A4">
        <w:t>from</w:t>
      </w:r>
      <w:r w:rsidR="00324308">
        <w:t xml:space="preserve"> suicide in 2017, an average of </w:t>
      </w:r>
      <w:r w:rsidR="003103B9">
        <w:t>almost 9</w:t>
      </w:r>
      <w:r w:rsidR="00324308">
        <w:t xml:space="preserve"> deaths per day, </w:t>
      </w:r>
      <w:r w:rsidR="00183AC8">
        <w:t xml:space="preserve">and a suicide </w:t>
      </w:r>
      <w:r w:rsidR="00324308">
        <w:t xml:space="preserve">rate for </w:t>
      </w:r>
      <w:r w:rsidR="005B7CA3">
        <w:t xml:space="preserve">Indigenous Australians </w:t>
      </w:r>
      <w:r w:rsidR="00E010EF">
        <w:t>that</w:t>
      </w:r>
      <w:r w:rsidR="00183AC8">
        <w:t xml:space="preserve"> </w:t>
      </w:r>
      <w:r w:rsidR="00092015">
        <w:t>i</w:t>
      </w:r>
      <w:r w:rsidR="00183AC8">
        <w:t xml:space="preserve">s </w:t>
      </w:r>
      <w:r w:rsidR="00404104">
        <w:t xml:space="preserve">much </w:t>
      </w:r>
      <w:r w:rsidR="00324308">
        <w:t>high</w:t>
      </w:r>
      <w:r w:rsidR="00404104">
        <w:t>er than</w:t>
      </w:r>
      <w:r w:rsidR="009A66F3">
        <w:t xml:space="preserve"> </w:t>
      </w:r>
      <w:r w:rsidR="00404104">
        <w:t xml:space="preserve">for </w:t>
      </w:r>
      <w:r w:rsidR="009108BD">
        <w:t>other</w:t>
      </w:r>
      <w:r w:rsidR="00324308">
        <w:t xml:space="preserve"> </w:t>
      </w:r>
      <w:r w:rsidR="00E11846">
        <w:t>A</w:t>
      </w:r>
      <w:r w:rsidR="00324308">
        <w:t>ustralians</w:t>
      </w:r>
      <w:r w:rsidR="009471B5">
        <w:t xml:space="preserve"> </w:t>
      </w:r>
      <w:r w:rsidR="00854FF1" w:rsidRPr="00854FF1">
        <w:rPr>
          <w:szCs w:val="24"/>
        </w:rPr>
        <w:t>(ABS 2018)</w:t>
      </w:r>
      <w:r w:rsidR="008A46ED">
        <w:t xml:space="preserve"> </w:t>
      </w:r>
    </w:p>
    <w:p w:rsidR="00324308" w:rsidRDefault="00324308" w:rsidP="00324308">
      <w:pPr>
        <w:pStyle w:val="ListBullet"/>
      </w:pPr>
      <w:r>
        <w:t xml:space="preserve">for those living with a mental illness, lower </w:t>
      </w:r>
      <w:r w:rsidR="00E11846">
        <w:t>average</w:t>
      </w:r>
      <w:r>
        <w:t xml:space="preserve"> life expectancy than </w:t>
      </w:r>
      <w:r w:rsidR="00E11846">
        <w:t xml:space="preserve">the </w:t>
      </w:r>
      <w:r>
        <w:t xml:space="preserve">general population with significant comorbidity issues — most early deaths of psychiatric patients </w:t>
      </w:r>
      <w:r w:rsidR="00E11846">
        <w:t xml:space="preserve">are </w:t>
      </w:r>
      <w:r>
        <w:t>due to physical health conditions</w:t>
      </w:r>
    </w:p>
    <w:p w:rsidR="00324308" w:rsidRDefault="00324308" w:rsidP="00324308">
      <w:pPr>
        <w:pStyle w:val="ListBullet"/>
      </w:pPr>
      <w:r>
        <w:t xml:space="preserve">gaps in </w:t>
      </w:r>
      <w:r w:rsidR="00F05202">
        <w:t xml:space="preserve">services and supports </w:t>
      </w:r>
      <w:r>
        <w:t>for particular demographic groups</w:t>
      </w:r>
      <w:r w:rsidR="00303DC5">
        <w:t xml:space="preserve">, such as </w:t>
      </w:r>
      <w:r>
        <w:t>youth</w:t>
      </w:r>
      <w:r w:rsidR="00303DC5">
        <w:t>,</w:t>
      </w:r>
      <w:r>
        <w:t xml:space="preserve"> elderly </w:t>
      </w:r>
      <w:r w:rsidR="00E11846">
        <w:t xml:space="preserve">people </w:t>
      </w:r>
      <w:r>
        <w:t>in aged care facilities</w:t>
      </w:r>
      <w:r w:rsidR="00303DC5">
        <w:t>,</w:t>
      </w:r>
      <w:r>
        <w:t xml:space="preserve"> </w:t>
      </w:r>
      <w:r w:rsidR="005B7CA3">
        <w:t>Indigenous Australians</w:t>
      </w:r>
      <w:r w:rsidR="00303DC5">
        <w:t>,</w:t>
      </w:r>
      <w:r>
        <w:t xml:space="preserve"> </w:t>
      </w:r>
      <w:r w:rsidR="00303DC5">
        <w:t>individuals</w:t>
      </w:r>
      <w:r w:rsidR="00CC4EE4">
        <w:t xml:space="preserve"> </w:t>
      </w:r>
      <w:r w:rsidR="00F50F0E">
        <w:t>from</w:t>
      </w:r>
      <w:r w:rsidR="00CC4EE4">
        <w:t xml:space="preserve"> culturally </w:t>
      </w:r>
      <w:r w:rsidR="00F50F0E">
        <w:t>diverse</w:t>
      </w:r>
      <w:r w:rsidR="00CC4EE4">
        <w:t xml:space="preserve"> background</w:t>
      </w:r>
      <w:r w:rsidR="00F50F0E">
        <w:t>s</w:t>
      </w:r>
      <w:r w:rsidR="00303DC5">
        <w:t>,</w:t>
      </w:r>
      <w:r>
        <w:t xml:space="preserve"> </w:t>
      </w:r>
      <w:r w:rsidR="00CC4EE4">
        <w:t xml:space="preserve">and </w:t>
      </w:r>
      <w:r>
        <w:t xml:space="preserve">carers of </w:t>
      </w:r>
      <w:r w:rsidR="00303DC5">
        <w:t xml:space="preserve">people </w:t>
      </w:r>
      <w:r>
        <w:t xml:space="preserve">with </w:t>
      </w:r>
      <w:r w:rsidR="00303DC5">
        <w:t xml:space="preserve">a </w:t>
      </w:r>
      <w:r>
        <w:t>mental illness</w:t>
      </w:r>
    </w:p>
    <w:p w:rsidR="00324308" w:rsidRDefault="00EC7B8D" w:rsidP="00324308">
      <w:pPr>
        <w:pStyle w:val="ListBullet"/>
      </w:pPr>
      <w:r>
        <w:t xml:space="preserve">a </w:t>
      </w:r>
      <w:r w:rsidR="00324308">
        <w:t xml:space="preserve">lack of continuity in care across services and for those with episodic conditions who may need services and supports </w:t>
      </w:r>
      <w:r w:rsidR="00084280">
        <w:t>on an irregular or non-continuous basis</w:t>
      </w:r>
    </w:p>
    <w:p w:rsidR="00324308" w:rsidRDefault="00F00775" w:rsidP="00324308">
      <w:pPr>
        <w:pStyle w:val="ListBullet"/>
      </w:pPr>
      <w:r>
        <w:t>a variety of</w:t>
      </w:r>
      <w:r w:rsidR="00324308">
        <w:t xml:space="preserve"> programs and supports </w:t>
      </w:r>
      <w:r w:rsidR="00CC4EE4">
        <w:t xml:space="preserve">that have been </w:t>
      </w:r>
      <w:r>
        <w:t xml:space="preserve">successfully </w:t>
      </w:r>
      <w:r w:rsidR="00324308">
        <w:t xml:space="preserve">trialled or undertaken </w:t>
      </w:r>
      <w:r w:rsidR="00CC4EE4">
        <w:t>for</w:t>
      </w:r>
      <w:r w:rsidR="00324308">
        <w:t xml:space="preserve"> small populations but </w:t>
      </w:r>
      <w:r w:rsidR="00CC4EE4">
        <w:t>have been dis</w:t>
      </w:r>
      <w:r w:rsidR="00324308">
        <w:t xml:space="preserve">continued or </w:t>
      </w:r>
      <w:r w:rsidR="00CC4EE4">
        <w:t>proved difficult to scale</w:t>
      </w:r>
      <w:r w:rsidR="00324308">
        <w:t xml:space="preserve"> up </w:t>
      </w:r>
      <w:r w:rsidR="00CC4EE4">
        <w:t>for</w:t>
      </w:r>
      <w:r w:rsidR="00324308">
        <w:t xml:space="preserve"> broader benefits</w:t>
      </w:r>
    </w:p>
    <w:p w:rsidR="00324308" w:rsidRDefault="00324308" w:rsidP="00324308">
      <w:pPr>
        <w:pStyle w:val="ListBullet"/>
      </w:pPr>
      <w:r>
        <w:t xml:space="preserve">significant stigma and discrimination </w:t>
      </w:r>
      <w:r w:rsidR="00CC4EE4">
        <w:t>around mental ill-health, particularly compared with physical ill</w:t>
      </w:r>
      <w:r w:rsidR="000213DB">
        <w:t>ness</w:t>
      </w:r>
      <w:r w:rsidR="00CC4EE4">
        <w:t>.</w:t>
      </w:r>
    </w:p>
    <w:p w:rsidR="00D150EF" w:rsidRDefault="007B278F" w:rsidP="00D150EF">
      <w:pPr>
        <w:pStyle w:val="BodyText"/>
      </w:pPr>
      <w:r>
        <w:t>T</w:t>
      </w:r>
      <w:r w:rsidRPr="00857DD4">
        <w:t xml:space="preserve">he Productivity Commission </w:t>
      </w:r>
      <w:r>
        <w:t>has been asked to undertake</w:t>
      </w:r>
      <w:r w:rsidRPr="00857DD4">
        <w:t xml:space="preserve"> a</w:t>
      </w:r>
      <w:r w:rsidR="00954318">
        <w:t>n</w:t>
      </w:r>
      <w:r w:rsidRPr="00857DD4">
        <w:t xml:space="preserve"> inquiry into the role of mental health in supporting social and economic participation, and enhancing productivity and economic growth (these terms are </w:t>
      </w:r>
      <w:r w:rsidR="00BA0A46">
        <w:t>defined</w:t>
      </w:r>
      <w:r w:rsidR="0053356E">
        <w:t>, for the purpose of this inquiry,</w:t>
      </w:r>
      <w:r w:rsidRPr="00857DD4">
        <w:t xml:space="preserve"> in </w:t>
      </w:r>
      <w:r w:rsidRPr="00976B2F">
        <w:t>box 1</w:t>
      </w:r>
      <w:r w:rsidRPr="00857DD4">
        <w:t>).</w:t>
      </w:r>
      <w:r w:rsidRPr="00002C78">
        <w:t xml:space="preserve"> </w:t>
      </w:r>
      <w:r w:rsidR="00F10E26">
        <w:t xml:space="preserve">By examining mental health from a participation and </w:t>
      </w:r>
      <w:r w:rsidR="000E08C2">
        <w:t>contribution</w:t>
      </w:r>
      <w:r w:rsidR="00F10E26">
        <w:t xml:space="preserve"> perspective, this inquiry will essentially be asking how people can be enabled to reach their potential in life, have purpose and meaning, and contribute to the lives of others. That is good for individuals and for the whole community</w:t>
      </w:r>
      <w:r w:rsidR="00D150EF">
        <w:t xml:space="preserve">. </w:t>
      </w:r>
    </w:p>
    <w:p w:rsidR="004666BB" w:rsidRDefault="004666BB" w:rsidP="004666B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6BB" w:rsidRPr="00F66D78" w:rsidTr="007529A1">
        <w:trPr>
          <w:cantSplit/>
        </w:trPr>
        <w:tc>
          <w:tcPr>
            <w:tcW w:w="5000" w:type="pct"/>
            <w:tcBorders>
              <w:top w:val="single" w:sz="6" w:space="0" w:color="78A22F"/>
              <w:left w:val="nil"/>
              <w:bottom w:val="nil"/>
              <w:right w:val="nil"/>
            </w:tcBorders>
            <w:shd w:val="clear" w:color="auto" w:fill="F2F2F2"/>
          </w:tcPr>
          <w:p w:rsidR="004666BB" w:rsidRPr="00F66D78" w:rsidRDefault="004666BB" w:rsidP="007529A1">
            <w:pPr>
              <w:pStyle w:val="BoxTitle"/>
              <w:rPr>
                <w:color w:val="000000" w:themeColor="text1"/>
              </w:rPr>
            </w:pPr>
            <w:r w:rsidRPr="00F66D78">
              <w:rPr>
                <w:b w:val="0"/>
                <w:color w:val="000000" w:themeColor="text1"/>
              </w:rPr>
              <w:t xml:space="preserve">Box </w:t>
            </w:r>
            <w:r w:rsidR="00CB6A36">
              <w:rPr>
                <w:b w:val="0"/>
                <w:noProof/>
              </w:rPr>
              <w:t>1</w:t>
            </w:r>
            <w:r w:rsidRPr="00F66D78">
              <w:rPr>
                <w:color w:val="000000" w:themeColor="text1"/>
              </w:rPr>
              <w:tab/>
              <w:t>Definition of key terms</w:t>
            </w:r>
          </w:p>
        </w:tc>
      </w:tr>
      <w:tr w:rsidR="004666BB" w:rsidRPr="00F66D78" w:rsidTr="007529A1">
        <w:trPr>
          <w:cantSplit/>
        </w:trPr>
        <w:tc>
          <w:tcPr>
            <w:tcW w:w="5000" w:type="pct"/>
            <w:tcBorders>
              <w:top w:val="nil"/>
              <w:left w:val="nil"/>
              <w:bottom w:val="nil"/>
              <w:right w:val="nil"/>
            </w:tcBorders>
            <w:shd w:val="clear" w:color="auto" w:fill="F2F2F2"/>
          </w:tcPr>
          <w:p w:rsidR="004666BB" w:rsidRDefault="004666BB" w:rsidP="007529A1">
            <w:pPr>
              <w:pStyle w:val="Box"/>
              <w:rPr>
                <w:color w:val="000000" w:themeColor="text1"/>
              </w:rPr>
            </w:pPr>
            <w:r w:rsidRPr="00F66D78">
              <w:rPr>
                <w:b/>
                <w:color w:val="000000" w:themeColor="text1"/>
              </w:rPr>
              <w:t>Mental health</w:t>
            </w:r>
            <w:r w:rsidRPr="00F66D78">
              <w:rPr>
                <w:color w:val="000000" w:themeColor="text1"/>
              </w:rPr>
              <w:t xml:space="preserve"> is </w:t>
            </w:r>
            <w:r>
              <w:rPr>
                <w:color w:val="000000" w:themeColor="text1"/>
              </w:rPr>
              <w:t xml:space="preserve">a state of </w:t>
            </w:r>
            <w:r w:rsidR="00446D21">
              <w:rPr>
                <w:color w:val="000000" w:themeColor="text1"/>
              </w:rPr>
              <w:t>well</w:t>
            </w:r>
            <w:r>
              <w:rPr>
                <w:color w:val="000000" w:themeColor="text1"/>
              </w:rPr>
              <w:t>being in which every individual realises his or her own potential, can cope with the normal stresses of life, can work productively and fruitfully, and is able to make a contribution to his or her community</w:t>
            </w:r>
            <w:r w:rsidRPr="00F66D78">
              <w:rPr>
                <w:color w:val="000000" w:themeColor="text1"/>
              </w:rPr>
              <w:t xml:space="preserve">. </w:t>
            </w:r>
          </w:p>
          <w:p w:rsidR="00F360E9" w:rsidRDefault="00F360E9" w:rsidP="00F360E9">
            <w:pPr>
              <w:pStyle w:val="Box"/>
              <w:rPr>
                <w:color w:val="000000" w:themeColor="text1"/>
              </w:rPr>
            </w:pPr>
            <w:r w:rsidRPr="00F66D78">
              <w:rPr>
                <w:b/>
                <w:color w:val="000000" w:themeColor="text1"/>
              </w:rPr>
              <w:t>Mental illness</w:t>
            </w:r>
            <w:r w:rsidRPr="00F66D78">
              <w:rPr>
                <w:color w:val="000000" w:themeColor="text1"/>
              </w:rPr>
              <w:t xml:space="preserve"> </w:t>
            </w:r>
            <w:r>
              <w:rPr>
                <w:color w:val="000000" w:themeColor="text1"/>
              </w:rPr>
              <w:t xml:space="preserve">or </w:t>
            </w:r>
            <w:r w:rsidRPr="00F126D5">
              <w:rPr>
                <w:b/>
                <w:color w:val="000000" w:themeColor="text1"/>
              </w:rPr>
              <w:t>mental disorder</w:t>
            </w:r>
            <w:r>
              <w:rPr>
                <w:color w:val="000000" w:themeColor="text1"/>
              </w:rPr>
              <w:t xml:space="preserve"> </w:t>
            </w:r>
            <w:r w:rsidRPr="007E0388">
              <w:rPr>
                <w:color w:val="000000" w:themeColor="text1"/>
              </w:rPr>
              <w:t>is a health problem that significantly affects how a person feels, thinks, behaves and interacts with other people. It is diagnosed according to standardised criteria</w:t>
            </w:r>
            <w:r w:rsidRPr="00F66D78">
              <w:rPr>
                <w:color w:val="000000" w:themeColor="text1"/>
              </w:rPr>
              <w:t>.</w:t>
            </w:r>
          </w:p>
          <w:p w:rsidR="00F360E9" w:rsidRPr="00F126D5" w:rsidRDefault="00F360E9" w:rsidP="00F360E9">
            <w:pPr>
              <w:pStyle w:val="Box"/>
            </w:pPr>
            <w:r>
              <w:rPr>
                <w:b/>
                <w:color w:val="000000" w:themeColor="text1"/>
              </w:rPr>
              <w:t>M</w:t>
            </w:r>
            <w:r w:rsidRPr="00C5034E">
              <w:rPr>
                <w:b/>
                <w:color w:val="000000" w:themeColor="text1"/>
              </w:rPr>
              <w:t>ental health</w:t>
            </w:r>
            <w:r w:rsidRPr="00F66D78">
              <w:rPr>
                <w:color w:val="000000" w:themeColor="text1"/>
              </w:rPr>
              <w:t xml:space="preserve"> </w:t>
            </w:r>
            <w:r w:rsidRPr="00B0004B">
              <w:rPr>
                <w:b/>
                <w:color w:val="000000" w:themeColor="text1"/>
              </w:rPr>
              <w:t>problem</w:t>
            </w:r>
            <w:r>
              <w:rPr>
                <w:color w:val="000000" w:themeColor="text1"/>
              </w:rPr>
              <w:t xml:space="preserve"> refers to</w:t>
            </w:r>
            <w:r w:rsidRPr="00F9236F">
              <w:rPr>
                <w:color w:val="000000" w:themeColor="text1"/>
              </w:rPr>
              <w:t xml:space="preserve"> some combination of diminished cognitive, emotional, behavioural and social abilities, but not to the extent of meeting the criteria for a mental illness</w:t>
            </w:r>
            <w:r>
              <w:rPr>
                <w:color w:val="000000" w:themeColor="text1"/>
              </w:rPr>
              <w:t>/</w:t>
            </w:r>
            <w:r w:rsidRPr="00F9236F">
              <w:rPr>
                <w:color w:val="000000" w:themeColor="text1"/>
              </w:rPr>
              <w:t>disorder</w:t>
            </w:r>
            <w:r w:rsidRPr="00F126D5">
              <w:t>.</w:t>
            </w:r>
          </w:p>
          <w:p w:rsidR="00F360E9" w:rsidRPr="00976B2F" w:rsidRDefault="00F360E9" w:rsidP="00F360E9">
            <w:pPr>
              <w:pStyle w:val="Box"/>
            </w:pPr>
            <w:r w:rsidRPr="00B0004B">
              <w:rPr>
                <w:b/>
                <w:color w:val="000000" w:themeColor="text1"/>
              </w:rPr>
              <w:t>Mental ill-health</w:t>
            </w:r>
            <w:r w:rsidRPr="00F9236F">
              <w:rPr>
                <w:color w:val="000000" w:themeColor="text1"/>
              </w:rPr>
              <w:t xml:space="preserve"> refers to diminished mental health from either a mental illness/disorder or a mental </w:t>
            </w:r>
            <w:r>
              <w:rPr>
                <w:color w:val="000000" w:themeColor="text1"/>
              </w:rPr>
              <w:t>health problem.</w:t>
            </w:r>
          </w:p>
          <w:p w:rsidR="004666BB" w:rsidRPr="00976B2F" w:rsidRDefault="004666BB" w:rsidP="007529A1">
            <w:pPr>
              <w:pStyle w:val="Box"/>
            </w:pPr>
            <w:r w:rsidRPr="00F66D78">
              <w:rPr>
                <w:b/>
                <w:color w:val="000000" w:themeColor="text1"/>
              </w:rPr>
              <w:t>Social and economic participation</w:t>
            </w:r>
            <w:r w:rsidRPr="00F66D78">
              <w:rPr>
                <w:color w:val="000000" w:themeColor="text1"/>
              </w:rPr>
              <w:t xml:space="preserve"> </w:t>
            </w:r>
            <w:r w:rsidRPr="00F66D78">
              <w:t xml:space="preserve">refers to a range of ways in which people contribute to and have the resources, opportunities and capability to learn, work, engage with and have a voice in the community. Social participation can include social engagement, </w:t>
            </w:r>
            <w:r w:rsidRPr="00733400">
              <w:t>participation in decision making</w:t>
            </w:r>
            <w:r>
              <w:t>,</w:t>
            </w:r>
            <w:r w:rsidRPr="00733400">
              <w:t xml:space="preserve"> </w:t>
            </w:r>
            <w:r w:rsidRPr="00F66D78">
              <w:t xml:space="preserve">volunteering, </w:t>
            </w:r>
            <w:r>
              <w:t xml:space="preserve">and </w:t>
            </w:r>
            <w:r w:rsidRPr="00F66D78">
              <w:t xml:space="preserve">working with community organisations. Economic participation </w:t>
            </w:r>
            <w:r>
              <w:t xml:space="preserve">can </w:t>
            </w:r>
            <w:r w:rsidRPr="00F66D78">
              <w:t>include paid employment</w:t>
            </w:r>
            <w:r>
              <w:t xml:space="preserve"> (including self-employment)</w:t>
            </w:r>
            <w:r w:rsidRPr="00F66D78">
              <w:t>, training and education.</w:t>
            </w:r>
          </w:p>
          <w:p w:rsidR="004666BB" w:rsidRPr="00FA5A4A" w:rsidRDefault="004666BB" w:rsidP="007529A1">
            <w:pPr>
              <w:pStyle w:val="Box"/>
            </w:pPr>
            <w:r w:rsidRPr="00FA5A4A">
              <w:rPr>
                <w:b/>
                <w:color w:val="000000" w:themeColor="text1"/>
              </w:rPr>
              <w:t xml:space="preserve">Productivity </w:t>
            </w:r>
            <w:r w:rsidRPr="00FA5A4A">
              <w:t xml:space="preserve">measures how much people produce from a given amount of effort and </w:t>
            </w:r>
            <w:r>
              <w:t>resources</w:t>
            </w:r>
            <w:r w:rsidRPr="00FA5A4A">
              <w:t>. The greater their productivity, the higher their incomes and living standards will tend to be.</w:t>
            </w:r>
          </w:p>
          <w:p w:rsidR="004666BB" w:rsidRPr="00F66D78" w:rsidRDefault="004666BB" w:rsidP="007529A1">
            <w:pPr>
              <w:pStyle w:val="Box"/>
              <w:rPr>
                <w:color w:val="000000" w:themeColor="text1"/>
              </w:rPr>
            </w:pPr>
            <w:r w:rsidRPr="00F66D78">
              <w:rPr>
                <w:b/>
                <w:color w:val="000000" w:themeColor="text1"/>
              </w:rPr>
              <w:t>Economic growth</w:t>
            </w:r>
            <w:r w:rsidRPr="00F66D78">
              <w:rPr>
                <w:color w:val="000000" w:themeColor="text1"/>
              </w:rPr>
              <w:t xml:space="preserve"> is an increase in the </w:t>
            </w:r>
            <w:r>
              <w:rPr>
                <w:color w:val="000000" w:themeColor="text1"/>
              </w:rPr>
              <w:t>total value of goods and services produced in</w:t>
            </w:r>
            <w:r w:rsidRPr="00FF6A34">
              <w:rPr>
                <w:color w:val="000000" w:themeColor="text1"/>
              </w:rPr>
              <w:t xml:space="preserve"> an economy. This can be achieved</w:t>
            </w:r>
            <w:r>
              <w:rPr>
                <w:color w:val="000000" w:themeColor="text1"/>
              </w:rPr>
              <w:t>, for example,</w:t>
            </w:r>
            <w:r w:rsidRPr="00FF6A34">
              <w:rPr>
                <w:color w:val="000000" w:themeColor="text1"/>
              </w:rPr>
              <w:t xml:space="preserve"> by </w:t>
            </w:r>
            <w:r>
              <w:rPr>
                <w:color w:val="000000" w:themeColor="text1"/>
              </w:rPr>
              <w:t>raising</w:t>
            </w:r>
            <w:r w:rsidRPr="00FF6A34">
              <w:rPr>
                <w:color w:val="000000" w:themeColor="text1"/>
              </w:rPr>
              <w:t xml:space="preserve"> </w:t>
            </w:r>
            <w:r>
              <w:rPr>
                <w:color w:val="000000" w:themeColor="text1"/>
              </w:rPr>
              <w:t xml:space="preserve">workforce participation and/or </w:t>
            </w:r>
            <w:r w:rsidRPr="00FF6A34">
              <w:rPr>
                <w:color w:val="000000" w:themeColor="text1"/>
              </w:rPr>
              <w:t>productivity.</w:t>
            </w:r>
          </w:p>
        </w:tc>
      </w:tr>
      <w:tr w:rsidR="004666BB" w:rsidRPr="00F66D78" w:rsidTr="007529A1">
        <w:trPr>
          <w:cantSplit/>
        </w:trPr>
        <w:tc>
          <w:tcPr>
            <w:tcW w:w="5000" w:type="pct"/>
            <w:tcBorders>
              <w:top w:val="nil"/>
              <w:left w:val="nil"/>
              <w:bottom w:val="nil"/>
              <w:right w:val="nil"/>
            </w:tcBorders>
            <w:shd w:val="clear" w:color="auto" w:fill="F2F2F2"/>
          </w:tcPr>
          <w:p w:rsidR="004666BB" w:rsidRPr="000D2B3F" w:rsidRDefault="004666BB" w:rsidP="007529A1">
            <w:pPr>
              <w:pStyle w:val="BoxSource"/>
              <w:rPr>
                <w:rFonts w:cs="Arial"/>
                <w:b/>
              </w:rPr>
            </w:pPr>
            <w:r w:rsidRPr="00F66D78">
              <w:rPr>
                <w:i/>
                <w:color w:val="000000" w:themeColor="text1"/>
              </w:rPr>
              <w:t>Sources</w:t>
            </w:r>
            <w:r w:rsidRPr="00F66D78">
              <w:rPr>
                <w:color w:val="000000" w:themeColor="text1"/>
              </w:rPr>
              <w:t xml:space="preserve">: AIHW </w:t>
            </w:r>
            <w:r w:rsidR="00854FF1" w:rsidRPr="00854FF1">
              <w:rPr>
                <w:rFonts w:cs="Arial"/>
              </w:rPr>
              <w:t>(2018b)</w:t>
            </w:r>
            <w:r w:rsidRPr="00F66D78">
              <w:rPr>
                <w:color w:val="000000" w:themeColor="text1"/>
              </w:rPr>
              <w:t xml:space="preserve">; </w:t>
            </w:r>
            <w:r w:rsidR="00820A30">
              <w:rPr>
                <w:color w:val="000000" w:themeColor="text1"/>
              </w:rPr>
              <w:t xml:space="preserve">DOHA </w:t>
            </w:r>
            <w:r w:rsidR="00854FF1" w:rsidRPr="00854FF1">
              <w:rPr>
                <w:rFonts w:cs="Arial"/>
              </w:rPr>
              <w:t>(2013)</w:t>
            </w:r>
            <w:r w:rsidR="00820A30">
              <w:rPr>
                <w:color w:val="000000" w:themeColor="text1"/>
              </w:rPr>
              <w:t xml:space="preserve">; </w:t>
            </w:r>
            <w:r w:rsidRPr="00F66D78">
              <w:rPr>
                <w:color w:val="000000" w:themeColor="text1"/>
              </w:rPr>
              <w:t xml:space="preserve">Gordon et al. </w:t>
            </w:r>
            <w:r w:rsidR="00854FF1" w:rsidRPr="00854FF1">
              <w:rPr>
                <w:rFonts w:cs="Arial"/>
              </w:rPr>
              <w:t>(2015)</w:t>
            </w:r>
            <w:r w:rsidRPr="00F66D78">
              <w:rPr>
                <w:color w:val="000000" w:themeColor="text1"/>
              </w:rPr>
              <w:t xml:space="preserve">; PC </w:t>
            </w:r>
            <w:r w:rsidR="00854FF1" w:rsidRPr="00854FF1">
              <w:rPr>
                <w:rFonts w:cs="Arial"/>
              </w:rPr>
              <w:t>(2013, 2016, 2017c)</w:t>
            </w:r>
            <w:r w:rsidRPr="00F66D78">
              <w:rPr>
                <w:color w:val="000000" w:themeColor="text1"/>
              </w:rPr>
              <w:t xml:space="preserve">; SCRGSP </w:t>
            </w:r>
            <w:r w:rsidR="00854FF1" w:rsidRPr="00854FF1">
              <w:rPr>
                <w:rFonts w:cs="Arial"/>
              </w:rPr>
              <w:t>(2018)</w:t>
            </w:r>
            <w:r>
              <w:rPr>
                <w:color w:val="000000" w:themeColor="text1"/>
              </w:rPr>
              <w:t xml:space="preserve">; </w:t>
            </w:r>
            <w:r w:rsidR="00126D51">
              <w:rPr>
                <w:color w:val="000000" w:themeColor="text1"/>
              </w:rPr>
              <w:t xml:space="preserve">WHO </w:t>
            </w:r>
            <w:r w:rsidR="00854FF1" w:rsidRPr="00854FF1">
              <w:rPr>
                <w:rFonts w:cs="Arial"/>
              </w:rPr>
              <w:t>(2001)</w:t>
            </w:r>
            <w:r w:rsidR="00820A30">
              <w:rPr>
                <w:color w:val="000000" w:themeColor="text1"/>
              </w:rPr>
              <w:t>.</w:t>
            </w:r>
          </w:p>
        </w:tc>
      </w:tr>
      <w:tr w:rsidR="004666BB" w:rsidRPr="00F66D78" w:rsidTr="007529A1">
        <w:trPr>
          <w:cantSplit/>
        </w:trPr>
        <w:tc>
          <w:tcPr>
            <w:tcW w:w="5000" w:type="pct"/>
            <w:tcBorders>
              <w:top w:val="nil"/>
              <w:left w:val="nil"/>
              <w:bottom w:val="single" w:sz="6" w:space="0" w:color="78A22F"/>
              <w:right w:val="nil"/>
            </w:tcBorders>
            <w:shd w:val="clear" w:color="auto" w:fill="F2F2F2"/>
          </w:tcPr>
          <w:p w:rsidR="004666BB" w:rsidRPr="00F66D78" w:rsidRDefault="004666BB" w:rsidP="007529A1">
            <w:pPr>
              <w:pStyle w:val="Box"/>
              <w:spacing w:before="0" w:line="120" w:lineRule="exact"/>
              <w:rPr>
                <w:color w:val="000000" w:themeColor="text1"/>
              </w:rPr>
            </w:pPr>
          </w:p>
        </w:tc>
      </w:tr>
      <w:tr w:rsidR="004666BB" w:rsidRPr="0012690F" w:rsidTr="007529A1">
        <w:trPr>
          <w:cantSplit/>
        </w:trPr>
        <w:tc>
          <w:tcPr>
            <w:tcW w:w="5000" w:type="pct"/>
            <w:tcBorders>
              <w:top w:val="single" w:sz="6" w:space="0" w:color="78A22F"/>
              <w:left w:val="nil"/>
              <w:bottom w:val="nil"/>
              <w:right w:val="nil"/>
            </w:tcBorders>
          </w:tcPr>
          <w:p w:rsidR="004666BB" w:rsidRPr="0012690F" w:rsidRDefault="004666BB" w:rsidP="0012690F">
            <w:pPr>
              <w:pStyle w:val="BoxSpaceBelow"/>
            </w:pPr>
          </w:p>
        </w:tc>
      </w:tr>
    </w:tbl>
    <w:p w:rsidR="00D150EF" w:rsidRDefault="00D150EF" w:rsidP="00D150EF">
      <w:pPr>
        <w:pStyle w:val="BodyText"/>
      </w:pPr>
      <w:r>
        <w:t>An improvement in an individual’s mental health can provide flow-on benefits in terms of increased social and economic participation, engagement and connectedness, and productivity in employment (</w:t>
      </w:r>
      <w:r w:rsidRPr="00976B2F">
        <w:t>figure 1</w:t>
      </w:r>
      <w:r>
        <w:t>). This can in turn enhance the wellbeing of the wider community, including through more rewarding relationships for</w:t>
      </w:r>
      <w:r w:rsidRPr="00674ABD">
        <w:t xml:space="preserve"> </w:t>
      </w:r>
      <w:r>
        <w:t xml:space="preserve">family and friends; a lower burden on </w:t>
      </w:r>
      <w:r w:rsidR="00585BC7">
        <w:t xml:space="preserve">informal </w:t>
      </w:r>
      <w:r>
        <w:t xml:space="preserve">carers; a greater contribution to society through </w:t>
      </w:r>
      <w:r w:rsidRPr="00D477AD">
        <w:t>volunteering</w:t>
      </w:r>
      <w:r>
        <w:t xml:space="preserve"> and working in community groups; increased output for </w:t>
      </w:r>
      <w:r w:rsidR="00CB157C">
        <w:t xml:space="preserve">the community </w:t>
      </w:r>
      <w:r>
        <w:t>from a more productive workforce; and an associated expansion in national income and living standards. These raise the capacity of the community to invest in interventions to improve mental health, thereby completing a positive reinforcing loop.</w:t>
      </w:r>
    </w:p>
    <w:p w:rsidR="00E010EF" w:rsidRDefault="00E010EF" w:rsidP="00D150EF">
      <w:pPr>
        <w:pStyle w:val="BodyText"/>
      </w:pPr>
      <w:r w:rsidRPr="007444B3">
        <w:t xml:space="preserve">The inquiry’s terms of reference </w:t>
      </w:r>
      <w:r>
        <w:t xml:space="preserve">(provided at the front of this paper) </w:t>
      </w:r>
      <w:r w:rsidRPr="007444B3">
        <w:t xml:space="preserve">were developed </w:t>
      </w:r>
      <w:r>
        <w:t xml:space="preserve">by the Australian Government </w:t>
      </w:r>
      <w:r w:rsidRPr="007444B3">
        <w:t>in consultation with State and Territory Governments.</w:t>
      </w:r>
      <w:r>
        <w:t xml:space="preserve"> The terms of reference</w:t>
      </w:r>
      <w:r w:rsidRPr="007444B3">
        <w:t xml:space="preserve"> ask </w:t>
      </w:r>
      <w:r>
        <w:t xml:space="preserve">the Commission </w:t>
      </w:r>
      <w:r w:rsidRPr="007444B3">
        <w:t>to make recommendations</w:t>
      </w:r>
      <w:r>
        <w:t xml:space="preserve"> </w:t>
      </w:r>
      <w:r w:rsidRPr="007444B3">
        <w:t>to improve population mental health</w:t>
      </w:r>
      <w:r>
        <w:t xml:space="preserve"> so as to realise</w:t>
      </w:r>
      <w:r w:rsidRPr="007444B3">
        <w:t xml:space="preserve"> </w:t>
      </w:r>
      <w:r>
        <w:t xml:space="preserve">higher </w:t>
      </w:r>
      <w:r w:rsidRPr="007444B3">
        <w:t xml:space="preserve">social </w:t>
      </w:r>
      <w:r>
        <w:t xml:space="preserve">and </w:t>
      </w:r>
      <w:r w:rsidRPr="007444B3">
        <w:t xml:space="preserve">economic participation and </w:t>
      </w:r>
      <w:r>
        <w:t>contribution</w:t>
      </w:r>
      <w:r w:rsidRPr="007444B3">
        <w:t xml:space="preserve"> </w:t>
      </w:r>
      <w:r>
        <w:t xml:space="preserve">benefits </w:t>
      </w:r>
      <w:r w:rsidRPr="007444B3">
        <w:t>over the long term.</w:t>
      </w:r>
    </w:p>
    <w:p w:rsidR="00686A79" w:rsidRDefault="00686A79" w:rsidP="00686A79">
      <w:pPr>
        <w:pStyle w:val="BoxSpaceAbove"/>
      </w:pPr>
    </w:p>
    <w:tbl>
      <w:tblPr>
        <w:tblW w:w="4986" w:type="pct"/>
        <w:tblInd w:w="25"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64"/>
      </w:tblGrid>
      <w:tr w:rsidR="00686A79" w:rsidTr="00DB5CA5">
        <w:trPr>
          <w:tblHeader/>
        </w:trPr>
        <w:tc>
          <w:tcPr>
            <w:tcW w:w="5000" w:type="pct"/>
            <w:tcBorders>
              <w:top w:val="single" w:sz="6" w:space="0" w:color="78A22F"/>
              <w:left w:val="nil"/>
              <w:bottom w:val="nil"/>
              <w:right w:val="nil"/>
            </w:tcBorders>
            <w:shd w:val="clear" w:color="auto" w:fill="auto"/>
          </w:tcPr>
          <w:p w:rsidR="00686A79" w:rsidRPr="00176D3F" w:rsidRDefault="00686A79" w:rsidP="00E577BF">
            <w:pPr>
              <w:pStyle w:val="FigureTitle"/>
            </w:pPr>
            <w:r w:rsidRPr="00784A05">
              <w:rPr>
                <w:b w:val="0"/>
              </w:rPr>
              <w:t xml:space="preserve">Figure </w:t>
            </w:r>
            <w:r w:rsidR="00D150EF">
              <w:rPr>
                <w:b w:val="0"/>
              </w:rPr>
              <w:t>1</w:t>
            </w:r>
            <w:r>
              <w:tab/>
            </w:r>
            <w:r w:rsidR="00E577BF">
              <w:t>I</w:t>
            </w:r>
            <w:r>
              <w:t>mprove</w:t>
            </w:r>
            <w:r w:rsidR="00E577BF">
              <w:t>ments in</w:t>
            </w:r>
            <w:r>
              <w:t xml:space="preserve"> mental health can benefit both individuals and the wider community</w:t>
            </w:r>
          </w:p>
        </w:tc>
      </w:tr>
      <w:tr w:rsidR="00686A79" w:rsidTr="00DB5CA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480"/>
            </w:tblGrid>
            <w:tr w:rsidR="00686A79" w:rsidRPr="00B1465D" w:rsidTr="00DB5CA5">
              <w:trPr>
                <w:tblHeader/>
                <w:jc w:val="center"/>
              </w:trPr>
              <w:tc>
                <w:tcPr>
                  <w:tcW w:w="5000" w:type="pct"/>
                  <w:tcBorders>
                    <w:top w:val="nil"/>
                    <w:bottom w:val="nil"/>
                  </w:tcBorders>
                </w:tcPr>
                <w:p w:rsidR="00686A79" w:rsidRPr="00B1465D" w:rsidRDefault="00834993" w:rsidP="00DB5CA5">
                  <w:pPr>
                    <w:pStyle w:val="Figure"/>
                    <w:spacing w:before="60" w:after="60"/>
                    <w:rPr>
                      <w:rFonts w:ascii="Arial" w:hAnsi="Arial" w:cs="Arial"/>
                      <w:sz w:val="18"/>
                      <w:szCs w:val="18"/>
                    </w:rPr>
                  </w:pPr>
                  <w:r w:rsidRPr="00834993">
                    <w:rPr>
                      <w:rFonts w:ascii="Arial" w:hAnsi="Arial" w:cs="Arial"/>
                      <w:noProof/>
                      <w:sz w:val="18"/>
                      <w:szCs w:val="18"/>
                    </w:rPr>
                    <w:drawing>
                      <wp:inline distT="0" distB="0" distL="0" distR="0" wp14:anchorId="0600A432" wp14:editId="7BC811A7">
                        <wp:extent cx="5535201" cy="7016336"/>
                        <wp:effectExtent l="0" t="0" r="0" b="0"/>
                        <wp:docPr id="3" name="Picture 3" descr="Flow diagram showing how improvements in mental health can benefit both individuals and the wider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40228" cy="7022709"/>
                                </a:xfrm>
                                <a:prstGeom prst="rect">
                                  <a:avLst/>
                                </a:prstGeom>
                                <a:noFill/>
                                <a:ln>
                                  <a:noFill/>
                                </a:ln>
                              </pic:spPr>
                            </pic:pic>
                          </a:graphicData>
                        </a:graphic>
                      </wp:inline>
                    </w:drawing>
                  </w:r>
                </w:p>
              </w:tc>
            </w:tr>
          </w:tbl>
          <w:p w:rsidR="00686A79" w:rsidRDefault="00686A79" w:rsidP="00DB5CA5">
            <w:pPr>
              <w:pStyle w:val="Figure"/>
            </w:pPr>
          </w:p>
        </w:tc>
      </w:tr>
      <w:tr w:rsidR="00686A79" w:rsidTr="00DB5CA5">
        <w:tc>
          <w:tcPr>
            <w:tcW w:w="5000" w:type="pct"/>
            <w:tcBorders>
              <w:top w:val="nil"/>
              <w:left w:val="nil"/>
              <w:bottom w:val="single" w:sz="6" w:space="0" w:color="78A22F"/>
              <w:right w:val="nil"/>
            </w:tcBorders>
            <w:shd w:val="clear" w:color="auto" w:fill="auto"/>
          </w:tcPr>
          <w:p w:rsidR="00686A79" w:rsidRDefault="00686A79" w:rsidP="00DB5CA5">
            <w:pPr>
              <w:pStyle w:val="Figurespace"/>
            </w:pPr>
          </w:p>
        </w:tc>
      </w:tr>
      <w:tr w:rsidR="00686A79" w:rsidRPr="000863A5" w:rsidTr="00DB5CA5">
        <w:tc>
          <w:tcPr>
            <w:tcW w:w="5000" w:type="pct"/>
            <w:tcBorders>
              <w:top w:val="single" w:sz="6" w:space="0" w:color="78A22F"/>
              <w:left w:val="nil"/>
              <w:bottom w:val="nil"/>
              <w:right w:val="nil"/>
            </w:tcBorders>
          </w:tcPr>
          <w:p w:rsidR="00686A79" w:rsidRPr="00626D32" w:rsidRDefault="00686A79" w:rsidP="00DB5CA5">
            <w:pPr>
              <w:pStyle w:val="BoxSpaceBelow"/>
            </w:pPr>
          </w:p>
        </w:tc>
      </w:tr>
    </w:tbl>
    <w:p w:rsidR="00446BA5" w:rsidRDefault="00446BA5" w:rsidP="00F10E26">
      <w:pPr>
        <w:pStyle w:val="Heading3"/>
      </w:pPr>
      <w:r>
        <w:lastRenderedPageBreak/>
        <w:t>Inquiry scope and relationship to other reviews</w:t>
      </w:r>
    </w:p>
    <w:p w:rsidR="00B40A37" w:rsidRDefault="00886A17" w:rsidP="007B278F">
      <w:pPr>
        <w:pStyle w:val="BodyText"/>
      </w:pPr>
      <w:r>
        <w:t>T</w:t>
      </w:r>
      <w:r w:rsidR="007B278F" w:rsidRPr="00646B2A">
        <w:t>his</w:t>
      </w:r>
      <w:r w:rsidR="007B278F">
        <w:t xml:space="preserve"> inquiry will </w:t>
      </w:r>
      <w:r w:rsidR="007A4C7C">
        <w:t xml:space="preserve">examine what Australia </w:t>
      </w:r>
      <w:r w:rsidR="005B1510">
        <w:t>is losing</w:t>
      </w:r>
      <w:r w:rsidR="00F46F0B">
        <w:t xml:space="preserve"> </w:t>
      </w:r>
      <w:r w:rsidR="007A4C7C">
        <w:t xml:space="preserve">— year after year — </w:t>
      </w:r>
      <w:r w:rsidR="008B2CC1">
        <w:t xml:space="preserve">by forgoing </w:t>
      </w:r>
      <w:r w:rsidR="00EE2D57">
        <w:t>greater</w:t>
      </w:r>
      <w:r w:rsidR="00F05202">
        <w:t xml:space="preserve"> </w:t>
      </w:r>
      <w:r w:rsidR="007A4C7C">
        <w:t xml:space="preserve">social and economic participation </w:t>
      </w:r>
      <w:r w:rsidR="00CA54C0">
        <w:t>by</w:t>
      </w:r>
      <w:r w:rsidR="007A4C7C">
        <w:t xml:space="preserve"> </w:t>
      </w:r>
      <w:r w:rsidR="008B2CC1">
        <w:t>people</w:t>
      </w:r>
      <w:r w:rsidR="007A4C7C">
        <w:t xml:space="preserve"> with mental ill-health. </w:t>
      </w:r>
      <w:r w:rsidR="00B40A37">
        <w:t>Th</w:t>
      </w:r>
      <w:r>
        <w:t>e</w:t>
      </w:r>
      <w:r w:rsidR="00B40A37">
        <w:t xml:space="preserve"> inquiry will differ from past reviews by considering </w:t>
      </w:r>
      <w:r w:rsidR="00F25AC7">
        <w:t xml:space="preserve">how </w:t>
      </w:r>
      <w:r w:rsidR="00EA3696">
        <w:t>reforms</w:t>
      </w:r>
      <w:r w:rsidR="009F5B86">
        <w:t xml:space="preserve"> outside of </w:t>
      </w:r>
      <w:r w:rsidR="00F25AC7">
        <w:t>healthcare</w:t>
      </w:r>
      <w:r w:rsidR="00E10829">
        <w:t xml:space="preserve"> —</w:t>
      </w:r>
      <w:r w:rsidR="00273730">
        <w:t xml:space="preserve"> such as </w:t>
      </w:r>
      <w:r w:rsidR="00D658E2">
        <w:t>in workplaces, education, justice</w:t>
      </w:r>
      <w:r w:rsidR="00C671AD">
        <w:t xml:space="preserve"> systems, housing</w:t>
      </w:r>
      <w:r w:rsidR="00E10829">
        <w:t xml:space="preserve"> </w:t>
      </w:r>
      <w:r w:rsidR="004116DC">
        <w:t xml:space="preserve">and social services </w:t>
      </w:r>
      <w:r w:rsidR="00E10829">
        <w:t xml:space="preserve">— </w:t>
      </w:r>
      <w:r w:rsidR="00DF0F23">
        <w:t>can</w:t>
      </w:r>
      <w:r w:rsidR="00E10829">
        <w:t xml:space="preserve"> improve mental health, and hence social and economic participation</w:t>
      </w:r>
      <w:r w:rsidR="00E7413B">
        <w:t>.</w:t>
      </w:r>
      <w:r w:rsidR="005B1510">
        <w:t xml:space="preserve"> Moreover, </w:t>
      </w:r>
      <w:r w:rsidR="00337D4C">
        <w:t xml:space="preserve">we will be considering </w:t>
      </w:r>
      <w:r w:rsidR="00141687">
        <w:t xml:space="preserve">the role of all </w:t>
      </w:r>
      <w:r w:rsidR="006A1693">
        <w:t xml:space="preserve">parties in facilitating improved mental health, including all </w:t>
      </w:r>
      <w:r w:rsidR="00141687">
        <w:t xml:space="preserve">levels of government, </w:t>
      </w:r>
      <w:r w:rsidR="000E08C2">
        <w:t xml:space="preserve">not-for-profit and private sector service providers, </w:t>
      </w:r>
      <w:r w:rsidR="006A1693" w:rsidRPr="00001F35">
        <w:t>employers and professional groups</w:t>
      </w:r>
      <w:r w:rsidR="006A1693">
        <w:t>.</w:t>
      </w:r>
    </w:p>
    <w:p w:rsidR="00E94D80" w:rsidRPr="0053356E" w:rsidRDefault="00263BB7" w:rsidP="00E170A2">
      <w:pPr>
        <w:pStyle w:val="BodyText"/>
        <w:keepNext/>
        <w:rPr>
          <w:spacing w:val="-4"/>
        </w:rPr>
      </w:pPr>
      <w:r w:rsidRPr="0053356E">
        <w:rPr>
          <w:spacing w:val="-4"/>
        </w:rPr>
        <w:t xml:space="preserve">The broad scope of </w:t>
      </w:r>
      <w:r w:rsidR="000D4173" w:rsidRPr="0053356E">
        <w:rPr>
          <w:spacing w:val="-4"/>
        </w:rPr>
        <w:t xml:space="preserve">this inquiry </w:t>
      </w:r>
      <w:r w:rsidRPr="0053356E">
        <w:rPr>
          <w:spacing w:val="-4"/>
        </w:rPr>
        <w:t xml:space="preserve">is consistent with evidence that </w:t>
      </w:r>
      <w:r w:rsidR="00E94D80" w:rsidRPr="0053356E">
        <w:rPr>
          <w:spacing w:val="-4"/>
        </w:rPr>
        <w:t>the</w:t>
      </w:r>
      <w:r w:rsidR="005D284D" w:rsidRPr="0053356E">
        <w:rPr>
          <w:spacing w:val="-4"/>
        </w:rPr>
        <w:t xml:space="preserve">re are many factors </w:t>
      </w:r>
      <w:r w:rsidR="002F1E9A" w:rsidRPr="0053356E">
        <w:rPr>
          <w:spacing w:val="-4"/>
        </w:rPr>
        <w:t>in addition</w:t>
      </w:r>
      <w:r w:rsidR="000D4173" w:rsidRPr="0053356E">
        <w:rPr>
          <w:spacing w:val="-4"/>
        </w:rPr>
        <w:t xml:space="preserve"> </w:t>
      </w:r>
      <w:r w:rsidR="002F1E9A" w:rsidRPr="0053356E">
        <w:rPr>
          <w:spacing w:val="-4"/>
        </w:rPr>
        <w:t xml:space="preserve">to </w:t>
      </w:r>
      <w:r w:rsidR="00A842D0" w:rsidRPr="0053356E">
        <w:rPr>
          <w:spacing w:val="-4"/>
        </w:rPr>
        <w:t>healthcare</w:t>
      </w:r>
      <w:r w:rsidR="005D284D" w:rsidRPr="0053356E">
        <w:rPr>
          <w:spacing w:val="-4"/>
        </w:rPr>
        <w:t xml:space="preserve"> which </w:t>
      </w:r>
      <w:r w:rsidR="002F1E9A" w:rsidRPr="0053356E">
        <w:rPr>
          <w:spacing w:val="-4"/>
        </w:rPr>
        <w:t>sh</w:t>
      </w:r>
      <w:r w:rsidR="005D284D" w:rsidRPr="0053356E">
        <w:rPr>
          <w:spacing w:val="-4"/>
        </w:rPr>
        <w:t xml:space="preserve">ould be targeted in order to improve mental health, and </w:t>
      </w:r>
      <w:r w:rsidR="00AE00F6" w:rsidRPr="0053356E">
        <w:rPr>
          <w:spacing w:val="-4"/>
        </w:rPr>
        <w:t>doing so</w:t>
      </w:r>
      <w:r w:rsidR="00C95612" w:rsidRPr="0053356E">
        <w:rPr>
          <w:spacing w:val="-4"/>
        </w:rPr>
        <w:t xml:space="preserve"> </w:t>
      </w:r>
      <w:r w:rsidR="002F1E9A" w:rsidRPr="0053356E">
        <w:rPr>
          <w:spacing w:val="-4"/>
        </w:rPr>
        <w:t xml:space="preserve">will achieve improvements not possible by </w:t>
      </w:r>
      <w:r w:rsidR="00E94D80" w:rsidRPr="0053356E">
        <w:rPr>
          <w:spacing w:val="-4"/>
        </w:rPr>
        <w:t>focusing solely on mental health services</w:t>
      </w:r>
      <w:r w:rsidR="006B3ED9" w:rsidRPr="0053356E">
        <w:rPr>
          <w:spacing w:val="-4"/>
        </w:rPr>
        <w:t>.</w:t>
      </w:r>
    </w:p>
    <w:p w:rsidR="00721F3C" w:rsidRPr="00E170A2" w:rsidRDefault="00721F3C" w:rsidP="00721F3C">
      <w:pPr>
        <w:pStyle w:val="Quote"/>
      </w:pPr>
      <w:r w:rsidRPr="00E170A2">
        <w:t xml:space="preserve">Studies on Australian samples have shown that psychological distress is associated with unemployment </w:t>
      </w:r>
      <w:r w:rsidR="00854FF1" w:rsidRPr="00854FF1">
        <w:rPr>
          <w:szCs w:val="24"/>
        </w:rPr>
        <w:t>(Reavley et al. 2011)</w:t>
      </w:r>
      <w:r>
        <w:t>,</w:t>
      </w:r>
      <w:r w:rsidRPr="00FF6BEF">
        <w:t xml:space="preserve"> low income </w:t>
      </w:r>
      <w:r w:rsidR="00854FF1" w:rsidRPr="00854FF1">
        <w:rPr>
          <w:szCs w:val="24"/>
        </w:rPr>
        <w:t>(Enticott et al. 2018; Reavley et al. 2011)</w:t>
      </w:r>
      <w:r w:rsidRPr="00FF6BEF">
        <w:t xml:space="preserve">, low social capital </w:t>
      </w:r>
      <w:r w:rsidR="00854FF1" w:rsidRPr="00854FF1">
        <w:rPr>
          <w:szCs w:val="24"/>
        </w:rPr>
        <w:t>(Phongsavan et al. 2006)</w:t>
      </w:r>
      <w:r w:rsidRPr="00FF6BEF">
        <w:t xml:space="preserve">, low social connectedness and social support </w:t>
      </w:r>
      <w:r w:rsidR="00854FF1" w:rsidRPr="00854FF1">
        <w:rPr>
          <w:szCs w:val="24"/>
        </w:rPr>
        <w:t>(Atkins et al. 2013; Levula, Harré and Wilson 2018)</w:t>
      </w:r>
      <w:r w:rsidRPr="00FF6BEF">
        <w:t xml:space="preserve">; workplace characteristics </w:t>
      </w:r>
      <w:r w:rsidR="00854FF1" w:rsidRPr="00854FF1">
        <w:rPr>
          <w:szCs w:val="24"/>
        </w:rPr>
        <w:t>(Considine et al. 2017)</w:t>
      </w:r>
      <w:r w:rsidRPr="00FF6BEF">
        <w:t xml:space="preserve">; poor quality diet </w:t>
      </w:r>
      <w:r w:rsidR="00854FF1" w:rsidRPr="00854FF1">
        <w:rPr>
          <w:szCs w:val="24"/>
        </w:rPr>
        <w:t>(Hodge et al. 2013; Nguyen, Ding and Mihrshahi 2017)</w:t>
      </w:r>
      <w:r w:rsidRPr="00FF6BEF">
        <w:t>, limitations on physical functioning</w:t>
      </w:r>
      <w:r w:rsidR="00E263F0">
        <w:t xml:space="preserve"> </w:t>
      </w:r>
      <w:r w:rsidR="00854FF1" w:rsidRPr="00854FF1">
        <w:rPr>
          <w:szCs w:val="24"/>
        </w:rPr>
        <w:t>(Atkins et al. 2013; Byles et al. 2014)</w:t>
      </w:r>
      <w:r w:rsidRPr="00FF6BEF">
        <w:t xml:space="preserve"> and physical diseases </w:t>
      </w:r>
      <w:r w:rsidR="00854FF1" w:rsidRPr="00854FF1">
        <w:rPr>
          <w:szCs w:val="24"/>
        </w:rPr>
        <w:t>(Byles et al. 2014)</w:t>
      </w:r>
      <w:r w:rsidRPr="00FF6BEF">
        <w:t xml:space="preserve">. There may be limits on how much change [mental health] treatment can produce where such risk factors are present and persisting. Dealing with these risk factors may require a greater emphasis on prevention </w:t>
      </w:r>
      <w:r w:rsidR="00854FF1" w:rsidRPr="00854FF1">
        <w:rPr>
          <w:szCs w:val="24"/>
        </w:rPr>
        <w:t>(Jorm 2014)</w:t>
      </w:r>
      <w:r w:rsidRPr="00FF6BEF">
        <w:t xml:space="preserve"> and on social factors that lie outside the domain of mental health services </w:t>
      </w:r>
      <w:r w:rsidR="00854FF1" w:rsidRPr="00854FF1">
        <w:rPr>
          <w:szCs w:val="24"/>
        </w:rPr>
        <w:t>(Mulder, Rucklidge and Wilkinson 2017)</w:t>
      </w:r>
      <w:r w:rsidRPr="00FF6BEF">
        <w:t xml:space="preserve">. </w:t>
      </w:r>
      <w:r w:rsidR="00920FCC" w:rsidRPr="00920FCC">
        <w:rPr>
          <w:szCs w:val="24"/>
        </w:rPr>
        <w:t>(Jorm 2018, p. 1061)</w:t>
      </w:r>
    </w:p>
    <w:p w:rsidR="007B278F" w:rsidRDefault="00A842D0" w:rsidP="0041547F">
      <w:pPr>
        <w:pStyle w:val="BodyText"/>
        <w:keepNext/>
      </w:pPr>
      <w:r>
        <w:t>While healthcare</w:t>
      </w:r>
      <w:r w:rsidR="00BB127A">
        <w:t xml:space="preserve"> is within the scope of this inquiry</w:t>
      </w:r>
      <w:r>
        <w:t xml:space="preserve">, </w:t>
      </w:r>
      <w:r w:rsidR="001B0FE1">
        <w:t>we</w:t>
      </w:r>
      <w:r>
        <w:t xml:space="preserve"> </w:t>
      </w:r>
      <w:r w:rsidRPr="0095224E">
        <w:t xml:space="preserve">will </w:t>
      </w:r>
      <w:r w:rsidR="00973C60">
        <w:t>draw on</w:t>
      </w:r>
      <w:r w:rsidRPr="0095224E">
        <w:t xml:space="preserve"> the findings and recommendations of the many past health-related reviews</w:t>
      </w:r>
      <w:r>
        <w:t xml:space="preserve">, </w:t>
      </w:r>
      <w:r w:rsidRPr="0095224E">
        <w:t>and how governments have responded</w:t>
      </w:r>
      <w:r>
        <w:t xml:space="preserve"> </w:t>
      </w:r>
      <w:r w:rsidR="009F524B">
        <w:t xml:space="preserve">to </w:t>
      </w:r>
      <w:r>
        <w:t>them</w:t>
      </w:r>
      <w:r w:rsidRPr="0095224E">
        <w:t xml:space="preserve">, rather than duplicate past analysis and </w:t>
      </w:r>
      <w:r w:rsidR="00A84A61">
        <w:t>recommend</w:t>
      </w:r>
      <w:r w:rsidR="007F42E8">
        <w:t>ed</w:t>
      </w:r>
      <w:r w:rsidR="00A84A61">
        <w:t xml:space="preserve"> </w:t>
      </w:r>
      <w:r w:rsidRPr="0095224E">
        <w:t>reform</w:t>
      </w:r>
      <w:r w:rsidR="007F42E8">
        <w:t>s</w:t>
      </w:r>
      <w:r>
        <w:t>.</w:t>
      </w:r>
      <w:r w:rsidR="00682434">
        <w:t xml:space="preserve"> </w:t>
      </w:r>
      <w:r w:rsidR="009045CA">
        <w:t>To minimise duplication with reviews in other areas, t</w:t>
      </w:r>
      <w:r w:rsidR="00462BFB">
        <w:t>his</w:t>
      </w:r>
      <w:r w:rsidR="007B278F">
        <w:t xml:space="preserve"> inquiry will not </w:t>
      </w:r>
      <w:r w:rsidR="00CB6170">
        <w:t>be assessing</w:t>
      </w:r>
      <w:r w:rsidR="007B278F">
        <w:t>:</w:t>
      </w:r>
    </w:p>
    <w:p w:rsidR="007B278F" w:rsidRPr="00065AA2" w:rsidRDefault="007B278F" w:rsidP="00D47863">
      <w:pPr>
        <w:pStyle w:val="ListBullet"/>
      </w:pPr>
      <w:r w:rsidRPr="00B274B7">
        <w:t xml:space="preserve">the </w:t>
      </w:r>
      <w:r>
        <w:t>National Disability Insurance Scheme (</w:t>
      </w:r>
      <w:r w:rsidRPr="00B274B7">
        <w:t>NDIS</w:t>
      </w:r>
      <w:r>
        <w:t>)</w:t>
      </w:r>
      <w:r w:rsidRPr="00B274B7">
        <w:t xml:space="preserve"> because </w:t>
      </w:r>
      <w:r w:rsidR="007439FF">
        <w:t>it</w:t>
      </w:r>
      <w:r w:rsidRPr="00B274B7">
        <w:t xml:space="preserve"> </w:t>
      </w:r>
      <w:r w:rsidR="00C22206">
        <w:t>has been</w:t>
      </w:r>
      <w:r w:rsidR="00BE40CB">
        <w:t xml:space="preserve"> </w:t>
      </w:r>
      <w:r w:rsidR="00EB7373">
        <w:t>examined</w:t>
      </w:r>
      <w:r w:rsidRPr="00B274B7">
        <w:t xml:space="preserve"> in </w:t>
      </w:r>
      <w:r w:rsidR="00BE40CB">
        <w:t>other reviews</w:t>
      </w:r>
      <w:r w:rsidR="00B67957">
        <w:t xml:space="preserve"> by the Productivity Commission </w:t>
      </w:r>
      <w:r w:rsidR="00577D8E" w:rsidRPr="00577D8E">
        <w:rPr>
          <w:szCs w:val="24"/>
        </w:rPr>
        <w:t>(PC 2011, 2017b, 2018b)</w:t>
      </w:r>
      <w:r w:rsidR="00114AA2">
        <w:t xml:space="preserve">. However, </w:t>
      </w:r>
      <w:r w:rsidR="00CC198F">
        <w:t>we will examine</w:t>
      </w:r>
      <w:r w:rsidR="00D47863">
        <w:t xml:space="preserve"> </w:t>
      </w:r>
      <w:r w:rsidR="00546EA4" w:rsidRPr="00CC198F">
        <w:t>the interface between the NDIS and other ser</w:t>
      </w:r>
      <w:r w:rsidR="004B0228">
        <w:t xml:space="preserve">vices for those with </w:t>
      </w:r>
      <w:r w:rsidR="00AF0AC0">
        <w:t xml:space="preserve">a </w:t>
      </w:r>
      <w:r w:rsidR="004B0228">
        <w:t>mental ill</w:t>
      </w:r>
      <w:r w:rsidR="00AF0AC0">
        <w:t>ness</w:t>
      </w:r>
      <w:r w:rsidR="00190FD1">
        <w:t>,</w:t>
      </w:r>
      <w:r w:rsidR="00546EA4" w:rsidRPr="00CC198F">
        <w:t xml:space="preserve"> and </w:t>
      </w:r>
      <w:r w:rsidR="00190FD1">
        <w:t xml:space="preserve">any </w:t>
      </w:r>
      <w:r w:rsidR="00D47863" w:rsidRPr="00CC198F">
        <w:t xml:space="preserve">new </w:t>
      </w:r>
      <w:r w:rsidR="00190FD1">
        <w:t>developments</w:t>
      </w:r>
      <w:r w:rsidR="00D47863" w:rsidRPr="00CC198F">
        <w:t xml:space="preserve"> </w:t>
      </w:r>
      <w:r w:rsidR="00190FD1">
        <w:t xml:space="preserve">which </w:t>
      </w:r>
      <w:r w:rsidR="00D47863" w:rsidRPr="00CC198F">
        <w:t xml:space="preserve">have significant implications for population mental health, participation and productivity </w:t>
      </w:r>
      <w:r w:rsidR="00065AA2">
        <w:t xml:space="preserve">(discussed </w:t>
      </w:r>
      <w:r w:rsidR="00065AA2" w:rsidRPr="00065AA2">
        <w:t>further below)</w:t>
      </w:r>
    </w:p>
    <w:p w:rsidR="007B278F" w:rsidRPr="00B274B7" w:rsidRDefault="007B278F" w:rsidP="007B278F">
      <w:pPr>
        <w:pStyle w:val="ListBullet"/>
      </w:pPr>
      <w:r w:rsidRPr="00B274B7">
        <w:t xml:space="preserve">support specifically for military </w:t>
      </w:r>
      <w:r w:rsidR="007A4C7C">
        <w:t xml:space="preserve">personnel and </w:t>
      </w:r>
      <w:r w:rsidRPr="00B274B7">
        <w:t>veterans because the Commission is currently conducting a separate inquiry on compensation and rehabilitation for veterans</w:t>
      </w:r>
      <w:r w:rsidR="007A4C7C">
        <w:t xml:space="preserve"> </w:t>
      </w:r>
      <w:r w:rsidR="00854FF1" w:rsidRPr="00854FF1">
        <w:rPr>
          <w:szCs w:val="24"/>
        </w:rPr>
        <w:t>(PC 2018a)</w:t>
      </w:r>
      <w:r w:rsidR="00E010EF">
        <w:t xml:space="preserve"> —</w:t>
      </w:r>
      <w:r w:rsidR="007A4C7C">
        <w:t xml:space="preserve"> although it is p</w:t>
      </w:r>
      <w:r w:rsidR="00113B52">
        <w:t>ossible</w:t>
      </w:r>
      <w:r w:rsidR="007A4C7C">
        <w:t xml:space="preserve"> that many of our conclusions </w:t>
      </w:r>
      <w:r w:rsidR="00761104">
        <w:t>will</w:t>
      </w:r>
      <w:r w:rsidR="007A4C7C">
        <w:t xml:space="preserve"> </w:t>
      </w:r>
      <w:r w:rsidR="00761104">
        <w:t>be relevant</w:t>
      </w:r>
      <w:r w:rsidR="007A4C7C">
        <w:t xml:space="preserve"> to th</w:t>
      </w:r>
      <w:r w:rsidR="00761104">
        <w:t>is</w:t>
      </w:r>
      <w:r w:rsidR="007A4C7C">
        <w:t xml:space="preserve"> group</w:t>
      </w:r>
    </w:p>
    <w:p w:rsidR="007B278F" w:rsidRDefault="007B278F" w:rsidP="007B278F">
      <w:pPr>
        <w:pStyle w:val="ListBullet"/>
      </w:pPr>
      <w:r w:rsidRPr="000062D5">
        <w:t xml:space="preserve">mental </w:t>
      </w:r>
      <w:r>
        <w:t>illness</w:t>
      </w:r>
      <w:r w:rsidRPr="000062D5">
        <w:t xml:space="preserve"> associated with a terminal condition, such as dementia</w:t>
      </w:r>
      <w:r>
        <w:t xml:space="preserve">, </w:t>
      </w:r>
      <w:r w:rsidR="008804D1">
        <w:t xml:space="preserve">given </w:t>
      </w:r>
      <w:r w:rsidR="009F29AF">
        <w:t xml:space="preserve">that </w:t>
      </w:r>
      <w:r>
        <w:t xml:space="preserve">the Commission </w:t>
      </w:r>
      <w:r w:rsidR="000D08EE">
        <w:t xml:space="preserve">has </w:t>
      </w:r>
      <w:r>
        <w:t>examined end-of-life care in a</w:t>
      </w:r>
      <w:r w:rsidR="000D08EE">
        <w:t>n</w:t>
      </w:r>
      <w:r>
        <w:t xml:space="preserve"> inquiry on human services</w:t>
      </w:r>
      <w:r w:rsidR="00EE39CA">
        <w:t xml:space="preserve"> </w:t>
      </w:r>
      <w:r w:rsidR="00854FF1" w:rsidRPr="00854FF1">
        <w:rPr>
          <w:szCs w:val="24"/>
        </w:rPr>
        <w:t>(PC 2017a)</w:t>
      </w:r>
    </w:p>
    <w:p w:rsidR="007B278F" w:rsidRPr="0056167A" w:rsidRDefault="007B278F" w:rsidP="007B278F">
      <w:pPr>
        <w:pStyle w:val="ListBullet"/>
      </w:pPr>
      <w:r w:rsidRPr="00A30853">
        <w:t>aged care</w:t>
      </w:r>
      <w:r>
        <w:t xml:space="preserve"> </w:t>
      </w:r>
      <w:r w:rsidR="007A4C7C">
        <w:t>accommodation choices</w:t>
      </w:r>
      <w:r w:rsidR="00CC198F">
        <w:t xml:space="preserve">, </w:t>
      </w:r>
      <w:r>
        <w:t xml:space="preserve">because the Australian Government has </w:t>
      </w:r>
      <w:r w:rsidR="005B7CA3">
        <w:t xml:space="preserve">established </w:t>
      </w:r>
      <w:r w:rsidRPr="0056167A">
        <w:t xml:space="preserve">a royal commission into the </w:t>
      </w:r>
      <w:r w:rsidR="005B7CA3">
        <w:t xml:space="preserve">aged care </w:t>
      </w:r>
      <w:r w:rsidRPr="0056167A">
        <w:t xml:space="preserve">sector </w:t>
      </w:r>
      <w:r w:rsidR="00854FF1" w:rsidRPr="00854FF1">
        <w:rPr>
          <w:szCs w:val="24"/>
        </w:rPr>
        <w:t>(Morrison 2018; Royal Commission into Aged Care Quality and Safety 2019)</w:t>
      </w:r>
      <w:r w:rsidR="00282504">
        <w:t>. However,</w:t>
      </w:r>
      <w:r w:rsidR="00CC198F">
        <w:t xml:space="preserve"> we will examine the role of mental health in improving the social and economic participation </w:t>
      </w:r>
      <w:r w:rsidR="00455E16">
        <w:t xml:space="preserve">and contribution </w:t>
      </w:r>
      <w:r w:rsidR="00CC198F">
        <w:t xml:space="preserve">of older </w:t>
      </w:r>
      <w:r w:rsidR="00970A8D">
        <w:t>people</w:t>
      </w:r>
      <w:r w:rsidRPr="0056167A">
        <w:t>.</w:t>
      </w:r>
    </w:p>
    <w:p w:rsidR="000E08C2" w:rsidRDefault="0012719D" w:rsidP="00B82579">
      <w:pPr>
        <w:pStyle w:val="BodyText"/>
      </w:pPr>
      <w:r>
        <w:lastRenderedPageBreak/>
        <w:t>The</w:t>
      </w:r>
      <w:r w:rsidR="00B82579" w:rsidRPr="001605CA">
        <w:t xml:space="preserve"> inquiry </w:t>
      </w:r>
      <w:r>
        <w:t>will</w:t>
      </w:r>
      <w:r w:rsidR="00E010EF">
        <w:t>,</w:t>
      </w:r>
      <w:r>
        <w:t xml:space="preserve"> however</w:t>
      </w:r>
      <w:r w:rsidR="00E010EF">
        <w:t>,</w:t>
      </w:r>
      <w:r>
        <w:t xml:space="preserve"> have</w:t>
      </w:r>
      <w:r w:rsidR="00B82579" w:rsidRPr="001605CA">
        <w:t xml:space="preserve"> a broad scope in terms of which groups of individuals, services and organisations are covered</w:t>
      </w:r>
      <w:r w:rsidR="00B82579">
        <w:t xml:space="preserve">. </w:t>
      </w:r>
      <w:r w:rsidR="00D30B1D">
        <w:t xml:space="preserve">This is reflected </w:t>
      </w:r>
      <w:r w:rsidR="007E1759">
        <w:t xml:space="preserve">in the diversity of conditions which fall </w:t>
      </w:r>
      <w:r w:rsidR="0042038D">
        <w:t xml:space="preserve">within </w:t>
      </w:r>
      <w:r w:rsidR="007E1759">
        <w:t xml:space="preserve">the </w:t>
      </w:r>
      <w:r w:rsidR="0042038D">
        <w:t xml:space="preserve">definition of </w:t>
      </w:r>
      <w:r w:rsidR="007E1759">
        <w:t>mental illness</w:t>
      </w:r>
      <w:r w:rsidR="002C163D">
        <w:t xml:space="preserve"> (</w:t>
      </w:r>
      <w:r w:rsidR="0019285E" w:rsidRPr="00976B2F">
        <w:t>table 1</w:t>
      </w:r>
      <w:r w:rsidR="002C163D">
        <w:t>)</w:t>
      </w:r>
      <w:r w:rsidR="00997DBF">
        <w:t>.</w:t>
      </w:r>
      <w:r w:rsidR="00FA1930">
        <w:t xml:space="preserve"> </w:t>
      </w:r>
    </w:p>
    <w:p w:rsidR="004F00BA" w:rsidRDefault="004F00BA" w:rsidP="00B82579">
      <w:pPr>
        <w:pStyle w:val="BodyText"/>
      </w:pPr>
      <w:r w:rsidRPr="004F00BA">
        <w:t xml:space="preserve">Moreover, this inquiry is about the mental health and wellbeing of Australia’s population generally, not only about people with a </w:t>
      </w:r>
      <w:r w:rsidR="008804D1">
        <w:t xml:space="preserve">diagnosed </w:t>
      </w:r>
      <w:r w:rsidRPr="004F00BA">
        <w:t>mental illness. A person without a diagnosable mental illness could be experiencing escalating or sustained psychological distress which reduces their participation in, and contribution to, society. Conversely, a person with a history of mental illness might have a high level of mental health because they have the right treatments and supports to be able to take part in activities that are meaningful, such as work or study, providing a sense of purpose and positive self-perception</w:t>
      </w:r>
      <w:r>
        <w:t>.</w:t>
      </w:r>
    </w:p>
    <w:p w:rsidR="007A76BB" w:rsidRDefault="007A76BB" w:rsidP="0053356E">
      <w:pPr>
        <w:pStyle w:val="BoxSpaceAbove"/>
        <w:spacing w:before="240"/>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7A76BB" w:rsidTr="008D0983">
        <w:trPr>
          <w:tblHeader/>
        </w:trPr>
        <w:tc>
          <w:tcPr>
            <w:tcW w:w="5000" w:type="pct"/>
            <w:tcBorders>
              <w:top w:val="single" w:sz="6" w:space="0" w:color="78A22F"/>
              <w:left w:val="nil"/>
              <w:bottom w:val="nil"/>
              <w:right w:val="nil"/>
            </w:tcBorders>
            <w:shd w:val="clear" w:color="auto" w:fill="auto"/>
          </w:tcPr>
          <w:p w:rsidR="007A76BB" w:rsidRPr="00784A05" w:rsidRDefault="007A76BB" w:rsidP="000356B3">
            <w:pPr>
              <w:pStyle w:val="TableTitle"/>
            </w:pPr>
            <w:r>
              <w:rPr>
                <w:b w:val="0"/>
              </w:rPr>
              <w:t xml:space="preserve">Table </w:t>
            </w:r>
            <w:r w:rsidR="00CB6A36">
              <w:rPr>
                <w:b w:val="0"/>
                <w:noProof/>
              </w:rPr>
              <w:t>1</w:t>
            </w:r>
            <w:r>
              <w:tab/>
              <w:t>The many different types of mental disorders</w:t>
            </w:r>
          </w:p>
        </w:tc>
      </w:tr>
      <w:tr w:rsidR="007A76BB" w:rsidTr="008D0983">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5"/>
              <w:gridCol w:w="2836"/>
              <w:gridCol w:w="2834"/>
            </w:tblGrid>
            <w:tr w:rsidR="007A76BB" w:rsidTr="00B0004B">
              <w:trPr>
                <w:tblHeader/>
              </w:trPr>
              <w:tc>
                <w:tcPr>
                  <w:tcW w:w="1667" w:type="pct"/>
                  <w:tcBorders>
                    <w:top w:val="single" w:sz="6" w:space="0" w:color="BFBFBF"/>
                    <w:bottom w:val="single" w:sz="6" w:space="0" w:color="BFBFBF"/>
                  </w:tcBorders>
                  <w:shd w:val="clear" w:color="auto" w:fill="auto"/>
                  <w:tcMar>
                    <w:top w:w="28" w:type="dxa"/>
                  </w:tcMar>
                </w:tcPr>
                <w:p w:rsidR="007A76BB" w:rsidRDefault="007A76BB" w:rsidP="007A76BB">
                  <w:pPr>
                    <w:pStyle w:val="TableColumnHeading"/>
                    <w:jc w:val="left"/>
                  </w:pPr>
                  <w:r w:rsidRPr="00B82330">
                    <w:t>In-scope for this inquiry</w:t>
                  </w:r>
                </w:p>
              </w:tc>
              <w:tc>
                <w:tcPr>
                  <w:tcW w:w="1667" w:type="pct"/>
                  <w:tcBorders>
                    <w:top w:val="single" w:sz="6" w:space="0" w:color="BFBFBF"/>
                    <w:bottom w:val="single" w:sz="6" w:space="0" w:color="BFBFBF"/>
                  </w:tcBorders>
                </w:tcPr>
                <w:p w:rsidR="007A76BB" w:rsidRDefault="007A76BB" w:rsidP="00B0004B">
                  <w:pPr>
                    <w:pStyle w:val="TableColumnHeading"/>
                    <w:jc w:val="left"/>
                  </w:pPr>
                  <w:r w:rsidRPr="00B82330">
                    <w:t>Scope for this inquiry under consideration</w:t>
                  </w:r>
                  <w:r w:rsidR="007372AE" w:rsidRPr="007372AE">
                    <w:rPr>
                      <w:rStyle w:val="NoteLabel"/>
                      <w:i w:val="0"/>
                    </w:rPr>
                    <w:t>a</w:t>
                  </w:r>
                </w:p>
              </w:tc>
              <w:tc>
                <w:tcPr>
                  <w:tcW w:w="1666" w:type="pct"/>
                  <w:tcBorders>
                    <w:top w:val="single" w:sz="6" w:space="0" w:color="BFBFBF"/>
                    <w:bottom w:val="single" w:sz="6" w:space="0" w:color="BFBFBF"/>
                  </w:tcBorders>
                  <w:shd w:val="clear" w:color="auto" w:fill="auto"/>
                  <w:tcMar>
                    <w:top w:w="28" w:type="dxa"/>
                  </w:tcMar>
                </w:tcPr>
                <w:p w:rsidR="007A76BB" w:rsidRDefault="007A76BB" w:rsidP="00B0004B">
                  <w:pPr>
                    <w:pStyle w:val="TableColumnHeading"/>
                    <w:jc w:val="left"/>
                  </w:pPr>
                  <w:r w:rsidRPr="00B82330">
                    <w:t>Out-of-scope for this inquiry</w:t>
                  </w:r>
                  <w:r w:rsidR="000356B3" w:rsidRPr="007372AE">
                    <w:rPr>
                      <w:rStyle w:val="NoteLabel"/>
                      <w:i w:val="0"/>
                    </w:rPr>
                    <w:t>a</w:t>
                  </w:r>
                </w:p>
              </w:tc>
            </w:tr>
            <w:tr w:rsidR="007A76BB" w:rsidTr="00B0004B">
              <w:tc>
                <w:tcPr>
                  <w:tcW w:w="1667" w:type="pct"/>
                  <w:tcBorders>
                    <w:bottom w:val="single" w:sz="6" w:space="0" w:color="BFBFBF"/>
                  </w:tcBorders>
                  <w:shd w:val="clear" w:color="auto" w:fill="auto"/>
                </w:tcPr>
                <w:p w:rsidR="007A76BB" w:rsidRDefault="007A76BB" w:rsidP="007A76BB">
                  <w:pPr>
                    <w:pStyle w:val="TableBullet"/>
                  </w:pPr>
                  <w:r>
                    <w:t>Psychosis</w:t>
                  </w:r>
                </w:p>
                <w:p w:rsidR="007A76BB" w:rsidRDefault="007A76BB" w:rsidP="007A76BB">
                  <w:pPr>
                    <w:pStyle w:val="TableBullet"/>
                  </w:pPr>
                  <w:r>
                    <w:t>Mood disorders</w:t>
                  </w:r>
                </w:p>
                <w:p w:rsidR="007A76BB" w:rsidRDefault="007A76BB" w:rsidP="007A76BB">
                  <w:pPr>
                    <w:pStyle w:val="TableBullet"/>
                  </w:pPr>
                  <w:r>
                    <w:t>Anxiety disorders</w:t>
                  </w:r>
                </w:p>
                <w:p w:rsidR="007A76BB" w:rsidRDefault="007A76BB" w:rsidP="007A76BB">
                  <w:pPr>
                    <w:pStyle w:val="TableBullet"/>
                  </w:pPr>
                  <w:r>
                    <w:t>Personality disorders</w:t>
                  </w:r>
                </w:p>
                <w:p w:rsidR="007A76BB" w:rsidRDefault="007A76BB" w:rsidP="007A76BB">
                  <w:pPr>
                    <w:pStyle w:val="TableBullet"/>
                  </w:pPr>
                  <w:r>
                    <w:t>Eating disorders</w:t>
                  </w:r>
                </w:p>
                <w:p w:rsidR="007A76BB" w:rsidRDefault="00630569" w:rsidP="00B0004B">
                  <w:pPr>
                    <w:pStyle w:val="TableBullet"/>
                  </w:pPr>
                  <w:r>
                    <w:t xml:space="preserve">Child behavioural </w:t>
                  </w:r>
                  <w:r w:rsidR="007A76BB">
                    <w:t>disorders</w:t>
                  </w:r>
                </w:p>
              </w:tc>
              <w:tc>
                <w:tcPr>
                  <w:tcW w:w="1667" w:type="pct"/>
                  <w:tcBorders>
                    <w:bottom w:val="single" w:sz="6" w:space="0" w:color="BFBFBF"/>
                  </w:tcBorders>
                </w:tcPr>
                <w:p w:rsidR="007A76BB" w:rsidRDefault="007A76BB" w:rsidP="007A76BB">
                  <w:pPr>
                    <w:pStyle w:val="TableBullet"/>
                  </w:pPr>
                  <w:r>
                    <w:t>Substance use disorders</w:t>
                  </w:r>
                </w:p>
                <w:p w:rsidR="007A76BB" w:rsidRDefault="007A76BB" w:rsidP="00B0004B">
                  <w:pPr>
                    <w:pStyle w:val="TableBullet"/>
                  </w:pPr>
                  <w:r>
                    <w:t>Autism spectrum disorders</w:t>
                  </w:r>
                </w:p>
              </w:tc>
              <w:tc>
                <w:tcPr>
                  <w:tcW w:w="1666" w:type="pct"/>
                  <w:tcBorders>
                    <w:bottom w:val="single" w:sz="6" w:space="0" w:color="BFBFBF"/>
                  </w:tcBorders>
                  <w:shd w:val="clear" w:color="auto" w:fill="auto"/>
                </w:tcPr>
                <w:p w:rsidR="007A76BB" w:rsidRDefault="007A76BB" w:rsidP="007A76BB">
                  <w:pPr>
                    <w:pStyle w:val="TableBullet"/>
                  </w:pPr>
                  <w:r>
                    <w:t>Dementia</w:t>
                  </w:r>
                </w:p>
                <w:p w:rsidR="007A76BB" w:rsidRDefault="007A76BB" w:rsidP="00B0004B">
                  <w:pPr>
                    <w:pStyle w:val="TableBullet"/>
                  </w:pPr>
                  <w:r>
                    <w:t>Intellectual disability</w:t>
                  </w:r>
                </w:p>
              </w:tc>
            </w:tr>
          </w:tbl>
          <w:p w:rsidR="007A76BB" w:rsidRDefault="007A76BB" w:rsidP="008D0983">
            <w:pPr>
              <w:pStyle w:val="Box"/>
            </w:pPr>
          </w:p>
        </w:tc>
      </w:tr>
      <w:tr w:rsidR="007A76BB" w:rsidRPr="00176D3F" w:rsidTr="008D0983">
        <w:tblPrEx>
          <w:tblBorders>
            <w:top w:val="single" w:sz="6" w:space="0" w:color="78A22F"/>
            <w:left w:val="single" w:sz="6" w:space="0" w:color="78A22F"/>
            <w:bottom w:val="single" w:sz="6" w:space="0" w:color="78A22F"/>
            <w:right w:val="single" w:sz="6" w:space="0" w:color="78A22F"/>
          </w:tblBorders>
        </w:tblPrEx>
        <w:trPr>
          <w:cantSplit/>
        </w:trPr>
        <w:tc>
          <w:tcPr>
            <w:tcW w:w="5000" w:type="pct"/>
            <w:tcBorders>
              <w:top w:val="nil"/>
              <w:left w:val="nil"/>
              <w:bottom w:val="nil"/>
              <w:right w:val="nil"/>
            </w:tcBorders>
            <w:shd w:val="clear" w:color="auto" w:fill="auto"/>
          </w:tcPr>
          <w:p w:rsidR="007A76BB" w:rsidRPr="00E979DD" w:rsidRDefault="007A76BB">
            <w:pPr>
              <w:pStyle w:val="Note"/>
              <w:rPr>
                <w:b/>
                <w:i/>
              </w:rPr>
            </w:pPr>
            <w:r w:rsidRPr="005050B8">
              <w:rPr>
                <w:rStyle w:val="NoteLabel"/>
              </w:rPr>
              <w:t>a</w:t>
            </w:r>
            <w:r w:rsidRPr="00E979DD">
              <w:rPr>
                <w:rStyle w:val="NoteLabel"/>
                <w:b w:val="0"/>
              </w:rPr>
              <w:t xml:space="preserve"> </w:t>
            </w:r>
            <w:r>
              <w:t>Dementia and intellectual disabilities are</w:t>
            </w:r>
            <w:r w:rsidRPr="00FB622B">
              <w:t xml:space="preserve"> treated</w:t>
            </w:r>
            <w:r>
              <w:t xml:space="preserve"> as out-of-scope for this inquiry, except in those instances where they are comorbid with another mental disorder.</w:t>
            </w:r>
            <w:r w:rsidRPr="00B43D8A">
              <w:t xml:space="preserve"> The</w:t>
            </w:r>
            <w:r>
              <w:t xml:space="preserve"> </w:t>
            </w:r>
            <w:r w:rsidR="001E70A6">
              <w:t xml:space="preserve">Productivity </w:t>
            </w:r>
            <w:r>
              <w:t xml:space="preserve">Commission is assessing the extent to which substance use disorders and autism spectrum disorders fall within the scope of this inquiry. </w:t>
            </w:r>
            <w:r>
              <w:rPr>
                <w:rStyle w:val="NoteLabel"/>
                <w:b w:val="0"/>
              </w:rPr>
              <w:t xml:space="preserve"> </w:t>
            </w:r>
          </w:p>
        </w:tc>
      </w:tr>
      <w:tr w:rsidR="007A76BB" w:rsidRPr="00176D3F" w:rsidTr="008D0983">
        <w:tblPrEx>
          <w:tblBorders>
            <w:top w:val="single" w:sz="6" w:space="0" w:color="78A22F"/>
            <w:left w:val="single" w:sz="6" w:space="0" w:color="78A22F"/>
            <w:bottom w:val="single" w:sz="6" w:space="0" w:color="78A22F"/>
            <w:right w:val="single" w:sz="6" w:space="0" w:color="78A22F"/>
          </w:tblBorders>
        </w:tblPrEx>
        <w:trPr>
          <w:cantSplit/>
        </w:trPr>
        <w:tc>
          <w:tcPr>
            <w:tcW w:w="5000" w:type="pct"/>
            <w:tcBorders>
              <w:top w:val="nil"/>
              <w:left w:val="nil"/>
              <w:bottom w:val="nil"/>
              <w:right w:val="nil"/>
            </w:tcBorders>
            <w:shd w:val="clear" w:color="auto" w:fill="auto"/>
          </w:tcPr>
          <w:p w:rsidR="007A76BB" w:rsidRPr="00176D3F" w:rsidRDefault="007A76BB" w:rsidP="008D0983">
            <w:pPr>
              <w:pStyle w:val="Source"/>
            </w:pPr>
            <w:r>
              <w:rPr>
                <w:i/>
              </w:rPr>
              <w:t>S</w:t>
            </w:r>
            <w:r w:rsidRPr="00784A05">
              <w:rPr>
                <w:i/>
              </w:rPr>
              <w:t>ource</w:t>
            </w:r>
            <w:r w:rsidRPr="00176D3F">
              <w:t xml:space="preserve">: </w:t>
            </w:r>
            <w:r>
              <w:t xml:space="preserve">Adapted from </w:t>
            </w:r>
            <w:r>
              <w:rPr>
                <w:color w:val="000000" w:themeColor="text1"/>
              </w:rPr>
              <w:t>APA</w:t>
            </w:r>
            <w:r w:rsidRPr="000D2B3F">
              <w:rPr>
                <w:color w:val="000000" w:themeColor="text1"/>
              </w:rPr>
              <w:t xml:space="preserve"> </w:t>
            </w:r>
            <w:r w:rsidR="00854FF1" w:rsidRPr="00854FF1">
              <w:rPr>
                <w:rFonts w:cs="Arial"/>
              </w:rPr>
              <w:t>(2013)</w:t>
            </w:r>
            <w:r>
              <w:rPr>
                <w:color w:val="000000" w:themeColor="text1"/>
              </w:rPr>
              <w:t xml:space="preserve"> and </w:t>
            </w:r>
            <w:r>
              <w:t xml:space="preserve">QCMHR </w:t>
            </w:r>
            <w:r w:rsidR="00854FF1" w:rsidRPr="00854FF1">
              <w:rPr>
                <w:rFonts w:cs="Arial"/>
              </w:rPr>
              <w:t>(2019)</w:t>
            </w:r>
            <w:r>
              <w:rPr>
                <w:color w:val="000000" w:themeColor="text1"/>
              </w:rPr>
              <w:t>.</w:t>
            </w:r>
          </w:p>
        </w:tc>
      </w:tr>
      <w:tr w:rsidR="007A76BB" w:rsidTr="008D0983">
        <w:tc>
          <w:tcPr>
            <w:tcW w:w="5000" w:type="pct"/>
            <w:tcBorders>
              <w:top w:val="nil"/>
              <w:left w:val="nil"/>
              <w:bottom w:val="single" w:sz="6" w:space="0" w:color="78A22F"/>
              <w:right w:val="nil"/>
            </w:tcBorders>
            <w:shd w:val="clear" w:color="auto" w:fill="auto"/>
          </w:tcPr>
          <w:p w:rsidR="007A76BB" w:rsidRDefault="007A76BB" w:rsidP="008D0983">
            <w:pPr>
              <w:pStyle w:val="Box"/>
              <w:spacing w:before="0" w:line="120" w:lineRule="exact"/>
            </w:pPr>
          </w:p>
        </w:tc>
      </w:tr>
      <w:tr w:rsidR="007A76BB" w:rsidRPr="000863A5" w:rsidTr="008D0983">
        <w:tc>
          <w:tcPr>
            <w:tcW w:w="5000" w:type="pct"/>
            <w:tcBorders>
              <w:top w:val="single" w:sz="6" w:space="0" w:color="78A22F"/>
              <w:left w:val="nil"/>
              <w:bottom w:val="nil"/>
              <w:right w:val="nil"/>
            </w:tcBorders>
          </w:tcPr>
          <w:p w:rsidR="007A76BB" w:rsidRPr="00626D32" w:rsidRDefault="007A76BB" w:rsidP="0053356E">
            <w:pPr>
              <w:pStyle w:val="BoxSpaceBelow"/>
              <w:spacing w:after="0" w:line="40" w:lineRule="exact"/>
            </w:pPr>
          </w:p>
        </w:tc>
      </w:tr>
    </w:tbl>
    <w:p w:rsidR="00611058" w:rsidRDefault="00611058" w:rsidP="00611058">
      <w:pPr>
        <w:pStyle w:val="BodyText"/>
      </w:pPr>
      <w:r>
        <w:t xml:space="preserve">To give the inquiry focus, </w:t>
      </w:r>
      <w:r w:rsidR="007A4C7C">
        <w:t>we</w:t>
      </w:r>
      <w:r>
        <w:t xml:space="preserve"> intend to give greatest consideration to where there are the largest potential improvements in </w:t>
      </w:r>
      <w:r w:rsidR="006A79E7">
        <w:t>population</w:t>
      </w:r>
      <w:r>
        <w:t xml:space="preserve"> mental health, participation and </w:t>
      </w:r>
      <w:r w:rsidR="00455E16">
        <w:t>contribution</w:t>
      </w:r>
      <w:r>
        <w:t xml:space="preserve"> over the long term. </w:t>
      </w:r>
      <w:r w:rsidR="003559C7">
        <w:t>From the Commission’s initial consultations, t</w:t>
      </w:r>
      <w:r>
        <w:t xml:space="preserve">his </w:t>
      </w:r>
      <w:r w:rsidR="003559C7">
        <w:t>seems</w:t>
      </w:r>
      <w:r>
        <w:t xml:space="preserve"> likely to include:</w:t>
      </w:r>
    </w:p>
    <w:p w:rsidR="00611058" w:rsidRDefault="00611058" w:rsidP="00FD09C2">
      <w:pPr>
        <w:pStyle w:val="ListBullet"/>
        <w:spacing w:before="100" w:line="260" w:lineRule="atLeast"/>
      </w:pPr>
      <w:r>
        <w:t xml:space="preserve">people with a </w:t>
      </w:r>
      <w:r w:rsidRPr="00E568D6">
        <w:t xml:space="preserve">mild </w:t>
      </w:r>
      <w:r>
        <w:t>or</w:t>
      </w:r>
      <w:r w:rsidRPr="00E568D6">
        <w:t xml:space="preserve"> moderate mental </w:t>
      </w:r>
      <w:r w:rsidRPr="00C50DC0">
        <w:t>illness (</w:t>
      </w:r>
      <w:r w:rsidRPr="00871AC2">
        <w:t xml:space="preserve">such as anxiety </w:t>
      </w:r>
      <w:r w:rsidR="0000196F">
        <w:t>and</w:t>
      </w:r>
      <w:r w:rsidR="0000196F" w:rsidRPr="00871AC2">
        <w:t xml:space="preserve"> </w:t>
      </w:r>
      <w:r w:rsidRPr="00871AC2">
        <w:t>depressi</w:t>
      </w:r>
      <w:r w:rsidR="0000196F">
        <w:t>ve disorders</w:t>
      </w:r>
      <w:r w:rsidRPr="00871AC2">
        <w:t>) because they account for the vast majority of Australians with a mental</w:t>
      </w:r>
      <w:r>
        <w:t xml:space="preserve"> disorder</w:t>
      </w:r>
      <w:r w:rsidRPr="00E568D6">
        <w:t> (</w:t>
      </w:r>
      <w:r w:rsidRPr="00976B2F">
        <w:t>figure </w:t>
      </w:r>
      <w:r w:rsidR="0019285E" w:rsidRPr="00976B2F">
        <w:t>2</w:t>
      </w:r>
      <w:r w:rsidRPr="00E568D6">
        <w:t>)</w:t>
      </w:r>
      <w:r w:rsidR="00E456D6">
        <w:t xml:space="preserve"> </w:t>
      </w:r>
    </w:p>
    <w:p w:rsidR="00611058" w:rsidRPr="00871AC2" w:rsidRDefault="00611058" w:rsidP="00FD09C2">
      <w:pPr>
        <w:pStyle w:val="ListBullet"/>
        <w:spacing w:before="100" w:line="260" w:lineRule="atLeast"/>
      </w:pPr>
      <w:r w:rsidRPr="00871AC2">
        <w:t xml:space="preserve">young people, because </w:t>
      </w:r>
      <w:r w:rsidR="00067980">
        <w:t>mental illness at a young age can affect schooling and other factors which influence opportunities over a person’s lifetime</w:t>
      </w:r>
      <w:r w:rsidR="00106669">
        <w:t xml:space="preserve"> — m</w:t>
      </w:r>
      <w:r w:rsidR="00067980">
        <w:t xml:space="preserve">oreover, </w:t>
      </w:r>
      <w:r w:rsidRPr="00871AC2">
        <w:t>most mental illnesses experienced in adult life have their onset in</w:t>
      </w:r>
      <w:r w:rsidRPr="00E40D6D">
        <w:t xml:space="preserve"> childhood or adolescence</w:t>
      </w:r>
      <w:r>
        <w:t xml:space="preserve"> </w:t>
      </w:r>
      <w:r w:rsidR="00854FF1" w:rsidRPr="00854FF1">
        <w:rPr>
          <w:szCs w:val="24"/>
        </w:rPr>
        <w:t>(McGorry et al. 2011)</w:t>
      </w:r>
    </w:p>
    <w:p w:rsidR="00BF4A47" w:rsidRDefault="00611058" w:rsidP="00FD09C2">
      <w:pPr>
        <w:pStyle w:val="ListBullet"/>
        <w:spacing w:before="100" w:line="260" w:lineRule="atLeast"/>
      </w:pPr>
      <w:r w:rsidRPr="004548BE">
        <w:t xml:space="preserve">disadvantaged groups, such as </w:t>
      </w:r>
      <w:r w:rsidR="002C4D3F">
        <w:t xml:space="preserve">individuals </w:t>
      </w:r>
      <w:r w:rsidR="00B707C1">
        <w:t>from</w:t>
      </w:r>
      <w:r w:rsidR="002C4D3F">
        <w:t xml:space="preserve"> </w:t>
      </w:r>
      <w:r w:rsidR="000E08C2">
        <w:t xml:space="preserve">very </w:t>
      </w:r>
      <w:r w:rsidR="00AA6ED0">
        <w:t>low socioeconomic backgrounds and</w:t>
      </w:r>
      <w:r>
        <w:t xml:space="preserve"> </w:t>
      </w:r>
      <w:r w:rsidRPr="004548BE">
        <w:t>people residing in remote areas</w:t>
      </w:r>
      <w:r w:rsidR="002431A3">
        <w:t xml:space="preserve"> </w:t>
      </w:r>
      <w:r w:rsidR="0030079A">
        <w:t>because they</w:t>
      </w:r>
      <w:r w:rsidRPr="004548BE">
        <w:t xml:space="preserve"> </w:t>
      </w:r>
      <w:r w:rsidR="00AC179F">
        <w:t xml:space="preserve">may </w:t>
      </w:r>
      <w:r w:rsidR="002431A3">
        <w:t>have more difficulty</w:t>
      </w:r>
      <w:r w:rsidRPr="004548BE">
        <w:t xml:space="preserve"> </w:t>
      </w:r>
      <w:r w:rsidR="0030079A">
        <w:t xml:space="preserve">in </w:t>
      </w:r>
      <w:r w:rsidRPr="004548BE">
        <w:t>access</w:t>
      </w:r>
      <w:r w:rsidR="002431A3">
        <w:t>ing</w:t>
      </w:r>
      <w:r w:rsidRPr="004548BE">
        <w:t xml:space="preserve"> </w:t>
      </w:r>
      <w:r>
        <w:t xml:space="preserve">services </w:t>
      </w:r>
      <w:r w:rsidR="00AA6ED0">
        <w:t>which</w:t>
      </w:r>
      <w:r>
        <w:t xml:space="preserve"> could improve their mental health</w:t>
      </w:r>
      <w:r w:rsidR="008A65EF">
        <w:t xml:space="preserve"> </w:t>
      </w:r>
      <w:r w:rsidR="00854FF1" w:rsidRPr="00854FF1">
        <w:rPr>
          <w:szCs w:val="24"/>
        </w:rPr>
        <w:t>(AIHW 2018d; Harris et al. 2010; Meadows et al. 2015)</w:t>
      </w:r>
    </w:p>
    <w:p w:rsidR="00611058" w:rsidRDefault="00611058" w:rsidP="00FD09C2">
      <w:pPr>
        <w:pStyle w:val="ListBullet"/>
        <w:spacing w:before="100" w:line="260" w:lineRule="atLeast"/>
      </w:pPr>
      <w:r w:rsidRPr="00C44C54">
        <w:t>suicide prevention</w:t>
      </w:r>
      <w:r>
        <w:t>, because the years of additional life lived, and associated social and economic participation and productivity years into the future, can be significant</w:t>
      </w:r>
      <w:r w:rsidR="008F2635">
        <w:t>.</w:t>
      </w:r>
    </w:p>
    <w:p w:rsidR="000E6158" w:rsidRDefault="00721558" w:rsidP="00E456D6">
      <w:pPr>
        <w:pStyle w:val="BodyText"/>
      </w:pPr>
      <w:r>
        <w:lastRenderedPageBreak/>
        <w:t>W</w:t>
      </w:r>
      <w:r w:rsidR="008F2635">
        <w:t xml:space="preserve">e also intend to focus on measures </w:t>
      </w:r>
      <w:r w:rsidR="00E010EF">
        <w:t>that</w:t>
      </w:r>
      <w:r w:rsidR="008F2635">
        <w:t xml:space="preserve"> could improve the integration and continuity of support for particular groups, such </w:t>
      </w:r>
      <w:r w:rsidR="003C42F9">
        <w:t>as people with severe</w:t>
      </w:r>
      <w:r w:rsidR="00401587">
        <w:t>,</w:t>
      </w:r>
      <w:r w:rsidR="003C42F9">
        <w:t xml:space="preserve"> </w:t>
      </w:r>
      <w:r w:rsidR="00401587">
        <w:t xml:space="preserve">persistent and complex </w:t>
      </w:r>
      <w:r w:rsidR="003C42F9">
        <w:t xml:space="preserve">mental </w:t>
      </w:r>
      <w:r w:rsidR="003559C7">
        <w:t>illness</w:t>
      </w:r>
      <w:r w:rsidR="00556A8C">
        <w:t xml:space="preserve">, and </w:t>
      </w:r>
      <w:r w:rsidR="00C95598">
        <w:t xml:space="preserve">which could </w:t>
      </w:r>
      <w:r w:rsidR="00556A8C">
        <w:t xml:space="preserve">better take into account the episodic nature of </w:t>
      </w:r>
      <w:r w:rsidR="00B9508D">
        <w:t xml:space="preserve">some </w:t>
      </w:r>
      <w:r w:rsidR="00556A8C">
        <w:t>mental illnesses</w:t>
      </w:r>
      <w:r w:rsidR="003C42F9">
        <w:t>.</w:t>
      </w:r>
    </w:p>
    <w:p w:rsidR="007B278F" w:rsidRDefault="007B278F" w:rsidP="007B278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B278F" w:rsidTr="000201D5">
        <w:trPr>
          <w:tblHeader/>
        </w:trPr>
        <w:tc>
          <w:tcPr>
            <w:tcW w:w="5000" w:type="pct"/>
            <w:tcBorders>
              <w:top w:val="single" w:sz="6" w:space="0" w:color="78A22F"/>
              <w:left w:val="nil"/>
              <w:bottom w:val="nil"/>
              <w:right w:val="nil"/>
            </w:tcBorders>
            <w:shd w:val="clear" w:color="auto" w:fill="auto"/>
          </w:tcPr>
          <w:p w:rsidR="007B278F" w:rsidRPr="00782DBA" w:rsidRDefault="007B278F" w:rsidP="00D150EF">
            <w:pPr>
              <w:pStyle w:val="FigureTitle"/>
            </w:pPr>
            <w:r w:rsidRPr="00784A05">
              <w:rPr>
                <w:b w:val="0"/>
              </w:rPr>
              <w:t xml:space="preserve">Figure </w:t>
            </w:r>
            <w:r w:rsidR="0019285E">
              <w:rPr>
                <w:b w:val="0"/>
              </w:rPr>
              <w:t>2</w:t>
            </w:r>
            <w:r>
              <w:tab/>
            </w:r>
            <w:r w:rsidR="005F65FC" w:rsidRPr="00721558">
              <w:rPr>
                <w:spacing w:val="-4"/>
              </w:rPr>
              <w:t xml:space="preserve">Distribution of </w:t>
            </w:r>
            <w:r w:rsidRPr="00721558">
              <w:rPr>
                <w:spacing w:val="-4"/>
              </w:rPr>
              <w:t xml:space="preserve">mental </w:t>
            </w:r>
            <w:r w:rsidR="005F65FC" w:rsidRPr="00721558">
              <w:rPr>
                <w:spacing w:val="-4"/>
              </w:rPr>
              <w:t>health among the Australian population</w:t>
            </w:r>
            <w:r w:rsidR="005F65FC" w:rsidRPr="00721558">
              <w:rPr>
                <w:rStyle w:val="NoteLabel"/>
                <w:b/>
                <w:spacing w:val="-4"/>
              </w:rPr>
              <w:t>a</w:t>
            </w:r>
          </w:p>
        </w:tc>
      </w:tr>
      <w:tr w:rsidR="007B278F" w:rsidTr="000201D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7B278F" w:rsidRPr="00B1465D" w:rsidTr="000201D5">
              <w:trPr>
                <w:tblHeader/>
                <w:jc w:val="center"/>
              </w:trPr>
              <w:tc>
                <w:tcPr>
                  <w:tcW w:w="5000" w:type="pct"/>
                  <w:tcBorders>
                    <w:top w:val="nil"/>
                    <w:bottom w:val="nil"/>
                  </w:tcBorders>
                </w:tcPr>
                <w:p w:rsidR="007B278F" w:rsidRPr="00B1465D" w:rsidRDefault="007B278F" w:rsidP="000201D5">
                  <w:pPr>
                    <w:pStyle w:val="Figure"/>
                    <w:spacing w:before="60" w:after="60"/>
                    <w:rPr>
                      <w:rFonts w:ascii="Arial" w:hAnsi="Arial" w:cs="Arial"/>
                      <w:sz w:val="18"/>
                      <w:szCs w:val="18"/>
                    </w:rPr>
                  </w:pPr>
                  <w:r w:rsidRPr="0060310D">
                    <w:rPr>
                      <w:rFonts w:ascii="Arial" w:hAnsi="Arial" w:cs="Arial"/>
                      <w:noProof/>
                      <w:sz w:val="18"/>
                      <w:szCs w:val="18"/>
                    </w:rPr>
                    <w:drawing>
                      <wp:inline distT="0" distB="0" distL="0" distR="0" wp14:anchorId="63025E5F" wp14:editId="6CEB4E7B">
                        <wp:extent cx="5364480" cy="2369820"/>
                        <wp:effectExtent l="0" t="0" r="7620" b="0"/>
                        <wp:docPr id="11" name="Picture 11" descr="Estimated number of Australians at risk, or with mild, moderate or severe mental ill-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ccalman\AppData\Local\Microsoft\Windows\INetCache\Content.Outlook\WMIVK7R4\Mental Health issues paper graphic.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64480" cy="2369820"/>
                                </a:xfrm>
                                <a:prstGeom prst="rect">
                                  <a:avLst/>
                                </a:prstGeom>
                                <a:noFill/>
                                <a:ln>
                                  <a:noFill/>
                                </a:ln>
                              </pic:spPr>
                            </pic:pic>
                          </a:graphicData>
                        </a:graphic>
                      </wp:inline>
                    </w:drawing>
                  </w:r>
                </w:p>
              </w:tc>
            </w:tr>
          </w:tbl>
          <w:p w:rsidR="007B278F" w:rsidRDefault="007B278F" w:rsidP="000201D5">
            <w:pPr>
              <w:pStyle w:val="Figure"/>
            </w:pPr>
          </w:p>
        </w:tc>
      </w:tr>
      <w:tr w:rsidR="007B278F" w:rsidRPr="00176D3F" w:rsidTr="000201D5">
        <w:tc>
          <w:tcPr>
            <w:tcW w:w="5000" w:type="pct"/>
            <w:tcBorders>
              <w:top w:val="nil"/>
              <w:left w:val="nil"/>
              <w:bottom w:val="nil"/>
              <w:right w:val="nil"/>
            </w:tcBorders>
            <w:shd w:val="clear" w:color="auto" w:fill="auto"/>
          </w:tcPr>
          <w:p w:rsidR="007B278F" w:rsidRPr="00176D3F" w:rsidRDefault="007B278F" w:rsidP="000660A7">
            <w:pPr>
              <w:pStyle w:val="Note"/>
            </w:pPr>
            <w:r>
              <w:rPr>
                <w:rStyle w:val="NoteLabel"/>
              </w:rPr>
              <w:t>a</w:t>
            </w:r>
            <w:r>
              <w:t xml:space="preserve"> </w:t>
            </w:r>
            <w:r w:rsidR="002A3169">
              <w:t>Estimated</w:t>
            </w:r>
            <w:r w:rsidR="005F65FC">
              <w:t xml:space="preserve"> number of </w:t>
            </w:r>
            <w:r w:rsidR="009D7CE1">
              <w:t>people (adults and children)</w:t>
            </w:r>
            <w:r w:rsidR="009D7CE1" w:rsidRPr="004C5225">
              <w:t xml:space="preserve"> </w:t>
            </w:r>
            <w:r w:rsidR="005F65FC">
              <w:t>in each group</w:t>
            </w:r>
            <w:r w:rsidR="00106C10">
              <w:t xml:space="preserve"> based on their mental health over </w:t>
            </w:r>
            <w:r w:rsidR="009D7CE1">
              <w:t>the 12 </w:t>
            </w:r>
            <w:r w:rsidR="00106C10" w:rsidRPr="004C5225">
              <w:t>months</w:t>
            </w:r>
            <w:r w:rsidR="00106C10">
              <w:t xml:space="preserve"> up to 31 March 2018</w:t>
            </w:r>
            <w:r w:rsidR="00106C10" w:rsidRPr="004C5225">
              <w:t>.</w:t>
            </w:r>
            <w:r w:rsidR="009D7CE1">
              <w:t xml:space="preserve"> People were categorised as having a mental illness (mild, moderate or severe) if they had an </w:t>
            </w:r>
            <w:r w:rsidR="007547DD">
              <w:t xml:space="preserve">episode </w:t>
            </w:r>
            <w:r w:rsidR="005A108C">
              <w:t xml:space="preserve">of mental illness </w:t>
            </w:r>
            <w:r w:rsidR="007547DD">
              <w:t xml:space="preserve">within the 12-month period. </w:t>
            </w:r>
            <w:r w:rsidR="005A108C">
              <w:t>They</w:t>
            </w:r>
            <w:r w:rsidR="005A108C" w:rsidRPr="008B75EA">
              <w:t xml:space="preserve"> </w:t>
            </w:r>
            <w:r w:rsidR="005A108C">
              <w:t>we</w:t>
            </w:r>
            <w:r w:rsidR="005A108C" w:rsidRPr="008B75EA">
              <w:t>re</w:t>
            </w:r>
            <w:r w:rsidR="005A108C">
              <w:t xml:space="preserve"> categorised as being at-</w:t>
            </w:r>
            <w:r w:rsidR="005A108C" w:rsidRPr="008B75EA">
              <w:t xml:space="preserve">risk if they had </w:t>
            </w:r>
            <w:r w:rsidR="005A108C">
              <w:t>emerging</w:t>
            </w:r>
            <w:r w:rsidR="005A108C" w:rsidRPr="008B75EA">
              <w:t xml:space="preserve"> symptoms of </w:t>
            </w:r>
            <w:r w:rsidR="005A108C">
              <w:t xml:space="preserve">a </w:t>
            </w:r>
            <w:r w:rsidR="005A108C" w:rsidRPr="008B75EA">
              <w:t xml:space="preserve">mental illness </w:t>
            </w:r>
            <w:r w:rsidR="005A108C">
              <w:t>within the 12-month period</w:t>
            </w:r>
            <w:r w:rsidR="005A108C" w:rsidRPr="008B75EA">
              <w:t xml:space="preserve">, or an episode of mental illness </w:t>
            </w:r>
            <w:r w:rsidR="005A108C">
              <w:t>before</w:t>
            </w:r>
            <w:r w:rsidR="005A108C" w:rsidRPr="008B75EA">
              <w:t xml:space="preserve"> th</w:t>
            </w:r>
            <w:r w:rsidR="005A108C">
              <w:t>e 12-</w:t>
            </w:r>
            <w:r w:rsidR="005A108C" w:rsidRPr="008B75EA">
              <w:t>month</w:t>
            </w:r>
            <w:r w:rsidR="005A108C">
              <w:t xml:space="preserve"> period, or we</w:t>
            </w:r>
            <w:r w:rsidR="005A108C" w:rsidRPr="00E5044E">
              <w:t>re children of parents with a mental illness.</w:t>
            </w:r>
            <w:r w:rsidR="00E5044E">
              <w:t xml:space="preserve"> </w:t>
            </w:r>
          </w:p>
        </w:tc>
      </w:tr>
      <w:tr w:rsidR="007B278F" w:rsidRPr="00176D3F" w:rsidTr="000201D5">
        <w:tc>
          <w:tcPr>
            <w:tcW w:w="5000" w:type="pct"/>
            <w:tcBorders>
              <w:top w:val="nil"/>
              <w:left w:val="nil"/>
              <w:bottom w:val="nil"/>
              <w:right w:val="nil"/>
            </w:tcBorders>
            <w:shd w:val="clear" w:color="auto" w:fill="auto"/>
          </w:tcPr>
          <w:p w:rsidR="007B278F" w:rsidRPr="00176D3F" w:rsidRDefault="007B278F" w:rsidP="00961ECE">
            <w:pPr>
              <w:pStyle w:val="Source"/>
            </w:pPr>
            <w:r>
              <w:rPr>
                <w:i/>
              </w:rPr>
              <w:t>S</w:t>
            </w:r>
            <w:r w:rsidRPr="00784A05">
              <w:rPr>
                <w:i/>
              </w:rPr>
              <w:t>ource</w:t>
            </w:r>
            <w:r w:rsidRPr="00176D3F">
              <w:t xml:space="preserve">: </w:t>
            </w:r>
            <w:r>
              <w:t>Productivity Commission estimates based on p</w:t>
            </w:r>
            <w:r w:rsidRPr="00980074">
              <w:t xml:space="preserve">revalence </w:t>
            </w:r>
            <w:r>
              <w:t>rates</w:t>
            </w:r>
            <w:r w:rsidRPr="00980074">
              <w:t xml:space="preserve"> published in the </w:t>
            </w:r>
            <w:r w:rsidRPr="00653276">
              <w:t>Fifth National Mental Health and Suicide Prevention Plan</w:t>
            </w:r>
            <w:r>
              <w:t xml:space="preserve"> </w:t>
            </w:r>
            <w:r w:rsidR="00854FF1" w:rsidRPr="00854FF1">
              <w:rPr>
                <w:rFonts w:cs="Arial"/>
                <w:szCs w:val="24"/>
              </w:rPr>
              <w:t>(COAG Health Council 2017a)</w:t>
            </w:r>
            <w:r>
              <w:t xml:space="preserve"> and NMHC</w:t>
            </w:r>
            <w:r w:rsidR="00961ECE">
              <w:t> </w:t>
            </w:r>
            <w:r w:rsidR="00961ECE" w:rsidRPr="00961ECE">
              <w:rPr>
                <w:rFonts w:cs="Arial"/>
              </w:rPr>
              <w:t>(2014a)</w:t>
            </w:r>
            <w:r>
              <w:t xml:space="preserve">; and population statistics published by the </w:t>
            </w:r>
            <w:r w:rsidRPr="00980074">
              <w:t xml:space="preserve">ABS </w:t>
            </w:r>
            <w:r>
              <w:t>(</w:t>
            </w:r>
            <w:r w:rsidRPr="0089208A">
              <w:rPr>
                <w:i/>
              </w:rPr>
              <w:t>Australian Demographic Statistics</w:t>
            </w:r>
            <w:r>
              <w:t>, Cat. </w:t>
            </w:r>
            <w:r w:rsidRPr="00980074">
              <w:t>no. 3101.0</w:t>
            </w:r>
            <w:r>
              <w:t>).</w:t>
            </w:r>
          </w:p>
        </w:tc>
      </w:tr>
      <w:tr w:rsidR="007B278F" w:rsidTr="000201D5">
        <w:tc>
          <w:tcPr>
            <w:tcW w:w="5000" w:type="pct"/>
            <w:tcBorders>
              <w:top w:val="nil"/>
              <w:left w:val="nil"/>
              <w:bottom w:val="single" w:sz="6" w:space="0" w:color="78A22F"/>
              <w:right w:val="nil"/>
            </w:tcBorders>
            <w:shd w:val="clear" w:color="auto" w:fill="auto"/>
          </w:tcPr>
          <w:p w:rsidR="007B278F" w:rsidRDefault="007B278F" w:rsidP="000201D5">
            <w:pPr>
              <w:pStyle w:val="Figurespace"/>
            </w:pPr>
          </w:p>
        </w:tc>
      </w:tr>
      <w:tr w:rsidR="007B278F" w:rsidRPr="000863A5" w:rsidTr="000201D5">
        <w:tc>
          <w:tcPr>
            <w:tcW w:w="5000" w:type="pct"/>
            <w:tcBorders>
              <w:top w:val="single" w:sz="6" w:space="0" w:color="78A22F"/>
              <w:left w:val="nil"/>
              <w:bottom w:val="nil"/>
              <w:right w:val="nil"/>
            </w:tcBorders>
          </w:tcPr>
          <w:p w:rsidR="007B278F" w:rsidRPr="00626D32" w:rsidRDefault="007B278F" w:rsidP="000201D5">
            <w:pPr>
              <w:pStyle w:val="BoxSpaceBelow"/>
            </w:pPr>
          </w:p>
        </w:tc>
      </w:tr>
    </w:tbl>
    <w:p w:rsidR="00401587" w:rsidRPr="00401587" w:rsidRDefault="007B278F" w:rsidP="00401587">
      <w:pPr>
        <w:pStyle w:val="Heading3"/>
      </w:pPr>
      <w:r w:rsidRPr="00693E3D">
        <w:t>Inquiry process and consultation</w:t>
      </w:r>
    </w:p>
    <w:p w:rsidR="00A265E5" w:rsidRPr="007A4C7C" w:rsidRDefault="00A265E5" w:rsidP="00A265E5">
      <w:pPr>
        <w:pStyle w:val="BodyText"/>
      </w:pPr>
      <w:r w:rsidRPr="007A4C7C">
        <w:t xml:space="preserve">We will </w:t>
      </w:r>
      <w:r w:rsidR="005E0837">
        <w:t xml:space="preserve">be </w:t>
      </w:r>
      <w:r w:rsidRPr="007A4C7C">
        <w:t>undertak</w:t>
      </w:r>
      <w:r w:rsidR="005E0837">
        <w:t>ing wide-ranging</w:t>
      </w:r>
      <w:r w:rsidRPr="007A4C7C">
        <w:t xml:space="preserve"> consultations </w:t>
      </w:r>
      <w:r w:rsidR="001D6030">
        <w:t>for this inquiry. We also</w:t>
      </w:r>
      <w:r w:rsidR="005E0837">
        <w:t xml:space="preserve"> </w:t>
      </w:r>
      <w:r w:rsidRPr="007A4C7C">
        <w:t>invit</w:t>
      </w:r>
      <w:r w:rsidR="005E0837">
        <w:t>e</w:t>
      </w:r>
      <w:r w:rsidRPr="007A4C7C">
        <w:t xml:space="preserve"> </w:t>
      </w:r>
      <w:r w:rsidR="00F56BC3">
        <w:t>written</w:t>
      </w:r>
      <w:r w:rsidRPr="007A4C7C">
        <w:t xml:space="preserve"> submissions</w:t>
      </w:r>
      <w:r w:rsidR="007A4C7C">
        <w:t xml:space="preserve"> and comments</w:t>
      </w:r>
      <w:r w:rsidRPr="007A4C7C">
        <w:t xml:space="preserve"> </w:t>
      </w:r>
      <w:r w:rsidR="00F56BC3">
        <w:t xml:space="preserve">on the issues </w:t>
      </w:r>
      <w:r w:rsidR="002831A9">
        <w:t xml:space="preserve">to be </w:t>
      </w:r>
      <w:r w:rsidR="00F56BC3">
        <w:t>covered by the inquiry.</w:t>
      </w:r>
      <w:r w:rsidRPr="007A4C7C">
        <w:t xml:space="preserve"> </w:t>
      </w:r>
      <w:r w:rsidR="005E0837">
        <w:t xml:space="preserve">This </w:t>
      </w:r>
      <w:r w:rsidRPr="007A4C7C">
        <w:t xml:space="preserve">issues paper is intended to assist </w:t>
      </w:r>
      <w:r w:rsidR="00F56BC3">
        <w:t xml:space="preserve">you </w:t>
      </w:r>
      <w:r w:rsidRPr="007A4C7C">
        <w:t xml:space="preserve">to </w:t>
      </w:r>
      <w:r w:rsidR="001213DC">
        <w:t>lodge</w:t>
      </w:r>
      <w:r w:rsidRPr="007A4C7C">
        <w:t xml:space="preserve"> a submission</w:t>
      </w:r>
      <w:r w:rsidR="007A4C7C">
        <w:t xml:space="preserve"> or comment</w:t>
      </w:r>
      <w:r w:rsidR="006B3EA1">
        <w:t>,</w:t>
      </w:r>
      <w:r w:rsidR="007A4C7C">
        <w:t xml:space="preserve"> </w:t>
      </w:r>
      <w:r w:rsidR="005E0837">
        <w:t>but</w:t>
      </w:r>
      <w:r w:rsidR="007A4C7C">
        <w:t xml:space="preserve"> it is not</w:t>
      </w:r>
      <w:r w:rsidRPr="007A4C7C">
        <w:t xml:space="preserve"> </w:t>
      </w:r>
      <w:r w:rsidR="00CF5284">
        <w:t xml:space="preserve">intended to provide an </w:t>
      </w:r>
      <w:r w:rsidR="007A4C7C">
        <w:t>exhaustive</w:t>
      </w:r>
      <w:r w:rsidR="00CF5284">
        <w:t xml:space="preserve"> list of the issues</w:t>
      </w:r>
      <w:r w:rsidR="005E0837">
        <w:t xml:space="preserve">. </w:t>
      </w:r>
      <w:r w:rsidR="000E08C2">
        <w:t>Submitters</w:t>
      </w:r>
      <w:r w:rsidR="007A4C7C">
        <w:t xml:space="preserve"> </w:t>
      </w:r>
      <w:r w:rsidRPr="007A4C7C">
        <w:t xml:space="preserve">need </w:t>
      </w:r>
      <w:r w:rsidR="000E08C2">
        <w:t>not</w:t>
      </w:r>
      <w:r w:rsidRPr="007A4C7C">
        <w:t xml:space="preserve"> </w:t>
      </w:r>
      <w:r w:rsidR="00F05202">
        <w:t>cover</w:t>
      </w:r>
      <w:r w:rsidRPr="007A4C7C">
        <w:t xml:space="preserve"> every issue raised in this paper</w:t>
      </w:r>
      <w:r w:rsidR="000E08C2">
        <w:t xml:space="preserve"> and</w:t>
      </w:r>
      <w:r w:rsidRPr="007A4C7C">
        <w:t xml:space="preserve"> are welcome to submit material on other issues</w:t>
      </w:r>
      <w:r w:rsidR="000E08C2">
        <w:t xml:space="preserve"> they consider</w:t>
      </w:r>
      <w:r w:rsidRPr="007A4C7C">
        <w:t xml:space="preserve"> directly relevant to the </w:t>
      </w:r>
      <w:r w:rsidR="00391DA0">
        <w:t>inquiry’s</w:t>
      </w:r>
      <w:r w:rsidRPr="007A4C7C">
        <w:t xml:space="preserve"> terms of reference. </w:t>
      </w:r>
    </w:p>
    <w:p w:rsidR="000E08C2" w:rsidRDefault="007A4C7C" w:rsidP="00A265E5">
      <w:pPr>
        <w:pStyle w:val="BodyText"/>
      </w:pPr>
      <w:r>
        <w:t>We</w:t>
      </w:r>
      <w:r w:rsidR="00A265E5" w:rsidRPr="007A4C7C">
        <w:t xml:space="preserve"> </w:t>
      </w:r>
      <w:r>
        <w:t>welcome input from those providing services and supports to those with mental ill</w:t>
      </w:r>
      <w:r w:rsidR="001173A0">
        <w:noBreakHyphen/>
      </w:r>
      <w:r>
        <w:t xml:space="preserve">health, and from employers </w:t>
      </w:r>
      <w:r w:rsidR="0050354C">
        <w:t xml:space="preserve">grappling with the mental health of their workforce. </w:t>
      </w:r>
    </w:p>
    <w:p w:rsidR="00F05202" w:rsidRDefault="0050354C" w:rsidP="00A265E5">
      <w:pPr>
        <w:pStyle w:val="BodyText"/>
      </w:pPr>
      <w:r>
        <w:t>We particularly</w:t>
      </w:r>
      <w:r w:rsidR="007A4C7C">
        <w:t xml:space="preserve"> </w:t>
      </w:r>
      <w:r w:rsidR="00A265E5" w:rsidRPr="007A4C7C">
        <w:t xml:space="preserve">encourage participation </w:t>
      </w:r>
      <w:r>
        <w:t xml:space="preserve">in the inquiry </w:t>
      </w:r>
      <w:r w:rsidR="00A265E5" w:rsidRPr="007A4C7C">
        <w:t xml:space="preserve">from </w:t>
      </w:r>
      <w:r>
        <w:t>those in</w:t>
      </w:r>
      <w:r w:rsidR="00A265E5" w:rsidRPr="007A4C7C">
        <w:t xml:space="preserve"> the community</w:t>
      </w:r>
      <w:r>
        <w:t xml:space="preserve"> —</w:t>
      </w:r>
      <w:r w:rsidRPr="007A4C7C">
        <w:t xml:space="preserve"> </w:t>
      </w:r>
      <w:r w:rsidR="00A265E5" w:rsidRPr="007A4C7C">
        <w:t xml:space="preserve">young and </w:t>
      </w:r>
      <w:r w:rsidR="007A4C7C">
        <w:t>elderly</w:t>
      </w:r>
      <w:r w:rsidR="007A4C7C" w:rsidRPr="007A4C7C">
        <w:t xml:space="preserve"> </w:t>
      </w:r>
      <w:r w:rsidR="00A265E5" w:rsidRPr="007A4C7C">
        <w:t>people, those of working age, people with lived experience, and families and carers</w:t>
      </w:r>
      <w:r>
        <w:t xml:space="preserve"> — who are navigating through current mental health services and supports to find what is most effective for themselves or those they care for</w:t>
      </w:r>
      <w:r w:rsidR="00A265E5" w:rsidRPr="007A4C7C">
        <w:t>. The experience</w:t>
      </w:r>
      <w:r w:rsidR="007A4C7C">
        <w:t>s</w:t>
      </w:r>
      <w:r w:rsidR="00A265E5" w:rsidRPr="007A4C7C">
        <w:t xml:space="preserve"> of </w:t>
      </w:r>
      <w:r w:rsidR="005B7CA3">
        <w:t>I</w:t>
      </w:r>
      <w:r w:rsidR="005B7CA3" w:rsidRPr="007A4C7C">
        <w:t>ndigenous</w:t>
      </w:r>
      <w:r w:rsidR="005B7CA3">
        <w:t xml:space="preserve"> </w:t>
      </w:r>
      <w:r w:rsidR="005B7CA3">
        <w:lastRenderedPageBreak/>
        <w:t>Australians</w:t>
      </w:r>
      <w:r w:rsidR="00A265E5" w:rsidRPr="007A4C7C">
        <w:t xml:space="preserve">, culturally and linguistically diverse groups, and people living in regional </w:t>
      </w:r>
      <w:r w:rsidR="00886A17">
        <w:t xml:space="preserve">and remote </w:t>
      </w:r>
      <w:r w:rsidR="00A265E5" w:rsidRPr="007A4C7C">
        <w:t xml:space="preserve">areas </w:t>
      </w:r>
      <w:r w:rsidR="007A4C7C">
        <w:t>are</w:t>
      </w:r>
      <w:r w:rsidR="007A4C7C" w:rsidRPr="007A4C7C">
        <w:t xml:space="preserve"> </w:t>
      </w:r>
      <w:r w:rsidR="00A966F1">
        <w:t xml:space="preserve">also </w:t>
      </w:r>
      <w:r w:rsidR="004B0262">
        <w:t>important</w:t>
      </w:r>
      <w:r w:rsidR="007D1CE7" w:rsidRPr="007A4C7C">
        <w:t xml:space="preserve">. </w:t>
      </w:r>
    </w:p>
    <w:p w:rsidR="00A265E5" w:rsidRPr="007A4C7C" w:rsidRDefault="000626D9" w:rsidP="00A265E5">
      <w:pPr>
        <w:pStyle w:val="BodyText"/>
      </w:pPr>
      <w:r>
        <w:t xml:space="preserve">To facilitate input from individuals who do not have the resources to lodge a formal submission or only wish to provide input on a limited range of issues, </w:t>
      </w:r>
      <w:r w:rsidR="0026376C">
        <w:t>the inquiry website includes an option for people to make a brief comment</w:t>
      </w:r>
      <w:r>
        <w:t xml:space="preserve"> </w:t>
      </w:r>
      <w:r w:rsidR="0026376C">
        <w:t>(up to 500 words).</w:t>
      </w:r>
    </w:p>
    <w:p w:rsidR="007B278F" w:rsidRDefault="00CB6A36" w:rsidP="00DF07D5">
      <w:pPr>
        <w:pStyle w:val="Heading2"/>
        <w:rPr>
          <w:noProof/>
        </w:rPr>
      </w:pPr>
      <w:bookmarkStart w:id="13" w:name="_Toc534966412"/>
      <w:bookmarkStart w:id="14" w:name="_Toc535242303"/>
      <w:r>
        <w:rPr>
          <w:noProof/>
        </w:rPr>
        <w:t>2</w:t>
      </w:r>
      <w:r w:rsidR="007B278F">
        <w:rPr>
          <w:noProof/>
        </w:rPr>
        <w:t>.</w:t>
      </w:r>
      <w:r w:rsidR="007B278F">
        <w:tab/>
      </w:r>
      <w:r w:rsidR="007B278F">
        <w:rPr>
          <w:noProof/>
        </w:rPr>
        <w:t>Assessment approach</w:t>
      </w:r>
      <w:bookmarkEnd w:id="13"/>
      <w:bookmarkEnd w:id="14"/>
    </w:p>
    <w:p w:rsidR="0002541F" w:rsidRDefault="00AE2D96" w:rsidP="006A509A">
      <w:pPr>
        <w:pStyle w:val="BodyText"/>
      </w:pPr>
      <w:r>
        <w:t>We</w:t>
      </w:r>
      <w:r w:rsidR="00047092" w:rsidRPr="0071751F">
        <w:t xml:space="preserve"> </w:t>
      </w:r>
      <w:r w:rsidR="00797C66" w:rsidRPr="0071751F">
        <w:t xml:space="preserve">will be </w:t>
      </w:r>
      <w:r w:rsidR="0071751F" w:rsidRPr="0071751F">
        <w:t xml:space="preserve">investigating how to </w:t>
      </w:r>
      <w:r w:rsidR="00AC71BE" w:rsidRPr="0071751F">
        <w:t xml:space="preserve">improve population mental health so as to realise </w:t>
      </w:r>
      <w:r w:rsidR="000E08C2">
        <w:t xml:space="preserve">benefits from increased </w:t>
      </w:r>
      <w:r w:rsidR="00AC71BE" w:rsidRPr="0071751F">
        <w:t xml:space="preserve">social and economic participation </w:t>
      </w:r>
      <w:r w:rsidR="0002541F">
        <w:t xml:space="preserve">and contribution </w:t>
      </w:r>
      <w:r w:rsidR="006513D9">
        <w:t xml:space="preserve">to the wider community </w:t>
      </w:r>
      <w:r w:rsidR="000E08C2">
        <w:t>in both the near and</w:t>
      </w:r>
      <w:r w:rsidR="00AC71BE" w:rsidRPr="0071751F">
        <w:t xml:space="preserve"> long term</w:t>
      </w:r>
      <w:r w:rsidR="0071751F" w:rsidRPr="0071751F">
        <w:t>.</w:t>
      </w:r>
      <w:r w:rsidR="0071751F">
        <w:t xml:space="preserve"> </w:t>
      </w:r>
      <w:r w:rsidR="0002541F">
        <w:t xml:space="preserve">There are four streams of assessment that we will be undertaking in this investigation (figure </w:t>
      </w:r>
      <w:r w:rsidR="0019285E">
        <w:t>3</w:t>
      </w:r>
      <w:r w:rsidR="0002541F">
        <w:t>).</w:t>
      </w:r>
      <w:r w:rsidR="003D3A72">
        <w:t xml:space="preserve"> </w:t>
      </w:r>
      <w:r w:rsidR="006513D9">
        <w:t>T</w:t>
      </w:r>
      <w:r w:rsidR="00CE4089">
        <w:t>h</w:t>
      </w:r>
      <w:r w:rsidR="006513D9">
        <w:t>is</w:t>
      </w:r>
      <w:r w:rsidR="003D3A72">
        <w:t xml:space="preserve"> include</w:t>
      </w:r>
      <w:r w:rsidR="006513D9">
        <w:t>s</w:t>
      </w:r>
      <w:r w:rsidR="003D3A72">
        <w:t xml:space="preserve"> an </w:t>
      </w:r>
      <w:r w:rsidR="006513D9">
        <w:t>assessment</w:t>
      </w:r>
      <w:r w:rsidR="003D3A72">
        <w:t xml:space="preserve"> of the </w:t>
      </w:r>
      <w:r w:rsidR="00C52F45">
        <w:t xml:space="preserve">consequences of mental ill-health, and the </w:t>
      </w:r>
      <w:r w:rsidR="003D3A72">
        <w:t xml:space="preserve">effectiveness of </w:t>
      </w:r>
      <w:r w:rsidR="00D84F42">
        <w:t xml:space="preserve">current </w:t>
      </w:r>
      <w:r w:rsidR="003D3A72">
        <w:t>and alternative programs and supports</w:t>
      </w:r>
      <w:r w:rsidR="00C52F45">
        <w:t xml:space="preserve"> (including gaps in current programs and supports available)</w:t>
      </w:r>
      <w:r w:rsidR="003D3A72">
        <w:t xml:space="preserve">, from the perspective of particular groups (such as consumers and their carers) </w:t>
      </w:r>
      <w:r w:rsidR="00CE4089">
        <w:t xml:space="preserve">as well as </w:t>
      </w:r>
      <w:r w:rsidR="006513D9">
        <w:t xml:space="preserve">the </w:t>
      </w:r>
      <w:r w:rsidR="003D3A72">
        <w:t>community</w:t>
      </w:r>
      <w:r w:rsidR="006513D9">
        <w:t xml:space="preserve"> as a whole</w:t>
      </w:r>
      <w:r w:rsidR="003D3A72">
        <w:t>.</w:t>
      </w:r>
    </w:p>
    <w:p w:rsidR="0002541F" w:rsidRDefault="0002541F" w:rsidP="0002541F">
      <w:pPr>
        <w:pStyle w:val="BodyText"/>
        <w:keepN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2541F" w:rsidTr="00323B91">
        <w:trPr>
          <w:tblHeader/>
        </w:trPr>
        <w:tc>
          <w:tcPr>
            <w:tcW w:w="5000" w:type="pct"/>
            <w:tcBorders>
              <w:top w:val="single" w:sz="6" w:space="0" w:color="78A22F"/>
              <w:left w:val="nil"/>
              <w:bottom w:val="nil"/>
              <w:right w:val="nil"/>
            </w:tcBorders>
            <w:shd w:val="clear" w:color="auto" w:fill="auto"/>
          </w:tcPr>
          <w:p w:rsidR="0002541F" w:rsidRPr="00176D3F" w:rsidRDefault="0002541F" w:rsidP="00D150EF">
            <w:pPr>
              <w:pStyle w:val="FigureTitle"/>
            </w:pPr>
            <w:r w:rsidRPr="00784A05">
              <w:rPr>
                <w:b w:val="0"/>
              </w:rPr>
              <w:t xml:space="preserve">Figure </w:t>
            </w:r>
            <w:r w:rsidR="0019285E">
              <w:rPr>
                <w:b w:val="0"/>
              </w:rPr>
              <w:t>3</w:t>
            </w:r>
            <w:r>
              <w:rPr>
                <w:b w:val="0"/>
              </w:rPr>
              <w:tab/>
            </w:r>
            <w:r>
              <w:t>Assessment components</w:t>
            </w:r>
          </w:p>
        </w:tc>
      </w:tr>
      <w:tr w:rsidR="0002541F" w:rsidTr="00323B91">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02541F" w:rsidRPr="00B1465D" w:rsidTr="00603DC1">
              <w:trPr>
                <w:tblHeader/>
                <w:jc w:val="center"/>
              </w:trPr>
              <w:tc>
                <w:tcPr>
                  <w:tcW w:w="5000" w:type="pct"/>
                  <w:tcBorders>
                    <w:top w:val="nil"/>
                    <w:bottom w:val="nil"/>
                  </w:tcBorders>
                </w:tcPr>
                <w:p w:rsidR="0002541F" w:rsidRPr="00B1465D" w:rsidRDefault="002C5A98" w:rsidP="00323B91">
                  <w:pPr>
                    <w:pStyle w:val="Figure"/>
                    <w:spacing w:before="60" w:after="60"/>
                    <w:rPr>
                      <w:rFonts w:ascii="Arial" w:hAnsi="Arial" w:cs="Arial"/>
                      <w:sz w:val="18"/>
                      <w:szCs w:val="18"/>
                    </w:rPr>
                  </w:pPr>
                  <w:r w:rsidRPr="002C5A98">
                    <w:rPr>
                      <w:rFonts w:ascii="Arial" w:hAnsi="Arial" w:cs="Arial"/>
                      <w:noProof/>
                      <w:sz w:val="18"/>
                      <w:szCs w:val="18"/>
                    </w:rPr>
                    <w:drawing>
                      <wp:inline distT="0" distB="0" distL="0" distR="0" wp14:anchorId="30EE7AD6" wp14:editId="713DB8B9">
                        <wp:extent cx="5362194" cy="3380195"/>
                        <wp:effectExtent l="0" t="0" r="0" b="0"/>
                        <wp:docPr id="1" name="Picture 1" descr="Four key components of the PC's intended assessment in this inqui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63925" cy="3381286"/>
                                </a:xfrm>
                                <a:prstGeom prst="rect">
                                  <a:avLst/>
                                </a:prstGeom>
                                <a:noFill/>
                                <a:ln>
                                  <a:noFill/>
                                </a:ln>
                              </pic:spPr>
                            </pic:pic>
                          </a:graphicData>
                        </a:graphic>
                      </wp:inline>
                    </w:drawing>
                  </w:r>
                </w:p>
              </w:tc>
            </w:tr>
          </w:tbl>
          <w:p w:rsidR="0002541F" w:rsidRDefault="0002541F" w:rsidP="00323B91">
            <w:pPr>
              <w:pStyle w:val="Figure"/>
            </w:pPr>
          </w:p>
        </w:tc>
      </w:tr>
      <w:tr w:rsidR="0002541F" w:rsidTr="00323B91">
        <w:tc>
          <w:tcPr>
            <w:tcW w:w="5000" w:type="pct"/>
            <w:tcBorders>
              <w:top w:val="nil"/>
              <w:left w:val="nil"/>
              <w:bottom w:val="single" w:sz="6" w:space="0" w:color="78A22F"/>
              <w:right w:val="nil"/>
            </w:tcBorders>
            <w:shd w:val="clear" w:color="auto" w:fill="auto"/>
          </w:tcPr>
          <w:p w:rsidR="0002541F" w:rsidRDefault="0002541F" w:rsidP="00323B91">
            <w:pPr>
              <w:pStyle w:val="Figurespace"/>
            </w:pPr>
          </w:p>
        </w:tc>
      </w:tr>
      <w:tr w:rsidR="0002541F" w:rsidRPr="000863A5" w:rsidTr="00323B91">
        <w:tc>
          <w:tcPr>
            <w:tcW w:w="5000" w:type="pct"/>
            <w:tcBorders>
              <w:top w:val="single" w:sz="6" w:space="0" w:color="78A22F"/>
              <w:left w:val="nil"/>
              <w:bottom w:val="nil"/>
              <w:right w:val="nil"/>
            </w:tcBorders>
          </w:tcPr>
          <w:p w:rsidR="0002541F" w:rsidRPr="00626D32" w:rsidRDefault="0002541F" w:rsidP="00323B91">
            <w:pPr>
              <w:pStyle w:val="BoxSpaceBelow"/>
            </w:pPr>
          </w:p>
        </w:tc>
      </w:tr>
    </w:tbl>
    <w:p w:rsidR="007B278F" w:rsidRDefault="00644EE6" w:rsidP="007B278F">
      <w:pPr>
        <w:pStyle w:val="Heading3"/>
      </w:pPr>
      <w:r>
        <w:lastRenderedPageBreak/>
        <w:t>Assessing the</w:t>
      </w:r>
      <w:r w:rsidR="000C40F8">
        <w:t xml:space="preserve"> </w:t>
      </w:r>
      <w:r w:rsidR="005251D0">
        <w:t xml:space="preserve">consequences of mental </w:t>
      </w:r>
      <w:r w:rsidR="00ED0BB5">
        <w:t>ill-</w:t>
      </w:r>
      <w:r w:rsidR="005251D0">
        <w:t>health</w:t>
      </w:r>
    </w:p>
    <w:p w:rsidR="005251D0" w:rsidRPr="0071751F" w:rsidRDefault="00B10351" w:rsidP="005251D0">
      <w:pPr>
        <w:pStyle w:val="BodyText"/>
      </w:pPr>
      <w:r>
        <w:t>The</w:t>
      </w:r>
      <w:r w:rsidR="005251D0">
        <w:t xml:space="preserve"> costs </w:t>
      </w:r>
      <w:r w:rsidR="00005883">
        <w:t xml:space="preserve">of </w:t>
      </w:r>
      <w:r w:rsidR="005251D0">
        <w:t xml:space="preserve">mental </w:t>
      </w:r>
      <w:r w:rsidR="00ED0BB5">
        <w:t>ill-</w:t>
      </w:r>
      <w:r w:rsidR="005251D0">
        <w:t>health for both individuals and the wider community</w:t>
      </w:r>
      <w:r>
        <w:t xml:space="preserve"> will be assessed</w:t>
      </w:r>
      <w:r w:rsidR="005251D0">
        <w:t xml:space="preserve">, </w:t>
      </w:r>
      <w:r>
        <w:t>as well as</w:t>
      </w:r>
      <w:r w:rsidR="005251D0">
        <w:t xml:space="preserve"> how these </w:t>
      </w:r>
      <w:r w:rsidR="00005883">
        <w:t xml:space="preserve">costs </w:t>
      </w:r>
      <w:r w:rsidR="005251D0">
        <w:t xml:space="preserve">could be reduced through changes to </w:t>
      </w:r>
      <w:r w:rsidR="00F05202">
        <w:t xml:space="preserve">the way </w:t>
      </w:r>
      <w:r w:rsidR="004E4369">
        <w:t xml:space="preserve">governments and others </w:t>
      </w:r>
      <w:r w:rsidR="00F05202">
        <w:t xml:space="preserve">deliver programs and supports </w:t>
      </w:r>
      <w:r w:rsidR="004E4369">
        <w:t>to facilitate good mental health</w:t>
      </w:r>
      <w:r w:rsidR="005251D0">
        <w:t>.</w:t>
      </w:r>
    </w:p>
    <w:p w:rsidR="007B278F" w:rsidRDefault="00005883" w:rsidP="007B278F">
      <w:pPr>
        <w:pStyle w:val="BodyText"/>
      </w:pPr>
      <w:r>
        <w:t>The Commission</w:t>
      </w:r>
      <w:r w:rsidR="00AE2D96">
        <w:t xml:space="preserve"> will </w:t>
      </w:r>
      <w:r w:rsidR="0012179D">
        <w:t>consider</w:t>
      </w:r>
      <w:r w:rsidR="00AE2D96">
        <w:t xml:space="preserve"> the types of</w:t>
      </w:r>
      <w:r w:rsidR="00E06E80">
        <w:t xml:space="preserve"> </w:t>
      </w:r>
      <w:r w:rsidR="007B278F">
        <w:t>costs</w:t>
      </w:r>
      <w:r w:rsidR="00BE77C2">
        <w:t xml:space="preserve"> </w:t>
      </w:r>
      <w:r w:rsidR="00E06E80">
        <w:t xml:space="preserve">summarised </w:t>
      </w:r>
      <w:r w:rsidR="00BE77C2">
        <w:t xml:space="preserve">in </w:t>
      </w:r>
      <w:r w:rsidR="007B278F" w:rsidRPr="002D15F6">
        <w:t>figure </w:t>
      </w:r>
      <w:r w:rsidR="00253D8A" w:rsidRPr="002D15F6">
        <w:t>4</w:t>
      </w:r>
      <w:r w:rsidR="007B278F">
        <w:t>. These will be assessed through a combination</w:t>
      </w:r>
      <w:r w:rsidR="007B278F" w:rsidRPr="00334A19">
        <w:t xml:space="preserve"> of qualitative and quantitative analysis, drawing on available data</w:t>
      </w:r>
      <w:r w:rsidR="00C52F45">
        <w:t xml:space="preserve"> and </w:t>
      </w:r>
      <w:r w:rsidR="007B278F">
        <w:t>cost estimates</w:t>
      </w:r>
      <w:r w:rsidR="007B278F" w:rsidRPr="00334A19">
        <w:t xml:space="preserve">, </w:t>
      </w:r>
      <w:r w:rsidR="007B278F">
        <w:t>and consultations with inquiry participants and topic experts.</w:t>
      </w:r>
      <w:r w:rsidR="00AE2D96">
        <w:t xml:space="preserve"> We welcome the views of inquiry participants on other costs that we should take into account.</w:t>
      </w:r>
    </w:p>
    <w:p w:rsidR="007B278F" w:rsidRDefault="007B278F" w:rsidP="007B278F">
      <w:pPr>
        <w:pStyle w:val="BodyText"/>
        <w:keepN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B278F" w:rsidTr="000201D5">
        <w:trPr>
          <w:tblHeader/>
        </w:trPr>
        <w:tc>
          <w:tcPr>
            <w:tcW w:w="5000" w:type="pct"/>
            <w:tcBorders>
              <w:top w:val="single" w:sz="6" w:space="0" w:color="78A22F"/>
              <w:left w:val="nil"/>
              <w:bottom w:val="nil"/>
              <w:right w:val="nil"/>
            </w:tcBorders>
            <w:shd w:val="clear" w:color="auto" w:fill="auto"/>
          </w:tcPr>
          <w:p w:rsidR="007B278F" w:rsidRPr="00176D3F" w:rsidRDefault="007B278F" w:rsidP="00D150EF">
            <w:pPr>
              <w:pStyle w:val="FigureTitle"/>
            </w:pPr>
            <w:r w:rsidRPr="00784A05">
              <w:rPr>
                <w:b w:val="0"/>
              </w:rPr>
              <w:t xml:space="preserve">Figure </w:t>
            </w:r>
            <w:r w:rsidR="00253D8A">
              <w:rPr>
                <w:b w:val="0"/>
              </w:rPr>
              <w:t>4</w:t>
            </w:r>
            <w:r>
              <w:rPr>
                <w:b w:val="0"/>
              </w:rPr>
              <w:tab/>
            </w:r>
            <w:r>
              <w:t>C</w:t>
            </w:r>
            <w:r w:rsidRPr="001F1F71">
              <w:t>ost</w:t>
            </w:r>
            <w:r>
              <w:t>s of</w:t>
            </w:r>
            <w:r w:rsidRPr="001F1F71">
              <w:t xml:space="preserve"> </w:t>
            </w:r>
            <w:r>
              <w:t xml:space="preserve">mental </w:t>
            </w:r>
            <w:r w:rsidR="00110112">
              <w:t xml:space="preserve">ill-health </w:t>
            </w:r>
            <w:r>
              <w:t xml:space="preserve">to </w:t>
            </w:r>
            <w:r w:rsidR="00A215F4">
              <w:t xml:space="preserve">the </w:t>
            </w:r>
            <w:r>
              <w:t>community</w:t>
            </w:r>
            <w:r w:rsidR="00346BC8" w:rsidRPr="00336BEC">
              <w:rPr>
                <w:rStyle w:val="NoteLabel"/>
                <w:b/>
              </w:rPr>
              <w:t>a</w:t>
            </w:r>
          </w:p>
        </w:tc>
      </w:tr>
      <w:tr w:rsidR="007B278F" w:rsidTr="000201D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7B278F" w:rsidRPr="00B1465D" w:rsidTr="000201D5">
              <w:trPr>
                <w:tblHeader/>
                <w:jc w:val="center"/>
              </w:trPr>
              <w:tc>
                <w:tcPr>
                  <w:tcW w:w="5000" w:type="pct"/>
                  <w:tcBorders>
                    <w:top w:val="nil"/>
                    <w:bottom w:val="nil"/>
                  </w:tcBorders>
                </w:tcPr>
                <w:p w:rsidR="007B278F" w:rsidRPr="00B1465D" w:rsidRDefault="00A7100F" w:rsidP="000201D5">
                  <w:pPr>
                    <w:pStyle w:val="Figure"/>
                    <w:spacing w:before="60" w:after="60"/>
                    <w:rPr>
                      <w:rFonts w:ascii="Arial" w:hAnsi="Arial" w:cs="Arial"/>
                      <w:sz w:val="18"/>
                      <w:szCs w:val="18"/>
                    </w:rPr>
                  </w:pPr>
                  <w:r>
                    <w:rPr>
                      <w:rFonts w:ascii="Arial" w:hAnsi="Arial" w:cs="Arial"/>
                      <w:noProof/>
                      <w:sz w:val="18"/>
                      <w:szCs w:val="18"/>
                    </w:rPr>
                    <w:drawing>
                      <wp:inline distT="0" distB="0" distL="0" distR="0" wp14:anchorId="0DD9C05A" wp14:editId="4427DB76">
                        <wp:extent cx="5078095" cy="3645535"/>
                        <wp:effectExtent l="0" t="0" r="8255" b="0"/>
                        <wp:docPr id="17" name="Picture 17" descr="Costs of mental ill-health to the community: resources expended on human services; reduction in incomes and living standards; intangiable co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78095" cy="3645535"/>
                                </a:xfrm>
                                <a:prstGeom prst="rect">
                                  <a:avLst/>
                                </a:prstGeom>
                                <a:noFill/>
                              </pic:spPr>
                            </pic:pic>
                          </a:graphicData>
                        </a:graphic>
                      </wp:inline>
                    </w:drawing>
                  </w:r>
                </w:p>
              </w:tc>
            </w:tr>
          </w:tbl>
          <w:p w:rsidR="007B278F" w:rsidRDefault="007B278F" w:rsidP="000201D5">
            <w:pPr>
              <w:pStyle w:val="Figure"/>
            </w:pPr>
          </w:p>
        </w:tc>
      </w:tr>
      <w:tr w:rsidR="007B278F" w:rsidTr="000201D5">
        <w:tc>
          <w:tcPr>
            <w:tcW w:w="5000" w:type="pct"/>
            <w:tcBorders>
              <w:top w:val="nil"/>
              <w:left w:val="nil"/>
              <w:bottom w:val="single" w:sz="6" w:space="0" w:color="78A22F"/>
              <w:right w:val="nil"/>
            </w:tcBorders>
            <w:shd w:val="clear" w:color="auto" w:fill="auto"/>
          </w:tcPr>
          <w:p w:rsidR="007B278F" w:rsidRDefault="007B278F" w:rsidP="000201D5">
            <w:pPr>
              <w:pStyle w:val="Figurespace"/>
            </w:pPr>
          </w:p>
        </w:tc>
      </w:tr>
      <w:tr w:rsidR="007B278F" w:rsidRPr="00176D3F" w:rsidTr="000201D5">
        <w:trPr>
          <w:cantSplit/>
        </w:trPr>
        <w:tc>
          <w:tcPr>
            <w:tcW w:w="5000" w:type="pct"/>
            <w:tcBorders>
              <w:top w:val="nil"/>
              <w:left w:val="nil"/>
              <w:bottom w:val="nil"/>
              <w:right w:val="nil"/>
            </w:tcBorders>
            <w:shd w:val="clear" w:color="auto" w:fill="auto"/>
          </w:tcPr>
          <w:p w:rsidR="007B278F" w:rsidRPr="00176D3F" w:rsidRDefault="007B278F" w:rsidP="005927CD">
            <w:pPr>
              <w:pStyle w:val="Note"/>
            </w:pPr>
            <w:r>
              <w:rPr>
                <w:rStyle w:val="NoteLabel"/>
              </w:rPr>
              <w:t>a</w:t>
            </w:r>
            <w:r>
              <w:t xml:space="preserve"> </w:t>
            </w:r>
            <w:r w:rsidR="00336BEC">
              <w:t xml:space="preserve">Financial support payments </w:t>
            </w:r>
            <w:r w:rsidR="003213F4">
              <w:t>(such as the disability support pension and carer payment</w:t>
            </w:r>
            <w:r w:rsidR="00BC3F7F">
              <w:t>s</w:t>
            </w:r>
            <w:r w:rsidR="003213F4">
              <w:t xml:space="preserve">) </w:t>
            </w:r>
            <w:r w:rsidR="00336BEC">
              <w:t xml:space="preserve">are not included </w:t>
            </w:r>
            <w:r w:rsidR="00116682">
              <w:t>because</w:t>
            </w:r>
            <w:r w:rsidR="00336BEC">
              <w:t xml:space="preserve"> they are a transfer </w:t>
            </w:r>
            <w:r w:rsidR="00116682">
              <w:t>between different members of the community</w:t>
            </w:r>
            <w:r w:rsidR="00336BEC">
              <w:t>, rather than a cost</w:t>
            </w:r>
            <w:r w:rsidR="00E30037">
              <w:t xml:space="preserve"> to the community as a whole. The cost of </w:t>
            </w:r>
            <w:r w:rsidR="005927CD">
              <w:t>collecting</w:t>
            </w:r>
            <w:r w:rsidR="00E30037">
              <w:t xml:space="preserve"> taxes to fund transfer payments, and publicly funded human services, are included</w:t>
            </w:r>
            <w:r w:rsidR="003213F4">
              <w:t xml:space="preserve"> because this is a cost to the whole community.</w:t>
            </w:r>
            <w:r>
              <w:t xml:space="preserve"> </w:t>
            </w:r>
          </w:p>
        </w:tc>
      </w:tr>
      <w:tr w:rsidR="007B278F" w:rsidRPr="000863A5" w:rsidTr="000201D5">
        <w:tc>
          <w:tcPr>
            <w:tcW w:w="5000" w:type="pct"/>
            <w:tcBorders>
              <w:top w:val="single" w:sz="6" w:space="0" w:color="78A22F"/>
              <w:left w:val="nil"/>
              <w:bottom w:val="nil"/>
              <w:right w:val="nil"/>
            </w:tcBorders>
          </w:tcPr>
          <w:p w:rsidR="007B278F" w:rsidRPr="00626D32" w:rsidRDefault="007B278F" w:rsidP="000201D5">
            <w:pPr>
              <w:pStyle w:val="BoxSpaceBelow"/>
            </w:pPr>
          </w:p>
        </w:tc>
      </w:tr>
    </w:tbl>
    <w:p w:rsidR="00A755CB" w:rsidRDefault="00B86C2D" w:rsidP="007B278F">
      <w:pPr>
        <w:pStyle w:val="BodyText"/>
      </w:pPr>
      <w:r>
        <w:t xml:space="preserve">Many of the costs </w:t>
      </w:r>
      <w:r w:rsidR="0084575B">
        <w:t>of</w:t>
      </w:r>
      <w:r>
        <w:t xml:space="preserve"> mental </w:t>
      </w:r>
      <w:r w:rsidR="00186978">
        <w:t>ill-health</w:t>
      </w:r>
      <w:r>
        <w:t xml:space="preserve"> are intangible. They</w:t>
      </w:r>
      <w:r w:rsidR="007B278F">
        <w:t xml:space="preserve"> include </w:t>
      </w:r>
      <w:r w:rsidR="00C52533">
        <w:t xml:space="preserve">psychological </w:t>
      </w:r>
      <w:r w:rsidR="007B278F" w:rsidRPr="00F34025">
        <w:t>distress, unpleasant side-effects of medications, social isolation</w:t>
      </w:r>
      <w:r w:rsidR="007B278F">
        <w:t xml:space="preserve">, </w:t>
      </w:r>
      <w:r w:rsidR="006D6B51">
        <w:t xml:space="preserve">lower social participation </w:t>
      </w:r>
      <w:r w:rsidR="007B278F">
        <w:t>and</w:t>
      </w:r>
      <w:r w:rsidR="007B278F" w:rsidRPr="00F34025">
        <w:t xml:space="preserve"> stigma and discrimination </w:t>
      </w:r>
      <w:r w:rsidR="00854FF1" w:rsidRPr="00854FF1">
        <w:rPr>
          <w:szCs w:val="24"/>
        </w:rPr>
        <w:t>(Knapp, McDaid and Curran 2003)</w:t>
      </w:r>
      <w:r w:rsidR="007B278F" w:rsidRPr="00F34025">
        <w:t>.</w:t>
      </w:r>
      <w:r w:rsidR="007B278F">
        <w:t xml:space="preserve"> </w:t>
      </w:r>
      <w:r w:rsidR="00654A33">
        <w:t>As these</w:t>
      </w:r>
      <w:r w:rsidR="00814580">
        <w:t xml:space="preserve"> are difficult to value in monetary terms</w:t>
      </w:r>
      <w:r w:rsidR="00654A33">
        <w:t>,</w:t>
      </w:r>
      <w:r w:rsidR="00814580">
        <w:t xml:space="preserve"> </w:t>
      </w:r>
      <w:r w:rsidR="00654A33">
        <w:t>we</w:t>
      </w:r>
      <w:r w:rsidR="007B278F">
        <w:t xml:space="preserve"> </w:t>
      </w:r>
      <w:r w:rsidR="00083B98">
        <w:t>may need</w:t>
      </w:r>
      <w:r w:rsidR="007B278F">
        <w:t xml:space="preserve"> </w:t>
      </w:r>
      <w:r w:rsidR="00E86C24">
        <w:t xml:space="preserve">to </w:t>
      </w:r>
      <w:r w:rsidR="007B278F">
        <w:t xml:space="preserve">assess their </w:t>
      </w:r>
      <w:r w:rsidR="007D3A6D">
        <w:t>magnitude</w:t>
      </w:r>
      <w:r w:rsidR="00E90BB1">
        <w:t xml:space="preserve"> in other ways</w:t>
      </w:r>
      <w:r w:rsidR="006D6B51">
        <w:t xml:space="preserve"> (such as by considering disability-adjusted life year measures)</w:t>
      </w:r>
      <w:r w:rsidR="00E90BB1">
        <w:t>.</w:t>
      </w:r>
    </w:p>
    <w:p w:rsidR="007B278F" w:rsidRDefault="00262C72" w:rsidP="00B86C2D">
      <w:pPr>
        <w:pStyle w:val="BodyText"/>
        <w:keepNext/>
      </w:pPr>
      <w:r>
        <w:lastRenderedPageBreak/>
        <w:t xml:space="preserve">In addition to intangible costs, there are the </w:t>
      </w:r>
      <w:r w:rsidR="00502504">
        <w:t xml:space="preserve">economic </w:t>
      </w:r>
      <w:r w:rsidR="007B278F">
        <w:t xml:space="preserve">costs </w:t>
      </w:r>
      <w:r>
        <w:t>of</w:t>
      </w:r>
      <w:r w:rsidR="007B278F">
        <w:t>:</w:t>
      </w:r>
    </w:p>
    <w:p w:rsidR="007B278F" w:rsidRDefault="007B278F" w:rsidP="00FD09C2">
      <w:pPr>
        <w:pStyle w:val="ListBullet"/>
        <w:spacing w:before="100" w:line="260" w:lineRule="atLeast"/>
      </w:pPr>
      <w:r>
        <w:t xml:space="preserve">resources expended on supporting </w:t>
      </w:r>
      <w:r w:rsidR="00291CA0">
        <w:t>people</w:t>
      </w:r>
      <w:r>
        <w:t xml:space="preserve"> with a mental ill</w:t>
      </w:r>
      <w:r w:rsidR="00745BA4">
        <w:t>-health</w:t>
      </w:r>
      <w:r w:rsidR="000A0599">
        <w:t xml:space="preserve">, including </w:t>
      </w:r>
      <w:r w:rsidR="00945E39">
        <w:t xml:space="preserve">on </w:t>
      </w:r>
      <w:r>
        <w:t>healthcare and other human services</w:t>
      </w:r>
      <w:r w:rsidR="000A0599">
        <w:t xml:space="preserve"> such as social housing</w:t>
      </w:r>
      <w:r>
        <w:t xml:space="preserve">, </w:t>
      </w:r>
      <w:r w:rsidR="000A0599">
        <w:t xml:space="preserve">as well as </w:t>
      </w:r>
      <w:r>
        <w:t>support from family and other unpaid carers</w:t>
      </w:r>
      <w:r w:rsidRPr="004C2106">
        <w:rPr>
          <w:rStyle w:val="FootnoteReference"/>
        </w:rPr>
        <w:footnoteReference w:id="2"/>
      </w:r>
    </w:p>
    <w:p w:rsidR="007B278F" w:rsidRDefault="007B278F" w:rsidP="00FD09C2">
      <w:pPr>
        <w:pStyle w:val="ListBullet"/>
        <w:spacing w:before="100" w:line="260" w:lineRule="atLeast"/>
      </w:pPr>
      <w:r>
        <w:t xml:space="preserve">reduced </w:t>
      </w:r>
      <w:r w:rsidRPr="0097420E">
        <w:t>incomes and living standards</w:t>
      </w:r>
      <w:r>
        <w:t xml:space="preserve"> </w:t>
      </w:r>
      <w:r w:rsidR="00631FC5">
        <w:t>caused by</w:t>
      </w:r>
      <w:r>
        <w:t xml:space="preserve"> lower economic participation and </w:t>
      </w:r>
      <w:r w:rsidR="00654A33">
        <w:t>contribution</w:t>
      </w:r>
      <w:r>
        <w:t xml:space="preserve"> among people with mental</w:t>
      </w:r>
      <w:r w:rsidR="00745BA4">
        <w:t xml:space="preserve"> ill-health</w:t>
      </w:r>
      <w:r w:rsidR="002431A3">
        <w:t xml:space="preserve"> and their carers</w:t>
      </w:r>
      <w:r>
        <w:t>.</w:t>
      </w:r>
    </w:p>
    <w:p w:rsidR="007B278F" w:rsidRDefault="007B278F" w:rsidP="00E742DA">
      <w:pPr>
        <w:pStyle w:val="BodyText"/>
        <w:keepNext/>
      </w:pPr>
      <w:r>
        <w:t xml:space="preserve">To </w:t>
      </w:r>
      <w:r w:rsidR="00174A81">
        <w:t>quantify</w:t>
      </w:r>
      <w:r>
        <w:t xml:space="preserve"> the </w:t>
      </w:r>
      <w:r w:rsidR="00C22062">
        <w:t xml:space="preserve">costs of </w:t>
      </w:r>
      <w:r w:rsidR="00755E8B">
        <w:t xml:space="preserve">reduced </w:t>
      </w:r>
      <w:r>
        <w:t xml:space="preserve">economic participation and </w:t>
      </w:r>
      <w:r w:rsidR="00654A33">
        <w:t xml:space="preserve">contribution </w:t>
      </w:r>
      <w:r w:rsidR="009C03A8">
        <w:t>of people</w:t>
      </w:r>
      <w:r w:rsidR="00654A33">
        <w:t xml:space="preserve"> with mental</w:t>
      </w:r>
      <w:r w:rsidR="00EF2E81">
        <w:t xml:space="preserve"> ill</w:t>
      </w:r>
      <w:r w:rsidR="00EF2E81">
        <w:softHyphen/>
      </w:r>
      <w:r w:rsidR="00EF2E81">
        <w:noBreakHyphen/>
      </w:r>
      <w:r w:rsidR="00654A33">
        <w:t>health and their carers</w:t>
      </w:r>
      <w:r>
        <w:t xml:space="preserve">, we will draw on estimates of the extent to which mental </w:t>
      </w:r>
      <w:r w:rsidR="00B10561">
        <w:t>ill-health</w:t>
      </w:r>
      <w:r>
        <w:t xml:space="preserve"> leads to:</w:t>
      </w:r>
    </w:p>
    <w:p w:rsidR="00602F52" w:rsidRDefault="007B278F" w:rsidP="00FD09C2">
      <w:pPr>
        <w:pStyle w:val="ListBullet"/>
        <w:spacing w:before="100" w:line="260" w:lineRule="atLeast"/>
      </w:pPr>
      <w:r>
        <w:t>a lower probability of being employed</w:t>
      </w:r>
      <w:r w:rsidR="00B7520A" w:rsidRPr="004C2106">
        <w:rPr>
          <w:rStyle w:val="FootnoteReference"/>
        </w:rPr>
        <w:footnoteReference w:id="3"/>
      </w:r>
    </w:p>
    <w:p w:rsidR="007B278F" w:rsidRDefault="00602F52" w:rsidP="00FD09C2">
      <w:pPr>
        <w:pStyle w:val="ListBullet"/>
        <w:spacing w:before="100" w:line="260" w:lineRule="atLeast"/>
      </w:pPr>
      <w:r>
        <w:t xml:space="preserve">a greater likelihood of being absent </w:t>
      </w:r>
      <w:r w:rsidR="007B278F" w:rsidRPr="00092B6A">
        <w:t>from work</w:t>
      </w:r>
      <w:r w:rsidR="00884404">
        <w:t xml:space="preserve"> when employed</w:t>
      </w:r>
      <w:r w:rsidR="007D0129">
        <w:t xml:space="preserve"> (absenteeism)</w:t>
      </w:r>
      <w:r w:rsidR="007B278F" w:rsidRPr="004C2106">
        <w:rPr>
          <w:rStyle w:val="FootnoteReference"/>
        </w:rPr>
        <w:footnoteReference w:id="4"/>
      </w:r>
    </w:p>
    <w:p w:rsidR="007B278F" w:rsidRDefault="007B278F" w:rsidP="00FD09C2">
      <w:pPr>
        <w:pStyle w:val="ListBullet"/>
        <w:spacing w:before="100" w:line="260" w:lineRule="atLeast"/>
      </w:pPr>
      <w:r>
        <w:t xml:space="preserve">lower productivity </w:t>
      </w:r>
      <w:r w:rsidRPr="00092B6A">
        <w:t>while at work</w:t>
      </w:r>
      <w:r w:rsidR="007D0129">
        <w:t xml:space="preserve"> (presenteeism)</w:t>
      </w:r>
      <w:r w:rsidRPr="00092B6A">
        <w:t>.</w:t>
      </w:r>
      <w:r w:rsidRPr="004C2106">
        <w:rPr>
          <w:rStyle w:val="FootnoteReference"/>
        </w:rPr>
        <w:footnoteReference w:id="5"/>
      </w:r>
    </w:p>
    <w:p w:rsidR="007B278F" w:rsidRDefault="00AA7BF4" w:rsidP="007B278F">
      <w:pPr>
        <w:pStyle w:val="BodyText"/>
      </w:pPr>
      <w:r>
        <w:t>Past research has estimated that t</w:t>
      </w:r>
      <w:r w:rsidR="007B278F">
        <w:t xml:space="preserve">he </w:t>
      </w:r>
      <w:r w:rsidR="007B278F" w:rsidRPr="005E180C">
        <w:t>cost</w:t>
      </w:r>
      <w:r w:rsidR="007B278F">
        <w:t xml:space="preserve">s </w:t>
      </w:r>
      <w:r w:rsidR="00B10561">
        <w:t xml:space="preserve">to individuals and the community </w:t>
      </w:r>
      <w:r w:rsidR="004B0842">
        <w:t>in high</w:t>
      </w:r>
      <w:r w:rsidR="004B0842">
        <w:noBreakHyphen/>
        <w:t xml:space="preserve">income countries </w:t>
      </w:r>
      <w:r w:rsidR="00564F89">
        <w:t>of</w:t>
      </w:r>
      <w:r w:rsidR="007B278F">
        <w:t xml:space="preserve"> lower participation and</w:t>
      </w:r>
      <w:r w:rsidR="007B278F" w:rsidRPr="005E180C">
        <w:t xml:space="preserve"> productivity </w:t>
      </w:r>
      <w:r w:rsidR="004B0842">
        <w:t xml:space="preserve">are about double the level of </w:t>
      </w:r>
      <w:r w:rsidR="007B278F">
        <w:t xml:space="preserve">healthcare expenditure on people with a mental illness </w:t>
      </w:r>
      <w:r w:rsidR="00854FF1" w:rsidRPr="00854FF1">
        <w:rPr>
          <w:szCs w:val="24"/>
        </w:rPr>
        <w:t>(Bloom et al. 2011)</w:t>
      </w:r>
      <w:r w:rsidR="007B278F">
        <w:t>.</w:t>
      </w:r>
      <w:r w:rsidR="007B278F" w:rsidRPr="00B452B5">
        <w:t xml:space="preserve"> </w:t>
      </w:r>
      <w:r w:rsidR="006227FA">
        <w:t xml:space="preserve">Previous </w:t>
      </w:r>
      <w:r w:rsidR="007B278F">
        <w:t xml:space="preserve">Australian </w:t>
      </w:r>
      <w:r w:rsidR="006227FA">
        <w:t>research</w:t>
      </w:r>
      <w:r w:rsidR="007B278F">
        <w:t xml:space="preserve"> indicate</w:t>
      </w:r>
      <w:r w:rsidR="006227FA">
        <w:t>s</w:t>
      </w:r>
      <w:r w:rsidR="007B278F">
        <w:t xml:space="preserve"> that</w:t>
      </w:r>
      <w:r w:rsidR="00482823">
        <w:t>,</w:t>
      </w:r>
      <w:r w:rsidR="00482823" w:rsidRPr="00482823">
        <w:t xml:space="preserve"> </w:t>
      </w:r>
      <w:r w:rsidR="00482823">
        <w:t xml:space="preserve">for some groups of individuals </w:t>
      </w:r>
      <w:r w:rsidR="00B10561">
        <w:t xml:space="preserve">(teenagers and young adults) </w:t>
      </w:r>
      <w:r w:rsidR="00482823">
        <w:t xml:space="preserve">and </w:t>
      </w:r>
      <w:r w:rsidR="00B10561">
        <w:t xml:space="preserve">some </w:t>
      </w:r>
      <w:r w:rsidR="00482823">
        <w:t>types of mental illness</w:t>
      </w:r>
      <w:r w:rsidR="00B10561">
        <w:t xml:space="preserve"> (such as </w:t>
      </w:r>
      <w:r w:rsidR="00B10561" w:rsidRPr="00CB5D89">
        <w:t xml:space="preserve">anxiety, affective </w:t>
      </w:r>
      <w:r w:rsidR="00B10561">
        <w:t>and</w:t>
      </w:r>
      <w:r w:rsidR="00B10561" w:rsidRPr="00CB5D89">
        <w:t xml:space="preserve"> substance use disorder</w:t>
      </w:r>
      <w:r w:rsidR="00B10561">
        <w:t>s)</w:t>
      </w:r>
      <w:r w:rsidR="00482823">
        <w:t>,</w:t>
      </w:r>
      <w:r w:rsidR="007B278F">
        <w:t xml:space="preserve"> </w:t>
      </w:r>
      <w:r w:rsidR="00256CD5">
        <w:t xml:space="preserve">participation and productivity costs could be </w:t>
      </w:r>
      <w:r w:rsidR="00795E7B">
        <w:t>much</w:t>
      </w:r>
      <w:r w:rsidR="007B278F">
        <w:t xml:space="preserve"> </w:t>
      </w:r>
      <w:r w:rsidR="004E6F5D">
        <w:t xml:space="preserve">more than twice the cost of </w:t>
      </w:r>
      <w:r w:rsidR="00256CD5">
        <w:t>healthcare</w:t>
      </w:r>
      <w:r w:rsidR="007B278F">
        <w:t>.</w:t>
      </w:r>
      <w:r w:rsidR="007B278F" w:rsidRPr="004C2106">
        <w:rPr>
          <w:rStyle w:val="FootnoteReference"/>
        </w:rPr>
        <w:footnoteReference w:id="6"/>
      </w:r>
    </w:p>
    <w:p w:rsidR="00E01798" w:rsidRDefault="00E01798" w:rsidP="007B278F">
      <w:pPr>
        <w:pStyle w:val="BodyText"/>
      </w:pPr>
      <w:r>
        <w:t xml:space="preserve">There will </w:t>
      </w:r>
      <w:r w:rsidR="00B10561">
        <w:t xml:space="preserve">necessarily </w:t>
      </w:r>
      <w:r>
        <w:t>be a time dimension to the assessment of costs because</w:t>
      </w:r>
      <w:r w:rsidR="00F95002">
        <w:t xml:space="preserve"> </w:t>
      </w:r>
      <w:r w:rsidR="006120C2">
        <w:t xml:space="preserve">mental illness can be a life-long condition, with varying episodes of </w:t>
      </w:r>
      <w:r w:rsidR="0062276F">
        <w:t>ill-health</w:t>
      </w:r>
      <w:r w:rsidR="00375B64">
        <w:t xml:space="preserve"> into the future</w:t>
      </w:r>
      <w:r w:rsidR="006120C2">
        <w:t>,</w:t>
      </w:r>
      <w:r w:rsidR="00CA19FC">
        <w:t xml:space="preserve"> depending on</w:t>
      </w:r>
      <w:r w:rsidR="0062276F">
        <w:t xml:space="preserve"> </w:t>
      </w:r>
      <w:r w:rsidR="00122807">
        <w:t>what healthcare and other supports are received and when.</w:t>
      </w:r>
      <w:r w:rsidR="00D977B1">
        <w:t xml:space="preserve"> </w:t>
      </w:r>
      <w:r w:rsidR="0048314F">
        <w:t xml:space="preserve">For example, </w:t>
      </w:r>
      <w:r w:rsidR="0089084F">
        <w:t xml:space="preserve">effective </w:t>
      </w:r>
      <w:r w:rsidR="00D977B1">
        <w:t>prevention and early intervention</w:t>
      </w:r>
      <w:r w:rsidR="0090613E">
        <w:t xml:space="preserve"> </w:t>
      </w:r>
      <w:r w:rsidR="00084C62">
        <w:t xml:space="preserve">when people are young could </w:t>
      </w:r>
      <w:r w:rsidR="00C1492F">
        <w:t>reduce the mental-ill health they experience and</w:t>
      </w:r>
      <w:r w:rsidR="00C1492F" w:rsidDel="00F05202">
        <w:t xml:space="preserve"> </w:t>
      </w:r>
      <w:r w:rsidR="00F05202">
        <w:t xml:space="preserve">its </w:t>
      </w:r>
      <w:r w:rsidR="00C1492F">
        <w:t>associated cost</w:t>
      </w:r>
      <w:r w:rsidR="00146C0E">
        <w:t>s</w:t>
      </w:r>
      <w:r w:rsidR="00C1492F">
        <w:t>, for many years into the future.</w:t>
      </w:r>
    </w:p>
    <w:p w:rsidR="00162E3E" w:rsidRDefault="00F961D2" w:rsidP="007B278F">
      <w:pPr>
        <w:pStyle w:val="BodyText"/>
      </w:pPr>
      <w:r>
        <w:lastRenderedPageBreak/>
        <w:t xml:space="preserve">This inquiry’s assessment of costs </w:t>
      </w:r>
      <w:r w:rsidR="00EA6D13">
        <w:t xml:space="preserve">will also take account of </w:t>
      </w:r>
      <w:r w:rsidR="00DA7572">
        <w:t xml:space="preserve">the considerable </w:t>
      </w:r>
      <w:r w:rsidR="00AC4AE7">
        <w:t xml:space="preserve">diversity </w:t>
      </w:r>
      <w:r w:rsidR="00DA7572">
        <w:t xml:space="preserve">that can exist </w:t>
      </w:r>
      <w:r w:rsidR="0024468A">
        <w:t>between different mental illnesses</w:t>
      </w:r>
      <w:r w:rsidR="00F04206">
        <w:t>,</w:t>
      </w:r>
      <w:r w:rsidR="0024468A">
        <w:t xml:space="preserve"> </w:t>
      </w:r>
      <w:r w:rsidR="00DA7572">
        <w:t xml:space="preserve">groups of </w:t>
      </w:r>
      <w:r w:rsidR="0024468A">
        <w:t>individual</w:t>
      </w:r>
      <w:r w:rsidR="00F04206">
        <w:t xml:space="preserve">s, </w:t>
      </w:r>
      <w:r w:rsidR="007158A2">
        <w:t xml:space="preserve">and organisations </w:t>
      </w:r>
      <w:r w:rsidR="00CF669E">
        <w:t>which support mental health (including governments,</w:t>
      </w:r>
      <w:r w:rsidR="00F10401">
        <w:t xml:space="preserve"> </w:t>
      </w:r>
      <w:r w:rsidR="00CF669E">
        <w:t>service</w:t>
      </w:r>
      <w:r w:rsidR="00DF02F6">
        <w:t xml:space="preserve"> providers, </w:t>
      </w:r>
      <w:r w:rsidR="00AD17DA">
        <w:t>and businesses)</w:t>
      </w:r>
      <w:r w:rsidR="0024468A">
        <w:t>.</w:t>
      </w:r>
    </w:p>
    <w:p w:rsidR="007B278F" w:rsidRDefault="007B278F" w:rsidP="00FD09C2">
      <w:pPr>
        <w:pStyle w:val="Heading3"/>
        <w:spacing w:before="480"/>
      </w:pPr>
      <w:r>
        <w:t xml:space="preserve">Assessing </w:t>
      </w:r>
      <w:r w:rsidR="00B10351">
        <w:t xml:space="preserve">current and potential </w:t>
      </w:r>
      <w:r>
        <w:t>interventions</w:t>
      </w:r>
      <w:r w:rsidR="007F1467">
        <w:t xml:space="preserve"> to improve mental health</w:t>
      </w:r>
      <w:r w:rsidR="00B10351">
        <w:t xml:space="preserve"> outcomes</w:t>
      </w:r>
    </w:p>
    <w:p w:rsidR="00F845A2" w:rsidRDefault="00564F89" w:rsidP="00FD09C2">
      <w:pPr>
        <w:pStyle w:val="BodyText"/>
        <w:spacing w:before="220" w:line="290" w:lineRule="atLeast"/>
      </w:pPr>
      <w:r>
        <w:t>Th</w:t>
      </w:r>
      <w:r w:rsidR="00C52F45">
        <w:t>e</w:t>
      </w:r>
      <w:r>
        <w:t xml:space="preserve"> inquiry will</w:t>
      </w:r>
      <w:r w:rsidRPr="007C679F">
        <w:t xml:space="preserve"> </w:t>
      </w:r>
      <w:r>
        <w:t xml:space="preserve">assess </w:t>
      </w:r>
      <w:r w:rsidR="00C63F83">
        <w:t>how</w:t>
      </w:r>
      <w:r w:rsidR="000E2AA5">
        <w:t xml:space="preserve"> effective</w:t>
      </w:r>
      <w:r w:rsidR="00C63F83">
        <w:t xml:space="preserve"> are </w:t>
      </w:r>
      <w:r>
        <w:t>existing</w:t>
      </w:r>
      <w:r w:rsidR="0043385E">
        <w:t>,</w:t>
      </w:r>
      <w:r>
        <w:t xml:space="preserve"> and potential alternative, </w:t>
      </w:r>
      <w:r w:rsidR="006B3EA1">
        <w:t>services and supports</w:t>
      </w:r>
      <w:r>
        <w:t xml:space="preserve"> </w:t>
      </w:r>
      <w:r w:rsidR="00C63F83">
        <w:t xml:space="preserve">in meeting </w:t>
      </w:r>
      <w:r>
        <w:t>the needs and preferences of people at risk of mental ill-health, their families and carers</w:t>
      </w:r>
      <w:r w:rsidR="00FB502E">
        <w:t xml:space="preserve">. We will </w:t>
      </w:r>
      <w:r w:rsidR="000E2AA5">
        <w:t>also</w:t>
      </w:r>
      <w:r>
        <w:t xml:space="preserve"> </w:t>
      </w:r>
      <w:r w:rsidR="00F82BF0">
        <w:t>examine</w:t>
      </w:r>
      <w:r w:rsidR="00FB502E">
        <w:t xml:space="preserve"> </w:t>
      </w:r>
      <w:r>
        <w:t>(as with all Commission inquiries)</w:t>
      </w:r>
      <w:r w:rsidR="00FB502E">
        <w:t xml:space="preserve"> </w:t>
      </w:r>
      <w:r w:rsidR="006D2496">
        <w:t xml:space="preserve">how effective interventions are in improving the wellbeing of </w:t>
      </w:r>
      <w:r w:rsidR="000E2AA5">
        <w:t xml:space="preserve">the </w:t>
      </w:r>
      <w:r>
        <w:t>wider Australian community</w:t>
      </w:r>
      <w:r w:rsidR="00F845A2">
        <w:t>.</w:t>
      </w:r>
      <w:r w:rsidR="000E2AA5">
        <w:t xml:space="preserve"> </w:t>
      </w:r>
    </w:p>
    <w:p w:rsidR="006643CF" w:rsidRDefault="00F82BF0" w:rsidP="00FD09C2">
      <w:pPr>
        <w:pStyle w:val="BodyText"/>
        <w:spacing w:before="220" w:line="290" w:lineRule="atLeast"/>
      </w:pPr>
      <w:r>
        <w:t xml:space="preserve">In order to determine </w:t>
      </w:r>
      <w:r w:rsidR="006643CF">
        <w:t>effectiveness</w:t>
      </w:r>
      <w:r>
        <w:t xml:space="preserve">, we will </w:t>
      </w:r>
      <w:r w:rsidR="006643CF">
        <w:t>consider the extent to which the mental health of individuals is improved</w:t>
      </w:r>
      <w:r w:rsidR="00FE19FB">
        <w:t xml:space="preserve">, </w:t>
      </w:r>
      <w:r>
        <w:t>plus</w:t>
      </w:r>
      <w:r w:rsidR="006643CF">
        <w:t xml:space="preserve"> the flow-on benefits of increased </w:t>
      </w:r>
      <w:r w:rsidR="006C622A">
        <w:t xml:space="preserve">social participation, engagement and connectedness, and </w:t>
      </w:r>
      <w:r w:rsidR="006643CF">
        <w:t>economic participation</w:t>
      </w:r>
      <w:r w:rsidR="00D87B1B">
        <w:t xml:space="preserve"> </w:t>
      </w:r>
      <w:r w:rsidR="003164A5">
        <w:t xml:space="preserve">and contribution </w:t>
      </w:r>
      <w:r w:rsidR="006643CF">
        <w:t>through employment. This will be informed by</w:t>
      </w:r>
      <w:r w:rsidR="006643CF" w:rsidRPr="00522828">
        <w:t xml:space="preserve"> </w:t>
      </w:r>
      <w:r w:rsidR="006643CF">
        <w:t>evaluations of specific interventions, consultations with inquiry participants and topic experts, and the Commission’s judgement.</w:t>
      </w:r>
    </w:p>
    <w:p w:rsidR="006643CF" w:rsidRPr="00102622" w:rsidRDefault="006643CF" w:rsidP="00FD09C2">
      <w:pPr>
        <w:pStyle w:val="BodyText"/>
        <w:spacing w:before="220" w:line="290" w:lineRule="atLeast"/>
      </w:pPr>
      <w:r>
        <w:t>Where feasible, we will also assess the cost</w:t>
      </w:r>
      <w:r>
        <w:noBreakHyphen/>
      </w:r>
      <w:r w:rsidRPr="00905607">
        <w:t xml:space="preserve">effectiveness </w:t>
      </w:r>
      <w:r>
        <w:t>of</w:t>
      </w:r>
      <w:r w:rsidRPr="00297435">
        <w:t xml:space="preserve"> </w:t>
      </w:r>
      <w:r>
        <w:t xml:space="preserve">interventions in facilitating </w:t>
      </w:r>
      <w:r w:rsidR="001405A3">
        <w:t xml:space="preserve">improved </w:t>
      </w:r>
      <w:r>
        <w:t xml:space="preserve">mental </w:t>
      </w:r>
      <w:r w:rsidRPr="00D1047C">
        <w:t>health (that is, the cost of achieving a given improvement in mental health and its flow-on effects). The aim will be to test whether resources are being used in ways that ach</w:t>
      </w:r>
      <w:r>
        <w:t>ieve the best possible outcomes</w:t>
      </w:r>
      <w:r w:rsidRPr="00102622">
        <w:t>.</w:t>
      </w:r>
    </w:p>
    <w:p w:rsidR="006643CF" w:rsidRDefault="006643CF" w:rsidP="00FD09C2">
      <w:pPr>
        <w:pStyle w:val="BodyText"/>
        <w:spacing w:before="220" w:line="290" w:lineRule="atLeast"/>
      </w:pPr>
      <w:r w:rsidRPr="0035344C">
        <w:t xml:space="preserve">The inquiry will make recommendations to improve </w:t>
      </w:r>
      <w:r>
        <w:t>the</w:t>
      </w:r>
      <w:r w:rsidRPr="0035344C">
        <w:t xml:space="preserve"> mental health</w:t>
      </w:r>
      <w:r w:rsidRPr="007A2509">
        <w:t xml:space="preserve"> </w:t>
      </w:r>
      <w:r>
        <w:t>and wellbeing of particular groups and the community as a whole.</w:t>
      </w:r>
      <w:r w:rsidRPr="0035344C">
        <w:t xml:space="preserve"> The reforms that </w:t>
      </w:r>
      <w:r>
        <w:t>we</w:t>
      </w:r>
      <w:r w:rsidRPr="0035344C">
        <w:t xml:space="preserve"> choose to focus on will be informed by views expressed by inquiry participants and </w:t>
      </w:r>
      <w:r>
        <w:t>our</w:t>
      </w:r>
      <w:r w:rsidRPr="0035344C">
        <w:t xml:space="preserve"> own analysis of outcomes (effectiveness and cost) under current approaches </w:t>
      </w:r>
      <w:r>
        <w:t xml:space="preserve">compared to what </w:t>
      </w:r>
      <w:r w:rsidR="008D3840">
        <w:t xml:space="preserve">could be achieved, given </w:t>
      </w:r>
      <w:r>
        <w:t xml:space="preserve">evidence </w:t>
      </w:r>
      <w:r w:rsidR="008D3840">
        <w:t>from</w:t>
      </w:r>
      <w:r>
        <w:t xml:space="preserve"> best practice </w:t>
      </w:r>
      <w:r w:rsidR="008D3840">
        <w:t>in Australia</w:t>
      </w:r>
      <w:r>
        <w:t xml:space="preserve"> and </w:t>
      </w:r>
      <w:r w:rsidR="008D3840">
        <w:t>other countries</w:t>
      </w:r>
      <w:r>
        <w:t>.</w:t>
      </w:r>
    </w:p>
    <w:p w:rsidR="005F33EE" w:rsidRPr="005F33EE" w:rsidRDefault="006643CF" w:rsidP="005F33EE">
      <w:pPr>
        <w:pStyle w:val="BodyText"/>
        <w:spacing w:before="220" w:line="290" w:lineRule="atLeast"/>
      </w:pPr>
      <w:r>
        <w:t xml:space="preserve">We will comment on how the costs and benefits of our recommended reforms are likely to be distributed across different groups. This </w:t>
      </w:r>
      <w:r w:rsidR="00C52F45">
        <w:t>may</w:t>
      </w:r>
      <w:r>
        <w:t xml:space="preserve"> include testing the hypothesis that interventions to facilitate </w:t>
      </w:r>
      <w:r w:rsidR="008B3476">
        <w:t xml:space="preserve">improved </w:t>
      </w:r>
      <w:r>
        <w:t xml:space="preserve">mental health can generate a net financial return for the </w:t>
      </w:r>
      <w:r w:rsidR="0002087F">
        <w:t>entity</w:t>
      </w:r>
      <w:r>
        <w:t xml:space="preserve"> that funds them.</w:t>
      </w:r>
      <w:r w:rsidRPr="004C2106">
        <w:rPr>
          <w:rStyle w:val="FootnoteReference"/>
        </w:rPr>
        <w:footnoteReference w:id="7"/>
      </w:r>
      <w:r>
        <w:t xml:space="preserve"> The funder could be a government (for publicly funded human services, with the financial return being reduced public expenditure on costly healthcare) or employer (for workplace initiatives, with the financial return being greater profitability fro</w:t>
      </w:r>
      <w:r w:rsidR="005F33EE">
        <w:t>m a more productive workforce).</w:t>
      </w:r>
    </w:p>
    <w:p w:rsidR="00FD09C2" w:rsidRPr="004E3B94" w:rsidRDefault="00FD09C2" w:rsidP="00FD09C2">
      <w:pPr>
        <w:pStyle w:val="BoxSpaceAboveElement"/>
        <w:keepLines/>
        <w:tabs>
          <w:tab w:val="left" w:pos="7615"/>
        </w:tab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FD09C2" w:rsidTr="00FD09C2">
        <w:trPr>
          <w:cantSplit/>
        </w:trPr>
        <w:tc>
          <w:tcPr>
            <w:tcW w:w="5000" w:type="pct"/>
            <w:tcBorders>
              <w:top w:val="single" w:sz="6" w:space="0" w:color="78A22F"/>
              <w:left w:val="nil"/>
              <w:bottom w:val="nil"/>
              <w:right w:val="nil"/>
            </w:tcBorders>
            <w:shd w:val="clear" w:color="auto" w:fill="auto"/>
          </w:tcPr>
          <w:p w:rsidR="00FD09C2" w:rsidRPr="00CE4C64" w:rsidRDefault="00FD09C2" w:rsidP="00FD09C2">
            <w:pPr>
              <w:pStyle w:val="InformationRequestTitle"/>
              <w:spacing w:before="120"/>
            </w:pPr>
            <w:r w:rsidRPr="00740A8D">
              <w:t>Questions on assessment approach</w:t>
            </w:r>
          </w:p>
        </w:tc>
      </w:tr>
      <w:tr w:rsidR="00FD09C2" w:rsidRPr="00750BE2" w:rsidTr="00FD09C2">
        <w:trPr>
          <w:cantSplit/>
        </w:trPr>
        <w:tc>
          <w:tcPr>
            <w:tcW w:w="5000" w:type="pct"/>
            <w:tcBorders>
              <w:top w:val="nil"/>
              <w:left w:val="nil"/>
              <w:bottom w:val="nil"/>
              <w:right w:val="nil"/>
            </w:tcBorders>
            <w:shd w:val="clear" w:color="auto" w:fill="auto"/>
          </w:tcPr>
          <w:p w:rsidR="00FD09C2" w:rsidRPr="005F33EE" w:rsidRDefault="00FD09C2" w:rsidP="005F33EE">
            <w:pPr>
              <w:pStyle w:val="InformationRequestBullet"/>
              <w:tabs>
                <w:tab w:val="clear" w:pos="340"/>
              </w:tabs>
              <w:ind w:left="360" w:hanging="360"/>
            </w:pPr>
            <w:r w:rsidRPr="005F33EE">
              <w:t>What suggestions, if any, do you have on the Commission’s proposed assessment approach for the inquiry? Please provide any data or other evidence that could be used to inform the assessment.</w:t>
            </w:r>
          </w:p>
        </w:tc>
      </w:tr>
      <w:tr w:rsidR="00FD09C2" w:rsidTr="00FD09C2">
        <w:trPr>
          <w:cantSplit/>
        </w:trPr>
        <w:tc>
          <w:tcPr>
            <w:tcW w:w="5000" w:type="pct"/>
            <w:tcBorders>
              <w:top w:val="nil"/>
              <w:left w:val="nil"/>
              <w:bottom w:val="single" w:sz="6" w:space="0" w:color="78A22F"/>
              <w:right w:val="nil"/>
            </w:tcBorders>
            <w:shd w:val="clear" w:color="auto" w:fill="auto"/>
          </w:tcPr>
          <w:p w:rsidR="00FD09C2" w:rsidRDefault="00FD09C2" w:rsidP="00FD09C2">
            <w:pPr>
              <w:pStyle w:val="Space"/>
              <w:keepLines/>
            </w:pPr>
          </w:p>
        </w:tc>
      </w:tr>
      <w:tr w:rsidR="00FD09C2" w:rsidRPr="000863A5" w:rsidTr="00FD09C2">
        <w:trPr>
          <w:cantSplit/>
        </w:trPr>
        <w:tc>
          <w:tcPr>
            <w:tcW w:w="5000" w:type="pct"/>
            <w:tcBorders>
              <w:top w:val="single" w:sz="6" w:space="0" w:color="78A22F"/>
              <w:left w:val="nil"/>
              <w:bottom w:val="nil"/>
              <w:right w:val="nil"/>
            </w:tcBorders>
          </w:tcPr>
          <w:p w:rsidR="00FD09C2" w:rsidRPr="00626D32" w:rsidRDefault="00FD09C2" w:rsidP="00FD09C2">
            <w:pPr>
              <w:pStyle w:val="BoxSpaceBelow"/>
              <w:keepLines/>
              <w:spacing w:after="0" w:line="40" w:lineRule="exact"/>
            </w:pPr>
          </w:p>
        </w:tc>
      </w:tr>
    </w:tbl>
    <w:p w:rsidR="00967616" w:rsidRDefault="006643CF" w:rsidP="002C6080">
      <w:pPr>
        <w:pStyle w:val="BodyText"/>
      </w:pPr>
      <w:r>
        <w:lastRenderedPageBreak/>
        <w:t>The f</w:t>
      </w:r>
      <w:r w:rsidR="00F967DC">
        <w:t>ollowing</w:t>
      </w:r>
      <w:r w:rsidR="00967616">
        <w:t xml:space="preserve"> sections of this paper </w:t>
      </w:r>
      <w:r w:rsidR="0002087F">
        <w:t>consider</w:t>
      </w:r>
      <w:r w:rsidR="00967616">
        <w:t xml:space="preserve"> specific service</w:t>
      </w:r>
      <w:r w:rsidR="00C52F45">
        <w:t xml:space="preserve"> area</w:t>
      </w:r>
      <w:r w:rsidR="00967616">
        <w:t xml:space="preserve">s and other interventions </w:t>
      </w:r>
      <w:r w:rsidR="0002087F">
        <w:t>that</w:t>
      </w:r>
      <w:r w:rsidR="00967616">
        <w:t xml:space="preserve"> can </w:t>
      </w:r>
      <w:r w:rsidR="00F90155">
        <w:t xml:space="preserve">support </w:t>
      </w:r>
      <w:r w:rsidR="00967616">
        <w:t>mental health.</w:t>
      </w:r>
      <w:r w:rsidR="00F967DC">
        <w:t xml:space="preserve"> This is followed in the final section of the paper by </w:t>
      </w:r>
      <w:r w:rsidR="00A06A36">
        <w:t xml:space="preserve">a discussion of the overarching policy frameworks needed </w:t>
      </w:r>
      <w:r w:rsidR="00F90155">
        <w:t xml:space="preserve">to </w:t>
      </w:r>
      <w:r w:rsidR="00D057AE">
        <w:t xml:space="preserve">ensure that there </w:t>
      </w:r>
      <w:r w:rsidR="000662F2">
        <w:t xml:space="preserve">is </w:t>
      </w:r>
      <w:r w:rsidR="00D057AE">
        <w:t>a system</w:t>
      </w:r>
      <w:r w:rsidR="00904B8B">
        <w:t>atic and coordinated approach to mental health</w:t>
      </w:r>
      <w:r w:rsidR="00D057AE">
        <w:t xml:space="preserve"> </w:t>
      </w:r>
      <w:r w:rsidR="00904B8B">
        <w:t>across the many different supports, and that there are monitoring systems in place to promote ongoing improvements.</w:t>
      </w:r>
    </w:p>
    <w:p w:rsidR="00DF07D5" w:rsidRDefault="00CB6A36" w:rsidP="00DF07D5">
      <w:pPr>
        <w:pStyle w:val="Heading2"/>
        <w:rPr>
          <w:noProof/>
        </w:rPr>
      </w:pPr>
      <w:bookmarkStart w:id="15" w:name="_Toc534966413"/>
      <w:bookmarkStart w:id="16" w:name="_Toc535242304"/>
      <w:r>
        <w:rPr>
          <w:noProof/>
        </w:rPr>
        <w:t>3</w:t>
      </w:r>
      <w:r w:rsidR="00DF07D5">
        <w:rPr>
          <w:noProof/>
        </w:rPr>
        <w:t>.</w:t>
      </w:r>
      <w:r w:rsidR="00DF07D5">
        <w:tab/>
        <w:t xml:space="preserve">Contributing components to </w:t>
      </w:r>
      <w:r w:rsidR="0029788E">
        <w:t xml:space="preserve">improving </w:t>
      </w:r>
      <w:r w:rsidR="00DF07D5">
        <w:t>mental health and wellbeing</w:t>
      </w:r>
      <w:bookmarkEnd w:id="15"/>
      <w:bookmarkEnd w:id="16"/>
    </w:p>
    <w:p w:rsidR="004666BB" w:rsidRDefault="004B010D" w:rsidP="004666BB">
      <w:pPr>
        <w:pStyle w:val="BodyText"/>
      </w:pPr>
      <w:bookmarkStart w:id="17" w:name="_Toc520279311"/>
      <w:bookmarkStart w:id="18" w:name="_Toc528902910"/>
      <w:bookmarkStart w:id="19" w:name="_Toc529979216"/>
      <w:bookmarkStart w:id="20" w:name="_Toc530993235"/>
      <w:r>
        <w:t>I</w:t>
      </w:r>
      <w:r w:rsidR="004666BB">
        <w:t xml:space="preserve">mproving mental health — and hence social and economic participation and contribution </w:t>
      </w:r>
      <w:r w:rsidR="009208AB">
        <w:t xml:space="preserve">to the wider community </w:t>
      </w:r>
      <w:r w:rsidR="004666BB">
        <w:t xml:space="preserve">— necessitates consideration of services and supports </w:t>
      </w:r>
      <w:r w:rsidR="005A3E2D">
        <w:t xml:space="preserve">including, but not limited to, </w:t>
      </w:r>
      <w:r w:rsidR="004666BB">
        <w:t>healthcare</w:t>
      </w:r>
      <w:r w:rsidR="009208AB">
        <w:t>. Other services and supports include</w:t>
      </w:r>
      <w:r w:rsidR="004666BB">
        <w:t xml:space="preserve"> housing, social services, and measures provided through workplaces</w:t>
      </w:r>
      <w:r w:rsidR="009208AB">
        <w:t>,</w:t>
      </w:r>
      <w:r w:rsidR="004666BB">
        <w:t xml:space="preserve"> education </w:t>
      </w:r>
      <w:r w:rsidR="009208AB">
        <w:t>providers, and justice systems</w:t>
      </w:r>
      <w:r w:rsidR="004666BB">
        <w:t xml:space="preserve">. </w:t>
      </w:r>
      <w:r w:rsidR="007529A1">
        <w:t>How these components work together to wrap a support network around the individual consumer and their carers is a critical part of effective interventions.</w:t>
      </w:r>
    </w:p>
    <w:p w:rsidR="004E4AC4" w:rsidRPr="00DF07D5" w:rsidRDefault="004E4AC4" w:rsidP="00DF07D5">
      <w:pPr>
        <w:pStyle w:val="Heading3"/>
      </w:pPr>
      <w:r w:rsidRPr="00DF07D5">
        <w:t>Healthcare</w:t>
      </w:r>
      <w:bookmarkEnd w:id="17"/>
      <w:bookmarkEnd w:id="18"/>
      <w:bookmarkEnd w:id="19"/>
      <w:bookmarkEnd w:id="20"/>
    </w:p>
    <w:p w:rsidR="005B3725" w:rsidRDefault="004666BB" w:rsidP="00DF07D5">
      <w:pPr>
        <w:pStyle w:val="BodyText"/>
      </w:pPr>
      <w:r>
        <w:t>The</w:t>
      </w:r>
      <w:r w:rsidR="005B3725">
        <w:t xml:space="preserve"> healthcare </w:t>
      </w:r>
      <w:r>
        <w:t>system supporting mental health cove</w:t>
      </w:r>
      <w:r w:rsidR="005B3725" w:rsidRPr="003C3D7F">
        <w:t xml:space="preserve">rs </w:t>
      </w:r>
      <w:r>
        <w:t>a wide range of</w:t>
      </w:r>
      <w:r w:rsidR="005B3725" w:rsidRPr="003C3D7F">
        <w:t xml:space="preserve"> services, </w:t>
      </w:r>
      <w:r w:rsidR="008861F0">
        <w:t>providers</w:t>
      </w:r>
      <w:r w:rsidR="005B3725">
        <w:t xml:space="preserve"> and settings</w:t>
      </w:r>
      <w:r>
        <w:t>, including</w:t>
      </w:r>
      <w:r w:rsidR="005B3725">
        <w:t>:</w:t>
      </w:r>
    </w:p>
    <w:p w:rsidR="005B3725" w:rsidRDefault="005B3725" w:rsidP="00AD7824">
      <w:pPr>
        <w:pStyle w:val="ListBullet"/>
      </w:pPr>
      <w:r>
        <w:t xml:space="preserve">primary care </w:t>
      </w:r>
      <w:r w:rsidR="00186C49">
        <w:t xml:space="preserve">delivered </w:t>
      </w:r>
      <w:r>
        <w:t xml:space="preserve">in the community by </w:t>
      </w:r>
      <w:r w:rsidRPr="00282C5E">
        <w:t>general practi</w:t>
      </w:r>
      <w:r>
        <w:t>tioners (GPs</w:t>
      </w:r>
      <w:r w:rsidR="00AD7824">
        <w:t>),</w:t>
      </w:r>
      <w:r w:rsidR="00AD7824" w:rsidRPr="00AD7824">
        <w:t xml:space="preserve"> nursing and allied mental health providers</w:t>
      </w:r>
    </w:p>
    <w:p w:rsidR="005B3725" w:rsidRPr="00282C5E" w:rsidRDefault="005B3725" w:rsidP="00DF07D5">
      <w:pPr>
        <w:pStyle w:val="ListBullet"/>
      </w:pPr>
      <w:r>
        <w:t xml:space="preserve">more specialised mental health services </w:t>
      </w:r>
      <w:r w:rsidR="00E64846">
        <w:t xml:space="preserve">provided </w:t>
      </w:r>
      <w:r>
        <w:t xml:space="preserve">in </w:t>
      </w:r>
      <w:r w:rsidRPr="004747E0">
        <w:t xml:space="preserve">community </w:t>
      </w:r>
      <w:r>
        <w:t xml:space="preserve">settings, which could </w:t>
      </w:r>
      <w:r w:rsidR="002F6A11">
        <w:t>be delivered by</w:t>
      </w:r>
      <w:r w:rsidRPr="0097545D">
        <w:t xml:space="preserve"> </w:t>
      </w:r>
      <w:r>
        <w:t xml:space="preserve">a </w:t>
      </w:r>
      <w:r w:rsidRPr="0097545D">
        <w:t>psychiatrist, psychologist</w:t>
      </w:r>
      <w:r>
        <w:t xml:space="preserve"> or</w:t>
      </w:r>
      <w:r w:rsidRPr="0097545D">
        <w:t xml:space="preserve"> </w:t>
      </w:r>
      <w:r>
        <w:t xml:space="preserve">other </w:t>
      </w:r>
      <w:r w:rsidRPr="0097545D">
        <w:t>allied health</w:t>
      </w:r>
      <w:r>
        <w:t xml:space="preserve"> professional </w:t>
      </w:r>
      <w:r w:rsidR="00394031">
        <w:t xml:space="preserve">working </w:t>
      </w:r>
      <w:r>
        <w:t>in either private practice or a (</w:t>
      </w:r>
      <w:r w:rsidR="00E05537">
        <w:t xml:space="preserve">publicly </w:t>
      </w:r>
      <w:r>
        <w:t xml:space="preserve">funded) </w:t>
      </w:r>
      <w:r w:rsidR="00B14706">
        <w:t xml:space="preserve">specialist </w:t>
      </w:r>
      <w:r>
        <w:t>community mental health service</w:t>
      </w:r>
    </w:p>
    <w:p w:rsidR="005B3725" w:rsidRDefault="005B3725" w:rsidP="00DF07D5">
      <w:pPr>
        <w:pStyle w:val="ListBullet"/>
      </w:pPr>
      <w:r w:rsidRPr="00D77CED">
        <w:t xml:space="preserve">residential mental health </w:t>
      </w:r>
      <w:r>
        <w:t>services</w:t>
      </w:r>
      <w:r w:rsidR="009C7DF1">
        <w:t xml:space="preserve">, which provide </w:t>
      </w:r>
      <w:r w:rsidRPr="00D77CED">
        <w:t>overnight specialised mental health care in a domestic-like environment</w:t>
      </w:r>
    </w:p>
    <w:p w:rsidR="005B3725" w:rsidRDefault="005B3725" w:rsidP="00DF07D5">
      <w:pPr>
        <w:pStyle w:val="ListBullet"/>
      </w:pPr>
      <w:r>
        <w:t>emergency departments, day clinics</w:t>
      </w:r>
      <w:r w:rsidRPr="00083674">
        <w:t xml:space="preserve"> </w:t>
      </w:r>
      <w:r>
        <w:t>and admitted-</w:t>
      </w:r>
      <w:r w:rsidRPr="00083674">
        <w:t xml:space="preserve">patient services </w:t>
      </w:r>
      <w:r>
        <w:t xml:space="preserve">provided in a </w:t>
      </w:r>
      <w:r w:rsidR="00B078CA">
        <w:t xml:space="preserve">(public or private) </w:t>
      </w:r>
      <w:r>
        <w:t>hospital</w:t>
      </w:r>
      <w:r w:rsidR="00B078CA">
        <w:t xml:space="preserve">, which </w:t>
      </w:r>
      <w:r>
        <w:t xml:space="preserve">could be </w:t>
      </w:r>
      <w:r w:rsidR="00C50AD9">
        <w:t xml:space="preserve">either </w:t>
      </w:r>
      <w:r>
        <w:t xml:space="preserve">a general or specialised psychiatric hospital </w:t>
      </w:r>
    </w:p>
    <w:p w:rsidR="005B3725" w:rsidRDefault="005B3725" w:rsidP="00794024">
      <w:pPr>
        <w:pStyle w:val="ListBullet"/>
      </w:pPr>
      <w:r>
        <w:t>pharmac</w:t>
      </w:r>
      <w:r w:rsidR="00215FB0">
        <w:t>ies</w:t>
      </w:r>
      <w:r>
        <w:t xml:space="preserve"> in the community</w:t>
      </w:r>
      <w:r w:rsidR="009D30AA">
        <w:t>,</w:t>
      </w:r>
      <w:r>
        <w:t xml:space="preserve"> or </w:t>
      </w:r>
      <w:r w:rsidR="00BD485B">
        <w:t xml:space="preserve">within </w:t>
      </w:r>
      <w:r w:rsidR="00412451">
        <w:t>a</w:t>
      </w:r>
      <w:r>
        <w:t xml:space="preserve"> </w:t>
      </w:r>
      <w:r w:rsidR="00E05537">
        <w:t xml:space="preserve">publicly </w:t>
      </w:r>
      <w:r>
        <w:t xml:space="preserve">funded </w:t>
      </w:r>
      <w:r w:rsidR="006C3010">
        <w:t xml:space="preserve">health </w:t>
      </w:r>
      <w:r>
        <w:t>facilit</w:t>
      </w:r>
      <w:r w:rsidR="006C3010">
        <w:t>y</w:t>
      </w:r>
      <w:r w:rsidR="009D30AA">
        <w:t>,</w:t>
      </w:r>
      <w:r w:rsidR="00215FB0">
        <w:t xml:space="preserve"> which dispense medications</w:t>
      </w:r>
      <w:r w:rsidR="00A5369B">
        <w:t xml:space="preserve"> to people with a mental illness</w:t>
      </w:r>
      <w:r>
        <w:t>.</w:t>
      </w:r>
    </w:p>
    <w:p w:rsidR="008B4534" w:rsidRDefault="005B3725" w:rsidP="00DF07D5">
      <w:pPr>
        <w:pStyle w:val="BodyText"/>
        <w:rPr>
          <w:color w:val="000000" w:themeColor="text1"/>
        </w:rPr>
      </w:pPr>
      <w:r w:rsidRPr="00B42E7C">
        <w:rPr>
          <w:color w:val="000000" w:themeColor="text1"/>
        </w:rPr>
        <w:t>State and Territory Governments are responsible for healthcare provided by publicly funded hospitals</w:t>
      </w:r>
      <w:r w:rsidR="00D17E6B" w:rsidRPr="00B42E7C">
        <w:rPr>
          <w:color w:val="000000" w:themeColor="text1"/>
        </w:rPr>
        <w:t xml:space="preserve"> and</w:t>
      </w:r>
      <w:r w:rsidRPr="00B42E7C">
        <w:rPr>
          <w:color w:val="000000" w:themeColor="text1"/>
        </w:rPr>
        <w:t xml:space="preserve"> community and residential mental health services, with provision </w:t>
      </w:r>
      <w:r w:rsidR="005A7A48">
        <w:rPr>
          <w:color w:val="000000" w:themeColor="text1"/>
        </w:rPr>
        <w:t>sometimes</w:t>
      </w:r>
      <w:r w:rsidRPr="00B42E7C">
        <w:rPr>
          <w:color w:val="000000" w:themeColor="text1"/>
        </w:rPr>
        <w:t xml:space="preserve"> delegated to a non-government provider. </w:t>
      </w:r>
      <w:r w:rsidR="00D05ECA">
        <w:rPr>
          <w:color w:val="000000" w:themeColor="text1"/>
        </w:rPr>
        <w:t xml:space="preserve">A significant proportion of care is also provided </w:t>
      </w:r>
      <w:r w:rsidR="00D05ECA" w:rsidRPr="00B42E7C">
        <w:rPr>
          <w:color w:val="000000" w:themeColor="text1"/>
        </w:rPr>
        <w:t>by practitioners working in private practice</w:t>
      </w:r>
      <w:r w:rsidR="003F7CBA">
        <w:rPr>
          <w:color w:val="000000" w:themeColor="text1"/>
        </w:rPr>
        <w:t>.</w:t>
      </w:r>
    </w:p>
    <w:p w:rsidR="00E45454" w:rsidRPr="00D8203C" w:rsidRDefault="00CD57A6" w:rsidP="00DF07D5">
      <w:pPr>
        <w:pStyle w:val="Heading4"/>
      </w:pPr>
      <w:r>
        <w:lastRenderedPageBreak/>
        <w:t>Structural</w:t>
      </w:r>
      <w:r w:rsidR="00E45454">
        <w:t xml:space="preserve"> weaknesses i</w:t>
      </w:r>
      <w:r w:rsidR="007B33CB">
        <w:t>dentified i</w:t>
      </w:r>
      <w:r w:rsidR="00E45454">
        <w:t xml:space="preserve">n </w:t>
      </w:r>
      <w:r w:rsidR="007B33CB">
        <w:t>past reviews</w:t>
      </w:r>
    </w:p>
    <w:p w:rsidR="00E45454" w:rsidRPr="003034B6" w:rsidRDefault="004422D1" w:rsidP="00DF07D5">
      <w:pPr>
        <w:pStyle w:val="BodyText"/>
        <w:keepNext/>
      </w:pPr>
      <w:r w:rsidRPr="002545B0">
        <w:t xml:space="preserve">This inquiry will not be duplicating the work done in many past reviews </w:t>
      </w:r>
      <w:r w:rsidR="00A9144E">
        <w:t>to</w:t>
      </w:r>
      <w:r w:rsidRPr="002545B0">
        <w:t xml:space="preserve"> identify </w:t>
      </w:r>
      <w:r w:rsidR="004A3D5E" w:rsidRPr="002545B0">
        <w:t xml:space="preserve">the </w:t>
      </w:r>
      <w:r w:rsidR="00793963" w:rsidRPr="002545B0">
        <w:t xml:space="preserve">structural </w:t>
      </w:r>
      <w:r w:rsidRPr="002545B0">
        <w:t>weaknesses in existing model</w:t>
      </w:r>
      <w:r w:rsidR="00121E7A">
        <w:t>s</w:t>
      </w:r>
      <w:r w:rsidRPr="002545B0">
        <w:t xml:space="preserve"> of healthcare for people with a mental illness</w:t>
      </w:r>
      <w:r w:rsidR="00750E3E">
        <w:t xml:space="preserve"> </w:t>
      </w:r>
      <w:r w:rsidR="00854FF1" w:rsidRPr="00854FF1">
        <w:rPr>
          <w:szCs w:val="24"/>
        </w:rPr>
        <w:t>(for example, HREOC 1993; KPMG and Mental Health Australia 2018; Medibank and Nous Group 2013a; Mendoza et al. 2013; Richmond, Sainsbury and Conoulty 1983)</w:t>
      </w:r>
      <w:r w:rsidR="002545B0" w:rsidRPr="002545B0">
        <w:t>.</w:t>
      </w:r>
      <w:r w:rsidR="004A3D5E" w:rsidRPr="002545B0">
        <w:t xml:space="preserve"> </w:t>
      </w:r>
      <w:r w:rsidR="00F46FB8">
        <w:t>The problems are well known</w:t>
      </w:r>
      <w:r w:rsidR="00FD0E64">
        <w:t xml:space="preserve">, with the most extensive review in recent years — </w:t>
      </w:r>
      <w:r w:rsidR="00E45454" w:rsidRPr="0042283F">
        <w:t>undertaken by the National Mental Health Commission</w:t>
      </w:r>
      <w:r w:rsidR="009E47EF">
        <w:t xml:space="preserve"> </w:t>
      </w:r>
      <w:r w:rsidR="00856F2C" w:rsidRPr="00856F2C">
        <w:rPr>
          <w:szCs w:val="24"/>
        </w:rPr>
        <w:t>(NMHC 2014a)</w:t>
      </w:r>
      <w:r w:rsidR="009E47EF">
        <w:t xml:space="preserve"> </w:t>
      </w:r>
      <w:r w:rsidR="00FD0E64">
        <w:t>— highlighting issues such as</w:t>
      </w:r>
      <w:r w:rsidR="00E45454" w:rsidRPr="003034B6">
        <w:t>:</w:t>
      </w:r>
    </w:p>
    <w:p w:rsidR="00E45454" w:rsidRPr="003034B6" w:rsidRDefault="00E45454" w:rsidP="00DF07D5">
      <w:pPr>
        <w:pStyle w:val="ListBullet"/>
      </w:pPr>
      <w:r>
        <w:t xml:space="preserve">the concentration of resources in </w:t>
      </w:r>
      <w:r w:rsidR="00583EED">
        <w:t xml:space="preserve">costly </w:t>
      </w:r>
      <w:r>
        <w:t xml:space="preserve">acute and crisis </w:t>
      </w:r>
      <w:r w:rsidR="008D3FB9">
        <w:t>care</w:t>
      </w:r>
      <w:r w:rsidR="00215378">
        <w:t xml:space="preserve"> (such as hospital emergency departments)</w:t>
      </w:r>
      <w:r>
        <w:t xml:space="preserve">, despite evidence that </w:t>
      </w:r>
      <w:r w:rsidR="00B71151">
        <w:t>mental health services</w:t>
      </w:r>
      <w:r>
        <w:t xml:space="preserve"> </w:t>
      </w:r>
      <w:r w:rsidR="008D3FB9">
        <w:t xml:space="preserve">in community settings </w:t>
      </w:r>
      <w:r>
        <w:t xml:space="preserve">can be </w:t>
      </w:r>
      <w:r w:rsidR="008F6B78">
        <w:t xml:space="preserve">more </w:t>
      </w:r>
      <w:r>
        <w:t xml:space="preserve">effective in </w:t>
      </w:r>
      <w:r w:rsidR="00E406C4">
        <w:t>preventing</w:t>
      </w:r>
      <w:r>
        <w:t xml:space="preserve"> pain and suffering, </w:t>
      </w:r>
      <w:r w:rsidR="0090447B">
        <w:t>facilitat</w:t>
      </w:r>
      <w:r w:rsidR="00DB68DF">
        <w:t>ing</w:t>
      </w:r>
      <w:r w:rsidR="00224403">
        <w:t xml:space="preserve"> recovery, </w:t>
      </w:r>
      <w:r w:rsidR="00021662">
        <w:t xml:space="preserve">and </w:t>
      </w:r>
      <w:r w:rsidR="00DB68DF">
        <w:t>keeping people</w:t>
      </w:r>
      <w:r>
        <w:t xml:space="preserve"> in the community with their families and participating in employment or education</w:t>
      </w:r>
    </w:p>
    <w:p w:rsidR="00CE2667" w:rsidRPr="00CE2667" w:rsidRDefault="00E45454" w:rsidP="007622C3">
      <w:pPr>
        <w:pStyle w:val="ListBullet"/>
      </w:pPr>
      <w:r w:rsidRPr="00970162">
        <w:t>fragmentation and limited coordination across services, providers and settings, rather than a genuine mental health ‘system’ in the sense of being a planned, unitary whole</w:t>
      </w:r>
      <w:r w:rsidR="00CE2667" w:rsidRPr="00CE2667">
        <w:t xml:space="preserve"> to address the needs of the population</w:t>
      </w:r>
    </w:p>
    <w:p w:rsidR="00CF6FED" w:rsidRPr="00970162" w:rsidRDefault="00B47281" w:rsidP="00DF07D5">
      <w:pPr>
        <w:pStyle w:val="ListBullet"/>
      </w:pPr>
      <w:r>
        <w:t>services being designed with a focus on the needs of providers rather than consumers</w:t>
      </w:r>
    </w:p>
    <w:p w:rsidR="00E45454" w:rsidRPr="00970162" w:rsidRDefault="00E45454" w:rsidP="00DF07D5">
      <w:pPr>
        <w:pStyle w:val="ListBullet"/>
      </w:pPr>
      <w:r w:rsidRPr="00970162">
        <w:t>inequitable access to care, such as in region</w:t>
      </w:r>
      <w:r w:rsidR="0004361A">
        <w:t>al and remote areas</w:t>
      </w:r>
      <w:r w:rsidR="00A14C98">
        <w:t>,</w:t>
      </w:r>
      <w:r w:rsidR="00CA1B1B" w:rsidRPr="00CA1B1B">
        <w:t xml:space="preserve"> </w:t>
      </w:r>
      <w:r w:rsidR="00CA1B1B">
        <w:t xml:space="preserve">and </w:t>
      </w:r>
      <w:r w:rsidR="00CA1B1B" w:rsidRPr="00970162">
        <w:t>for disadvantaged groups</w:t>
      </w:r>
      <w:r w:rsidR="00340B2A" w:rsidRPr="00970162">
        <w:t>.</w:t>
      </w:r>
    </w:p>
    <w:p w:rsidR="007D7C33" w:rsidRDefault="00094913" w:rsidP="00DF07D5">
      <w:pPr>
        <w:pStyle w:val="BodyText"/>
      </w:pPr>
      <w:r w:rsidRPr="00970162">
        <w:t xml:space="preserve">Governments have </w:t>
      </w:r>
      <w:r w:rsidR="00A960B9" w:rsidRPr="00970162">
        <w:t xml:space="preserve">a long history of efforts to improve outcomes but they </w:t>
      </w:r>
      <w:r w:rsidR="007D7C33" w:rsidRPr="00970162">
        <w:t>have found it</w:t>
      </w:r>
      <w:r w:rsidR="007D7C33">
        <w:t xml:space="preserve"> challenging to </w:t>
      </w:r>
      <w:r w:rsidR="00B806EE">
        <w:t xml:space="preserve">make progress on </w:t>
      </w:r>
      <w:r w:rsidR="009A1D8F">
        <w:t>issues such as those listed above</w:t>
      </w:r>
      <w:r w:rsidR="002A4C70">
        <w:t xml:space="preserve"> </w:t>
      </w:r>
      <w:r w:rsidR="00854FF1" w:rsidRPr="00854FF1">
        <w:rPr>
          <w:szCs w:val="24"/>
        </w:rPr>
        <w:t>(Doggett 2018)</w:t>
      </w:r>
      <w:r w:rsidR="009A1D8F">
        <w:t xml:space="preserve">. </w:t>
      </w:r>
      <w:r w:rsidR="00B806EE">
        <w:t xml:space="preserve">Recognising the need for further improvement, a </w:t>
      </w:r>
      <w:r w:rsidR="004D1194" w:rsidRPr="009605C7">
        <w:t xml:space="preserve">new wave of reforms is now underway across a wide front and more could follow </w:t>
      </w:r>
      <w:r w:rsidR="004D1194">
        <w:t>after</w:t>
      </w:r>
      <w:r w:rsidR="004D1194" w:rsidRPr="009605C7">
        <w:t xml:space="preserve"> </w:t>
      </w:r>
      <w:r w:rsidR="003A5911">
        <w:t xml:space="preserve">governments consider the recommendations of various recent and </w:t>
      </w:r>
      <w:r w:rsidR="004D1194" w:rsidRPr="009605C7">
        <w:t>current reviews</w:t>
      </w:r>
      <w:r w:rsidR="00495471">
        <w:t xml:space="preserve"> </w:t>
      </w:r>
      <w:r w:rsidR="00854FF1" w:rsidRPr="00854FF1">
        <w:t>(for example, CARC 2018)</w:t>
      </w:r>
      <w:r w:rsidR="004D1194" w:rsidRPr="00495471">
        <w:t>.</w:t>
      </w:r>
    </w:p>
    <w:p w:rsidR="00CA53FF" w:rsidRDefault="00CE5003" w:rsidP="00DF07D5">
      <w:pPr>
        <w:pStyle w:val="BodyText"/>
      </w:pPr>
      <w:r>
        <w:t xml:space="preserve">At a national level, </w:t>
      </w:r>
      <w:r w:rsidRPr="00C64338">
        <w:t>the Australian Government has, in response to the recommendations of the</w:t>
      </w:r>
      <w:r w:rsidRPr="00E36D5E">
        <w:t xml:space="preserve"> </w:t>
      </w:r>
      <w:r>
        <w:t>NMHC</w:t>
      </w:r>
      <w:r w:rsidRPr="00C64338">
        <w:t xml:space="preserve"> </w:t>
      </w:r>
      <w:r w:rsidRPr="009E7CCE">
        <w:t>review</w:t>
      </w:r>
      <w:r>
        <w:t>, been phasing in a package of reforms. This includes r</w:t>
      </w:r>
      <w:r w:rsidRPr="00621799">
        <w:t>edirect</w:t>
      </w:r>
      <w:r>
        <w:t>ing</w:t>
      </w:r>
      <w:r w:rsidRPr="00621799">
        <w:t xml:space="preserve"> Commonwealth funding</w:t>
      </w:r>
      <w:r>
        <w:t xml:space="preserve"> for primary mental health programs </w:t>
      </w:r>
      <w:r w:rsidRPr="00621799">
        <w:t xml:space="preserve">to a new flexible funding pool </w:t>
      </w:r>
      <w:r>
        <w:t xml:space="preserve">to be used by its regional primary health networks (PHNs) </w:t>
      </w:r>
      <w:r w:rsidRPr="003D08B8">
        <w:t xml:space="preserve">to plan and commission </w:t>
      </w:r>
      <w:r>
        <w:t>primary care</w:t>
      </w:r>
      <w:r w:rsidR="00935C24">
        <w:t>,</w:t>
      </w:r>
      <w:r w:rsidRPr="003D08B8">
        <w:t xml:space="preserve"> </w:t>
      </w:r>
      <w:r>
        <w:t xml:space="preserve">in concert with State and Territory Government </w:t>
      </w:r>
      <w:r w:rsidR="00C96379">
        <w:t xml:space="preserve">local </w:t>
      </w:r>
      <w:r>
        <w:t>health networks and others</w:t>
      </w:r>
      <w:r w:rsidRPr="00A7175A">
        <w:t xml:space="preserve"> </w:t>
      </w:r>
      <w:r w:rsidR="00854FF1" w:rsidRPr="00854FF1">
        <w:rPr>
          <w:szCs w:val="24"/>
        </w:rPr>
        <w:t>(Department of Health 2015; NMHC 2018b)</w:t>
      </w:r>
      <w:r>
        <w:t xml:space="preserve">. </w:t>
      </w:r>
      <w:r w:rsidR="00065FB3">
        <w:t xml:space="preserve">This </w:t>
      </w:r>
      <w:r w:rsidR="00176A0C">
        <w:t xml:space="preserve">is </w:t>
      </w:r>
      <w:r w:rsidR="00065FB3">
        <w:t xml:space="preserve">intended </w:t>
      </w:r>
      <w:r w:rsidR="00CA53FF">
        <w:t xml:space="preserve">to more effectively tailor </w:t>
      </w:r>
      <w:r w:rsidR="003B7506">
        <w:t>support</w:t>
      </w:r>
      <w:r w:rsidR="00CA53FF">
        <w:t xml:space="preserve"> </w:t>
      </w:r>
      <w:r w:rsidR="00A43CB5">
        <w:t>to</w:t>
      </w:r>
      <w:r w:rsidR="00065FB3">
        <w:t xml:space="preserve"> local </w:t>
      </w:r>
      <w:r w:rsidR="00A43CB5">
        <w:t>circumstances</w:t>
      </w:r>
      <w:r w:rsidR="00065FB3">
        <w:t xml:space="preserve"> </w:t>
      </w:r>
      <w:r w:rsidR="008B6726">
        <w:t xml:space="preserve">and facilitate a shift to </w:t>
      </w:r>
      <w:r w:rsidR="00A43CB5">
        <w:t xml:space="preserve">a </w:t>
      </w:r>
      <w:r w:rsidR="003B7506">
        <w:t xml:space="preserve">‘stepped model’ </w:t>
      </w:r>
      <w:r w:rsidR="008B6726">
        <w:t xml:space="preserve">of care </w:t>
      </w:r>
      <w:r w:rsidR="00A43CB5">
        <w:t xml:space="preserve">which </w:t>
      </w:r>
      <w:r w:rsidR="008B6726">
        <w:t xml:space="preserve">varies </w:t>
      </w:r>
      <w:r w:rsidR="00715D28">
        <w:t>according to</w:t>
      </w:r>
      <w:r w:rsidR="008B6726">
        <w:t xml:space="preserve"> </w:t>
      </w:r>
      <w:r w:rsidR="00554FF3">
        <w:t xml:space="preserve">an </w:t>
      </w:r>
      <w:r w:rsidR="00065FB3">
        <w:t>individual</w:t>
      </w:r>
      <w:r w:rsidR="00554FF3">
        <w:t>’s</w:t>
      </w:r>
      <w:r w:rsidR="00065FB3">
        <w:t xml:space="preserve"> needs</w:t>
      </w:r>
      <w:r w:rsidR="003B7506">
        <w:t xml:space="preserve"> (</w:t>
      </w:r>
      <w:r w:rsidR="003B7506" w:rsidRPr="002D15F6">
        <w:t>figure </w:t>
      </w:r>
      <w:r w:rsidR="00253D8A" w:rsidRPr="002D15F6">
        <w:t>5</w:t>
      </w:r>
      <w:r w:rsidR="003B7506">
        <w:t>).</w:t>
      </w:r>
      <w:r w:rsidR="00182D87" w:rsidRPr="00182D87">
        <w:t xml:space="preserve"> </w:t>
      </w:r>
      <w:r w:rsidR="00182D87">
        <w:t xml:space="preserve">More generally, in 2017, governments agreed to a renewed five-year program of cross-jurisdiction coordination on a broad range of mental health policies under the auspices of the Fifth National Mental Health and Suicide Prevention Plan </w:t>
      </w:r>
      <w:r w:rsidR="00854FF1" w:rsidRPr="00854FF1">
        <w:rPr>
          <w:szCs w:val="24"/>
        </w:rPr>
        <w:t>(NMHC 2018a)</w:t>
      </w:r>
      <w:r w:rsidR="00182D87">
        <w:t>.</w:t>
      </w:r>
    </w:p>
    <w:p w:rsidR="00CD345E" w:rsidRDefault="00CD345E" w:rsidP="00DF07D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D345E" w:rsidTr="000201D5">
        <w:trPr>
          <w:tblHeader/>
        </w:trPr>
        <w:tc>
          <w:tcPr>
            <w:tcW w:w="5000" w:type="pct"/>
            <w:tcBorders>
              <w:top w:val="single" w:sz="6" w:space="0" w:color="78A22F"/>
              <w:left w:val="nil"/>
              <w:bottom w:val="nil"/>
              <w:right w:val="nil"/>
            </w:tcBorders>
            <w:shd w:val="clear" w:color="auto" w:fill="auto"/>
          </w:tcPr>
          <w:p w:rsidR="00CD345E" w:rsidRPr="00176D3F" w:rsidRDefault="00CD345E" w:rsidP="009F2C88">
            <w:pPr>
              <w:pStyle w:val="FigureTitle"/>
            </w:pPr>
            <w:r w:rsidRPr="00784A05">
              <w:rPr>
                <w:b w:val="0"/>
              </w:rPr>
              <w:t xml:space="preserve">Figure </w:t>
            </w:r>
            <w:r w:rsidR="00253D8A">
              <w:rPr>
                <w:b w:val="0"/>
              </w:rPr>
              <w:t>5</w:t>
            </w:r>
            <w:r>
              <w:tab/>
              <w:t>Stepped model of care</w:t>
            </w:r>
          </w:p>
        </w:tc>
      </w:tr>
      <w:tr w:rsidR="00CD345E" w:rsidTr="000201D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CD345E" w:rsidRPr="00B1465D" w:rsidTr="000201D5">
              <w:trPr>
                <w:tblHeader/>
                <w:jc w:val="center"/>
              </w:trPr>
              <w:tc>
                <w:tcPr>
                  <w:tcW w:w="5000" w:type="pct"/>
                  <w:tcBorders>
                    <w:top w:val="nil"/>
                    <w:bottom w:val="nil"/>
                  </w:tcBorders>
                </w:tcPr>
                <w:p w:rsidR="00CD345E" w:rsidRPr="00B1465D" w:rsidRDefault="00D11137" w:rsidP="00DF07D5">
                  <w:pPr>
                    <w:pStyle w:val="Figure"/>
                    <w:spacing w:before="60" w:after="60"/>
                    <w:rPr>
                      <w:rFonts w:ascii="Arial" w:hAnsi="Arial" w:cs="Arial"/>
                      <w:sz w:val="18"/>
                      <w:szCs w:val="18"/>
                    </w:rPr>
                  </w:pPr>
                  <w:r w:rsidRPr="00D11137">
                    <w:rPr>
                      <w:rFonts w:ascii="Arial" w:hAnsi="Arial" w:cs="Arial"/>
                      <w:noProof/>
                      <w:sz w:val="18"/>
                      <w:szCs w:val="18"/>
                    </w:rPr>
                    <w:drawing>
                      <wp:inline distT="0" distB="0" distL="0" distR="0" wp14:anchorId="64293870" wp14:editId="53FC232A">
                        <wp:extent cx="5405726" cy="3697356"/>
                        <wp:effectExtent l="0" t="0" r="5080" b="0"/>
                        <wp:docPr id="9" name="Picture 9" descr="Stepped model of care with steps reflecting increasing levels of ne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08900" cy="3699527"/>
                                </a:xfrm>
                                <a:prstGeom prst="rect">
                                  <a:avLst/>
                                </a:prstGeom>
                                <a:noFill/>
                                <a:ln>
                                  <a:noFill/>
                                </a:ln>
                              </pic:spPr>
                            </pic:pic>
                          </a:graphicData>
                        </a:graphic>
                      </wp:inline>
                    </w:drawing>
                  </w:r>
                </w:p>
              </w:tc>
            </w:tr>
          </w:tbl>
          <w:p w:rsidR="00CD345E" w:rsidRDefault="00CD345E" w:rsidP="00DF07D5">
            <w:pPr>
              <w:pStyle w:val="Figure"/>
            </w:pPr>
          </w:p>
        </w:tc>
      </w:tr>
      <w:tr w:rsidR="00CD345E" w:rsidRPr="00176D3F" w:rsidTr="000201D5">
        <w:tc>
          <w:tcPr>
            <w:tcW w:w="5000" w:type="pct"/>
            <w:tcBorders>
              <w:top w:val="nil"/>
              <w:left w:val="nil"/>
              <w:bottom w:val="nil"/>
              <w:right w:val="nil"/>
            </w:tcBorders>
            <w:shd w:val="clear" w:color="auto" w:fill="auto"/>
          </w:tcPr>
          <w:p w:rsidR="00BD74A3" w:rsidRPr="003766A5" w:rsidRDefault="00CD345E" w:rsidP="001D1EE3">
            <w:pPr>
              <w:pStyle w:val="Source"/>
            </w:pPr>
            <w:r w:rsidRPr="005B680C">
              <w:rPr>
                <w:i/>
              </w:rPr>
              <w:t>Source</w:t>
            </w:r>
            <w:r w:rsidRPr="005B680C">
              <w:t>:</w:t>
            </w:r>
            <w:r w:rsidR="00335970">
              <w:t xml:space="preserve"> </w:t>
            </w:r>
            <w:r w:rsidR="00121130">
              <w:t xml:space="preserve">Adapted from </w:t>
            </w:r>
            <w:r w:rsidR="001D1EE3" w:rsidRPr="001D1EE3">
              <w:rPr>
                <w:rFonts w:cs="Arial"/>
                <w:szCs w:val="24"/>
              </w:rPr>
              <w:t>(NMHC 2014a)</w:t>
            </w:r>
            <w:r w:rsidR="001D1EE3">
              <w:t>.</w:t>
            </w:r>
          </w:p>
        </w:tc>
      </w:tr>
      <w:tr w:rsidR="00CD345E" w:rsidTr="000201D5">
        <w:tc>
          <w:tcPr>
            <w:tcW w:w="5000" w:type="pct"/>
            <w:tcBorders>
              <w:top w:val="nil"/>
              <w:left w:val="nil"/>
              <w:bottom w:val="single" w:sz="6" w:space="0" w:color="78A22F"/>
              <w:right w:val="nil"/>
            </w:tcBorders>
            <w:shd w:val="clear" w:color="auto" w:fill="auto"/>
          </w:tcPr>
          <w:p w:rsidR="00CD345E" w:rsidRDefault="00CD345E" w:rsidP="00DF07D5">
            <w:pPr>
              <w:pStyle w:val="Figurespace"/>
            </w:pPr>
          </w:p>
        </w:tc>
      </w:tr>
      <w:tr w:rsidR="00CD345E" w:rsidRPr="000863A5" w:rsidTr="000201D5">
        <w:tc>
          <w:tcPr>
            <w:tcW w:w="5000" w:type="pct"/>
            <w:tcBorders>
              <w:top w:val="single" w:sz="6" w:space="0" w:color="78A22F"/>
              <w:left w:val="nil"/>
              <w:bottom w:val="nil"/>
              <w:right w:val="nil"/>
            </w:tcBorders>
          </w:tcPr>
          <w:p w:rsidR="00CD345E" w:rsidRPr="00626D32" w:rsidRDefault="00CD345E" w:rsidP="00DF07D5">
            <w:pPr>
              <w:pStyle w:val="BoxSpaceBelow"/>
            </w:pPr>
          </w:p>
        </w:tc>
      </w:tr>
    </w:tbl>
    <w:p w:rsidR="008E47F0" w:rsidRDefault="000B05CC" w:rsidP="00DF07D5">
      <w:pPr>
        <w:pStyle w:val="BodyText"/>
      </w:pPr>
      <w:r>
        <w:t>This inquiry will not generally be recommend</w:t>
      </w:r>
      <w:r w:rsidR="00926D23">
        <w:t>ing changes</w:t>
      </w:r>
      <w:r>
        <w:t xml:space="preserve"> in areas where </w:t>
      </w:r>
      <w:r w:rsidR="00AC1C5B">
        <w:t xml:space="preserve">reforms are </w:t>
      </w:r>
      <w:r w:rsidR="007F4583">
        <w:t xml:space="preserve">currently </w:t>
      </w:r>
      <w:r w:rsidR="00190AC6">
        <w:t xml:space="preserve">in the early stages of </w:t>
      </w:r>
      <w:r w:rsidR="00AC1C5B">
        <w:t>being implemented</w:t>
      </w:r>
      <w:r w:rsidR="00190AC6">
        <w:t xml:space="preserve"> or where it is</w:t>
      </w:r>
      <w:r w:rsidR="006A220F">
        <w:t xml:space="preserve"> too early to </w:t>
      </w:r>
      <w:r w:rsidR="006A220F" w:rsidRPr="00C212B2">
        <w:t>evaluate outcomes achieved from reforms.</w:t>
      </w:r>
      <w:r w:rsidR="009773FF">
        <w:t xml:space="preserve"> </w:t>
      </w:r>
      <w:r w:rsidR="003766A5">
        <w:t>We</w:t>
      </w:r>
      <w:r w:rsidR="003D56F6">
        <w:t xml:space="preserve"> </w:t>
      </w:r>
      <w:r w:rsidR="00190AC6">
        <w:t>do</w:t>
      </w:r>
      <w:r w:rsidR="003D56F6">
        <w:t xml:space="preserve">, however, welcome input from participants </w:t>
      </w:r>
      <w:r w:rsidR="007679CC">
        <w:t xml:space="preserve">on </w:t>
      </w:r>
      <w:r w:rsidR="008B3D78">
        <w:t xml:space="preserve">any areas </w:t>
      </w:r>
      <w:r w:rsidR="00190AC6">
        <w:t>that</w:t>
      </w:r>
      <w:r w:rsidR="008B3D78">
        <w:t xml:space="preserve"> have been overlooked in the current reform agenda, and </w:t>
      </w:r>
      <w:r w:rsidR="003766A5">
        <w:t xml:space="preserve">views on </w:t>
      </w:r>
      <w:r w:rsidR="008B3D78">
        <w:t>why it has historically been</w:t>
      </w:r>
      <w:r w:rsidR="007F1576">
        <w:t xml:space="preserve"> challenging to address the structural weaknesses in healthcare</w:t>
      </w:r>
      <w:r w:rsidR="004540CD">
        <w:t xml:space="preserve">. </w:t>
      </w:r>
    </w:p>
    <w:p w:rsidR="00E45454" w:rsidRPr="004E3B94" w:rsidRDefault="00E45454" w:rsidP="00FB3355">
      <w:pPr>
        <w:pStyle w:val="BoxSpaceAboveElement"/>
        <w:keepLines/>
        <w:spacing w:before="360"/>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45454" w:rsidTr="00B901FF">
        <w:trPr>
          <w:cantSplit/>
        </w:trPr>
        <w:tc>
          <w:tcPr>
            <w:tcW w:w="5000" w:type="pct"/>
            <w:tcBorders>
              <w:top w:val="single" w:sz="6" w:space="0" w:color="78A22F"/>
              <w:left w:val="nil"/>
              <w:bottom w:val="nil"/>
              <w:right w:val="nil"/>
            </w:tcBorders>
            <w:shd w:val="clear" w:color="auto" w:fill="auto"/>
          </w:tcPr>
          <w:p w:rsidR="00E45454" w:rsidRPr="00CE4C64" w:rsidRDefault="00E45454" w:rsidP="00DF07D5">
            <w:pPr>
              <w:pStyle w:val="InformationRequestTitle"/>
              <w:spacing w:before="120"/>
            </w:pPr>
            <w:r>
              <w:t xml:space="preserve">Questions on </w:t>
            </w:r>
            <w:r w:rsidR="00CD57A6">
              <w:t>structural</w:t>
            </w:r>
            <w:r>
              <w:t xml:space="preserve"> weaknesses in healthcare</w:t>
            </w:r>
          </w:p>
        </w:tc>
      </w:tr>
      <w:tr w:rsidR="00E45454" w:rsidRPr="00750BE2" w:rsidTr="00B901FF">
        <w:trPr>
          <w:cantSplit/>
        </w:trPr>
        <w:tc>
          <w:tcPr>
            <w:tcW w:w="5000" w:type="pct"/>
            <w:tcBorders>
              <w:top w:val="nil"/>
              <w:left w:val="nil"/>
              <w:bottom w:val="nil"/>
              <w:right w:val="nil"/>
            </w:tcBorders>
            <w:shd w:val="clear" w:color="auto" w:fill="auto"/>
          </w:tcPr>
          <w:p w:rsidR="00557AB9" w:rsidRDefault="00557AB9" w:rsidP="009C5739">
            <w:pPr>
              <w:pStyle w:val="InformationRequestBullet"/>
              <w:tabs>
                <w:tab w:val="clear" w:pos="340"/>
              </w:tabs>
              <w:ind w:left="360" w:hanging="360"/>
            </w:pPr>
            <w:r>
              <w:t>Why have past reform efforts by governments over many years had limited effectiveness in removing the structural weaknesses in healthcare for people with a mental illness? How would you overcome the barriers which governments have faced in implementing effective reforms?</w:t>
            </w:r>
          </w:p>
          <w:p w:rsidR="007D7C33" w:rsidRPr="007D7C33" w:rsidRDefault="009A4C2A" w:rsidP="009C5739">
            <w:pPr>
              <w:pStyle w:val="InformationRequestBullet"/>
              <w:tabs>
                <w:tab w:val="clear" w:pos="340"/>
              </w:tabs>
              <w:ind w:left="360" w:hanging="360"/>
            </w:pPr>
            <w:r>
              <w:t xml:space="preserve">What, if any, structural </w:t>
            </w:r>
            <w:r w:rsidR="002C0EC2">
              <w:t xml:space="preserve">weaknesses in healthcare </w:t>
            </w:r>
            <w:r>
              <w:t xml:space="preserve">are not being </w:t>
            </w:r>
            <w:r w:rsidR="00557AB9">
              <w:t>targeted</w:t>
            </w:r>
            <w:r>
              <w:t xml:space="preserve"> by </w:t>
            </w:r>
            <w:r w:rsidR="0031276D">
              <w:t xml:space="preserve">the most </w:t>
            </w:r>
            <w:r>
              <w:t>recent and foreshadowed reforms</w:t>
            </w:r>
            <w:r w:rsidR="003766A5">
              <w:t xml:space="preserve"> </w:t>
            </w:r>
            <w:r w:rsidR="00557AB9">
              <w:t>by governments?</w:t>
            </w:r>
            <w:r w:rsidR="000E6218">
              <w:t xml:space="preserve"> How should they be addressed</w:t>
            </w:r>
            <w:r w:rsidR="00A90383">
              <w:t xml:space="preserve"> and what would be the </w:t>
            </w:r>
            <w:r w:rsidR="00F20314">
              <w:t>improvements in population mental health, participation and productivity?</w:t>
            </w:r>
          </w:p>
        </w:tc>
      </w:tr>
      <w:tr w:rsidR="00E45454" w:rsidTr="00B901FF">
        <w:trPr>
          <w:cantSplit/>
        </w:trPr>
        <w:tc>
          <w:tcPr>
            <w:tcW w:w="5000" w:type="pct"/>
            <w:tcBorders>
              <w:top w:val="nil"/>
              <w:left w:val="nil"/>
              <w:bottom w:val="single" w:sz="6" w:space="0" w:color="78A22F"/>
              <w:right w:val="nil"/>
            </w:tcBorders>
            <w:shd w:val="clear" w:color="auto" w:fill="auto"/>
          </w:tcPr>
          <w:p w:rsidR="00E45454" w:rsidRDefault="00E45454" w:rsidP="00DF07D5">
            <w:pPr>
              <w:pStyle w:val="Space"/>
              <w:keepLines/>
            </w:pPr>
          </w:p>
        </w:tc>
      </w:tr>
      <w:tr w:rsidR="00E45454" w:rsidRPr="000863A5" w:rsidTr="00B901FF">
        <w:trPr>
          <w:cantSplit/>
        </w:trPr>
        <w:tc>
          <w:tcPr>
            <w:tcW w:w="5000" w:type="pct"/>
            <w:tcBorders>
              <w:top w:val="single" w:sz="6" w:space="0" w:color="78A22F"/>
              <w:left w:val="nil"/>
              <w:bottom w:val="nil"/>
              <w:right w:val="nil"/>
            </w:tcBorders>
          </w:tcPr>
          <w:p w:rsidR="00E45454" w:rsidRPr="00626D32" w:rsidRDefault="00E45454" w:rsidP="00DF07D5">
            <w:pPr>
              <w:pStyle w:val="BoxSpaceBelow"/>
              <w:keepLines/>
            </w:pPr>
          </w:p>
        </w:tc>
      </w:tr>
    </w:tbl>
    <w:p w:rsidR="00E45454" w:rsidRPr="008A7543" w:rsidRDefault="00944FE9" w:rsidP="00DF07D5">
      <w:pPr>
        <w:pStyle w:val="Heading4"/>
      </w:pPr>
      <w:r>
        <w:lastRenderedPageBreak/>
        <w:t xml:space="preserve">How </w:t>
      </w:r>
      <w:r w:rsidR="00A05B3A">
        <w:t xml:space="preserve">to address </w:t>
      </w:r>
      <w:r>
        <w:t>s</w:t>
      </w:r>
      <w:r w:rsidR="00E45454" w:rsidRPr="008A7543">
        <w:t xml:space="preserve">pecific </w:t>
      </w:r>
      <w:r w:rsidR="00E45454">
        <w:t xml:space="preserve">health </w:t>
      </w:r>
      <w:r w:rsidR="00A05B3A">
        <w:t>concerns</w:t>
      </w:r>
    </w:p>
    <w:p w:rsidR="00E45454" w:rsidRDefault="00E45454" w:rsidP="00DF07D5">
      <w:pPr>
        <w:pStyle w:val="BodyText"/>
      </w:pPr>
      <w:r>
        <w:t xml:space="preserve">You are invited to comment on </w:t>
      </w:r>
      <w:r w:rsidR="00B869E6">
        <w:t xml:space="preserve">what changes should </w:t>
      </w:r>
      <w:r w:rsidR="0002195C">
        <w:t xml:space="preserve">be made </w:t>
      </w:r>
      <w:r w:rsidR="00FE2FD7">
        <w:t xml:space="preserve">in Australia’s health sector </w:t>
      </w:r>
      <w:r w:rsidR="00EF054F">
        <w:t>to address</w:t>
      </w:r>
      <w:r>
        <w:t xml:space="preserve"> specific </w:t>
      </w:r>
      <w:r w:rsidR="00491790">
        <w:t>concerns</w:t>
      </w:r>
      <w:r w:rsidRPr="00D63D72">
        <w:t xml:space="preserve"> </w:t>
      </w:r>
      <w:r>
        <w:t>related to mental health, where you see the issue as having a major influence</w:t>
      </w:r>
      <w:r w:rsidRPr="00D63D72">
        <w:t xml:space="preserve"> </w:t>
      </w:r>
      <w:r>
        <w:t xml:space="preserve">on wellbeing, </w:t>
      </w:r>
      <w:r w:rsidRPr="00D63D72">
        <w:t>participation and productivity</w:t>
      </w:r>
      <w:r>
        <w:t>.</w:t>
      </w:r>
      <w:r w:rsidR="00D734F6">
        <w:t xml:space="preserve"> </w:t>
      </w:r>
      <w:r w:rsidR="007952E0">
        <w:t>Some e</w:t>
      </w:r>
      <w:r w:rsidR="00D734F6">
        <w:t>xamples of the issue</w:t>
      </w:r>
      <w:r w:rsidR="0023679C">
        <w:t>s</w:t>
      </w:r>
      <w:r w:rsidR="00D734F6">
        <w:t xml:space="preserve"> you may want to comment on are discussed below.</w:t>
      </w:r>
    </w:p>
    <w:p w:rsidR="00111865" w:rsidRDefault="00F05202" w:rsidP="00DF07D5">
      <w:pPr>
        <w:pStyle w:val="Heading5"/>
      </w:pPr>
      <w:r>
        <w:t>Mental health promotion, p</w:t>
      </w:r>
      <w:r w:rsidR="00111865">
        <w:t>revention and early intervention</w:t>
      </w:r>
    </w:p>
    <w:p w:rsidR="00953C1D" w:rsidRDefault="00111865" w:rsidP="00DF07D5">
      <w:pPr>
        <w:pStyle w:val="BodyText"/>
      </w:pPr>
      <w:r w:rsidRPr="00C509CC">
        <w:t>A</w:t>
      </w:r>
      <w:r w:rsidR="00F36DBD">
        <w:t>n</w:t>
      </w:r>
      <w:r w:rsidRPr="00C509CC">
        <w:t xml:space="preserve"> </w:t>
      </w:r>
      <w:r w:rsidR="00F36DBD">
        <w:t xml:space="preserve">important </w:t>
      </w:r>
      <w:r w:rsidRPr="00C509CC">
        <w:t xml:space="preserve">issue </w:t>
      </w:r>
      <w:r w:rsidR="00F36DBD">
        <w:t xml:space="preserve">for this inquiry will be </w:t>
      </w:r>
      <w:r>
        <w:t xml:space="preserve">how, and </w:t>
      </w:r>
      <w:r w:rsidRPr="00FB2972">
        <w:t>to what extent</w:t>
      </w:r>
      <w:r>
        <w:t>,</w:t>
      </w:r>
      <w:r w:rsidRPr="00FB2972">
        <w:t xml:space="preserve"> can </w:t>
      </w:r>
      <w:r>
        <w:t>the prevalence</w:t>
      </w:r>
      <w:r w:rsidR="00767F9E">
        <w:t xml:space="preserve"> and</w:t>
      </w:r>
      <w:r>
        <w:t xml:space="preserve"> severity</w:t>
      </w:r>
      <w:r w:rsidR="00034A17">
        <w:t xml:space="preserve"> </w:t>
      </w:r>
      <w:r>
        <w:t>of mental ill</w:t>
      </w:r>
      <w:r w:rsidR="005E37B0">
        <w:t>-health</w:t>
      </w:r>
      <w:r>
        <w:t xml:space="preserve"> </w:t>
      </w:r>
      <w:r w:rsidR="00A86370">
        <w:t xml:space="preserve">be reduced </w:t>
      </w:r>
      <w:r>
        <w:t xml:space="preserve">through more effective </w:t>
      </w:r>
      <w:r w:rsidR="00F05202">
        <w:t xml:space="preserve">mental health promotion (equipping the population to maintain good mental health), identification and </w:t>
      </w:r>
      <w:r>
        <w:t xml:space="preserve">prevention (such as interventions </w:t>
      </w:r>
      <w:r w:rsidRPr="00D2414D">
        <w:t>target</w:t>
      </w:r>
      <w:r>
        <w:t>ed at</w:t>
      </w:r>
      <w:r w:rsidRPr="00D2414D">
        <w:t xml:space="preserve"> </w:t>
      </w:r>
      <w:r>
        <w:t>people with a</w:t>
      </w:r>
      <w:r w:rsidRPr="00D2414D">
        <w:t xml:space="preserve"> high-risk </w:t>
      </w:r>
      <w:r>
        <w:t>of</w:t>
      </w:r>
      <w:r w:rsidRPr="00D2414D">
        <w:t xml:space="preserve"> mental </w:t>
      </w:r>
      <w:r>
        <w:t>illness</w:t>
      </w:r>
      <w:r w:rsidR="00A822EB">
        <w:t>, including to prevent relapse</w:t>
      </w:r>
      <w:r>
        <w:t xml:space="preserve">) and early intervention (care provided soon after an episode of illness </w:t>
      </w:r>
      <w:r w:rsidR="008A25D7">
        <w:t>becomes evident</w:t>
      </w:r>
      <w:r>
        <w:t xml:space="preserve">). </w:t>
      </w:r>
    </w:p>
    <w:p w:rsidR="006B7409" w:rsidRDefault="00111865" w:rsidP="00DF07D5">
      <w:pPr>
        <w:pStyle w:val="BodyText"/>
      </w:pPr>
      <w:r>
        <w:t xml:space="preserve">For example, </w:t>
      </w:r>
      <w:r w:rsidRPr="00FD1934">
        <w:t>KPMG and Mental Health Australia </w:t>
      </w:r>
      <w:r w:rsidR="00854FF1" w:rsidRPr="00854FF1">
        <w:t>(2018)</w:t>
      </w:r>
      <w:r w:rsidRPr="00FD1934">
        <w:t xml:space="preserve"> </w:t>
      </w:r>
      <w:r w:rsidR="00D30BC5">
        <w:t>found evidence to support</w:t>
      </w:r>
      <w:r w:rsidRPr="00FD1934">
        <w:t xml:space="preserve"> </w:t>
      </w:r>
      <w:r w:rsidR="009327EC">
        <w:t xml:space="preserve">greater provision of </w:t>
      </w:r>
      <w:r w:rsidRPr="00FD1934">
        <w:t>cognitive behaviour therapy for young people who have a parent with a diagnosed depressive order (prevention), and community-based assertive outreach for individuals experiencing initial onset of psychosis (early intervention).</w:t>
      </w:r>
      <w:r w:rsidR="00FB76B6">
        <w:t xml:space="preserve"> </w:t>
      </w:r>
    </w:p>
    <w:p w:rsidR="00FB76B6" w:rsidRDefault="00C91C71" w:rsidP="00DF07D5">
      <w:pPr>
        <w:pStyle w:val="BodyText"/>
      </w:pPr>
      <w:r>
        <w:t>Actions taken</w:t>
      </w:r>
      <w:r w:rsidR="00A25338">
        <w:t xml:space="preserve"> in areas other than healthcare, such as in workplaces and through housing support, could also be viewed as forms of </w:t>
      </w:r>
      <w:r w:rsidR="00FB76B6">
        <w:t xml:space="preserve">prevention </w:t>
      </w:r>
      <w:r w:rsidR="00A25338">
        <w:t>or</w:t>
      </w:r>
      <w:r w:rsidR="00FB76B6">
        <w:t xml:space="preserve"> early intervention</w:t>
      </w:r>
      <w:r w:rsidR="00A25338">
        <w:t xml:space="preserve">. These areas are discussed </w:t>
      </w:r>
      <w:r w:rsidR="00034A17">
        <w:t>further</w:t>
      </w:r>
      <w:r w:rsidR="00A25338">
        <w:t xml:space="preserve"> below.</w:t>
      </w:r>
    </w:p>
    <w:p w:rsidR="003766A5" w:rsidRDefault="003766A5" w:rsidP="00DF07D5">
      <w:pPr>
        <w:pStyle w:val="Heading5"/>
      </w:pPr>
      <w:r>
        <w:t>Suicide prevention</w:t>
      </w:r>
    </w:p>
    <w:p w:rsidR="00C20709" w:rsidRDefault="00C20709" w:rsidP="00C20709">
      <w:pPr>
        <w:pStyle w:val="BodyText"/>
      </w:pPr>
      <w:r>
        <w:t xml:space="preserve">Suicides </w:t>
      </w:r>
      <w:r w:rsidR="00D12CA9">
        <w:t>are not just the loss of an individual and their future, but the loss of a member of a family and community</w:t>
      </w:r>
      <w:r>
        <w:t xml:space="preserve">. </w:t>
      </w:r>
      <w:r w:rsidR="00D12CA9">
        <w:t xml:space="preserve">Beyond the social costs of suicide, there can </w:t>
      </w:r>
      <w:r w:rsidR="00DC30E4">
        <w:t>also</w:t>
      </w:r>
      <w:r w:rsidR="00D12CA9">
        <w:t xml:space="preserve"> be</w:t>
      </w:r>
      <w:r w:rsidDel="00D12CA9">
        <w:t xml:space="preserve"> </w:t>
      </w:r>
      <w:r>
        <w:t xml:space="preserve">large </w:t>
      </w:r>
      <w:r w:rsidR="00D12CA9">
        <w:t xml:space="preserve">financial </w:t>
      </w:r>
      <w:r>
        <w:t>cost</w:t>
      </w:r>
      <w:r w:rsidR="00D12CA9">
        <w:t>s</w:t>
      </w:r>
      <w:r>
        <w:t xml:space="preserve"> to the </w:t>
      </w:r>
      <w:r w:rsidR="001239DF">
        <w:t>w</w:t>
      </w:r>
      <w:r w:rsidR="004C1E63">
        <w:t>hole</w:t>
      </w:r>
      <w:r w:rsidR="001239DF">
        <w:t xml:space="preserve"> </w:t>
      </w:r>
      <w:r>
        <w:t xml:space="preserve">community, with one estimate valuing lost economic participation; provision of coronial, police and ambulance services; and counselling support for family and friends at $1.7 billion annually </w:t>
      </w:r>
      <w:r w:rsidR="00854FF1" w:rsidRPr="00854FF1">
        <w:rPr>
          <w:szCs w:val="24"/>
        </w:rPr>
        <w:t>(KPMG 2013)</w:t>
      </w:r>
      <w:r>
        <w:t xml:space="preserve">. An associated concern is the number of </w:t>
      </w:r>
      <w:r w:rsidRPr="00D63D72">
        <w:t>people who are hospitalised due to self-harm</w:t>
      </w:r>
      <w:r>
        <w:t xml:space="preserve">, which is </w:t>
      </w:r>
      <w:r w:rsidRPr="00D63D72">
        <w:t xml:space="preserve">more than twenty times </w:t>
      </w:r>
      <w:r>
        <w:t>the number</w:t>
      </w:r>
      <w:r w:rsidRPr="00D63D72">
        <w:t xml:space="preserve"> who lose their life to suicide</w:t>
      </w:r>
      <w:r>
        <w:t xml:space="preserve"> </w:t>
      </w:r>
      <w:r w:rsidR="00854FF1" w:rsidRPr="00854FF1">
        <w:rPr>
          <w:szCs w:val="24"/>
        </w:rPr>
        <w:t>(COAG Health Council 2017b)</w:t>
      </w:r>
      <w:r w:rsidRPr="00D63D72">
        <w:t>.</w:t>
      </w:r>
      <w:r>
        <w:t xml:space="preserve"> </w:t>
      </w:r>
    </w:p>
    <w:p w:rsidR="00E45454" w:rsidRPr="00E44383" w:rsidRDefault="00E45454" w:rsidP="00EA53B4">
      <w:pPr>
        <w:pStyle w:val="BodyText"/>
      </w:pPr>
      <w:r>
        <w:t>There has been no significant reduction</w:t>
      </w:r>
      <w:r w:rsidRPr="00D63D72">
        <w:t xml:space="preserve"> </w:t>
      </w:r>
      <w:r>
        <w:t>in the death</w:t>
      </w:r>
      <w:r w:rsidRPr="00D63D72">
        <w:t xml:space="preserve"> rate </w:t>
      </w:r>
      <w:r w:rsidR="00604CBE">
        <w:t xml:space="preserve">from suicide </w:t>
      </w:r>
      <w:r>
        <w:t xml:space="preserve">over the last decade, </w:t>
      </w:r>
      <w:r w:rsidRPr="00E636BA">
        <w:t>despite</w:t>
      </w:r>
      <w:r w:rsidRPr="00D63D72">
        <w:t xml:space="preserve"> </w:t>
      </w:r>
      <w:r>
        <w:t xml:space="preserve">ongoing </w:t>
      </w:r>
      <w:r w:rsidRPr="00D63D72">
        <w:t xml:space="preserve">efforts to </w:t>
      </w:r>
      <w:r>
        <w:t xml:space="preserve">make suicide prevention policies more effective </w:t>
      </w:r>
      <w:r w:rsidRPr="00E31340">
        <w:t>(figure </w:t>
      </w:r>
      <w:r w:rsidR="00253D8A" w:rsidRPr="00E31340">
        <w:t>6</w:t>
      </w:r>
      <w:r w:rsidRPr="00E31340">
        <w:t>)</w:t>
      </w:r>
      <w:r w:rsidRPr="00D63D72">
        <w:t>.</w:t>
      </w:r>
      <w:r w:rsidR="00F0585A">
        <w:t xml:space="preserve"> </w:t>
      </w:r>
      <w:r w:rsidR="00CD6E47">
        <w:t>In light of this, g</w:t>
      </w:r>
      <w:r w:rsidRPr="00D63D72">
        <w:t xml:space="preserve">overnments recently </w:t>
      </w:r>
      <w:r>
        <w:t>made</w:t>
      </w:r>
      <w:r w:rsidRPr="00D63D72">
        <w:t xml:space="preserve"> suicide prevention a focus for cross-jurisdiction coordination </w:t>
      </w:r>
      <w:r>
        <w:t xml:space="preserve">under </w:t>
      </w:r>
      <w:r w:rsidRPr="00D63D72">
        <w:t xml:space="preserve">the </w:t>
      </w:r>
      <w:r w:rsidR="004F4DD8">
        <w:t>Fifth National Mental Health and Suicide Prevention Plan</w:t>
      </w:r>
      <w:r w:rsidRPr="00D63D72">
        <w:t xml:space="preserve">. </w:t>
      </w:r>
      <w:r>
        <w:t>This</w:t>
      </w:r>
      <w:r w:rsidRPr="00D63D72">
        <w:t xml:space="preserve"> includes a commitment to develop a </w:t>
      </w:r>
      <w:r>
        <w:t>n</w:t>
      </w:r>
      <w:r w:rsidRPr="00D63D72">
        <w:t xml:space="preserve">ational </w:t>
      </w:r>
      <w:r>
        <w:t>i</w:t>
      </w:r>
      <w:r w:rsidRPr="00D63D72">
        <w:t xml:space="preserve">mplementation </w:t>
      </w:r>
      <w:r>
        <w:t>s</w:t>
      </w:r>
      <w:r w:rsidRPr="00D63D72">
        <w:t>trategy</w:t>
      </w:r>
      <w:r>
        <w:t>,</w:t>
      </w:r>
      <w:r w:rsidRPr="00D63D72">
        <w:t xml:space="preserve"> which will set the direction for future planning and investment</w:t>
      </w:r>
      <w:r>
        <w:t>,</w:t>
      </w:r>
      <w:r w:rsidRPr="00D63D72">
        <w:t xml:space="preserve"> and is expected to be released in 2020</w:t>
      </w:r>
      <w:r>
        <w:t xml:space="preserve"> </w:t>
      </w:r>
      <w:r w:rsidR="00854FF1" w:rsidRPr="00854FF1">
        <w:rPr>
          <w:szCs w:val="24"/>
        </w:rPr>
        <w:t>(NMHC 2018b)</w:t>
      </w:r>
      <w:r w:rsidRPr="00D63D72">
        <w:t xml:space="preserve">. </w:t>
      </w:r>
      <w:r>
        <w:t>Moreover, i</w:t>
      </w:r>
      <w:r w:rsidRPr="00D63D72">
        <w:t xml:space="preserve">ndividual jurisdictions </w:t>
      </w:r>
      <w:r>
        <w:t xml:space="preserve">have </w:t>
      </w:r>
      <w:r w:rsidRPr="00D63D72">
        <w:t xml:space="preserve">already </w:t>
      </w:r>
      <w:r>
        <w:t xml:space="preserve">committed to </w:t>
      </w:r>
      <w:r w:rsidRPr="00D63D72">
        <w:t>fund</w:t>
      </w:r>
      <w:r>
        <w:t xml:space="preserve">ing </w:t>
      </w:r>
      <w:r w:rsidRPr="00D63D72">
        <w:t xml:space="preserve">various trials </w:t>
      </w:r>
      <w:r>
        <w:t xml:space="preserve">and other interventions </w:t>
      </w:r>
      <w:r w:rsidR="00E44383">
        <w:t>to prevent suicides.</w:t>
      </w:r>
    </w:p>
    <w:p w:rsidR="00E45454" w:rsidRDefault="00E45454" w:rsidP="00DF07D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45454" w:rsidTr="00FF1735">
        <w:trPr>
          <w:cantSplit/>
        </w:trPr>
        <w:tc>
          <w:tcPr>
            <w:tcW w:w="5000" w:type="pct"/>
            <w:tcBorders>
              <w:top w:val="single" w:sz="6" w:space="0" w:color="78A22F"/>
              <w:left w:val="nil"/>
              <w:bottom w:val="nil"/>
              <w:right w:val="nil"/>
            </w:tcBorders>
            <w:shd w:val="clear" w:color="auto" w:fill="auto"/>
          </w:tcPr>
          <w:p w:rsidR="00E45454" w:rsidRPr="007E1781" w:rsidRDefault="00E45454" w:rsidP="009F2C88">
            <w:pPr>
              <w:pStyle w:val="FigureTitle"/>
              <w:rPr>
                <w:rStyle w:val="NoteLabel"/>
                <w:b/>
              </w:rPr>
            </w:pPr>
            <w:r w:rsidRPr="00784A05">
              <w:rPr>
                <w:b w:val="0"/>
              </w:rPr>
              <w:t xml:space="preserve">Figure </w:t>
            </w:r>
            <w:r w:rsidR="00253D8A">
              <w:rPr>
                <w:b w:val="0"/>
              </w:rPr>
              <w:t>6</w:t>
            </w:r>
            <w:r>
              <w:tab/>
            </w:r>
            <w:r w:rsidR="002934D6">
              <w:t>D</w:t>
            </w:r>
            <w:r>
              <w:t>eath rate from suicide by gender, 2008</w:t>
            </w:r>
            <w:r>
              <w:noBreakHyphen/>
              <w:t>2017</w:t>
            </w:r>
            <w:r w:rsidR="007E1781">
              <w:rPr>
                <w:rStyle w:val="NoteLabel"/>
                <w:b/>
              </w:rPr>
              <w:t>a</w:t>
            </w:r>
          </w:p>
        </w:tc>
      </w:tr>
      <w:tr w:rsidR="002513A3" w:rsidRPr="00527EF5" w:rsidTr="00FF1735">
        <w:trPr>
          <w:cantSplit/>
        </w:trPr>
        <w:tc>
          <w:tcPr>
            <w:tcW w:w="5000" w:type="pct"/>
            <w:tcBorders>
              <w:top w:val="nil"/>
              <w:left w:val="nil"/>
              <w:bottom w:val="nil"/>
              <w:right w:val="nil"/>
            </w:tcBorders>
            <w:shd w:val="clear" w:color="auto" w:fill="auto"/>
          </w:tcPr>
          <w:p w:rsidR="002513A3" w:rsidRDefault="00760345" w:rsidP="001214A7">
            <w:pPr>
              <w:pStyle w:val="Figure"/>
              <w:spacing w:before="0" w:after="0"/>
              <w:rPr>
                <w:rStyle w:val="NoteLabel"/>
              </w:rPr>
            </w:pPr>
            <w:r>
              <w:rPr>
                <w:rStyle w:val="NoteLabel"/>
                <w:noProof/>
              </w:rPr>
              <w:drawing>
                <wp:inline distT="0" distB="0" distL="0" distR="0">
                  <wp:extent cx="5391150" cy="2876550"/>
                  <wp:effectExtent l="0" t="0" r="0" b="0"/>
                  <wp:docPr id="4" name="Picture 4" descr="Death rate from suicide shown separately for males and females over the period from 2008 t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tc>
      </w:tr>
      <w:tr w:rsidR="00E45454" w:rsidRPr="00527EF5" w:rsidTr="00FF1735">
        <w:trPr>
          <w:cantSplit/>
        </w:trPr>
        <w:tc>
          <w:tcPr>
            <w:tcW w:w="5000" w:type="pct"/>
            <w:tcBorders>
              <w:top w:val="nil"/>
              <w:left w:val="nil"/>
              <w:bottom w:val="nil"/>
              <w:right w:val="nil"/>
            </w:tcBorders>
            <w:shd w:val="clear" w:color="auto" w:fill="auto"/>
          </w:tcPr>
          <w:p w:rsidR="007E1781" w:rsidRPr="00527EF5" w:rsidRDefault="00C61323" w:rsidP="00DF07D5">
            <w:pPr>
              <w:pStyle w:val="Note"/>
            </w:pPr>
            <w:r>
              <w:rPr>
                <w:rStyle w:val="NoteLabel"/>
              </w:rPr>
              <w:t>a</w:t>
            </w:r>
            <w:r>
              <w:t xml:space="preserve"> </w:t>
            </w:r>
            <w:r w:rsidR="007E1781" w:rsidRPr="00527EF5">
              <w:t xml:space="preserve">Aged-standardised death rate </w:t>
            </w:r>
            <w:r w:rsidR="00E33DD7" w:rsidRPr="00527EF5">
              <w:t>from intentional self</w:t>
            </w:r>
            <w:r w:rsidR="001A3679" w:rsidRPr="00527EF5">
              <w:t>-</w:t>
            </w:r>
            <w:r w:rsidR="00E33DD7" w:rsidRPr="00527EF5">
              <w:t xml:space="preserve">harm </w:t>
            </w:r>
            <w:r w:rsidR="007E1781" w:rsidRPr="00527EF5">
              <w:t xml:space="preserve">per 100 000 population. </w:t>
            </w:r>
            <w:r w:rsidR="004456DB" w:rsidRPr="00527EF5">
              <w:t>Age-standardised death rates enable the comparison of death rates over time and between populations of different age-structures.</w:t>
            </w:r>
            <w:r w:rsidR="00C47693" w:rsidRPr="00527EF5">
              <w:t xml:space="preserve"> The age-standardised death rate for females and males combined ranged from </w:t>
            </w:r>
            <w:r w:rsidR="00D56FBE" w:rsidRPr="00527EF5">
              <w:t>10.5</w:t>
            </w:r>
            <w:r w:rsidR="008A25D7">
              <w:t xml:space="preserve"> persons per </w:t>
            </w:r>
            <w:r w:rsidR="008A25D7" w:rsidRPr="00527EF5">
              <w:t xml:space="preserve">100 000 </w:t>
            </w:r>
            <w:r w:rsidR="00D56FBE" w:rsidRPr="00527EF5">
              <w:t xml:space="preserve">(in 2011) to 12.7 </w:t>
            </w:r>
            <w:r w:rsidR="008A25D7">
              <w:t xml:space="preserve">persons per </w:t>
            </w:r>
            <w:r w:rsidR="008A25D7" w:rsidRPr="00527EF5">
              <w:t xml:space="preserve">100 000 </w:t>
            </w:r>
            <w:r w:rsidR="00D56FBE" w:rsidRPr="00527EF5">
              <w:t>(in 2015).</w:t>
            </w:r>
          </w:p>
          <w:p w:rsidR="00E45454" w:rsidRPr="00527EF5" w:rsidRDefault="008706C5" w:rsidP="00DF07D5">
            <w:pPr>
              <w:pStyle w:val="Source"/>
              <w:jc w:val="left"/>
            </w:pPr>
            <w:r w:rsidRPr="00EF4AE0">
              <w:rPr>
                <w:i/>
              </w:rPr>
              <w:t>Source:</w:t>
            </w:r>
            <w:r w:rsidRPr="00527EF5">
              <w:t xml:space="preserve"> ABS </w:t>
            </w:r>
            <w:r w:rsidR="00E32E3C" w:rsidRPr="00527EF5">
              <w:t>(</w:t>
            </w:r>
            <w:r w:rsidR="00E32E3C" w:rsidRPr="00704397">
              <w:rPr>
                <w:i/>
              </w:rPr>
              <w:t>Causes of Death, Australia</w:t>
            </w:r>
            <w:r w:rsidR="00E32E3C" w:rsidRPr="00527EF5">
              <w:t>, Cat. no. 3303.0).</w:t>
            </w:r>
            <w:r w:rsidR="00E45454" w:rsidRPr="00527EF5">
              <w:t xml:space="preserve"> </w:t>
            </w:r>
          </w:p>
        </w:tc>
      </w:tr>
      <w:tr w:rsidR="008706C5" w:rsidTr="00FF1735">
        <w:trPr>
          <w:cantSplit/>
        </w:trPr>
        <w:tc>
          <w:tcPr>
            <w:tcW w:w="5000" w:type="pct"/>
            <w:tcBorders>
              <w:top w:val="nil"/>
              <w:left w:val="nil"/>
              <w:bottom w:val="single" w:sz="6" w:space="0" w:color="78A22F"/>
              <w:right w:val="nil"/>
            </w:tcBorders>
            <w:shd w:val="clear" w:color="auto" w:fill="auto"/>
          </w:tcPr>
          <w:p w:rsidR="008706C5" w:rsidRDefault="008706C5" w:rsidP="00DF07D5">
            <w:pPr>
              <w:pStyle w:val="Figurespace"/>
            </w:pPr>
          </w:p>
        </w:tc>
      </w:tr>
      <w:tr w:rsidR="008706C5" w:rsidRPr="000863A5" w:rsidTr="00FF1735">
        <w:trPr>
          <w:cantSplit/>
        </w:trPr>
        <w:tc>
          <w:tcPr>
            <w:tcW w:w="5000" w:type="pct"/>
            <w:tcBorders>
              <w:top w:val="single" w:sz="6" w:space="0" w:color="78A22F"/>
              <w:left w:val="nil"/>
              <w:bottom w:val="nil"/>
              <w:right w:val="nil"/>
            </w:tcBorders>
          </w:tcPr>
          <w:p w:rsidR="008706C5" w:rsidRPr="00626D32" w:rsidRDefault="008706C5" w:rsidP="00DF07D5">
            <w:pPr>
              <w:pStyle w:val="BoxSpaceBelow"/>
            </w:pPr>
          </w:p>
        </w:tc>
      </w:tr>
    </w:tbl>
    <w:p w:rsidR="003766A5" w:rsidRDefault="009913EB" w:rsidP="00DF07D5">
      <w:pPr>
        <w:pStyle w:val="Heading5"/>
      </w:pPr>
      <w:r>
        <w:t>Comorbidities</w:t>
      </w:r>
    </w:p>
    <w:p w:rsidR="00034A17" w:rsidRDefault="00DB67F0" w:rsidP="00DF07D5">
      <w:pPr>
        <w:pStyle w:val="BodyText"/>
      </w:pPr>
      <w:r>
        <w:t>P</w:t>
      </w:r>
      <w:r w:rsidRPr="0029127C">
        <w:t xml:space="preserve">eople with a </w:t>
      </w:r>
      <w:r w:rsidRPr="008E4491">
        <w:t>mental illness</w:t>
      </w:r>
      <w:r>
        <w:t xml:space="preserve"> have </w:t>
      </w:r>
      <w:r w:rsidR="00351EB3">
        <w:t>a</w:t>
      </w:r>
      <w:r w:rsidR="00E45454">
        <w:t xml:space="preserve"> relatively </w:t>
      </w:r>
      <w:r w:rsidR="00E45454" w:rsidRPr="0029127C">
        <w:t xml:space="preserve">high rate of physical </w:t>
      </w:r>
      <w:r w:rsidR="00A21F49">
        <w:t>ailments</w:t>
      </w:r>
      <w:r w:rsidR="00E45454" w:rsidRPr="0029127C">
        <w:t xml:space="preserve"> </w:t>
      </w:r>
      <w:r w:rsidR="00E45454">
        <w:t>(comorbidities)</w:t>
      </w:r>
      <w:r>
        <w:t>,</w:t>
      </w:r>
      <w:r w:rsidR="00E45454">
        <w:t xml:space="preserve"> and </w:t>
      </w:r>
      <w:r w:rsidR="00BB727E">
        <w:t>a</w:t>
      </w:r>
      <w:r>
        <w:t>n associated</w:t>
      </w:r>
      <w:r w:rsidR="00E45454">
        <w:t xml:space="preserve"> lower life expectancy</w:t>
      </w:r>
      <w:r>
        <w:t>, compared</w:t>
      </w:r>
      <w:r w:rsidR="00E45454">
        <w:t xml:space="preserve"> </w:t>
      </w:r>
      <w:r>
        <w:t>to the rest of the population</w:t>
      </w:r>
      <w:r w:rsidR="00E45454">
        <w:t xml:space="preserve">. </w:t>
      </w:r>
      <w:r w:rsidR="00527EF5">
        <w:t xml:space="preserve">Around 60% of adults with a mental disorder have a physical condition, compared to less than 50% for other adults </w:t>
      </w:r>
      <w:r w:rsidR="00854FF1" w:rsidRPr="00854FF1">
        <w:rPr>
          <w:szCs w:val="24"/>
        </w:rPr>
        <w:t>(AIHW 2012)</w:t>
      </w:r>
      <w:r w:rsidR="00527EF5">
        <w:t>. This pattern is evident across a range of physical illnesses (</w:t>
      </w:r>
      <w:r w:rsidR="00527EF5" w:rsidRPr="00E31340">
        <w:t>figure </w:t>
      </w:r>
      <w:r w:rsidR="00253D8A" w:rsidRPr="00E31340">
        <w:t>7</w:t>
      </w:r>
      <w:r w:rsidR="00527EF5">
        <w:t>).</w:t>
      </w:r>
    </w:p>
    <w:p w:rsidR="00527EF5" w:rsidRDefault="00BD6E57" w:rsidP="00DF07D5">
      <w:pPr>
        <w:pStyle w:val="BodyText"/>
      </w:pPr>
      <w:r>
        <w:t>T</w:t>
      </w:r>
      <w:r w:rsidR="00D46EFA">
        <w:t xml:space="preserve">here is evidence that </w:t>
      </w:r>
      <w:r w:rsidR="00F53789">
        <w:t>almost</w:t>
      </w:r>
      <w:r w:rsidR="00D46EFA">
        <w:t xml:space="preserve"> 80</w:t>
      </w:r>
      <w:r w:rsidR="00573298">
        <w:t>%</w:t>
      </w:r>
      <w:r w:rsidR="00D46EFA">
        <w:t xml:space="preserve"> of the </w:t>
      </w:r>
      <w:r w:rsidR="00BE4024">
        <w:t>difference</w:t>
      </w:r>
      <w:r w:rsidR="00D46EFA">
        <w:t xml:space="preserve"> in average life expectancy between people with a mental illness and the whole population</w:t>
      </w:r>
      <w:r>
        <w:t xml:space="preserve"> is</w:t>
      </w:r>
      <w:r w:rsidR="00D46EFA">
        <w:t xml:space="preserve"> due to </w:t>
      </w:r>
      <w:r>
        <w:t>deaths from physical ailments</w:t>
      </w:r>
      <w:r w:rsidR="00356B4F">
        <w:t xml:space="preserve"> (rather than from other causes)</w:t>
      </w:r>
      <w:r>
        <w:t xml:space="preserve">. </w:t>
      </w:r>
      <w:r w:rsidR="00FC6B8D">
        <w:t>This compares to around 14%</w:t>
      </w:r>
      <w:r>
        <w:t xml:space="preserve"> </w:t>
      </w:r>
      <w:r w:rsidR="00FC6B8D">
        <w:t>caused by</w:t>
      </w:r>
      <w:r w:rsidR="00D46EFA">
        <w:t xml:space="preserve"> suicide </w:t>
      </w:r>
      <w:r w:rsidR="00854FF1" w:rsidRPr="00854FF1">
        <w:rPr>
          <w:szCs w:val="24"/>
        </w:rPr>
        <w:t>(Lawrence, Hancock and Kisely 2013)</w:t>
      </w:r>
      <w:r w:rsidR="00D46EFA">
        <w:t xml:space="preserve">. </w:t>
      </w:r>
      <w:r w:rsidR="00034A17">
        <w:t>The</w:t>
      </w:r>
      <w:r w:rsidR="00034A17" w:rsidRPr="00F84D2B">
        <w:t xml:space="preserve"> </w:t>
      </w:r>
      <w:r w:rsidR="00034A17">
        <w:t xml:space="preserve">annual </w:t>
      </w:r>
      <w:r w:rsidR="00034A17" w:rsidRPr="00F84D2B">
        <w:t xml:space="preserve">cost of comorbidities associated with premature death in people with </w:t>
      </w:r>
      <w:r w:rsidR="00034A17" w:rsidRPr="00D918DC">
        <w:t xml:space="preserve">a serious mental illness </w:t>
      </w:r>
      <w:r w:rsidR="00034A17">
        <w:t xml:space="preserve">is, according to one estimate, </w:t>
      </w:r>
      <w:r w:rsidR="00034A17" w:rsidRPr="00D918DC">
        <w:t>$15 billion</w:t>
      </w:r>
      <w:r w:rsidR="00034A17">
        <w:t xml:space="preserve"> </w:t>
      </w:r>
      <w:r w:rsidR="00854FF1" w:rsidRPr="00854FF1">
        <w:rPr>
          <w:szCs w:val="24"/>
        </w:rPr>
        <w:t>(RANZCP 2016)</w:t>
      </w:r>
      <w:r w:rsidR="00034A17">
        <w:t xml:space="preserve">. </w:t>
      </w:r>
    </w:p>
    <w:p w:rsidR="00E45454" w:rsidRDefault="008A25D7" w:rsidP="00DF07D5">
      <w:pPr>
        <w:pStyle w:val="BodyText"/>
      </w:pPr>
      <w:r>
        <w:t>T</w:t>
      </w:r>
      <w:r w:rsidR="00527EF5">
        <w:t xml:space="preserve">he relationship between physical and mental </w:t>
      </w:r>
      <w:r w:rsidR="005975EE">
        <w:t>conditions</w:t>
      </w:r>
      <w:r w:rsidR="00C8425B">
        <w:t xml:space="preserve"> </w:t>
      </w:r>
      <w:r>
        <w:t xml:space="preserve">can be </w:t>
      </w:r>
      <w:r w:rsidR="005975EE">
        <w:t xml:space="preserve">a </w:t>
      </w:r>
      <w:r w:rsidR="00C8425B">
        <w:t xml:space="preserve">two-way causation, with </w:t>
      </w:r>
      <w:r w:rsidR="00FA0246">
        <w:t xml:space="preserve">physical illness making people more prone to developing a </w:t>
      </w:r>
      <w:r w:rsidR="007F2970">
        <w:t>mental</w:t>
      </w:r>
      <w:r w:rsidR="00C8425B">
        <w:t xml:space="preserve"> illness and vice-versa.</w:t>
      </w:r>
      <w:r w:rsidR="000B48EF">
        <w:t xml:space="preserve"> </w:t>
      </w:r>
      <w:r w:rsidR="005975EE">
        <w:t xml:space="preserve">Such a situation may make it more difficult to improve health outcomes for people, but also increase the benefits </w:t>
      </w:r>
      <w:r w:rsidR="005263B1">
        <w:t>from</w:t>
      </w:r>
      <w:r w:rsidR="005975EE">
        <w:t xml:space="preserve"> doing so. </w:t>
      </w:r>
    </w:p>
    <w:p w:rsidR="00E45454" w:rsidRDefault="00E45454" w:rsidP="00DF07D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45454" w:rsidTr="00FF1735">
        <w:trPr>
          <w:tblHeader/>
        </w:trPr>
        <w:tc>
          <w:tcPr>
            <w:tcW w:w="5000" w:type="pct"/>
            <w:tcBorders>
              <w:top w:val="single" w:sz="6" w:space="0" w:color="78A22F"/>
              <w:left w:val="nil"/>
              <w:bottom w:val="nil"/>
              <w:right w:val="nil"/>
            </w:tcBorders>
            <w:shd w:val="clear" w:color="auto" w:fill="auto"/>
          </w:tcPr>
          <w:p w:rsidR="00E45454" w:rsidRPr="00D66B55" w:rsidRDefault="00E45454" w:rsidP="00DF07D5">
            <w:pPr>
              <w:pStyle w:val="FigureTitle"/>
              <w:rPr>
                <w:rStyle w:val="NoteLabel"/>
              </w:rPr>
            </w:pPr>
            <w:r w:rsidRPr="00784A05">
              <w:rPr>
                <w:b w:val="0"/>
              </w:rPr>
              <w:t xml:space="preserve">Figure </w:t>
            </w:r>
            <w:r w:rsidR="00253D8A">
              <w:rPr>
                <w:b w:val="0"/>
              </w:rPr>
              <w:t>7</w:t>
            </w:r>
            <w:r>
              <w:tab/>
              <w:t xml:space="preserve">People with a mental </w:t>
            </w:r>
            <w:r w:rsidR="00DB2719">
              <w:t>disorder</w:t>
            </w:r>
            <w:r>
              <w:t xml:space="preserve"> are more likely to have a physical illness</w:t>
            </w:r>
            <w:r w:rsidRPr="00D66B55">
              <w:rPr>
                <w:rStyle w:val="NoteLabel"/>
                <w:b/>
              </w:rPr>
              <w:t>a</w:t>
            </w:r>
          </w:p>
          <w:p w:rsidR="00E45454" w:rsidRPr="00176D3F" w:rsidRDefault="00E45454" w:rsidP="00DF07D5">
            <w:pPr>
              <w:pStyle w:val="Subtitle"/>
            </w:pPr>
            <w:r>
              <w:t>2014-15</w:t>
            </w:r>
          </w:p>
        </w:tc>
      </w:tr>
      <w:tr w:rsidR="00E45454" w:rsidTr="00FF1735">
        <w:tc>
          <w:tcPr>
            <w:tcW w:w="5000" w:type="pct"/>
            <w:tcBorders>
              <w:top w:val="nil"/>
              <w:left w:val="nil"/>
              <w:bottom w:val="nil"/>
              <w:right w:val="nil"/>
            </w:tcBorders>
            <w:shd w:val="clear" w:color="auto" w:fill="auto"/>
            <w:tcMar>
              <w:top w:w="28" w:type="dxa"/>
              <w:bottom w:w="28" w:type="dxa"/>
            </w:tcMar>
          </w:tcPr>
          <w:tbl>
            <w:tblPr>
              <w:tblW w:w="8530"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4309"/>
              <w:gridCol w:w="4196"/>
            </w:tblGrid>
            <w:tr w:rsidR="000D3CB6" w:rsidRPr="00B1465D" w:rsidTr="00FF1735">
              <w:trPr>
                <w:tblHeader/>
                <w:jc w:val="center"/>
              </w:trPr>
              <w:tc>
                <w:tcPr>
                  <w:tcW w:w="4265" w:type="dxa"/>
                  <w:tcBorders>
                    <w:top w:val="nil"/>
                    <w:bottom w:val="nil"/>
                  </w:tcBorders>
                </w:tcPr>
                <w:p w:rsidR="00E45454" w:rsidRPr="0057273E" w:rsidRDefault="00E45454" w:rsidP="00B0004B">
                  <w:pPr>
                    <w:pStyle w:val="TableBodyText"/>
                    <w:jc w:val="center"/>
                  </w:pPr>
                  <w:r w:rsidRPr="00E60F97">
                    <w:rPr>
                      <w:b/>
                      <w:noProof/>
                    </w:rPr>
                    <w:t>Females</w:t>
                  </w:r>
                  <w:r w:rsidR="001607FA" w:rsidRPr="001607FA" w:rsidDel="001607FA">
                    <w:t xml:space="preserve"> </w:t>
                  </w:r>
                  <w:r w:rsidR="00EA6612" w:rsidRPr="00EA6612">
                    <w:rPr>
                      <w:noProof/>
                    </w:rPr>
                    <w:drawing>
                      <wp:inline distT="0" distB="0" distL="0" distR="0" wp14:anchorId="584476BB" wp14:editId="72EB1CB6">
                        <wp:extent cx="2661285" cy="2315210"/>
                        <wp:effectExtent l="0" t="0" r="5715" b="8890"/>
                        <wp:docPr id="16" name="Picture 16" descr="Both males and females with a mental disorder are more likely to have a physical ill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61285" cy="2315210"/>
                                </a:xfrm>
                                <a:prstGeom prst="rect">
                                  <a:avLst/>
                                </a:prstGeom>
                                <a:noFill/>
                                <a:ln>
                                  <a:noFill/>
                                </a:ln>
                              </pic:spPr>
                            </pic:pic>
                          </a:graphicData>
                        </a:graphic>
                      </wp:inline>
                    </w:drawing>
                  </w:r>
                </w:p>
              </w:tc>
              <w:tc>
                <w:tcPr>
                  <w:tcW w:w="4265" w:type="dxa"/>
                  <w:tcBorders>
                    <w:top w:val="nil"/>
                    <w:bottom w:val="nil"/>
                  </w:tcBorders>
                </w:tcPr>
                <w:p w:rsidR="00E45454" w:rsidRPr="00E60F97" w:rsidRDefault="00E45454" w:rsidP="00DF07D5">
                  <w:pPr>
                    <w:pStyle w:val="TableBodyText"/>
                    <w:jc w:val="center"/>
                    <w:rPr>
                      <w:b/>
                      <w:noProof/>
                    </w:rPr>
                  </w:pPr>
                  <w:r w:rsidRPr="00E60F97">
                    <w:rPr>
                      <w:b/>
                      <w:noProof/>
                    </w:rPr>
                    <w:t>Males</w:t>
                  </w:r>
                </w:p>
                <w:p w:rsidR="00E45454" w:rsidRPr="00B1465D" w:rsidRDefault="00EA6612" w:rsidP="00DF07D5">
                  <w:pPr>
                    <w:pStyle w:val="Figure"/>
                    <w:spacing w:before="60" w:after="60"/>
                    <w:rPr>
                      <w:rFonts w:ascii="Arial" w:hAnsi="Arial" w:cs="Arial"/>
                      <w:sz w:val="18"/>
                      <w:szCs w:val="18"/>
                    </w:rPr>
                  </w:pPr>
                  <w:r w:rsidRPr="00EA6612">
                    <w:rPr>
                      <w:rFonts w:ascii="Arial" w:hAnsi="Arial" w:cs="Arial"/>
                      <w:noProof/>
                      <w:sz w:val="18"/>
                      <w:szCs w:val="18"/>
                    </w:rPr>
                    <w:drawing>
                      <wp:inline distT="0" distB="0" distL="0" distR="0" wp14:anchorId="4BFA6A48" wp14:editId="01CF9A6B">
                        <wp:extent cx="2661285" cy="2315210"/>
                        <wp:effectExtent l="0" t="0" r="5715" b="8890"/>
                        <wp:docPr id="18" name="Picture 18" descr="Both males and females with a mental disorder are more likely to have a physical ill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61285" cy="2315210"/>
                                </a:xfrm>
                                <a:prstGeom prst="rect">
                                  <a:avLst/>
                                </a:prstGeom>
                                <a:noFill/>
                                <a:ln>
                                  <a:noFill/>
                                </a:ln>
                              </pic:spPr>
                            </pic:pic>
                          </a:graphicData>
                        </a:graphic>
                      </wp:inline>
                    </w:drawing>
                  </w:r>
                  <w:r w:rsidRPr="00EA6612" w:rsidDel="00EA6612">
                    <w:rPr>
                      <w:rFonts w:ascii="Arial" w:hAnsi="Arial" w:cs="Arial"/>
                      <w:sz w:val="18"/>
                      <w:szCs w:val="18"/>
                    </w:rPr>
                    <w:t xml:space="preserve"> </w:t>
                  </w:r>
                </w:p>
              </w:tc>
            </w:tr>
          </w:tbl>
          <w:p w:rsidR="00E45454" w:rsidRDefault="00E45454" w:rsidP="00DF07D5">
            <w:pPr>
              <w:pStyle w:val="Figure"/>
            </w:pPr>
          </w:p>
        </w:tc>
      </w:tr>
      <w:tr w:rsidR="00E45454" w:rsidRPr="00176D3F" w:rsidTr="00FF1735">
        <w:tc>
          <w:tcPr>
            <w:tcW w:w="5000" w:type="pct"/>
            <w:tcBorders>
              <w:top w:val="nil"/>
              <w:left w:val="nil"/>
              <w:bottom w:val="nil"/>
              <w:right w:val="nil"/>
            </w:tcBorders>
            <w:shd w:val="clear" w:color="auto" w:fill="auto"/>
          </w:tcPr>
          <w:p w:rsidR="00E45454" w:rsidRPr="00176D3F" w:rsidRDefault="00E45454" w:rsidP="00DF07D5">
            <w:pPr>
              <w:pStyle w:val="Note"/>
            </w:pPr>
            <w:r>
              <w:rPr>
                <w:rStyle w:val="NoteLabel"/>
              </w:rPr>
              <w:t>a</w:t>
            </w:r>
            <w:r>
              <w:t xml:space="preserve"> </w:t>
            </w:r>
            <w:r w:rsidRPr="0057273E">
              <w:t xml:space="preserve">COPD </w:t>
            </w:r>
            <w:r>
              <w:t>refers to c</w:t>
            </w:r>
            <w:r w:rsidRPr="0057273E">
              <w:t>hronic obstructive pulmonary disease</w:t>
            </w:r>
            <w:r>
              <w:t>.</w:t>
            </w:r>
          </w:p>
        </w:tc>
      </w:tr>
      <w:tr w:rsidR="00E45454" w:rsidRPr="00176D3F" w:rsidTr="00FF1735">
        <w:tc>
          <w:tcPr>
            <w:tcW w:w="5000" w:type="pct"/>
            <w:tcBorders>
              <w:top w:val="nil"/>
              <w:left w:val="nil"/>
              <w:bottom w:val="nil"/>
              <w:right w:val="nil"/>
            </w:tcBorders>
            <w:shd w:val="clear" w:color="auto" w:fill="auto"/>
          </w:tcPr>
          <w:p w:rsidR="00E45454" w:rsidRPr="00176D3F" w:rsidRDefault="00E45454" w:rsidP="00DF07D5">
            <w:pPr>
              <w:pStyle w:val="Source"/>
            </w:pPr>
            <w:r>
              <w:rPr>
                <w:i/>
              </w:rPr>
              <w:t>S</w:t>
            </w:r>
            <w:r w:rsidRPr="00784A05">
              <w:rPr>
                <w:i/>
              </w:rPr>
              <w:t>ource</w:t>
            </w:r>
            <w:r w:rsidRPr="00176D3F">
              <w:t xml:space="preserve">: </w:t>
            </w:r>
            <w:r>
              <w:t xml:space="preserve">Harris et al. </w:t>
            </w:r>
            <w:r w:rsidR="00854FF1" w:rsidRPr="00854FF1">
              <w:rPr>
                <w:rFonts w:cs="Arial"/>
              </w:rPr>
              <w:t>(2018)</w:t>
            </w:r>
            <w:r>
              <w:t xml:space="preserve"> using data from ABS (</w:t>
            </w:r>
            <w:r w:rsidRPr="004511C0">
              <w:rPr>
                <w:i/>
              </w:rPr>
              <w:t>National Health Survey</w:t>
            </w:r>
            <w:r>
              <w:t xml:space="preserve">, Cat. no. </w:t>
            </w:r>
            <w:r w:rsidRPr="008B037C">
              <w:t>4329.0</w:t>
            </w:r>
            <w:r>
              <w:t>).</w:t>
            </w:r>
          </w:p>
        </w:tc>
      </w:tr>
      <w:tr w:rsidR="00E45454" w:rsidTr="00FF1735">
        <w:tc>
          <w:tcPr>
            <w:tcW w:w="5000" w:type="pct"/>
            <w:tcBorders>
              <w:top w:val="nil"/>
              <w:left w:val="nil"/>
              <w:bottom w:val="single" w:sz="6" w:space="0" w:color="78A22F"/>
              <w:right w:val="nil"/>
            </w:tcBorders>
            <w:shd w:val="clear" w:color="auto" w:fill="auto"/>
          </w:tcPr>
          <w:p w:rsidR="00E45454" w:rsidRDefault="00E45454" w:rsidP="00DF07D5">
            <w:pPr>
              <w:pStyle w:val="Figurespace"/>
            </w:pPr>
          </w:p>
        </w:tc>
      </w:tr>
      <w:tr w:rsidR="00E45454" w:rsidRPr="000863A5" w:rsidTr="00FF1735">
        <w:tc>
          <w:tcPr>
            <w:tcW w:w="5000" w:type="pct"/>
            <w:tcBorders>
              <w:top w:val="single" w:sz="6" w:space="0" w:color="78A22F"/>
              <w:left w:val="nil"/>
              <w:bottom w:val="nil"/>
              <w:right w:val="nil"/>
            </w:tcBorders>
          </w:tcPr>
          <w:p w:rsidR="00E45454" w:rsidRPr="00626D32" w:rsidRDefault="00E45454" w:rsidP="00DF07D5">
            <w:pPr>
              <w:pStyle w:val="BoxSpaceBelow"/>
            </w:pPr>
          </w:p>
        </w:tc>
      </w:tr>
    </w:tbl>
    <w:p w:rsidR="00E45454" w:rsidRPr="004E3B94" w:rsidRDefault="00FD1934" w:rsidP="00DF07D5">
      <w:pPr>
        <w:pStyle w:val="BoxSpaceAboveElement"/>
        <w:keepLines/>
        <w:tabs>
          <w:tab w:val="left" w:pos="7615"/>
        </w:tabs>
        <w:rPr>
          <w:vanish w:val="0"/>
          <w:color w:val="auto"/>
        </w:rPr>
      </w:pPr>
      <w:r>
        <w:rPr>
          <w:vanish w:val="0"/>
        </w:rPr>
        <w:tab/>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45454" w:rsidTr="00D05909">
        <w:trPr>
          <w:cantSplit/>
        </w:trPr>
        <w:tc>
          <w:tcPr>
            <w:tcW w:w="5000" w:type="pct"/>
            <w:tcBorders>
              <w:top w:val="single" w:sz="6" w:space="0" w:color="78A22F"/>
              <w:left w:val="nil"/>
              <w:bottom w:val="nil"/>
              <w:right w:val="nil"/>
            </w:tcBorders>
            <w:shd w:val="clear" w:color="auto" w:fill="auto"/>
          </w:tcPr>
          <w:p w:rsidR="00E45454" w:rsidRPr="00CE4C64" w:rsidRDefault="00E45454" w:rsidP="00DF07D5">
            <w:pPr>
              <w:pStyle w:val="InformationRequestTitle"/>
              <w:spacing w:before="120"/>
            </w:pPr>
            <w:r>
              <w:t xml:space="preserve">Questions on specific health </w:t>
            </w:r>
            <w:r w:rsidR="004622DF">
              <w:t>concerns</w:t>
            </w:r>
          </w:p>
        </w:tc>
      </w:tr>
      <w:tr w:rsidR="00E45454" w:rsidRPr="00750BE2" w:rsidTr="00D05909">
        <w:trPr>
          <w:cantSplit/>
        </w:trPr>
        <w:tc>
          <w:tcPr>
            <w:tcW w:w="5000" w:type="pct"/>
            <w:tcBorders>
              <w:top w:val="nil"/>
              <w:left w:val="nil"/>
              <w:bottom w:val="nil"/>
              <w:right w:val="nil"/>
            </w:tcBorders>
            <w:shd w:val="clear" w:color="auto" w:fill="auto"/>
          </w:tcPr>
          <w:p w:rsidR="009913EB" w:rsidRDefault="00046C44" w:rsidP="009C5739">
            <w:pPr>
              <w:pStyle w:val="InformationRequestBullet"/>
              <w:tabs>
                <w:tab w:val="clear" w:pos="340"/>
              </w:tabs>
              <w:ind w:left="360" w:hanging="360"/>
            </w:pPr>
            <w:r>
              <w:t>Should there be any</w:t>
            </w:r>
            <w:r w:rsidR="009913EB" w:rsidRPr="000C5F42">
              <w:t xml:space="preserve"> </w:t>
            </w:r>
            <w:r w:rsidR="009913EB">
              <w:t>changes</w:t>
            </w:r>
            <w:r w:rsidR="009913EB" w:rsidRPr="000C5F42">
              <w:t xml:space="preserve"> to </w:t>
            </w:r>
            <w:r w:rsidR="005C71CE">
              <w:t xml:space="preserve">mental illness </w:t>
            </w:r>
            <w:r w:rsidR="005C71CE" w:rsidRPr="000C5F42">
              <w:t>prevention and early intervention</w:t>
            </w:r>
            <w:r w:rsidR="005C71CE">
              <w:t xml:space="preserve"> by healthcare providers</w:t>
            </w:r>
            <w:r>
              <w:t>? If so, w</w:t>
            </w:r>
            <w:r w:rsidR="009913EB" w:rsidRPr="000C5F42">
              <w:t xml:space="preserve">hat </w:t>
            </w:r>
            <w:r w:rsidR="009913EB">
              <w:t>changes</w:t>
            </w:r>
            <w:r w:rsidR="009913EB" w:rsidRPr="000C5F42">
              <w:t xml:space="preserve"> do you propose </w:t>
            </w:r>
            <w:r w:rsidR="009913EB">
              <w:t xml:space="preserve">and to what extent </w:t>
            </w:r>
            <w:r>
              <w:t>would this</w:t>
            </w:r>
            <w:r w:rsidR="009913EB">
              <w:t xml:space="preserve"> reduce the prevalence and</w:t>
            </w:r>
            <w:r w:rsidR="00715FF3">
              <w:t>/or</w:t>
            </w:r>
            <w:r w:rsidR="009913EB">
              <w:t xml:space="preserve"> severity of mental illness? What is the supporting evidence and what would be some of </w:t>
            </w:r>
            <w:r w:rsidR="009913EB" w:rsidRPr="00F4261F">
              <w:t xml:space="preserve">the </w:t>
            </w:r>
            <w:r w:rsidR="00715FF3">
              <w:t xml:space="preserve">other </w:t>
            </w:r>
            <w:r w:rsidR="009913EB" w:rsidRPr="00F4261F">
              <w:t>benefits</w:t>
            </w:r>
            <w:r w:rsidR="009913EB">
              <w:t xml:space="preserve"> and costs</w:t>
            </w:r>
            <w:r w:rsidR="009913EB" w:rsidRPr="00F4261F">
              <w:t>?</w:t>
            </w:r>
          </w:p>
          <w:p w:rsidR="00D12CA9" w:rsidRPr="00D12CA9" w:rsidRDefault="00D12CA9" w:rsidP="009C5739">
            <w:pPr>
              <w:pStyle w:val="InformationRequestBullet"/>
              <w:tabs>
                <w:tab w:val="clear" w:pos="340"/>
              </w:tabs>
              <w:ind w:left="360" w:hanging="360"/>
            </w:pPr>
            <w:r>
              <w:t>Which forms of mental health promotion are effective in improving population mental health in either the short or longer term? What evidence supports this?</w:t>
            </w:r>
          </w:p>
          <w:p w:rsidR="00E45454" w:rsidRPr="00847C31" w:rsidRDefault="00E45454" w:rsidP="009C5739">
            <w:pPr>
              <w:pStyle w:val="InformationRequestBullet"/>
              <w:tabs>
                <w:tab w:val="clear" w:pos="340"/>
              </w:tabs>
              <w:ind w:left="360" w:hanging="360"/>
            </w:pPr>
            <w:r w:rsidRPr="003C0319">
              <w:t xml:space="preserve">What </w:t>
            </w:r>
            <w:r>
              <w:t xml:space="preserve">changes do you recommend to </w:t>
            </w:r>
            <w:r w:rsidR="00843E3B">
              <w:t xml:space="preserve">healthcare to </w:t>
            </w:r>
            <w:r>
              <w:t xml:space="preserve">address </w:t>
            </w:r>
            <w:r w:rsidRPr="003C0319">
              <w:t>the specific issue</w:t>
            </w:r>
            <w:r>
              <w:t>s</w:t>
            </w:r>
            <w:r w:rsidRPr="003C0319">
              <w:t xml:space="preserve"> of suicide</w:t>
            </w:r>
            <w:r>
              <w:t>s</w:t>
            </w:r>
            <w:r w:rsidRPr="003C0319">
              <w:t xml:space="preserve"> </w:t>
            </w:r>
            <w:r>
              <w:t xml:space="preserve">and comorbidities among people with a mental illness? What evidence is there to support your </w:t>
            </w:r>
            <w:r w:rsidRPr="00847C31">
              <w:t xml:space="preserve">suggested actions and what </w:t>
            </w:r>
            <w:r w:rsidR="00B9508D">
              <w:t>types of improvements would you expect</w:t>
            </w:r>
            <w:r w:rsidRPr="00847C31">
              <w:t xml:space="preserve"> in terms of population mental</w:t>
            </w:r>
            <w:r w:rsidR="006F5E2B">
              <w:t xml:space="preserve"> health</w:t>
            </w:r>
            <w:r w:rsidRPr="00847C31">
              <w:t>, participation and productivity?</w:t>
            </w:r>
          </w:p>
          <w:p w:rsidR="002B4468" w:rsidRDefault="00E45454" w:rsidP="009C5739">
            <w:pPr>
              <w:pStyle w:val="InformationRequestBullet"/>
              <w:tabs>
                <w:tab w:val="clear" w:pos="340"/>
              </w:tabs>
              <w:ind w:left="360" w:hanging="360"/>
            </w:pPr>
            <w:r>
              <w:t>What health</w:t>
            </w:r>
            <w:r w:rsidR="00FE7DD1">
              <w:t>care</w:t>
            </w:r>
            <w:r>
              <w:t xml:space="preserve"> reforms do you propose to address other specific </w:t>
            </w:r>
            <w:r w:rsidR="00192A07">
              <w:t>health</w:t>
            </w:r>
            <w:r>
              <w:t xml:space="preserve"> </w:t>
            </w:r>
            <w:r w:rsidR="00DE0B8E">
              <w:t>concerns</w:t>
            </w:r>
            <w:r w:rsidR="00192A07">
              <w:t xml:space="preserve"> </w:t>
            </w:r>
            <w:r>
              <w:t xml:space="preserve">related </w:t>
            </w:r>
            <w:r w:rsidR="00192A07">
              <w:t xml:space="preserve">to </w:t>
            </w:r>
            <w:r>
              <w:t xml:space="preserve">mental </w:t>
            </w:r>
            <w:r w:rsidR="00192A07">
              <w:t>ill</w:t>
            </w:r>
            <w:r w:rsidR="000D279B">
              <w:t>-health</w:t>
            </w:r>
            <w:r>
              <w:t xml:space="preserve">? What is the supporting evidence and what would be </w:t>
            </w:r>
            <w:r w:rsidR="003766A5">
              <w:t xml:space="preserve">some of </w:t>
            </w:r>
            <w:r>
              <w:t>the benefits</w:t>
            </w:r>
            <w:r w:rsidR="002079B4">
              <w:t xml:space="preserve"> and costs</w:t>
            </w:r>
            <w:r w:rsidRPr="00F4261F">
              <w:t>?</w:t>
            </w:r>
          </w:p>
          <w:p w:rsidR="00CF34D9" w:rsidRPr="00CF34D9" w:rsidRDefault="00CF34D9" w:rsidP="009C5739">
            <w:pPr>
              <w:pStyle w:val="InformationRequestBullet"/>
              <w:tabs>
                <w:tab w:val="clear" w:pos="340"/>
              </w:tabs>
              <w:ind w:left="360" w:hanging="360"/>
            </w:pPr>
            <w:r>
              <w:t>What overseas practice</w:t>
            </w:r>
            <w:r w:rsidR="002D50F0">
              <w:t>s</w:t>
            </w:r>
            <w:r>
              <w:t xml:space="preserve"> </w:t>
            </w:r>
            <w:r w:rsidR="002D50F0">
              <w:t>for</w:t>
            </w:r>
            <w:r>
              <w:t xml:space="preserve"> supporting mental health and reducing suicide and comorbidities should be considered for Australia?</w:t>
            </w:r>
            <w:r w:rsidR="004E7D2E">
              <w:t xml:space="preserve"> Why? Is there formal evidence of the success of these practices, such as </w:t>
            </w:r>
            <w:r w:rsidR="00AD32E3">
              <w:t xml:space="preserve">an </w:t>
            </w:r>
            <w:r w:rsidR="004E7D2E">
              <w:t>independent evaluation?</w:t>
            </w:r>
          </w:p>
        </w:tc>
      </w:tr>
      <w:tr w:rsidR="00E45454" w:rsidTr="00D05909">
        <w:trPr>
          <w:cantSplit/>
        </w:trPr>
        <w:tc>
          <w:tcPr>
            <w:tcW w:w="5000" w:type="pct"/>
            <w:tcBorders>
              <w:top w:val="nil"/>
              <w:left w:val="nil"/>
              <w:bottom w:val="single" w:sz="6" w:space="0" w:color="78A22F"/>
              <w:right w:val="nil"/>
            </w:tcBorders>
            <w:shd w:val="clear" w:color="auto" w:fill="auto"/>
          </w:tcPr>
          <w:p w:rsidR="00E45454" w:rsidRDefault="00E45454" w:rsidP="00DF07D5">
            <w:pPr>
              <w:pStyle w:val="Space"/>
              <w:keepLines/>
            </w:pPr>
          </w:p>
        </w:tc>
      </w:tr>
      <w:tr w:rsidR="00E45454" w:rsidRPr="000863A5" w:rsidTr="00D05909">
        <w:trPr>
          <w:cantSplit/>
        </w:trPr>
        <w:tc>
          <w:tcPr>
            <w:tcW w:w="5000" w:type="pct"/>
            <w:tcBorders>
              <w:top w:val="single" w:sz="6" w:space="0" w:color="78A22F"/>
              <w:left w:val="nil"/>
              <w:bottom w:val="nil"/>
              <w:right w:val="nil"/>
            </w:tcBorders>
          </w:tcPr>
          <w:p w:rsidR="00E45454" w:rsidRPr="00626D32" w:rsidRDefault="00E45454" w:rsidP="00DF07D5">
            <w:pPr>
              <w:pStyle w:val="BoxSpaceBelow"/>
              <w:keepLines/>
            </w:pPr>
          </w:p>
        </w:tc>
      </w:tr>
    </w:tbl>
    <w:p w:rsidR="00E45454" w:rsidRDefault="00E45454" w:rsidP="00DF07D5">
      <w:pPr>
        <w:pStyle w:val="Heading4"/>
      </w:pPr>
      <w:r w:rsidRPr="00D132CB">
        <w:lastRenderedPageBreak/>
        <w:t>Health workforce</w:t>
      </w:r>
      <w:r w:rsidR="009F731D">
        <w:t xml:space="preserve"> and informal carers</w:t>
      </w:r>
    </w:p>
    <w:p w:rsidR="00FB47E0" w:rsidRDefault="00FB47E0" w:rsidP="00FB47E0">
      <w:pPr>
        <w:pStyle w:val="BodyText"/>
      </w:pPr>
      <w:r>
        <w:t xml:space="preserve">The configuration and capabilities of Australia’s mental health workforce </w:t>
      </w:r>
      <w:r w:rsidR="002A1626">
        <w:t>—</w:t>
      </w:r>
      <w:r w:rsidR="00D82C2D">
        <w:t xml:space="preserve"> </w:t>
      </w:r>
      <w:r w:rsidR="002A1626">
        <w:t>healthcare workers who deliver mental health services and supports —</w:t>
      </w:r>
      <w:r w:rsidR="00EA53B4">
        <w:t xml:space="preserve"> </w:t>
      </w:r>
      <w:r>
        <w:t>reflect</w:t>
      </w:r>
      <w:r w:rsidR="00EA53B4">
        <w:t>s</w:t>
      </w:r>
      <w:r>
        <w:t xml:space="preserve"> </w:t>
      </w:r>
      <w:r w:rsidR="00A47F42">
        <w:t>past</w:t>
      </w:r>
      <w:r>
        <w:t xml:space="preserve"> model</w:t>
      </w:r>
      <w:r w:rsidR="00A47F42">
        <w:t>s</w:t>
      </w:r>
      <w:r>
        <w:t xml:space="preserve"> of healthcare and so may </w:t>
      </w:r>
      <w:r w:rsidRPr="00D75D7E">
        <w:t xml:space="preserve">need to change in order for government reforms to be effective in improving </w:t>
      </w:r>
      <w:r w:rsidR="002A1626" w:rsidRPr="00D75D7E">
        <w:t>where and how care is delivered</w:t>
      </w:r>
      <w:r w:rsidRPr="00D75D7E">
        <w:t>. This will be made more challenging by ongoing problems with high worker turnover due</w:t>
      </w:r>
      <w:r>
        <w:t xml:space="preserve"> to stress, and the difficulty of recruiting skilled workers, especially in regional and remote areas, many of which are experiencing shortages </w:t>
      </w:r>
      <w:r w:rsidR="00854FF1" w:rsidRPr="00854FF1">
        <w:rPr>
          <w:szCs w:val="24"/>
        </w:rPr>
        <w:t>(NMHC 2018b)</w:t>
      </w:r>
      <w:r>
        <w:t xml:space="preserve">. </w:t>
      </w:r>
    </w:p>
    <w:p w:rsidR="00F6498C" w:rsidRDefault="002D6007" w:rsidP="00A94418">
      <w:pPr>
        <w:pStyle w:val="BodyText"/>
      </w:pPr>
      <w:r w:rsidRPr="002D6007">
        <w:t xml:space="preserve">Peer workers — people employed on the basis of their lived experience to support </w:t>
      </w:r>
      <w:r>
        <w:t>individuals</w:t>
      </w:r>
      <w:r w:rsidRPr="002D6007">
        <w:t xml:space="preserve"> experiencing a similar situation — are being used to better support </w:t>
      </w:r>
      <w:r>
        <w:t>people</w:t>
      </w:r>
      <w:r w:rsidRPr="002D6007">
        <w:t xml:space="preserve"> with </w:t>
      </w:r>
      <w:r>
        <w:t xml:space="preserve">a </w:t>
      </w:r>
      <w:r w:rsidRPr="002D6007">
        <w:t xml:space="preserve">mental illness in their recovery. </w:t>
      </w:r>
      <w:r w:rsidR="00954A62">
        <w:t xml:space="preserve">The nature of the experience and training required to allow peer workers to be most effective and the circumstances in which they can best be utilised, is the subject of ongoing work </w:t>
      </w:r>
      <w:r w:rsidR="00854FF1" w:rsidRPr="00854FF1">
        <w:rPr>
          <w:szCs w:val="24"/>
        </w:rPr>
        <w:t>(Slade et al. 2014)</w:t>
      </w:r>
      <w:r w:rsidR="00954A62">
        <w:t>.</w:t>
      </w:r>
    </w:p>
    <w:p w:rsidR="00FB47E0" w:rsidRDefault="00E069CF" w:rsidP="00FB47E0">
      <w:pPr>
        <w:pStyle w:val="BodyText"/>
      </w:pPr>
      <w:r w:rsidRPr="00E069CF">
        <w:t>Informal carers often support a family member or friend with a mental illness by coordinating their healthcare, providing emotional support, and assisting with day-to-day living. While informal care potentially comes at a cost in terms of reduced workforce participation and productivity among informal carers, and may pose increased risks to their own mental health, in some situations informal care might be the most effective option</w:t>
      </w:r>
      <w:r w:rsidR="00FB47E0">
        <w:t>.</w:t>
      </w:r>
      <w:r w:rsidR="003015D2" w:rsidRPr="003015D2">
        <w:t xml:space="preserve"> </w:t>
      </w:r>
    </w:p>
    <w:p w:rsidR="00C06C14" w:rsidRPr="004E3B94" w:rsidRDefault="00C06C14" w:rsidP="00C06C14">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C06C14" w:rsidTr="001E1D79">
        <w:trPr>
          <w:cantSplit/>
        </w:trPr>
        <w:tc>
          <w:tcPr>
            <w:tcW w:w="5000" w:type="pct"/>
            <w:tcBorders>
              <w:top w:val="single" w:sz="6" w:space="0" w:color="78A22F"/>
              <w:left w:val="nil"/>
              <w:bottom w:val="nil"/>
              <w:right w:val="nil"/>
            </w:tcBorders>
            <w:shd w:val="clear" w:color="auto" w:fill="auto"/>
          </w:tcPr>
          <w:p w:rsidR="00C06C14" w:rsidRPr="00CE4C64" w:rsidRDefault="00C06C14" w:rsidP="00FF1735">
            <w:pPr>
              <w:pStyle w:val="InformationRequestTitle"/>
              <w:spacing w:before="120"/>
            </w:pPr>
            <w:r>
              <w:t>Questions on health workforce</w:t>
            </w:r>
            <w:r w:rsidR="00EA0FE5">
              <w:t xml:space="preserve"> and informal carers</w:t>
            </w:r>
          </w:p>
        </w:tc>
      </w:tr>
      <w:tr w:rsidR="006C08F3" w:rsidTr="001E1D79">
        <w:trPr>
          <w:cantSplit/>
        </w:trPr>
        <w:tc>
          <w:tcPr>
            <w:tcW w:w="5000" w:type="pct"/>
            <w:tcBorders>
              <w:top w:val="nil"/>
              <w:left w:val="nil"/>
              <w:bottom w:val="nil"/>
              <w:right w:val="nil"/>
            </w:tcBorders>
            <w:shd w:val="clear" w:color="auto" w:fill="auto"/>
          </w:tcPr>
          <w:p w:rsidR="00D82C2D" w:rsidRDefault="00D82C2D" w:rsidP="009C5739">
            <w:pPr>
              <w:pStyle w:val="InformationRequestBullet"/>
              <w:tabs>
                <w:tab w:val="clear" w:pos="340"/>
              </w:tabs>
              <w:ind w:left="360" w:hanging="360"/>
            </w:pPr>
            <w:r>
              <w:t xml:space="preserve">Does the configuration and capabilities of the professional health workforce need to change </w:t>
            </w:r>
            <w:r w:rsidR="00216DE2">
              <w:t>to improve</w:t>
            </w:r>
            <w:r w:rsidR="0051726E">
              <w:t xml:space="preserve"> where and how care is delivered? </w:t>
            </w:r>
            <w:r>
              <w:t xml:space="preserve">If so, </w:t>
            </w:r>
            <w:r w:rsidR="0051726E">
              <w:t xml:space="preserve">how </w:t>
            </w:r>
            <w:r w:rsidR="00091963">
              <w:t>sh</w:t>
            </w:r>
            <w:r w:rsidR="0051726E">
              <w:t xml:space="preserve">ould </w:t>
            </w:r>
            <w:r w:rsidR="00000D3B">
              <w:t>the workforce</w:t>
            </w:r>
            <w:r w:rsidR="00091963">
              <w:t xml:space="preserve"> </w:t>
            </w:r>
            <w:r w:rsidR="00D75D7E">
              <w:t xml:space="preserve">differ from current </w:t>
            </w:r>
            <w:r w:rsidR="00000D3B">
              <w:t>arrangements</w:t>
            </w:r>
            <w:r w:rsidR="00D75D7E">
              <w:t>?</w:t>
            </w:r>
            <w:r w:rsidR="00091963">
              <w:t xml:space="preserve"> </w:t>
            </w:r>
            <w:r w:rsidR="006D5366">
              <w:t xml:space="preserve">How </w:t>
            </w:r>
            <w:r w:rsidR="00091963" w:rsidRPr="00091963">
              <w:t xml:space="preserve">would </w:t>
            </w:r>
            <w:r w:rsidR="006D5366">
              <w:t xml:space="preserve">this </w:t>
            </w:r>
            <w:r w:rsidR="00091963" w:rsidRPr="00091963">
              <w:t>improve population mental health, participation and productivity?</w:t>
            </w:r>
          </w:p>
          <w:p w:rsidR="006C08F3" w:rsidRDefault="006C08F3" w:rsidP="009C5739">
            <w:pPr>
              <w:pStyle w:val="InformationRequestBullet"/>
              <w:tabs>
                <w:tab w:val="clear" w:pos="340"/>
              </w:tabs>
              <w:ind w:left="360" w:hanging="360"/>
            </w:pPr>
            <w:r w:rsidRPr="00121618">
              <w:t xml:space="preserve">What can be done to address </w:t>
            </w:r>
            <w:r>
              <w:t>health workforce</w:t>
            </w:r>
            <w:r w:rsidRPr="00121618">
              <w:t xml:space="preserve"> shortages </w:t>
            </w:r>
            <w:r w:rsidR="00FE5E52">
              <w:t xml:space="preserve">in </w:t>
            </w:r>
            <w:r w:rsidRPr="00121618">
              <w:t xml:space="preserve">regional and remote areas? </w:t>
            </w:r>
            <w:r w:rsidR="002B0BD0">
              <w:t xml:space="preserve">In which areas or </w:t>
            </w:r>
            <w:r w:rsidR="002A1626">
              <w:t>circumstances would greater use of technology and tele</w:t>
            </w:r>
            <w:r w:rsidR="00D12CA9">
              <w:noBreakHyphen/>
            </w:r>
            <w:r w:rsidR="002A1626">
              <w:t xml:space="preserve">health services be suitable? </w:t>
            </w:r>
            <w:r w:rsidRPr="00121618">
              <w:t xml:space="preserve">What prevents </w:t>
            </w:r>
            <w:r>
              <w:t>greater</w:t>
            </w:r>
            <w:r w:rsidRPr="00121618">
              <w:t xml:space="preserve"> </w:t>
            </w:r>
            <w:r>
              <w:t>remote provision of services</w:t>
            </w:r>
            <w:r w:rsidRPr="00121618">
              <w:t xml:space="preserve"> </w:t>
            </w:r>
            <w:r w:rsidR="00104123">
              <w:t>to address the shortages</w:t>
            </w:r>
            <w:r w:rsidRPr="00121618">
              <w:t>?</w:t>
            </w:r>
          </w:p>
          <w:p w:rsidR="006C08F3" w:rsidRPr="0061300E" w:rsidRDefault="006C08F3" w:rsidP="009C5739">
            <w:pPr>
              <w:pStyle w:val="InformationRequestBullet"/>
              <w:tabs>
                <w:tab w:val="clear" w:pos="340"/>
              </w:tabs>
              <w:ind w:left="360" w:hanging="360"/>
            </w:pPr>
            <w:r w:rsidRPr="00121618">
              <w:t>What restrictions exist on the scope of practice for different professions</w:t>
            </w:r>
            <w:r>
              <w:t>, such as GPs, nurses, clinical versus other psychologists, and social workers</w:t>
            </w:r>
            <w:r w:rsidRPr="00121618">
              <w:t>?</w:t>
            </w:r>
            <w:r>
              <w:t xml:space="preserve"> </w:t>
            </w:r>
            <w:r w:rsidR="00C93CFF" w:rsidRPr="00C93CFF">
              <w:t>Are these restrictions unwarranted and</w:t>
            </w:r>
            <w:r w:rsidR="00C93CFF">
              <w:t>,</w:t>
            </w:r>
            <w:r w:rsidR="00C93CFF" w:rsidRPr="00C93CFF">
              <w:t xml:space="preserve"> if so</w:t>
            </w:r>
            <w:r w:rsidR="00C93CFF">
              <w:t>, h</w:t>
            </w:r>
            <w:r>
              <w:t>ow could they be addressed and what would be</w:t>
            </w:r>
            <w:r w:rsidR="002A1626">
              <w:t xml:space="preserve"> </w:t>
            </w:r>
            <w:r w:rsidR="007B6523">
              <w:t xml:space="preserve">some of </w:t>
            </w:r>
            <w:r>
              <w:t>the costs and benefits?</w:t>
            </w:r>
          </w:p>
          <w:p w:rsidR="006C08F3" w:rsidRDefault="006C08F3" w:rsidP="009C5739">
            <w:pPr>
              <w:pStyle w:val="InformationRequestBullet"/>
              <w:tabs>
                <w:tab w:val="clear" w:pos="340"/>
              </w:tabs>
              <w:ind w:left="360" w:hanging="360"/>
            </w:pPr>
            <w:r w:rsidRPr="00121618">
              <w:t xml:space="preserve">What could </w:t>
            </w:r>
            <w:r>
              <w:t xml:space="preserve">be done to reduce stress and turnover among </w:t>
            </w:r>
            <w:r w:rsidRPr="00121618">
              <w:t xml:space="preserve">mental health </w:t>
            </w:r>
            <w:r>
              <w:t>workers</w:t>
            </w:r>
            <w:r w:rsidRPr="00121618">
              <w:t xml:space="preserve">? </w:t>
            </w:r>
          </w:p>
          <w:p w:rsidR="006C08F3" w:rsidRPr="00121618" w:rsidRDefault="006C08F3" w:rsidP="009C5739">
            <w:pPr>
              <w:pStyle w:val="InformationRequestBullet"/>
              <w:tabs>
                <w:tab w:val="clear" w:pos="340"/>
              </w:tabs>
              <w:ind w:left="360" w:hanging="360"/>
            </w:pPr>
            <w:r w:rsidRPr="00121618">
              <w:t xml:space="preserve">How </w:t>
            </w:r>
            <w:r>
              <w:t>could</w:t>
            </w:r>
            <w:r w:rsidRPr="00121618">
              <w:t xml:space="preserve"> training </w:t>
            </w:r>
            <w:r>
              <w:t xml:space="preserve">and </w:t>
            </w:r>
            <w:r w:rsidRPr="00121618">
              <w:t xml:space="preserve">continuing professional development </w:t>
            </w:r>
            <w:r>
              <w:t xml:space="preserve">be improved </w:t>
            </w:r>
            <w:r w:rsidRPr="00121618">
              <w:t xml:space="preserve">for </w:t>
            </w:r>
            <w:r w:rsidR="003B731E" w:rsidRPr="003B731E">
              <w:t xml:space="preserve">health professionals </w:t>
            </w:r>
            <w:r w:rsidR="00E80E6C">
              <w:t xml:space="preserve">and peer workers </w:t>
            </w:r>
            <w:r w:rsidR="003B731E" w:rsidRPr="003B731E">
              <w:t>caring for people with a mental illness</w:t>
            </w:r>
            <w:r w:rsidRPr="00121618">
              <w:t>?</w:t>
            </w:r>
            <w:r>
              <w:t xml:space="preserve"> </w:t>
            </w:r>
            <w:r w:rsidRPr="00121618">
              <w:t>What can be done to increase its take up?</w:t>
            </w:r>
          </w:p>
          <w:p w:rsidR="006C08F3" w:rsidRDefault="00681F1A" w:rsidP="00B9508D">
            <w:pPr>
              <w:pStyle w:val="InformationRequestBullet"/>
              <w:tabs>
                <w:tab w:val="clear" w:pos="340"/>
              </w:tabs>
              <w:ind w:left="360" w:hanging="360"/>
            </w:pPr>
            <w:r>
              <w:t xml:space="preserve">What changes should be made to </w:t>
            </w:r>
            <w:r w:rsidR="00371637">
              <w:t>how</w:t>
            </w:r>
            <w:r w:rsidR="006C08F3">
              <w:t xml:space="preserve"> informal carers </w:t>
            </w:r>
            <w:r w:rsidR="00371637">
              <w:t>are</w:t>
            </w:r>
            <w:r w:rsidR="006C08F3">
              <w:t xml:space="preserve"> supported</w:t>
            </w:r>
            <w:r w:rsidR="006C57CC">
              <w:t xml:space="preserve"> (other than financially)</w:t>
            </w:r>
            <w:r w:rsidR="00FE028E">
              <w:t xml:space="preserve"> to carry out their role</w:t>
            </w:r>
            <w:r w:rsidR="00371637">
              <w:t>?</w:t>
            </w:r>
            <w:r w:rsidR="00133D95">
              <w:t xml:space="preserve"> </w:t>
            </w:r>
            <w:r w:rsidR="00371637">
              <w:t xml:space="preserve">What </w:t>
            </w:r>
            <w:r w:rsidR="00444D61">
              <w:t xml:space="preserve">would be </w:t>
            </w:r>
            <w:r w:rsidR="007B6523">
              <w:t xml:space="preserve">some of </w:t>
            </w:r>
            <w:r w:rsidR="00371637">
              <w:t>the benefits and costs, including in terms of</w:t>
            </w:r>
            <w:r w:rsidR="00444D61">
              <w:t xml:space="preserve"> </w:t>
            </w:r>
            <w:r w:rsidR="006C08F3">
              <w:t xml:space="preserve">the mental health, participation and productivity of informal carers and </w:t>
            </w:r>
            <w:r w:rsidR="0037124E">
              <w:t>the people they care for</w:t>
            </w:r>
            <w:r w:rsidR="006C08F3">
              <w:t>?</w:t>
            </w:r>
          </w:p>
        </w:tc>
      </w:tr>
      <w:tr w:rsidR="00862676" w:rsidTr="001E1D79">
        <w:trPr>
          <w:cantSplit/>
        </w:trPr>
        <w:tc>
          <w:tcPr>
            <w:tcW w:w="5000" w:type="pct"/>
            <w:tcBorders>
              <w:top w:val="nil"/>
              <w:left w:val="nil"/>
              <w:bottom w:val="single" w:sz="6" w:space="0" w:color="78A22F"/>
              <w:right w:val="nil"/>
            </w:tcBorders>
            <w:shd w:val="clear" w:color="auto" w:fill="auto"/>
          </w:tcPr>
          <w:p w:rsidR="00862676" w:rsidRDefault="00862676" w:rsidP="00AA210C">
            <w:pPr>
              <w:pStyle w:val="Space"/>
              <w:keepLines/>
            </w:pPr>
          </w:p>
        </w:tc>
      </w:tr>
      <w:tr w:rsidR="00C06C14" w:rsidRPr="000863A5" w:rsidTr="001E1D79">
        <w:trPr>
          <w:cantSplit/>
        </w:trPr>
        <w:tc>
          <w:tcPr>
            <w:tcW w:w="5000" w:type="pct"/>
            <w:tcBorders>
              <w:top w:val="single" w:sz="6" w:space="0" w:color="78A22F"/>
              <w:left w:val="nil"/>
              <w:bottom w:val="nil"/>
              <w:right w:val="nil"/>
            </w:tcBorders>
          </w:tcPr>
          <w:p w:rsidR="00C06C14" w:rsidRPr="00626D32" w:rsidRDefault="00C06C14" w:rsidP="00FF1735">
            <w:pPr>
              <w:pStyle w:val="BoxSpaceBelow"/>
              <w:keepLines/>
            </w:pPr>
          </w:p>
        </w:tc>
      </w:tr>
    </w:tbl>
    <w:p w:rsidR="004E4AC4" w:rsidRDefault="004E4AC4" w:rsidP="00DF07D5">
      <w:pPr>
        <w:pStyle w:val="Heading3"/>
      </w:pPr>
      <w:bookmarkStart w:id="21" w:name="_Toc520279312"/>
      <w:bookmarkStart w:id="22" w:name="_Toc528902911"/>
      <w:bookmarkStart w:id="23" w:name="_Toc529979217"/>
      <w:bookmarkStart w:id="24" w:name="_Toc530993236"/>
      <w:bookmarkStart w:id="25" w:name="_Toc531114869"/>
      <w:r>
        <w:lastRenderedPageBreak/>
        <w:t>H</w:t>
      </w:r>
      <w:r w:rsidRPr="00070C78">
        <w:t>ousing</w:t>
      </w:r>
      <w:r w:rsidR="0017454A">
        <w:t xml:space="preserve">, </w:t>
      </w:r>
      <w:r w:rsidR="00D12CA9">
        <w:t xml:space="preserve">income support and </w:t>
      </w:r>
      <w:r w:rsidR="0017454A">
        <w:t>social services</w:t>
      </w:r>
      <w:bookmarkEnd w:id="21"/>
      <w:bookmarkEnd w:id="22"/>
      <w:bookmarkEnd w:id="23"/>
      <w:bookmarkEnd w:id="24"/>
      <w:bookmarkEnd w:id="25"/>
    </w:p>
    <w:p w:rsidR="00D26157" w:rsidRDefault="00D26157" w:rsidP="00DF07D5">
      <w:pPr>
        <w:pStyle w:val="BodyText"/>
      </w:pPr>
      <w:r>
        <w:t>Governments and non</w:t>
      </w:r>
      <w:r>
        <w:noBreakHyphen/>
        <w:t xml:space="preserve">government organisations fund and deliver many basic services that </w:t>
      </w:r>
      <w:r w:rsidR="0018050A">
        <w:t>support individual mental health including</w:t>
      </w:r>
      <w:r w:rsidR="00EF2355">
        <w:t xml:space="preserve"> housing, social services</w:t>
      </w:r>
      <w:r w:rsidR="00DD7766">
        <w:t xml:space="preserve"> and services that facilitate social participation and inclusion</w:t>
      </w:r>
      <w:r>
        <w:t xml:space="preserve">. </w:t>
      </w:r>
      <w:r w:rsidR="00D12CA9">
        <w:t>You are invited to comment on</w:t>
      </w:r>
      <w:r w:rsidR="00454FFB">
        <w:t xml:space="preserve"> the effectiveness and cost of these services and identify areas </w:t>
      </w:r>
      <w:r w:rsidR="00F74EE0">
        <w:t>in which changes could be made to better support those with mental ill-health and reduce the lost opportunities to Australia</w:t>
      </w:r>
      <w:r w:rsidR="00454FFB">
        <w:t>.</w:t>
      </w:r>
    </w:p>
    <w:p w:rsidR="006479E1" w:rsidRDefault="006479E1" w:rsidP="00DF07D5">
      <w:pPr>
        <w:pStyle w:val="Heading4"/>
      </w:pPr>
      <w:r w:rsidRPr="001E016F">
        <w:t xml:space="preserve">Housing and </w:t>
      </w:r>
      <w:r w:rsidR="001E016F" w:rsidRPr="001E016F">
        <w:t>homeless</w:t>
      </w:r>
      <w:r w:rsidR="005A79A6">
        <w:t>ness</w:t>
      </w:r>
    </w:p>
    <w:p w:rsidR="00AE2D42" w:rsidRPr="00C0175C" w:rsidRDefault="00045A21" w:rsidP="00DF07D5">
      <w:pPr>
        <w:pStyle w:val="BodyText"/>
        <w:rPr>
          <w:b/>
        </w:rPr>
      </w:pPr>
      <w:r>
        <w:t>M</w:t>
      </w:r>
      <w:r w:rsidR="00E16416">
        <w:t xml:space="preserve">ental </w:t>
      </w:r>
      <w:r>
        <w:t>ill-health</w:t>
      </w:r>
      <w:r w:rsidR="00E16416">
        <w:t xml:space="preserve"> is closely linked with housing</w:t>
      </w:r>
      <w:r w:rsidR="00E16416" w:rsidDel="00AA29A4">
        <w:t xml:space="preserve"> </w:t>
      </w:r>
      <w:r w:rsidR="00AA29A4">
        <w:t xml:space="preserve">problems </w:t>
      </w:r>
      <w:r w:rsidR="00E16416">
        <w:t xml:space="preserve">and homelessness </w:t>
      </w:r>
      <w:r w:rsidR="00854FF1" w:rsidRPr="00854FF1">
        <w:rPr>
          <w:szCs w:val="24"/>
        </w:rPr>
        <w:t>(Costello, Thomson and Jones 2013)</w:t>
      </w:r>
      <w:r w:rsidR="00AE2D42">
        <w:t>.</w:t>
      </w:r>
      <w:r w:rsidR="00AE2D42" w:rsidRPr="006311EB">
        <w:t xml:space="preserve"> </w:t>
      </w:r>
      <w:r w:rsidR="00AE2D42">
        <w:t xml:space="preserve">In </w:t>
      </w:r>
      <w:r w:rsidR="004F2D3A">
        <w:t>2017</w:t>
      </w:r>
      <w:r w:rsidR="004F2D3A">
        <w:noBreakHyphen/>
        <w:t>18</w:t>
      </w:r>
      <w:r w:rsidR="00AE2D42">
        <w:t xml:space="preserve">, about one third of people (about </w:t>
      </w:r>
      <w:r w:rsidR="004F2D3A">
        <w:t>81</w:t>
      </w:r>
      <w:r w:rsidR="00AE2D42">
        <w:t xml:space="preserve"> 000) who </w:t>
      </w:r>
      <w:r w:rsidR="00DE248D">
        <w:t>accessed</w:t>
      </w:r>
      <w:r w:rsidR="007358A7">
        <w:t xml:space="preserve"> specialist</w:t>
      </w:r>
      <w:r w:rsidR="00AE2D42">
        <w:t xml:space="preserve"> </w:t>
      </w:r>
      <w:r w:rsidR="00EF775B">
        <w:t>homelessness services</w:t>
      </w:r>
      <w:r w:rsidR="00E5148F">
        <w:t xml:space="preserve"> </w:t>
      </w:r>
      <w:r w:rsidR="00AE2D42">
        <w:t xml:space="preserve">were experiencing mental </w:t>
      </w:r>
      <w:r w:rsidR="00C03301">
        <w:t>ill</w:t>
      </w:r>
      <w:r w:rsidR="00C03301">
        <w:noBreakHyphen/>
      </w:r>
      <w:r w:rsidR="00AE2D42">
        <w:t>health</w:t>
      </w:r>
      <w:r w:rsidR="002C673A">
        <w:t xml:space="preserve"> </w:t>
      </w:r>
      <w:r w:rsidR="00854FF1" w:rsidRPr="00854FF1">
        <w:rPr>
          <w:szCs w:val="24"/>
        </w:rPr>
        <w:t>(AIHW 2018h)</w:t>
      </w:r>
      <w:r w:rsidR="00AE2D42">
        <w:t xml:space="preserve">. </w:t>
      </w:r>
      <w:r w:rsidR="00DE248D">
        <w:t>About</w:t>
      </w:r>
      <w:r w:rsidR="00AE2D42">
        <w:t xml:space="preserve"> half of </w:t>
      </w:r>
      <w:r w:rsidR="00E174EE">
        <w:t>these people</w:t>
      </w:r>
      <w:r w:rsidR="00AE2D42">
        <w:t xml:space="preserve"> (</w:t>
      </w:r>
      <w:r w:rsidR="00BF19B8">
        <w:t>about</w:t>
      </w:r>
      <w:r w:rsidR="00AE2D42">
        <w:t xml:space="preserve"> 3</w:t>
      </w:r>
      <w:r w:rsidR="00BF19B8">
        <w:t>9</w:t>
      </w:r>
      <w:r w:rsidR="00AE2D42">
        <w:t xml:space="preserve"> 000) </w:t>
      </w:r>
      <w:r w:rsidR="002C673A">
        <w:t>were homeless upon their first presentation to these services</w:t>
      </w:r>
      <w:r w:rsidR="00AE2D42">
        <w:t xml:space="preserve"> — </w:t>
      </w:r>
      <w:r w:rsidR="00E0739A">
        <w:t xml:space="preserve">almost </w:t>
      </w:r>
      <w:r w:rsidR="00355287">
        <w:t>40% higher than</w:t>
      </w:r>
      <w:r w:rsidR="00AE2D42">
        <w:t xml:space="preserve"> the number of people </w:t>
      </w:r>
      <w:r w:rsidR="00F74EE0">
        <w:t xml:space="preserve">in this situation </w:t>
      </w:r>
      <w:r w:rsidR="00AE2D42">
        <w:t>five years earlier.</w:t>
      </w:r>
    </w:p>
    <w:p w:rsidR="002419B5" w:rsidRDefault="00E31969" w:rsidP="00DF07D5">
      <w:pPr>
        <w:pStyle w:val="BodyText"/>
      </w:pPr>
      <w:r>
        <w:t xml:space="preserve">The causes of </w:t>
      </w:r>
      <w:r w:rsidR="00F74EE0">
        <w:t xml:space="preserve">accommodation instability and </w:t>
      </w:r>
      <w:r>
        <w:t>homelessness can be complex</w:t>
      </w:r>
      <w:r w:rsidR="00BF4AC1">
        <w:t>, arising from factors</w:t>
      </w:r>
      <w:r>
        <w:t xml:space="preserve"> such as domestic violence, </w:t>
      </w:r>
      <w:r w:rsidR="002419B5">
        <w:t>drug or alcohol use</w:t>
      </w:r>
      <w:r>
        <w:t xml:space="preserve"> or</w:t>
      </w:r>
      <w:r w:rsidR="002419B5">
        <w:t xml:space="preserve"> </w:t>
      </w:r>
      <w:r w:rsidR="00E16416">
        <w:t xml:space="preserve">mental </w:t>
      </w:r>
      <w:r w:rsidR="006541EC">
        <w:t>illness</w:t>
      </w:r>
      <w:r w:rsidR="002419B5">
        <w:t>.</w:t>
      </w:r>
      <w:r w:rsidR="003D29CC">
        <w:t xml:space="preserve"> </w:t>
      </w:r>
      <w:r w:rsidR="002419B5">
        <w:t xml:space="preserve">People who experience mental illness </w:t>
      </w:r>
      <w:r w:rsidR="00CD09EE">
        <w:t>can</w:t>
      </w:r>
      <w:r w:rsidR="002419B5">
        <w:t xml:space="preserve"> find it difficult to </w:t>
      </w:r>
      <w:r w:rsidR="007C7759">
        <w:t>obtain</w:t>
      </w:r>
      <w:r w:rsidR="002419B5">
        <w:t xml:space="preserve"> adequate housing or maintain their occupancy</w:t>
      </w:r>
      <w:r w:rsidR="00750A33">
        <w:t xml:space="preserve">. </w:t>
      </w:r>
      <w:r w:rsidR="002419B5">
        <w:t xml:space="preserve">Conversely, housing stresses such as affordability and poor housing conditions can contribute to mental </w:t>
      </w:r>
      <w:r w:rsidR="00045A21">
        <w:t>ill-</w:t>
      </w:r>
      <w:r w:rsidR="002419B5">
        <w:t>health.</w:t>
      </w:r>
    </w:p>
    <w:p w:rsidR="008222DA" w:rsidRDefault="002419B5" w:rsidP="00DF07D5">
      <w:pPr>
        <w:pStyle w:val="BodyText"/>
      </w:pPr>
      <w:r>
        <w:t xml:space="preserve">People experience homelessness in </w:t>
      </w:r>
      <w:r w:rsidR="008C56E7">
        <w:t xml:space="preserve">different </w:t>
      </w:r>
      <w:r>
        <w:t>ways.</w:t>
      </w:r>
      <w:r w:rsidR="00C84E92">
        <w:t xml:space="preserve"> </w:t>
      </w:r>
      <w:r w:rsidR="00F20C58">
        <w:t>For example, t</w:t>
      </w:r>
      <w:r>
        <w:t xml:space="preserve">hey may live in </w:t>
      </w:r>
      <w:r w:rsidRPr="000325B6">
        <w:t>cri</w:t>
      </w:r>
      <w:r>
        <w:t xml:space="preserve">sis shelters or </w:t>
      </w:r>
      <w:r w:rsidR="009C015A">
        <w:t xml:space="preserve">be </w:t>
      </w:r>
      <w:r>
        <w:t>‘sleep</w:t>
      </w:r>
      <w:r w:rsidR="009C015A">
        <w:t>ing</w:t>
      </w:r>
      <w:r>
        <w:t xml:space="preserve"> rough’</w:t>
      </w:r>
      <w:r w:rsidR="008C56E7">
        <w:t>, either</w:t>
      </w:r>
      <w:r w:rsidR="00907C3F" w:rsidDel="008C56E7">
        <w:t xml:space="preserve"> </w:t>
      </w:r>
      <w:r>
        <w:t>temporar</w:t>
      </w:r>
      <w:r w:rsidR="008C56E7">
        <w:t>il</w:t>
      </w:r>
      <w:r>
        <w:t>y, episodic</w:t>
      </w:r>
      <w:r w:rsidR="008C56E7">
        <w:t>ally</w:t>
      </w:r>
      <w:r>
        <w:t xml:space="preserve"> or chronic</w:t>
      </w:r>
      <w:r w:rsidR="008C56E7">
        <w:t>ally</w:t>
      </w:r>
      <w:r>
        <w:t>.</w:t>
      </w:r>
      <w:r w:rsidR="00CF3E16">
        <w:t xml:space="preserve"> </w:t>
      </w:r>
      <w:r w:rsidR="00BC086D" w:rsidDel="005603DC">
        <w:t>Homelessness</w:t>
      </w:r>
      <w:r w:rsidR="00AE2D42" w:rsidRPr="00AE2D42" w:rsidDel="005603DC">
        <w:t xml:space="preserve"> </w:t>
      </w:r>
      <w:r w:rsidR="00F74EE0">
        <w:t xml:space="preserve">and instability in accommodation </w:t>
      </w:r>
      <w:r w:rsidR="00BC086D">
        <w:t>can</w:t>
      </w:r>
      <w:r w:rsidR="00AE2D42" w:rsidRPr="00AE2D42">
        <w:t xml:space="preserve"> contribute to the onset, or exacerbat</w:t>
      </w:r>
      <w:r w:rsidR="002741C1">
        <w:t>ion of,</w:t>
      </w:r>
      <w:r w:rsidR="00AE2D42" w:rsidRPr="00AE2D42">
        <w:t xml:space="preserve"> mental illness or poor physical health. Homelessness </w:t>
      </w:r>
      <w:r w:rsidR="007630F5">
        <w:t>among</w:t>
      </w:r>
      <w:r w:rsidR="00AE2D42" w:rsidRPr="00AE2D42">
        <w:t xml:space="preserve"> people experiencing mental illness </w:t>
      </w:r>
      <w:r w:rsidR="007630F5" w:rsidRPr="00AE2D42">
        <w:t xml:space="preserve">can </w:t>
      </w:r>
      <w:r w:rsidR="007630F5">
        <w:t>increase the</w:t>
      </w:r>
      <w:r w:rsidR="00C84E92">
        <w:t>ir</w:t>
      </w:r>
      <w:r w:rsidR="007630F5" w:rsidRPr="00AE2D42">
        <w:t xml:space="preserve"> difficult</w:t>
      </w:r>
      <w:r w:rsidR="007630F5">
        <w:t xml:space="preserve">y </w:t>
      </w:r>
      <w:r w:rsidR="0017344A">
        <w:t>to</w:t>
      </w:r>
      <w:r w:rsidR="007630F5">
        <w:t xml:space="preserve"> find and keep a job</w:t>
      </w:r>
      <w:r w:rsidR="00CC7F47">
        <w:t>;</w:t>
      </w:r>
      <w:r w:rsidR="007630F5">
        <w:t xml:space="preserve"> receiv</w:t>
      </w:r>
      <w:r w:rsidR="0017344A">
        <w:t>e</w:t>
      </w:r>
      <w:r w:rsidR="00AE2D42" w:rsidRPr="00AE2D42">
        <w:t xml:space="preserve"> </w:t>
      </w:r>
      <w:r w:rsidR="007630F5">
        <w:t>training</w:t>
      </w:r>
      <w:r w:rsidR="00D87CF2">
        <w:t xml:space="preserve"> or</w:t>
      </w:r>
      <w:r w:rsidR="00C84E92">
        <w:t xml:space="preserve"> education</w:t>
      </w:r>
      <w:r w:rsidR="00CC7F47">
        <w:t>;</w:t>
      </w:r>
      <w:r w:rsidR="007630F5">
        <w:t xml:space="preserve"> participat</w:t>
      </w:r>
      <w:r w:rsidR="0017344A">
        <w:t>e</w:t>
      </w:r>
      <w:r w:rsidR="008222DA">
        <w:t xml:space="preserve"> in the community</w:t>
      </w:r>
      <w:r w:rsidR="00CC7F47">
        <w:t>;</w:t>
      </w:r>
      <w:r w:rsidR="00D47E3D">
        <w:t xml:space="preserve"> </w:t>
      </w:r>
      <w:r w:rsidR="00F74EE0">
        <w:t xml:space="preserve">receive (and/or reduce the effectiveness of) social supports and assistance; </w:t>
      </w:r>
      <w:r w:rsidR="00CC7F47">
        <w:t>and</w:t>
      </w:r>
      <w:r w:rsidR="00D47E3D">
        <w:t xml:space="preserve"> return to stable housing</w:t>
      </w:r>
      <w:r w:rsidR="008222DA">
        <w:t>.</w:t>
      </w:r>
      <w:r w:rsidR="005603DC">
        <w:t xml:space="preserve"> For some, the consequences can be devastating.</w:t>
      </w:r>
    </w:p>
    <w:p w:rsidR="0001661D" w:rsidRPr="008B1E24" w:rsidRDefault="00D87CF2" w:rsidP="00DF07D5">
      <w:pPr>
        <w:pStyle w:val="BodyText"/>
        <w:rPr>
          <w:spacing w:val="-2"/>
        </w:rPr>
      </w:pPr>
      <w:r>
        <w:rPr>
          <w:spacing w:val="-2"/>
        </w:rPr>
        <w:t>Homelessness is a significant and growing cost to the community</w:t>
      </w:r>
      <w:r w:rsidR="00F32277">
        <w:rPr>
          <w:spacing w:val="-2"/>
        </w:rPr>
        <w:t xml:space="preserve"> as it can lead to greater use of </w:t>
      </w:r>
      <w:r w:rsidR="005603DC">
        <w:rPr>
          <w:spacing w:val="-2"/>
        </w:rPr>
        <w:t xml:space="preserve">crisis </w:t>
      </w:r>
      <w:r w:rsidR="00F32277">
        <w:rPr>
          <w:spacing w:val="-2"/>
        </w:rPr>
        <w:t xml:space="preserve">services, </w:t>
      </w:r>
      <w:r w:rsidR="005603DC">
        <w:rPr>
          <w:spacing w:val="-2"/>
        </w:rPr>
        <w:t>in particular</w:t>
      </w:r>
      <w:r w:rsidR="00C061C0" w:rsidRPr="008B1E24">
        <w:rPr>
          <w:spacing w:val="-2"/>
        </w:rPr>
        <w:t xml:space="preserve">, </w:t>
      </w:r>
      <w:r w:rsidR="001E04D6">
        <w:rPr>
          <w:spacing w:val="-2"/>
        </w:rPr>
        <w:t>temporary accommodation</w:t>
      </w:r>
      <w:r w:rsidR="00C061C0" w:rsidRPr="008B1E24">
        <w:rPr>
          <w:spacing w:val="-2"/>
        </w:rPr>
        <w:t>, hospital stays</w:t>
      </w:r>
      <w:r w:rsidR="0001661D" w:rsidRPr="008B1E24">
        <w:rPr>
          <w:spacing w:val="-2"/>
        </w:rPr>
        <w:t xml:space="preserve"> and justice services</w:t>
      </w:r>
      <w:r w:rsidR="006903E6">
        <w:rPr>
          <w:spacing w:val="-2"/>
        </w:rPr>
        <w:t xml:space="preserve"> </w:t>
      </w:r>
      <w:r w:rsidR="00854FF1" w:rsidRPr="00854FF1">
        <w:rPr>
          <w:szCs w:val="24"/>
        </w:rPr>
        <w:t>(Zaretzky et al. 2013)</w:t>
      </w:r>
      <w:r w:rsidR="00C061C0" w:rsidRPr="008B1E24">
        <w:rPr>
          <w:spacing w:val="-2"/>
        </w:rPr>
        <w:t xml:space="preserve">. </w:t>
      </w:r>
      <w:r w:rsidR="00BC086D" w:rsidRPr="008B1E24">
        <w:rPr>
          <w:spacing w:val="-2"/>
        </w:rPr>
        <w:t>Between 2012</w:t>
      </w:r>
      <w:r w:rsidR="00BC086D" w:rsidRPr="008B1E24">
        <w:rPr>
          <w:spacing w:val="-2"/>
        </w:rPr>
        <w:noBreakHyphen/>
        <w:t>13 and 2016</w:t>
      </w:r>
      <w:r w:rsidR="00BC086D" w:rsidRPr="008B1E24">
        <w:rPr>
          <w:spacing w:val="-2"/>
        </w:rPr>
        <w:noBreakHyphen/>
        <w:t xml:space="preserve">17, total government expenditure on specialist homelessness services increased </w:t>
      </w:r>
      <w:r w:rsidR="00234856">
        <w:rPr>
          <w:spacing w:val="-2"/>
        </w:rPr>
        <w:t xml:space="preserve">around </w:t>
      </w:r>
      <w:r w:rsidR="00537A52">
        <w:rPr>
          <w:spacing w:val="-2"/>
        </w:rPr>
        <w:t>5%</w:t>
      </w:r>
      <w:r w:rsidR="00F43423">
        <w:rPr>
          <w:spacing w:val="-2"/>
        </w:rPr>
        <w:t xml:space="preserve"> a year</w:t>
      </w:r>
      <w:r w:rsidR="001E04D6">
        <w:rPr>
          <w:spacing w:val="-2"/>
        </w:rPr>
        <w:t xml:space="preserve"> on average</w:t>
      </w:r>
      <w:r w:rsidR="00234856">
        <w:rPr>
          <w:spacing w:val="-2"/>
        </w:rPr>
        <w:t>,</w:t>
      </w:r>
      <w:r w:rsidR="00F43423">
        <w:rPr>
          <w:spacing w:val="-2"/>
        </w:rPr>
        <w:t xml:space="preserve"> </w:t>
      </w:r>
      <w:r w:rsidR="00BC086D" w:rsidRPr="008B1E24">
        <w:rPr>
          <w:spacing w:val="-2"/>
        </w:rPr>
        <w:t>from $634 million to $817 million</w:t>
      </w:r>
      <w:r w:rsidR="004C0BC1">
        <w:rPr>
          <w:spacing w:val="-2"/>
        </w:rPr>
        <w:t xml:space="preserve"> </w:t>
      </w:r>
      <w:r w:rsidR="00854FF1" w:rsidRPr="00854FF1">
        <w:rPr>
          <w:szCs w:val="24"/>
        </w:rPr>
        <w:t>(SCRGSP 2018)</w:t>
      </w:r>
      <w:r w:rsidR="003707A7" w:rsidRPr="008B1E24">
        <w:rPr>
          <w:spacing w:val="-2"/>
        </w:rPr>
        <w:t>.</w:t>
      </w:r>
      <w:r w:rsidR="0001661D" w:rsidRPr="008B1E24">
        <w:rPr>
          <w:spacing w:val="-2"/>
        </w:rPr>
        <w:t xml:space="preserve"> </w:t>
      </w:r>
      <w:r w:rsidR="00234856">
        <w:rPr>
          <w:spacing w:val="-2"/>
        </w:rPr>
        <w:t>However, t</w:t>
      </w:r>
      <w:r w:rsidR="0001661D" w:rsidRPr="008B1E24">
        <w:rPr>
          <w:spacing w:val="-2"/>
        </w:rPr>
        <w:t xml:space="preserve">he number of people experiencing a mental </w:t>
      </w:r>
      <w:r w:rsidR="006541EC">
        <w:rPr>
          <w:spacing w:val="-2"/>
        </w:rPr>
        <w:t>illness</w:t>
      </w:r>
      <w:r w:rsidR="003D279D" w:rsidRPr="008B1E24">
        <w:rPr>
          <w:spacing w:val="-2"/>
        </w:rPr>
        <w:t xml:space="preserve"> </w:t>
      </w:r>
      <w:r w:rsidR="0001661D" w:rsidRPr="008B1E24">
        <w:rPr>
          <w:spacing w:val="-2"/>
        </w:rPr>
        <w:t>who receive</w:t>
      </w:r>
      <w:r w:rsidR="00234856">
        <w:rPr>
          <w:spacing w:val="-2"/>
        </w:rPr>
        <w:t>d</w:t>
      </w:r>
      <w:r w:rsidR="0001661D" w:rsidRPr="008B1E24">
        <w:rPr>
          <w:spacing w:val="-2"/>
        </w:rPr>
        <w:t xml:space="preserve"> these services grew </w:t>
      </w:r>
      <w:r w:rsidR="003D279D">
        <w:rPr>
          <w:spacing w:val="-2"/>
        </w:rPr>
        <w:t xml:space="preserve">even </w:t>
      </w:r>
      <w:r w:rsidR="00234856">
        <w:rPr>
          <w:spacing w:val="-2"/>
        </w:rPr>
        <w:t xml:space="preserve">faster, </w:t>
      </w:r>
      <w:r w:rsidR="0001661D" w:rsidRPr="008B1E24">
        <w:rPr>
          <w:spacing w:val="-2"/>
        </w:rPr>
        <w:t xml:space="preserve">at </w:t>
      </w:r>
      <w:r w:rsidR="003E5743">
        <w:rPr>
          <w:spacing w:val="-2"/>
        </w:rPr>
        <w:t>about</w:t>
      </w:r>
      <w:r w:rsidR="0001661D" w:rsidRPr="008B1E24">
        <w:rPr>
          <w:spacing w:val="-2"/>
        </w:rPr>
        <w:t xml:space="preserve"> 12</w:t>
      </w:r>
      <w:r w:rsidR="00537A52">
        <w:rPr>
          <w:spacing w:val="-2"/>
        </w:rPr>
        <w:t>%</w:t>
      </w:r>
      <w:r w:rsidR="0001661D" w:rsidRPr="008B1E24">
        <w:rPr>
          <w:spacing w:val="-2"/>
        </w:rPr>
        <w:t> </w:t>
      </w:r>
      <w:r w:rsidR="00234856">
        <w:rPr>
          <w:spacing w:val="-2"/>
        </w:rPr>
        <w:t>a</w:t>
      </w:r>
      <w:r w:rsidR="00234856" w:rsidRPr="008B1E24">
        <w:rPr>
          <w:spacing w:val="-2"/>
        </w:rPr>
        <w:t xml:space="preserve"> </w:t>
      </w:r>
      <w:r w:rsidR="0001661D" w:rsidRPr="008B1E24">
        <w:rPr>
          <w:spacing w:val="-2"/>
        </w:rPr>
        <w:t>year</w:t>
      </w:r>
      <w:r w:rsidR="00A964E8">
        <w:rPr>
          <w:spacing w:val="-2"/>
        </w:rPr>
        <w:t>,</w:t>
      </w:r>
      <w:r w:rsidR="0001661D" w:rsidRPr="008B1E24">
        <w:rPr>
          <w:spacing w:val="-2"/>
        </w:rPr>
        <w:t xml:space="preserve"> and </w:t>
      </w:r>
      <w:r w:rsidR="004C5711">
        <w:rPr>
          <w:spacing w:val="-2"/>
        </w:rPr>
        <w:t xml:space="preserve">those people </w:t>
      </w:r>
      <w:r w:rsidR="0001661D" w:rsidRPr="008B1E24">
        <w:rPr>
          <w:spacing w:val="-2"/>
        </w:rPr>
        <w:t>tend</w:t>
      </w:r>
      <w:r w:rsidR="00A964E8">
        <w:rPr>
          <w:spacing w:val="-2"/>
        </w:rPr>
        <w:t>ed</w:t>
      </w:r>
      <w:r w:rsidR="0001661D" w:rsidRPr="008B1E24">
        <w:rPr>
          <w:spacing w:val="-2"/>
        </w:rPr>
        <w:t xml:space="preserve"> to experience longer periods of support </w:t>
      </w:r>
      <w:r w:rsidR="00854FF1" w:rsidRPr="00854FF1">
        <w:rPr>
          <w:szCs w:val="24"/>
        </w:rPr>
        <w:t>(AIHW 2018e)</w:t>
      </w:r>
      <w:r w:rsidR="0001661D" w:rsidRPr="008B1E24">
        <w:rPr>
          <w:spacing w:val="-2"/>
        </w:rPr>
        <w:t>.</w:t>
      </w:r>
    </w:p>
    <w:p w:rsidR="003463E7" w:rsidRDefault="00AE2D42" w:rsidP="00DF07D5">
      <w:pPr>
        <w:pStyle w:val="BodyText"/>
        <w:rPr>
          <w:spacing w:val="-3"/>
        </w:rPr>
      </w:pPr>
      <w:r w:rsidRPr="00AE2D42">
        <w:rPr>
          <w:spacing w:val="-3"/>
        </w:rPr>
        <w:t xml:space="preserve">We are interested in identifying practical ways to improve </w:t>
      </w:r>
      <w:r w:rsidR="00495E7E">
        <w:rPr>
          <w:spacing w:val="-3"/>
        </w:rPr>
        <w:t xml:space="preserve">the effectiveness and efficiency of </w:t>
      </w:r>
      <w:r w:rsidR="00A71A7B">
        <w:rPr>
          <w:spacing w:val="-3"/>
        </w:rPr>
        <w:t>housing</w:t>
      </w:r>
      <w:r w:rsidRPr="00AE2D42">
        <w:rPr>
          <w:spacing w:val="-3"/>
        </w:rPr>
        <w:t xml:space="preserve"> support </w:t>
      </w:r>
      <w:r w:rsidR="00A71A7B">
        <w:rPr>
          <w:spacing w:val="-3"/>
        </w:rPr>
        <w:t xml:space="preserve">for </w:t>
      </w:r>
      <w:r w:rsidRPr="00AE2D42">
        <w:rPr>
          <w:spacing w:val="-3"/>
        </w:rPr>
        <w:t xml:space="preserve">people </w:t>
      </w:r>
      <w:r w:rsidRPr="00AE2D42" w:rsidDel="00F57D48">
        <w:rPr>
          <w:spacing w:val="-3"/>
        </w:rPr>
        <w:t xml:space="preserve">experiencing </w:t>
      </w:r>
      <w:r w:rsidRPr="00AE2D42">
        <w:rPr>
          <w:spacing w:val="-3"/>
        </w:rPr>
        <w:t xml:space="preserve">mental </w:t>
      </w:r>
      <w:r w:rsidR="00045A21">
        <w:rPr>
          <w:spacing w:val="-3"/>
        </w:rPr>
        <w:t>ill-</w:t>
      </w:r>
      <w:r w:rsidRPr="00AE2D42">
        <w:rPr>
          <w:spacing w:val="-3"/>
        </w:rPr>
        <w:t xml:space="preserve">health. This includes approaches that aim to prevent </w:t>
      </w:r>
      <w:r w:rsidR="00CC0C9D">
        <w:rPr>
          <w:spacing w:val="-3"/>
        </w:rPr>
        <w:t xml:space="preserve">and respond to </w:t>
      </w:r>
      <w:r w:rsidRPr="00AE2D42">
        <w:rPr>
          <w:spacing w:val="-3"/>
        </w:rPr>
        <w:t>homelessness.</w:t>
      </w:r>
    </w:p>
    <w:p w:rsidR="00A964E8" w:rsidRPr="004E3B94" w:rsidRDefault="00A964E8" w:rsidP="00DF07D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A964E8" w:rsidTr="00A839D5">
        <w:trPr>
          <w:cantSplit/>
        </w:trPr>
        <w:tc>
          <w:tcPr>
            <w:tcW w:w="5000" w:type="pct"/>
            <w:tcBorders>
              <w:top w:val="single" w:sz="6" w:space="0" w:color="78A22F"/>
              <w:left w:val="nil"/>
              <w:bottom w:val="nil"/>
              <w:right w:val="nil"/>
            </w:tcBorders>
            <w:shd w:val="clear" w:color="auto" w:fill="auto"/>
          </w:tcPr>
          <w:p w:rsidR="00A964E8" w:rsidRPr="00CE4C64" w:rsidRDefault="00A964E8" w:rsidP="00DF07D5">
            <w:pPr>
              <w:pStyle w:val="InformationRequestTitle"/>
              <w:spacing w:before="120"/>
            </w:pPr>
            <w:r>
              <w:t>questions</w:t>
            </w:r>
            <w:r w:rsidR="00D2234F">
              <w:t xml:space="preserve"> on housing and homelessness</w:t>
            </w:r>
          </w:p>
        </w:tc>
      </w:tr>
      <w:tr w:rsidR="00A964E8" w:rsidRPr="00750BE2" w:rsidTr="00A839D5">
        <w:trPr>
          <w:cantSplit/>
        </w:trPr>
        <w:tc>
          <w:tcPr>
            <w:tcW w:w="5000" w:type="pct"/>
            <w:tcBorders>
              <w:top w:val="nil"/>
              <w:left w:val="nil"/>
              <w:bottom w:val="nil"/>
              <w:right w:val="nil"/>
            </w:tcBorders>
            <w:shd w:val="clear" w:color="auto" w:fill="auto"/>
          </w:tcPr>
          <w:p w:rsidR="00A964E8" w:rsidRDefault="00A964E8" w:rsidP="008D5C42">
            <w:pPr>
              <w:pStyle w:val="InformationRequest"/>
            </w:pPr>
            <w:r>
              <w:t>What approaches can governments at all levels and non-government organisations adopt to improve:</w:t>
            </w:r>
          </w:p>
          <w:p w:rsidR="00A964E8" w:rsidRPr="008D5C42" w:rsidRDefault="00A964E8" w:rsidP="008D5C42">
            <w:pPr>
              <w:pStyle w:val="InformationRequestBullet"/>
              <w:tabs>
                <w:tab w:val="clear" w:pos="340"/>
              </w:tabs>
              <w:ind w:left="360" w:hanging="360"/>
            </w:pPr>
            <w:r w:rsidRPr="008D5C42">
              <w:t>support for people experiencing mental illness to prevent and respond to homelessness</w:t>
            </w:r>
            <w:r w:rsidR="00F74EE0" w:rsidRPr="008D5C42">
              <w:t xml:space="preserve"> and accommodation instability</w:t>
            </w:r>
            <w:r w:rsidRPr="008D5C42">
              <w:t>?</w:t>
            </w:r>
          </w:p>
          <w:p w:rsidR="00A964E8" w:rsidRPr="008D5C42" w:rsidRDefault="00A964E8" w:rsidP="008D5C42">
            <w:pPr>
              <w:pStyle w:val="InformationRequestBullet"/>
              <w:tabs>
                <w:tab w:val="clear" w:pos="340"/>
              </w:tabs>
              <w:ind w:left="360" w:hanging="360"/>
            </w:pPr>
            <w:r w:rsidRPr="008D5C42">
              <w:t xml:space="preserve">integration between </w:t>
            </w:r>
            <w:r w:rsidR="003662BE" w:rsidRPr="008D5C42">
              <w:t xml:space="preserve">services for </w:t>
            </w:r>
            <w:r w:rsidRPr="008D5C42">
              <w:t>housing, homelessness</w:t>
            </w:r>
            <w:r w:rsidR="009E2EFD" w:rsidRPr="008D5C42">
              <w:t xml:space="preserve"> and</w:t>
            </w:r>
            <w:r w:rsidRPr="008D5C42">
              <w:t xml:space="preserve"> mental health?</w:t>
            </w:r>
          </w:p>
          <w:p w:rsidR="00A964E8" w:rsidRPr="008D5C42" w:rsidRDefault="00A964E8" w:rsidP="008D5C42">
            <w:pPr>
              <w:pStyle w:val="InformationRequestBullet"/>
              <w:tabs>
                <w:tab w:val="clear" w:pos="340"/>
              </w:tabs>
              <w:ind w:left="360" w:hanging="360"/>
            </w:pPr>
            <w:r w:rsidRPr="008D5C42">
              <w:t xml:space="preserve">housing support for people experiencing mental illness </w:t>
            </w:r>
            <w:r w:rsidR="004E2EE8" w:rsidRPr="008D5C42">
              <w:t xml:space="preserve">who </w:t>
            </w:r>
            <w:r w:rsidRPr="008D5C42">
              <w:t>are discharged from institution</w:t>
            </w:r>
            <w:r w:rsidR="004E2EE8" w:rsidRPr="008D5C42">
              <w:t xml:space="preserve">s, </w:t>
            </w:r>
            <w:r w:rsidRPr="008D5C42">
              <w:t>such as hospitals or correctional facilities?</w:t>
            </w:r>
          </w:p>
          <w:p w:rsidR="00A964E8" w:rsidRPr="008D5C42" w:rsidRDefault="00A964E8" w:rsidP="008D5C42">
            <w:pPr>
              <w:pStyle w:val="InformationRequestBullet"/>
              <w:tabs>
                <w:tab w:val="clear" w:pos="340"/>
              </w:tabs>
              <w:ind w:left="360" w:hanging="360"/>
            </w:pPr>
            <w:r w:rsidRPr="008D5C42">
              <w:t xml:space="preserve">flexibility of social housing to respond to the needs of people experiencing mental </w:t>
            </w:r>
            <w:r w:rsidR="0086598A" w:rsidRPr="008D5C42">
              <w:t>ill</w:t>
            </w:r>
            <w:r w:rsidR="003B62DD" w:rsidRPr="008D5C42">
              <w:t>ness</w:t>
            </w:r>
            <w:r w:rsidRPr="008D5C42">
              <w:t>?</w:t>
            </w:r>
          </w:p>
          <w:p w:rsidR="00A964E8" w:rsidRPr="008D5C42" w:rsidRDefault="00A964E8" w:rsidP="008D5C42">
            <w:pPr>
              <w:pStyle w:val="InformationRequestBullet"/>
              <w:tabs>
                <w:tab w:val="clear" w:pos="340"/>
              </w:tabs>
              <w:ind w:left="360" w:hanging="360"/>
            </w:pPr>
            <w:r w:rsidRPr="008D5C42">
              <w:t>other areas of the housing system to improve mental health outcomes?</w:t>
            </w:r>
          </w:p>
          <w:p w:rsidR="00A964E8" w:rsidRPr="008D5C42" w:rsidRDefault="00A964E8" w:rsidP="008D5C42">
            <w:pPr>
              <w:pStyle w:val="InformationRequest"/>
            </w:pPr>
            <w:r>
              <w:t xml:space="preserve">What </w:t>
            </w:r>
            <w:r w:rsidRPr="008D5C42">
              <w:t xml:space="preserve">evidence can we draw on to assess </w:t>
            </w:r>
            <w:r w:rsidR="00D2234F" w:rsidRPr="008D5C42">
              <w:t xml:space="preserve">the </w:t>
            </w:r>
            <w:r w:rsidR="004E2EE8" w:rsidRPr="008D5C42">
              <w:t>efficiency and effectiveness</w:t>
            </w:r>
            <w:r w:rsidR="00D2234F" w:rsidRPr="008D5C42">
              <w:t xml:space="preserve"> of approaches to housing and homelessness for those with mental </w:t>
            </w:r>
            <w:r w:rsidR="00E825D0" w:rsidRPr="008D5C42">
              <w:t>ill</w:t>
            </w:r>
            <w:r w:rsidR="00E825D0" w:rsidRPr="008D5C42">
              <w:noBreakHyphen/>
            </w:r>
            <w:r w:rsidR="00D2234F" w:rsidRPr="008D5C42">
              <w:t>health</w:t>
            </w:r>
            <w:r w:rsidRPr="008D5C42">
              <w:t>?</w:t>
            </w:r>
          </w:p>
          <w:p w:rsidR="002D50F0" w:rsidRPr="002D50F0" w:rsidRDefault="002D50F0" w:rsidP="008D5C42">
            <w:pPr>
              <w:pStyle w:val="InformationRequest"/>
            </w:pPr>
            <w:r w:rsidRPr="008D5C42">
              <w:t>What overseas practices for improving the housing stability of those with mental illness should be considered for Australia</w:t>
            </w:r>
            <w:r>
              <w:t>?</w:t>
            </w:r>
            <w:r w:rsidR="004E7D2E">
              <w:t xml:space="preserve"> Why? Is there formal evidence of the success of these practices, such as </w:t>
            </w:r>
            <w:r w:rsidR="00AD32E3">
              <w:t xml:space="preserve">an </w:t>
            </w:r>
            <w:r w:rsidR="004E7D2E">
              <w:t>independent evaluation?</w:t>
            </w:r>
          </w:p>
        </w:tc>
      </w:tr>
      <w:tr w:rsidR="00A964E8" w:rsidTr="00A839D5">
        <w:trPr>
          <w:cantSplit/>
        </w:trPr>
        <w:tc>
          <w:tcPr>
            <w:tcW w:w="5000" w:type="pct"/>
            <w:tcBorders>
              <w:top w:val="nil"/>
              <w:left w:val="nil"/>
              <w:bottom w:val="single" w:sz="6" w:space="0" w:color="78A22F"/>
              <w:right w:val="nil"/>
            </w:tcBorders>
            <w:shd w:val="clear" w:color="auto" w:fill="auto"/>
          </w:tcPr>
          <w:p w:rsidR="00A964E8" w:rsidRDefault="00A964E8" w:rsidP="00DF07D5">
            <w:pPr>
              <w:pStyle w:val="Space"/>
              <w:keepLines/>
            </w:pPr>
          </w:p>
        </w:tc>
      </w:tr>
      <w:tr w:rsidR="00A964E8" w:rsidRPr="000863A5" w:rsidTr="00A839D5">
        <w:trPr>
          <w:cantSplit/>
        </w:trPr>
        <w:tc>
          <w:tcPr>
            <w:tcW w:w="5000" w:type="pct"/>
            <w:tcBorders>
              <w:top w:val="single" w:sz="6" w:space="0" w:color="78A22F"/>
              <w:left w:val="nil"/>
              <w:bottom w:val="nil"/>
              <w:right w:val="nil"/>
            </w:tcBorders>
          </w:tcPr>
          <w:p w:rsidR="00A964E8" w:rsidRPr="00626D32" w:rsidRDefault="00A964E8" w:rsidP="00DF07D5">
            <w:pPr>
              <w:pStyle w:val="BoxSpaceBelow"/>
              <w:keepLines/>
            </w:pPr>
          </w:p>
        </w:tc>
      </w:tr>
    </w:tbl>
    <w:p w:rsidR="00AA210C" w:rsidRDefault="00BA0D1B" w:rsidP="007F12A5">
      <w:pPr>
        <w:pStyle w:val="Heading4"/>
        <w:spacing w:before="360"/>
      </w:pPr>
      <w:r>
        <w:t>Income support and s</w:t>
      </w:r>
      <w:r w:rsidR="00AA210C">
        <w:t>ocial services</w:t>
      </w:r>
    </w:p>
    <w:p w:rsidR="00AA210C" w:rsidRDefault="00AA210C" w:rsidP="00DF07D5">
      <w:pPr>
        <w:pStyle w:val="BodyText"/>
      </w:pPr>
      <w:r>
        <w:t xml:space="preserve">A source of income and the mastery of day-to-day tasks are essential features of a happy and fulfilling life. While many people can provide these things for themselves, some people with </w:t>
      </w:r>
      <w:r w:rsidR="00E11846">
        <w:t xml:space="preserve">a </w:t>
      </w:r>
      <w:r>
        <w:t>disabling mental illness are not able to work and need regular non-clinical support</w:t>
      </w:r>
      <w:r w:rsidR="00CD7A9B" w:rsidRPr="00CD7A9B">
        <w:t xml:space="preserve"> </w:t>
      </w:r>
      <w:r w:rsidR="00CD7A9B">
        <w:t xml:space="preserve">in </w:t>
      </w:r>
      <w:r w:rsidR="00CD7A9B" w:rsidRPr="00CD7A9B">
        <w:t>addition to clinical treatment</w:t>
      </w:r>
      <w:r>
        <w:t xml:space="preserve">. Likewise, informal carers of people with </w:t>
      </w:r>
      <w:r w:rsidR="00E11846">
        <w:t xml:space="preserve">a </w:t>
      </w:r>
      <w:r>
        <w:t xml:space="preserve">mental illness may </w:t>
      </w:r>
      <w:r w:rsidR="00F46A15">
        <w:t>have their</w:t>
      </w:r>
      <w:r>
        <w:t xml:space="preserve"> </w:t>
      </w:r>
      <w:r w:rsidR="00F46A15">
        <w:t>earning capacity reduced</w:t>
      </w:r>
      <w:r>
        <w:t xml:space="preserve"> as a result of their carer responsibilities.</w:t>
      </w:r>
    </w:p>
    <w:p w:rsidR="00AA210C" w:rsidRDefault="00AA210C" w:rsidP="007F12A5">
      <w:pPr>
        <w:pStyle w:val="Heading5"/>
        <w:spacing w:before="360" w:line="300" w:lineRule="exact"/>
      </w:pPr>
      <w:r>
        <w:t>Income support</w:t>
      </w:r>
    </w:p>
    <w:p w:rsidR="00AA210C" w:rsidRDefault="00AA210C" w:rsidP="00F80CFC">
      <w:pPr>
        <w:pStyle w:val="BodyText"/>
        <w:spacing w:before="220" w:line="290" w:lineRule="atLeast"/>
      </w:pPr>
      <w:r>
        <w:t>A variety of dedicated income support payments are available to people with mental illness and their carers.</w:t>
      </w:r>
      <w:r w:rsidR="00CE1C07">
        <w:t xml:space="preserve"> People that are substantially unable to work due to mental illness may receive </w:t>
      </w:r>
      <w:r w:rsidR="009C7A73">
        <w:t xml:space="preserve">a </w:t>
      </w:r>
      <w:r w:rsidR="00CE1C07">
        <w:t>Disability Support Pension (DSP), and carers of people</w:t>
      </w:r>
      <w:r w:rsidR="00CE1C07" w:rsidRPr="00CE1C07">
        <w:t xml:space="preserve"> with mental illness that are</w:t>
      </w:r>
      <w:r w:rsidR="00CE1C07">
        <w:t xml:space="preserve"> </w:t>
      </w:r>
      <w:r w:rsidR="00CE1C07" w:rsidRPr="00CE1C07">
        <w:t>substantially unable to work</w:t>
      </w:r>
      <w:r w:rsidR="00CE1C07">
        <w:t xml:space="preserve"> due to their caring responsibilities</w:t>
      </w:r>
      <w:r w:rsidR="00CE1C07" w:rsidRPr="00CE1C07">
        <w:t xml:space="preserve"> may </w:t>
      </w:r>
      <w:r w:rsidR="00CE1C07">
        <w:t xml:space="preserve">receive </w:t>
      </w:r>
      <w:r w:rsidR="009C7A73">
        <w:t xml:space="preserve">a </w:t>
      </w:r>
      <w:r w:rsidR="00CE1C07">
        <w:t xml:space="preserve">Carer Payment and/or Carer Allowance. </w:t>
      </w:r>
      <w:r w:rsidR="009C7A73">
        <w:t xml:space="preserve">The </w:t>
      </w:r>
      <w:r w:rsidR="00456730">
        <w:t xml:space="preserve">level of the </w:t>
      </w:r>
      <w:r w:rsidR="00CE1C07">
        <w:t xml:space="preserve">DSP and Carer Payment </w:t>
      </w:r>
      <w:r w:rsidR="00456730">
        <w:t xml:space="preserve">are </w:t>
      </w:r>
      <w:r w:rsidR="00CE1C07">
        <w:t xml:space="preserve">both </w:t>
      </w:r>
      <w:r w:rsidR="00CE1C07" w:rsidRPr="00CE1C07">
        <w:t>just over a quarter of male average weekly earnings</w:t>
      </w:r>
      <w:r w:rsidR="00CE1C07">
        <w:t xml:space="preserve">, while </w:t>
      </w:r>
      <w:r w:rsidR="00456730">
        <w:t xml:space="preserve">the </w:t>
      </w:r>
      <w:r w:rsidR="00CE1C07">
        <w:t xml:space="preserve">Carer Allowance is </w:t>
      </w:r>
      <w:r w:rsidR="009C7A73">
        <w:t xml:space="preserve">a </w:t>
      </w:r>
      <w:r w:rsidR="00CE1C07">
        <w:t xml:space="preserve">smaller </w:t>
      </w:r>
      <w:r w:rsidR="00456730">
        <w:t>amount</w:t>
      </w:r>
      <w:r w:rsidR="00302541">
        <w:t xml:space="preserve"> (less than 20% of the DSP and Carer Payment)</w:t>
      </w:r>
      <w:r w:rsidR="00CE1C07">
        <w:t>.</w:t>
      </w:r>
    </w:p>
    <w:p w:rsidR="00AA210C" w:rsidRDefault="00F10D92" w:rsidP="00F80CFC">
      <w:pPr>
        <w:pStyle w:val="BodyText"/>
        <w:spacing w:before="220" w:line="290" w:lineRule="atLeast"/>
      </w:pPr>
      <w:r>
        <w:t xml:space="preserve">People with </w:t>
      </w:r>
      <w:r w:rsidR="00386714">
        <w:t xml:space="preserve">a </w:t>
      </w:r>
      <w:r>
        <w:t>mental illness</w:t>
      </w:r>
      <w:r w:rsidR="00386714">
        <w:t>,</w:t>
      </w:r>
      <w:r>
        <w:t xml:space="preserve"> and </w:t>
      </w:r>
      <w:r w:rsidR="00AA210C">
        <w:t>unemployed carers</w:t>
      </w:r>
      <w:r w:rsidR="00386714">
        <w:t>,</w:t>
      </w:r>
      <w:r w:rsidR="00AA210C">
        <w:t xml:space="preserve"> </w:t>
      </w:r>
      <w:r>
        <w:t xml:space="preserve">who </w:t>
      </w:r>
      <w:r w:rsidR="00AA210C">
        <w:t>do not qualify for any of the</w:t>
      </w:r>
      <w:r w:rsidR="00386714">
        <w:t xml:space="preserve"> above</w:t>
      </w:r>
      <w:r w:rsidR="00AA210C">
        <w:t xml:space="preserve"> </w:t>
      </w:r>
      <w:r w:rsidR="00386714">
        <w:t xml:space="preserve">mentioned </w:t>
      </w:r>
      <w:r w:rsidR="00AA210C">
        <w:t>payments may qualify for the general Newstart Allowance unemployment benefit.</w:t>
      </w:r>
    </w:p>
    <w:p w:rsidR="00AA210C" w:rsidRDefault="00AA210C" w:rsidP="00F80CFC">
      <w:pPr>
        <w:pStyle w:val="BodyText"/>
        <w:spacing w:before="220" w:line="290" w:lineRule="atLeast"/>
      </w:pPr>
      <w:r>
        <w:t>Between 2001 and 2014, the share of DSP recipients receiving the payment due to mental illness grew from 23% to 34% and the share of the working age population receiving DSP for mental illness grew from 1.1% to 1.7% (figure </w:t>
      </w:r>
      <w:r w:rsidR="00253D8A">
        <w:t>8</w:t>
      </w:r>
      <w:r>
        <w:t xml:space="preserve">). However, to some extent the latter </w:t>
      </w:r>
      <w:r>
        <w:lastRenderedPageBreak/>
        <w:t xml:space="preserve">phenomenon reflects existing income support recipients moving to DSP </w:t>
      </w:r>
      <w:r w:rsidR="00854FF1" w:rsidRPr="00854FF1">
        <w:rPr>
          <w:szCs w:val="24"/>
        </w:rPr>
        <w:t>(DSS 2013; McVicar and Wilkins 2013)</w:t>
      </w:r>
      <w:r>
        <w:t xml:space="preserve">. In any event, by June 2017 the share of the working age population receiving DSP for mental illness declined slightly </w:t>
      </w:r>
      <w:r w:rsidR="002A1BB8">
        <w:t xml:space="preserve">due to </w:t>
      </w:r>
      <w:r>
        <w:t xml:space="preserve">tightening of the mechanism for assessing work capacity in 2012 </w:t>
      </w:r>
      <w:r w:rsidR="00854FF1" w:rsidRPr="00854FF1">
        <w:rPr>
          <w:szCs w:val="24"/>
        </w:rPr>
        <w:t>(PBO 2018)</w:t>
      </w:r>
      <w:r>
        <w:t>.</w:t>
      </w:r>
    </w:p>
    <w:p w:rsidR="00AA210C" w:rsidRDefault="00AA210C" w:rsidP="00DF07D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A210C" w:rsidTr="00AA210C">
        <w:trPr>
          <w:tblHeader/>
        </w:trPr>
        <w:tc>
          <w:tcPr>
            <w:tcW w:w="5000" w:type="pct"/>
            <w:tcBorders>
              <w:top w:val="single" w:sz="6" w:space="0" w:color="78A22F"/>
              <w:left w:val="nil"/>
              <w:bottom w:val="nil"/>
              <w:right w:val="nil"/>
            </w:tcBorders>
            <w:shd w:val="clear" w:color="auto" w:fill="auto"/>
          </w:tcPr>
          <w:p w:rsidR="00AA210C" w:rsidRDefault="00AA210C" w:rsidP="00DF07D5">
            <w:pPr>
              <w:pStyle w:val="FigureTitle"/>
            </w:pPr>
            <w:r w:rsidRPr="00784A05">
              <w:rPr>
                <w:b w:val="0"/>
              </w:rPr>
              <w:t xml:space="preserve">Figure </w:t>
            </w:r>
            <w:r w:rsidR="00253D8A">
              <w:rPr>
                <w:b w:val="0"/>
              </w:rPr>
              <w:t>8</w:t>
            </w:r>
            <w:r>
              <w:tab/>
              <w:t>Mental illness</w:t>
            </w:r>
            <w:r>
              <w:noBreakHyphen/>
              <w:t>related Disability Support Pension recipients</w:t>
            </w:r>
          </w:p>
          <w:p w:rsidR="00AA210C" w:rsidRPr="00FB144B" w:rsidRDefault="00AA210C" w:rsidP="00FB144B">
            <w:pPr>
              <w:pStyle w:val="Subtitle"/>
            </w:pPr>
            <w:r w:rsidRPr="00FB144B">
              <w:t>Share of working age population and DSP recipient</w:t>
            </w:r>
            <w:r w:rsidR="00716C6A" w:rsidRPr="00FB144B">
              <w:t>s</w:t>
            </w:r>
            <w:r w:rsidRPr="00FB144B">
              <w:t xml:space="preserve"> receiving Disability Support Pension due to psychological or psychiatric disability</w:t>
            </w:r>
          </w:p>
        </w:tc>
      </w:tr>
      <w:tr w:rsidR="00AA210C" w:rsidTr="00AA210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A210C" w:rsidRPr="00B1465D" w:rsidTr="00AA210C">
              <w:trPr>
                <w:tblHeader/>
                <w:jc w:val="center"/>
              </w:trPr>
              <w:tc>
                <w:tcPr>
                  <w:tcW w:w="5000" w:type="pct"/>
                  <w:tcBorders>
                    <w:top w:val="nil"/>
                    <w:bottom w:val="nil"/>
                  </w:tcBorders>
                </w:tcPr>
                <w:p w:rsidR="00AA210C" w:rsidRPr="00B1465D" w:rsidRDefault="00760345" w:rsidP="00DF07D5">
                  <w:pPr>
                    <w:pStyle w:val="Figure"/>
                    <w:spacing w:before="60" w:after="60"/>
                    <w:rPr>
                      <w:rFonts w:ascii="Arial" w:hAnsi="Arial" w:cs="Arial"/>
                      <w:sz w:val="18"/>
                      <w:szCs w:val="18"/>
                    </w:rPr>
                  </w:pPr>
                  <w:r>
                    <w:rPr>
                      <w:rFonts w:ascii="Arial" w:hAnsi="Arial" w:cs="Arial"/>
                      <w:noProof/>
                      <w:sz w:val="18"/>
                      <w:szCs w:val="18"/>
                    </w:rPr>
                    <w:drawing>
                      <wp:inline distT="0" distB="0" distL="0" distR="0">
                        <wp:extent cx="5391150" cy="2762250"/>
                        <wp:effectExtent l="0" t="0" r="0" b="0"/>
                        <wp:docPr id="5" name="Picture 5" descr="Share of the working age population and DSP recipients receiving DSP due to psychological or psychiatric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91150" cy="2762250"/>
                                </a:xfrm>
                                <a:prstGeom prst="rect">
                                  <a:avLst/>
                                </a:prstGeom>
                                <a:noFill/>
                                <a:ln>
                                  <a:noFill/>
                                </a:ln>
                              </pic:spPr>
                            </pic:pic>
                          </a:graphicData>
                        </a:graphic>
                      </wp:inline>
                    </w:drawing>
                  </w:r>
                </w:p>
              </w:tc>
            </w:tr>
          </w:tbl>
          <w:p w:rsidR="00AA210C" w:rsidRDefault="00AA210C" w:rsidP="00DF07D5">
            <w:pPr>
              <w:pStyle w:val="Figure"/>
            </w:pPr>
          </w:p>
        </w:tc>
      </w:tr>
      <w:tr w:rsidR="00AA210C" w:rsidRPr="00176D3F" w:rsidTr="00AA210C">
        <w:tc>
          <w:tcPr>
            <w:tcW w:w="5000" w:type="pct"/>
            <w:tcBorders>
              <w:top w:val="nil"/>
              <w:left w:val="nil"/>
              <w:bottom w:val="nil"/>
              <w:right w:val="nil"/>
            </w:tcBorders>
            <w:shd w:val="clear" w:color="auto" w:fill="auto"/>
          </w:tcPr>
          <w:p w:rsidR="00AA210C" w:rsidRPr="00176D3F" w:rsidRDefault="00AA210C" w:rsidP="00DF07D5">
            <w:pPr>
              <w:pStyle w:val="Source"/>
            </w:pPr>
            <w:r>
              <w:rPr>
                <w:i/>
              </w:rPr>
              <w:t>S</w:t>
            </w:r>
            <w:r w:rsidRPr="00784A05">
              <w:rPr>
                <w:i/>
              </w:rPr>
              <w:t>ource</w:t>
            </w:r>
            <w:r w:rsidRPr="00176D3F">
              <w:t xml:space="preserve">: </w:t>
            </w:r>
            <w:r>
              <w:t>Productivity Commission estimates based on based on ABS (</w:t>
            </w:r>
            <w:r>
              <w:rPr>
                <w:i/>
              </w:rPr>
              <w:t>Australian Demography Statistics, Dec 2017</w:t>
            </w:r>
            <w:r>
              <w:t>, Cat. no. 3101.1), data.gov.au (various issues of DSS Payment Demographic Data), and DSS </w:t>
            </w:r>
            <w:r w:rsidR="00854FF1" w:rsidRPr="00854FF1">
              <w:rPr>
                <w:rFonts w:cs="Arial"/>
              </w:rPr>
              <w:t>(2013)</w:t>
            </w:r>
            <w:r>
              <w:t>.</w:t>
            </w:r>
          </w:p>
        </w:tc>
      </w:tr>
      <w:tr w:rsidR="00AA210C" w:rsidTr="00AA210C">
        <w:tc>
          <w:tcPr>
            <w:tcW w:w="5000" w:type="pct"/>
            <w:tcBorders>
              <w:top w:val="nil"/>
              <w:left w:val="nil"/>
              <w:bottom w:val="single" w:sz="6" w:space="0" w:color="78A22F"/>
              <w:right w:val="nil"/>
            </w:tcBorders>
            <w:shd w:val="clear" w:color="auto" w:fill="auto"/>
          </w:tcPr>
          <w:p w:rsidR="00AA210C" w:rsidRDefault="00AA210C" w:rsidP="00DF07D5">
            <w:pPr>
              <w:pStyle w:val="Figurespace"/>
            </w:pPr>
          </w:p>
        </w:tc>
      </w:tr>
      <w:tr w:rsidR="00AA210C" w:rsidRPr="000863A5" w:rsidTr="00AA210C">
        <w:tc>
          <w:tcPr>
            <w:tcW w:w="5000" w:type="pct"/>
            <w:tcBorders>
              <w:top w:val="single" w:sz="6" w:space="0" w:color="78A22F"/>
              <w:left w:val="nil"/>
              <w:bottom w:val="nil"/>
              <w:right w:val="nil"/>
            </w:tcBorders>
          </w:tcPr>
          <w:p w:rsidR="00AA210C" w:rsidRPr="00626D32" w:rsidRDefault="00AA210C" w:rsidP="00DF07D5">
            <w:pPr>
              <w:pStyle w:val="BoxSpaceBelow"/>
            </w:pPr>
          </w:p>
        </w:tc>
      </w:tr>
    </w:tbl>
    <w:p w:rsidR="00AA210C" w:rsidRDefault="00452F34" w:rsidP="00DF07D5">
      <w:pPr>
        <w:pStyle w:val="BodyText"/>
      </w:pPr>
      <w:r>
        <w:t>Th</w:t>
      </w:r>
      <w:r w:rsidR="00AA210C">
        <w:t xml:space="preserve">e 2015 McClure review of </w:t>
      </w:r>
      <w:r>
        <w:t>the</w:t>
      </w:r>
      <w:r w:rsidR="00AA210C">
        <w:t xml:space="preserve"> welfare system</w:t>
      </w:r>
      <w:r>
        <w:t>, and</w:t>
      </w:r>
      <w:r w:rsidRPr="00452F34">
        <w:t xml:space="preserve"> </w:t>
      </w:r>
      <w:r>
        <w:t xml:space="preserve">the Productivity Commission’s 2011 </w:t>
      </w:r>
      <w:r w:rsidRPr="005257EE">
        <w:rPr>
          <w:i/>
        </w:rPr>
        <w:t>Disability Care and Support</w:t>
      </w:r>
      <w:r>
        <w:t xml:space="preserve"> inquiry, </w:t>
      </w:r>
      <w:r w:rsidR="00AA210C">
        <w:t xml:space="preserve">recommended that </w:t>
      </w:r>
      <w:r>
        <w:t xml:space="preserve">the </w:t>
      </w:r>
      <w:r w:rsidR="00AA210C">
        <w:t xml:space="preserve">DSP be recast as a transitional </w:t>
      </w:r>
      <w:r w:rsidR="00AA210C" w:rsidRPr="00057083">
        <w:t>payment</w:t>
      </w:r>
      <w:r w:rsidR="00AA210C">
        <w:t xml:space="preserve"> for those assessed as having better employment prospects, supporting their efforts to work and supporting employers of DSP recipients</w:t>
      </w:r>
      <w:r w:rsidR="00BA5D4E">
        <w:t xml:space="preserve"> </w:t>
      </w:r>
      <w:r w:rsidR="00854FF1" w:rsidRPr="00854FF1">
        <w:rPr>
          <w:szCs w:val="24"/>
        </w:rPr>
        <w:t>(McClure, Aird and Sinclair 2015; PC 2011)</w:t>
      </w:r>
      <w:r w:rsidR="00AA210C">
        <w:t xml:space="preserve">. The Australian Government </w:t>
      </w:r>
      <w:r w:rsidR="007E2D35">
        <w:t xml:space="preserve">did </w:t>
      </w:r>
      <w:r w:rsidR="00AA210C">
        <w:t>not adopt th</w:t>
      </w:r>
      <w:r w:rsidR="0091578C">
        <w:t>is</w:t>
      </w:r>
      <w:r w:rsidR="00AA210C">
        <w:t xml:space="preserve"> recommendation.</w:t>
      </w:r>
    </w:p>
    <w:p w:rsidR="00AA210C" w:rsidRDefault="00AA210C" w:rsidP="00DF07D5">
      <w:pPr>
        <w:pStyle w:val="BodyText"/>
      </w:pPr>
      <w:r>
        <w:t xml:space="preserve">In this inquiry, the Commission intends to examine if (and how) income support payments could better meet the needs of people that are unable to work due to mental illness or caring </w:t>
      </w:r>
      <w:r w:rsidR="00F46A15">
        <w:t>responsibilities</w:t>
      </w:r>
      <w:r>
        <w:t>. A key challenge is that of providing appropriate support to people whose condition (or caring responsibilities) are episodic in nature</w:t>
      </w:r>
      <w:r w:rsidR="00F46A15">
        <w:t>,</w:t>
      </w:r>
      <w:r>
        <w:t xml:space="preserve"> as their capacity to work may be highly variable.</w:t>
      </w:r>
    </w:p>
    <w:p w:rsidR="00AA210C" w:rsidRDefault="00AA210C" w:rsidP="00DF07D5">
      <w:pPr>
        <w:pStyle w:val="Heading5"/>
      </w:pPr>
      <w:r>
        <w:lastRenderedPageBreak/>
        <w:t>Psychosocial disability support services</w:t>
      </w:r>
    </w:p>
    <w:p w:rsidR="00AA210C" w:rsidRDefault="00AA210C" w:rsidP="00DF07D5">
      <w:pPr>
        <w:pStyle w:val="BodyText"/>
      </w:pPr>
      <w:r>
        <w:t>The Australian and State and Territory Governments provide specialist disability support services for people with psychosocial disability.</w:t>
      </w:r>
      <w:r w:rsidRPr="004C2106">
        <w:rPr>
          <w:rStyle w:val="FootnoteReference"/>
        </w:rPr>
        <w:footnoteReference w:id="8"/>
      </w:r>
      <w:r>
        <w:t xml:space="preserve"> These arrangements are currently undergoing a significant transition as the NDIS rolls out.</w:t>
      </w:r>
    </w:p>
    <w:p w:rsidR="00AA210C" w:rsidRDefault="00AA210C" w:rsidP="00DF07D5">
      <w:pPr>
        <w:pStyle w:val="BodyText"/>
      </w:pPr>
      <w:r>
        <w:t xml:space="preserve">The Commission’s 2017 </w:t>
      </w:r>
      <w:r w:rsidRPr="00A51943">
        <w:rPr>
          <w:i/>
        </w:rPr>
        <w:t>NDIS Costs</w:t>
      </w:r>
      <w:r>
        <w:t xml:space="preserve"> study </w:t>
      </w:r>
      <w:r w:rsidR="00854FF1" w:rsidRPr="00854FF1">
        <w:rPr>
          <w:szCs w:val="24"/>
        </w:rPr>
        <w:t>(PC 2017b)</w:t>
      </w:r>
      <w:r>
        <w:t xml:space="preserve"> </w:t>
      </w:r>
      <w:r w:rsidRPr="00900B25">
        <w:t>recommended that the National Disability Insurance Agency</w:t>
      </w:r>
      <w:r>
        <w:t xml:space="preserve"> (NDIA)</w:t>
      </w:r>
      <w:r w:rsidRPr="00900B25">
        <w:t xml:space="preserve"> implement a ‘psychosocial gateway’ to improve access to, and use of, the supports available under the NDIS. </w:t>
      </w:r>
      <w:r>
        <w:t xml:space="preserve">The NDIA has subsequently developed a new ‘psychosocial disability stream’ in consultation with Mental Health Australia </w:t>
      </w:r>
      <w:r w:rsidR="00854FF1" w:rsidRPr="00854FF1">
        <w:rPr>
          <w:szCs w:val="24"/>
        </w:rPr>
        <w:t>(Fletcher and Henderson 2018)</w:t>
      </w:r>
      <w:r>
        <w:t>.</w:t>
      </w:r>
    </w:p>
    <w:p w:rsidR="00AA210C" w:rsidRDefault="00AA210C" w:rsidP="00DF07D5">
      <w:pPr>
        <w:pStyle w:val="BodyText"/>
      </w:pPr>
      <w:r w:rsidRPr="00367D09">
        <w:t>Given that the Commission has recently conducted a thorough examination of the</w:t>
      </w:r>
      <w:r>
        <w:t xml:space="preserve"> NDIS in this</w:t>
      </w:r>
      <w:r w:rsidRPr="00367D09">
        <w:t xml:space="preserve"> dedicated study, it does not intend to substantively revisit the provision of NDIS supports to people with psychosocial disability unless significant new issues arise</w:t>
      </w:r>
      <w:r>
        <w:t>, or problems are identified by inquiry participants that are not already being addressed</w:t>
      </w:r>
      <w:r w:rsidRPr="00367D09">
        <w:t>.</w:t>
      </w:r>
    </w:p>
    <w:p w:rsidR="00AA210C" w:rsidRDefault="00AA210C" w:rsidP="00DF07D5">
      <w:pPr>
        <w:pStyle w:val="BodyText"/>
      </w:pPr>
      <w:r>
        <w:t>The Australian</w:t>
      </w:r>
      <w:r w:rsidR="001E3157">
        <w:t xml:space="preserve">, </w:t>
      </w:r>
      <w:r>
        <w:t xml:space="preserve">State and Territory Governments have agreed to provide continuity of support to people with psychosocial disability </w:t>
      </w:r>
      <w:r w:rsidR="001E3157">
        <w:t xml:space="preserve">when they </w:t>
      </w:r>
      <w:r>
        <w:t>receive</w:t>
      </w:r>
      <w:r w:rsidR="001E3157">
        <w:t>d</w:t>
      </w:r>
      <w:r>
        <w:t xml:space="preserve"> pre-NDIS supports but do not qualify for the NDIS. </w:t>
      </w:r>
      <w:r w:rsidR="00711C3F">
        <w:t>The</w:t>
      </w:r>
      <w:r>
        <w:t xml:space="preserve"> Australian Government has </w:t>
      </w:r>
      <w:r w:rsidR="00711C3F">
        <w:t>published</w:t>
      </w:r>
      <w:r>
        <w:t xml:space="preserve"> </w:t>
      </w:r>
      <w:r w:rsidR="002B2887">
        <w:t>details about</w:t>
      </w:r>
      <w:r>
        <w:t xml:space="preserve"> its continuity of support arrangements </w:t>
      </w:r>
      <w:r w:rsidR="00854FF1" w:rsidRPr="00854FF1">
        <w:rPr>
          <w:szCs w:val="24"/>
        </w:rPr>
        <w:t>(DSS 2018)</w:t>
      </w:r>
      <w:r w:rsidR="00DB1CE9">
        <w:t xml:space="preserve">. As the rollout of the NDIS continues, the Commission is interested </w:t>
      </w:r>
      <w:r w:rsidR="002C53AF">
        <w:t xml:space="preserve">in whether gaps are emerging </w:t>
      </w:r>
      <w:r w:rsidR="00F01116">
        <w:t>in</w:t>
      </w:r>
      <w:r w:rsidR="002C53AF">
        <w:t xml:space="preserve"> the Australian</w:t>
      </w:r>
      <w:r w:rsidR="00C134D4">
        <w:t>,</w:t>
      </w:r>
      <w:r w:rsidR="002C53AF">
        <w:t xml:space="preserve"> State and Territory Governments</w:t>
      </w:r>
      <w:r w:rsidR="00C134D4">
        <w:t>’</w:t>
      </w:r>
      <w:r w:rsidR="002C53AF">
        <w:t xml:space="preserve"> continuity of support arrangements</w:t>
      </w:r>
      <w:r w:rsidR="00F01116">
        <w:t>.</w:t>
      </w:r>
    </w:p>
    <w:p w:rsidR="0012639A" w:rsidRPr="004E3B94" w:rsidRDefault="0012639A" w:rsidP="00DF07D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12639A" w:rsidTr="003548FA">
        <w:trPr>
          <w:cantSplit/>
        </w:trPr>
        <w:tc>
          <w:tcPr>
            <w:tcW w:w="5000" w:type="pct"/>
            <w:tcBorders>
              <w:top w:val="single" w:sz="6" w:space="0" w:color="78A22F"/>
              <w:left w:val="nil"/>
              <w:bottom w:val="nil"/>
              <w:right w:val="nil"/>
            </w:tcBorders>
            <w:shd w:val="clear" w:color="auto" w:fill="auto"/>
          </w:tcPr>
          <w:p w:rsidR="0012639A" w:rsidRPr="00CE4C64" w:rsidRDefault="0012639A" w:rsidP="00DF07D5">
            <w:pPr>
              <w:pStyle w:val="InformationRequestTitle"/>
              <w:spacing w:before="120"/>
            </w:pPr>
            <w:r>
              <w:t xml:space="preserve">Questions on </w:t>
            </w:r>
            <w:r w:rsidR="003B6E1A">
              <w:t>Social Services</w:t>
            </w:r>
          </w:p>
        </w:tc>
      </w:tr>
      <w:tr w:rsidR="0012639A" w:rsidRPr="00750BE2" w:rsidTr="003548FA">
        <w:trPr>
          <w:cantSplit/>
        </w:trPr>
        <w:tc>
          <w:tcPr>
            <w:tcW w:w="5000" w:type="pct"/>
            <w:tcBorders>
              <w:top w:val="nil"/>
              <w:left w:val="nil"/>
              <w:bottom w:val="nil"/>
              <w:right w:val="nil"/>
            </w:tcBorders>
            <w:shd w:val="clear" w:color="auto" w:fill="auto"/>
          </w:tcPr>
          <w:p w:rsidR="00923B24" w:rsidRDefault="00685C41" w:rsidP="008D3BB6">
            <w:pPr>
              <w:pStyle w:val="InformationRequestBullet"/>
              <w:tabs>
                <w:tab w:val="clear" w:pos="340"/>
              </w:tabs>
              <w:ind w:left="360" w:hanging="360"/>
            </w:pPr>
            <w:r>
              <w:t>How c</w:t>
            </w:r>
            <w:r w:rsidR="003D1E30">
              <w:t>ould non-clinical mental health support services be better coordinated with clinical mental health services?</w:t>
            </w:r>
          </w:p>
          <w:p w:rsidR="003B6E1A" w:rsidRDefault="003B6E1A" w:rsidP="008D3BB6">
            <w:pPr>
              <w:pStyle w:val="InformationRequestBullet"/>
              <w:tabs>
                <w:tab w:val="clear" w:pos="340"/>
              </w:tabs>
              <w:ind w:left="360" w:hanging="360"/>
            </w:pPr>
            <w:r w:rsidRPr="003B6E1A">
              <w:t>Are</w:t>
            </w:r>
            <w:r>
              <w:t xml:space="preserve"> there significant service gaps for people with psychosocial disability </w:t>
            </w:r>
            <w:r w:rsidR="0036319F">
              <w:t xml:space="preserve">who </w:t>
            </w:r>
            <w:r>
              <w:t>do not qualify for the NDIS?</w:t>
            </w:r>
            <w:r w:rsidR="00190085">
              <w:t xml:space="preserve"> If so, what are they?</w:t>
            </w:r>
          </w:p>
          <w:p w:rsidR="002C53AF" w:rsidRPr="007D2EA3" w:rsidRDefault="00D41A0F" w:rsidP="008D3BB6">
            <w:pPr>
              <w:pStyle w:val="InformationRequestBullet"/>
              <w:tabs>
                <w:tab w:val="clear" w:pos="340"/>
              </w:tabs>
              <w:ind w:left="360" w:hanging="360"/>
            </w:pPr>
            <w:r>
              <w:t xml:space="preserve">What continuity of support </w:t>
            </w:r>
            <w:r w:rsidR="003B6E1A">
              <w:t xml:space="preserve">are State and Territory Governments providing </w:t>
            </w:r>
            <w:r>
              <w:t xml:space="preserve">(or plan to provide) for </w:t>
            </w:r>
            <w:r w:rsidR="003B6E1A">
              <w:t xml:space="preserve">people with </w:t>
            </w:r>
            <w:r>
              <w:t xml:space="preserve">a </w:t>
            </w:r>
            <w:r w:rsidR="003B6E1A">
              <w:t>psychosocial disability who are ineligible for the NDIS?</w:t>
            </w:r>
            <w:r>
              <w:t xml:space="preserve"> </w:t>
            </w:r>
          </w:p>
          <w:p w:rsidR="00F91F5D" w:rsidRDefault="002D50F0" w:rsidP="008D3BB6">
            <w:pPr>
              <w:pStyle w:val="InformationRequestBullet"/>
              <w:tabs>
                <w:tab w:val="clear" w:pos="340"/>
              </w:tabs>
              <w:ind w:left="360" w:hanging="360"/>
            </w:pPr>
            <w:r>
              <w:t>Are</w:t>
            </w:r>
            <w:r w:rsidR="006A0B93">
              <w:t xml:space="preserve"> the disability support pension, </w:t>
            </w:r>
            <w:r w:rsidR="006A0B93" w:rsidRPr="006A0B93">
              <w:t>carer payment and carer allowance</w:t>
            </w:r>
            <w:r>
              <w:t xml:space="preserve"> providing income support to those</w:t>
            </w:r>
            <w:r w:rsidR="006A0B93">
              <w:t xml:space="preserve"> people with a mental illness, and their carers, </w:t>
            </w:r>
            <w:r w:rsidR="00C04E6F">
              <w:t xml:space="preserve">who </w:t>
            </w:r>
            <w:r w:rsidR="006A0B93">
              <w:t>most need support?</w:t>
            </w:r>
            <w:r w:rsidR="00D65D48">
              <w:t xml:space="preserve"> If not, what changes are needed?</w:t>
            </w:r>
          </w:p>
          <w:p w:rsidR="003B6E1A" w:rsidRDefault="00D65D48" w:rsidP="008D3BB6">
            <w:pPr>
              <w:pStyle w:val="InformationRequestBullet"/>
              <w:tabs>
                <w:tab w:val="clear" w:pos="340"/>
              </w:tabs>
              <w:ind w:left="360" w:hanging="360"/>
            </w:pPr>
            <w:r>
              <w:t xml:space="preserve">Is there </w:t>
            </w:r>
            <w:r w:rsidR="00B72A73">
              <w:t xml:space="preserve">evidence that mental illness-related income support payments reduce </w:t>
            </w:r>
            <w:r w:rsidR="003B6E1A">
              <w:t xml:space="preserve">the propensity of </w:t>
            </w:r>
            <w:r w:rsidR="006F0D3A">
              <w:t xml:space="preserve">some </w:t>
            </w:r>
            <w:r w:rsidR="003B6E1A">
              <w:t>recipients to seek employment?</w:t>
            </w:r>
          </w:p>
          <w:p w:rsidR="0012639A" w:rsidRPr="003D19D8" w:rsidRDefault="00B72A73" w:rsidP="008D3BB6">
            <w:pPr>
              <w:pStyle w:val="InformationRequestBullet"/>
              <w:tabs>
                <w:tab w:val="clear" w:pos="340"/>
              </w:tabs>
              <w:ind w:left="360" w:hanging="360"/>
            </w:pPr>
            <w:r>
              <w:t>How could mental illness-related income support payments</w:t>
            </w:r>
            <w:r w:rsidR="00831DA4">
              <w:t xml:space="preserve"> better meet the needs of people whose capacity to work fluctuates over time?</w:t>
            </w:r>
          </w:p>
        </w:tc>
      </w:tr>
      <w:tr w:rsidR="0012639A" w:rsidTr="003548FA">
        <w:trPr>
          <w:cantSplit/>
        </w:trPr>
        <w:tc>
          <w:tcPr>
            <w:tcW w:w="5000" w:type="pct"/>
            <w:tcBorders>
              <w:top w:val="nil"/>
              <w:left w:val="nil"/>
              <w:bottom w:val="single" w:sz="6" w:space="0" w:color="78A22F"/>
              <w:right w:val="nil"/>
            </w:tcBorders>
            <w:shd w:val="clear" w:color="auto" w:fill="auto"/>
          </w:tcPr>
          <w:p w:rsidR="0012639A" w:rsidRDefault="0012639A" w:rsidP="00DF07D5">
            <w:pPr>
              <w:pStyle w:val="Space"/>
              <w:keepLines/>
            </w:pPr>
          </w:p>
        </w:tc>
      </w:tr>
      <w:tr w:rsidR="0012639A" w:rsidRPr="000863A5" w:rsidTr="003548FA">
        <w:trPr>
          <w:cantSplit/>
        </w:trPr>
        <w:tc>
          <w:tcPr>
            <w:tcW w:w="5000" w:type="pct"/>
            <w:tcBorders>
              <w:top w:val="single" w:sz="6" w:space="0" w:color="78A22F"/>
              <w:left w:val="nil"/>
              <w:bottom w:val="nil"/>
              <w:right w:val="nil"/>
            </w:tcBorders>
          </w:tcPr>
          <w:p w:rsidR="0012639A" w:rsidRPr="00626D32" w:rsidRDefault="0012639A" w:rsidP="00DF07D5">
            <w:pPr>
              <w:pStyle w:val="BoxSpaceBelow"/>
              <w:keepLines/>
            </w:pPr>
          </w:p>
        </w:tc>
      </w:tr>
    </w:tbl>
    <w:p w:rsidR="006E54F4" w:rsidRPr="001E016F" w:rsidRDefault="006E54F4" w:rsidP="00DF07D5">
      <w:pPr>
        <w:pStyle w:val="Heading4"/>
      </w:pPr>
      <w:r w:rsidRPr="001E016F">
        <w:lastRenderedPageBreak/>
        <w:t>Facilitating social participation and inclusion</w:t>
      </w:r>
    </w:p>
    <w:p w:rsidR="00D85056" w:rsidRDefault="006E54F4" w:rsidP="006E54F4">
      <w:pPr>
        <w:pStyle w:val="BodyText"/>
      </w:pPr>
      <w:r w:rsidRPr="00A93358">
        <w:t xml:space="preserve">Social participation and inclusion are inextricably linked with mental health and wellbeing. </w:t>
      </w:r>
      <w:r w:rsidR="0000469D">
        <w:t>Good m</w:t>
      </w:r>
      <w:r w:rsidRPr="00A93358">
        <w:t xml:space="preserve">ental health </w:t>
      </w:r>
      <w:r w:rsidR="0000469D" w:rsidRPr="00A93358">
        <w:t>supports</w:t>
      </w:r>
      <w:r w:rsidRPr="00A93358">
        <w:t xml:space="preserve"> participation in social and community activities. Conversely, participation in </w:t>
      </w:r>
      <w:r w:rsidR="00763670">
        <w:t xml:space="preserve">social and community </w:t>
      </w:r>
      <w:r w:rsidRPr="00A93358">
        <w:t>activities correlate</w:t>
      </w:r>
      <w:r w:rsidR="00D85056">
        <w:t>s</w:t>
      </w:r>
      <w:r w:rsidRPr="00A93358">
        <w:t xml:space="preserve"> with </w:t>
      </w:r>
      <w:r w:rsidR="0000469D">
        <w:t xml:space="preserve">improved </w:t>
      </w:r>
      <w:r w:rsidRPr="00A93358">
        <w:t>mental health.</w:t>
      </w:r>
      <w:r w:rsidR="00D85056">
        <w:t xml:space="preserve"> </w:t>
      </w:r>
      <w:r w:rsidR="001F2AA7">
        <w:t>S</w:t>
      </w:r>
      <w:r w:rsidR="001F2AA7" w:rsidRPr="00A93358">
        <w:t>ocial inclusion</w:t>
      </w:r>
      <w:r w:rsidR="003E5377">
        <w:t>, in the context of mental health,</w:t>
      </w:r>
      <w:r w:rsidR="001F2AA7" w:rsidRPr="00A93358">
        <w:t xml:space="preserve"> </w:t>
      </w:r>
      <w:r w:rsidR="001F2AA7">
        <w:t xml:space="preserve">is </w:t>
      </w:r>
      <w:r w:rsidR="004A1B46">
        <w:t>about</w:t>
      </w:r>
      <w:r w:rsidR="004A1B46" w:rsidRPr="00A93358">
        <w:t xml:space="preserve"> </w:t>
      </w:r>
      <w:r w:rsidRPr="00A93358">
        <w:t>how communit</w:t>
      </w:r>
      <w:r w:rsidR="001F2AA7">
        <w:t>ies</w:t>
      </w:r>
      <w:r w:rsidRPr="00A93358">
        <w:t xml:space="preserve"> engage and include people living with a mental illness and whether </w:t>
      </w:r>
      <w:r w:rsidR="004A1B46">
        <w:t>those with a mental illness</w:t>
      </w:r>
      <w:r w:rsidR="004A1B46" w:rsidRPr="00A93358">
        <w:t xml:space="preserve"> </w:t>
      </w:r>
      <w:r w:rsidRPr="00A93358">
        <w:t xml:space="preserve">feel connected, valued, accepted, or positive about the communities in which they live. </w:t>
      </w:r>
      <w:r w:rsidR="003E5377">
        <w:t xml:space="preserve">An important part of enabling social inclusion is ensuring that aspects of people’s lives that are important to them — such as indigenous or cultural values — are included in the way communities engage. </w:t>
      </w:r>
    </w:p>
    <w:p w:rsidR="006E54F4" w:rsidRPr="00A93358" w:rsidRDefault="00D85056" w:rsidP="006E54F4">
      <w:pPr>
        <w:pStyle w:val="BodyText"/>
      </w:pPr>
      <w:r>
        <w:t xml:space="preserve">Policies </w:t>
      </w:r>
      <w:r w:rsidR="00944705">
        <w:t xml:space="preserve">and programs </w:t>
      </w:r>
      <w:r>
        <w:t>that promote</w:t>
      </w:r>
      <w:r w:rsidR="006E54F4" w:rsidRPr="00A93358">
        <w:t xml:space="preserve"> social inclusion </w:t>
      </w:r>
      <w:r w:rsidR="00944705">
        <w:t xml:space="preserve">— in areas as diverse as the arts, music, cultural activities and sports — </w:t>
      </w:r>
      <w:r>
        <w:t>aim to reverse the</w:t>
      </w:r>
      <w:r w:rsidR="006E54F4" w:rsidRPr="00A93358">
        <w:t xml:space="preserve"> circumstances or habits that lead to social exclusion.</w:t>
      </w:r>
      <w:r>
        <w:t xml:space="preserve"> </w:t>
      </w:r>
      <w:r w:rsidR="006E54F4" w:rsidRPr="00A93358">
        <w:t xml:space="preserve">Various issues hamper those who want to participate socially and contribute to their communities. Apart from the functional challenges imposed by mental </w:t>
      </w:r>
      <w:r w:rsidR="005446DB">
        <w:t>ill</w:t>
      </w:r>
      <w:r w:rsidR="005446DB">
        <w:noBreakHyphen/>
      </w:r>
      <w:r w:rsidR="006E54F4" w:rsidRPr="00A93358">
        <w:t xml:space="preserve">health, many face social discrimination and stigma. These added challenges </w:t>
      </w:r>
      <w:r>
        <w:t>limit their</w:t>
      </w:r>
      <w:r w:rsidR="006E54F4" w:rsidRPr="00A93358">
        <w:t xml:space="preserve"> access </w:t>
      </w:r>
      <w:r>
        <w:t xml:space="preserve">to </w:t>
      </w:r>
      <w:r w:rsidR="006E54F4" w:rsidRPr="00A93358">
        <w:t xml:space="preserve">employment, health, education, social or political life. Over time, </w:t>
      </w:r>
      <w:r>
        <w:t xml:space="preserve">such </w:t>
      </w:r>
      <w:r w:rsidR="006E54F4" w:rsidRPr="00A93358">
        <w:t>disadvantage leads to further exclusion — a descending cycle.</w:t>
      </w:r>
    </w:p>
    <w:p w:rsidR="006E54F4" w:rsidRPr="00A93358" w:rsidRDefault="00310FF2" w:rsidP="006E54F4">
      <w:pPr>
        <w:pStyle w:val="BodyText"/>
      </w:pPr>
      <w:r>
        <w:t xml:space="preserve">Non-government organisations, such as sports clubs and community groups, can play an important role in facilitating social inclusion and reducing </w:t>
      </w:r>
      <w:r w:rsidRPr="00A93358">
        <w:t>stigma and discrimination</w:t>
      </w:r>
      <w:r>
        <w:t>. There is also a role for all levels of g</w:t>
      </w:r>
      <w:r w:rsidR="006E54F4" w:rsidRPr="00A93358">
        <w:t>overnment</w:t>
      </w:r>
      <w:r>
        <w:t>,</w:t>
      </w:r>
      <w:r w:rsidR="006E54F4" w:rsidRPr="00A93358">
        <w:t xml:space="preserve"> includ</w:t>
      </w:r>
      <w:r>
        <w:t>ing by</w:t>
      </w:r>
      <w:r w:rsidR="006E54F4" w:rsidRPr="00A93358">
        <w:t xml:space="preserve">: </w:t>
      </w:r>
    </w:p>
    <w:p w:rsidR="006E54F4" w:rsidRPr="00A93358" w:rsidRDefault="006E54F4" w:rsidP="00534F30">
      <w:pPr>
        <w:pStyle w:val="ListBullet"/>
        <w:spacing w:before="100"/>
      </w:pPr>
      <w:r w:rsidRPr="00A93358">
        <w:t>leading the development of policies to promote strong social participation</w:t>
      </w:r>
    </w:p>
    <w:p w:rsidR="006E54F4" w:rsidRPr="00A93358" w:rsidRDefault="006E54F4" w:rsidP="00534F30">
      <w:pPr>
        <w:pStyle w:val="ListBullet"/>
        <w:spacing w:before="100"/>
      </w:pPr>
      <w:r w:rsidRPr="00A93358">
        <w:t>providing public assets and amenities</w:t>
      </w:r>
    </w:p>
    <w:p w:rsidR="006E54F4" w:rsidRDefault="006E54F4" w:rsidP="00534F30">
      <w:pPr>
        <w:pStyle w:val="ListBullet"/>
        <w:spacing w:before="100"/>
      </w:pPr>
      <w:r w:rsidRPr="00A93358">
        <w:t xml:space="preserve">supporting </w:t>
      </w:r>
      <w:r w:rsidR="001D0BEB">
        <w:t>non-government organisations</w:t>
      </w:r>
      <w:r w:rsidRPr="00A93358">
        <w:t>.</w:t>
      </w:r>
    </w:p>
    <w:p w:rsidR="006E54F4" w:rsidRPr="004E3B94" w:rsidRDefault="006E54F4" w:rsidP="006E54F4">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6E54F4" w:rsidTr="00904C46">
        <w:trPr>
          <w:cantSplit/>
        </w:trPr>
        <w:tc>
          <w:tcPr>
            <w:tcW w:w="5000" w:type="pct"/>
            <w:tcBorders>
              <w:top w:val="single" w:sz="6" w:space="0" w:color="78A22F"/>
              <w:left w:val="nil"/>
              <w:bottom w:val="nil"/>
              <w:right w:val="nil"/>
            </w:tcBorders>
            <w:shd w:val="clear" w:color="auto" w:fill="auto"/>
          </w:tcPr>
          <w:p w:rsidR="006E54F4" w:rsidRPr="00CE4C64" w:rsidRDefault="006E54F4" w:rsidP="000F2920">
            <w:pPr>
              <w:pStyle w:val="InformationRequestTitle"/>
              <w:spacing w:before="120"/>
            </w:pPr>
            <w:r>
              <w:t>Questions</w:t>
            </w:r>
            <w:r w:rsidR="004A1B46">
              <w:t xml:space="preserve"> on social participation and inclusion</w:t>
            </w:r>
          </w:p>
        </w:tc>
      </w:tr>
      <w:tr w:rsidR="006E54F4" w:rsidRPr="006C144B" w:rsidTr="00904C46">
        <w:trPr>
          <w:cantSplit/>
        </w:trPr>
        <w:tc>
          <w:tcPr>
            <w:tcW w:w="5000" w:type="pct"/>
            <w:tcBorders>
              <w:top w:val="nil"/>
              <w:left w:val="nil"/>
              <w:bottom w:val="nil"/>
              <w:right w:val="nil"/>
            </w:tcBorders>
            <w:shd w:val="clear" w:color="auto" w:fill="auto"/>
          </w:tcPr>
          <w:p w:rsidR="006E54F4" w:rsidRPr="006C144B" w:rsidRDefault="006E54F4" w:rsidP="008D3BB6">
            <w:pPr>
              <w:pStyle w:val="InformationRequestBullet"/>
              <w:tabs>
                <w:tab w:val="clear" w:pos="340"/>
              </w:tabs>
              <w:ind w:left="360" w:hanging="360"/>
            </w:pPr>
            <w:r w:rsidRPr="006C144B">
              <w:t xml:space="preserve">In what ways </w:t>
            </w:r>
            <w:r w:rsidR="00297590" w:rsidRPr="006C144B">
              <w:t>are</w:t>
            </w:r>
            <w:r w:rsidRPr="006C144B">
              <w:t xml:space="preserve"> governments </w:t>
            </w:r>
            <w:r w:rsidR="00D65D48">
              <w:t>(</w:t>
            </w:r>
            <w:r w:rsidRPr="006C144B">
              <w:t xml:space="preserve">at </w:t>
            </w:r>
            <w:r w:rsidR="00D65D48">
              <w:t>any</w:t>
            </w:r>
            <w:r w:rsidR="00D65D48" w:rsidRPr="006C144B">
              <w:t xml:space="preserve"> </w:t>
            </w:r>
            <w:r w:rsidRPr="006C144B">
              <w:t>level</w:t>
            </w:r>
            <w:r w:rsidR="00D65D48">
              <w:t>)</w:t>
            </w:r>
            <w:r w:rsidRPr="006C144B">
              <w:t xml:space="preserve"> </w:t>
            </w:r>
            <w:r w:rsidR="00297590" w:rsidRPr="006C144B">
              <w:t xml:space="preserve">seeking to </w:t>
            </w:r>
            <w:r w:rsidR="006C7A95" w:rsidRPr="006C144B">
              <w:t>improve mental</w:t>
            </w:r>
            <w:r w:rsidRPr="006C144B">
              <w:t xml:space="preserve"> health </w:t>
            </w:r>
            <w:r w:rsidR="006C7A95" w:rsidRPr="006C144B">
              <w:t xml:space="preserve">by encouraging </w:t>
            </w:r>
            <w:r w:rsidRPr="006C144B">
              <w:t xml:space="preserve">social participation and inclusion? What evidence </w:t>
            </w:r>
            <w:r w:rsidR="00474680" w:rsidRPr="006C144B">
              <w:t>is there</w:t>
            </w:r>
            <w:r w:rsidRPr="006C144B">
              <w:t xml:space="preserve"> that public investments in social participation and inclusion are delivering </w:t>
            </w:r>
            <w:r w:rsidR="001A0C1C">
              <w:t>benefits that outweigh the costs</w:t>
            </w:r>
            <w:r w:rsidRPr="006C144B">
              <w:t>?</w:t>
            </w:r>
          </w:p>
          <w:p w:rsidR="0028606B" w:rsidRPr="006C144B" w:rsidRDefault="00275C7E" w:rsidP="008D3BB6">
            <w:pPr>
              <w:pStyle w:val="InformationRequestBullet"/>
              <w:tabs>
                <w:tab w:val="clear" w:pos="340"/>
              </w:tabs>
              <w:ind w:left="360" w:hanging="360"/>
            </w:pPr>
            <w:r w:rsidRPr="006C144B">
              <w:t xml:space="preserve">What role do non-government organisations play in supporting mental health through social inclusion and participation, and what </w:t>
            </w:r>
            <w:r w:rsidR="00B05DFB" w:rsidRPr="006C144B">
              <w:t>more should they do?</w:t>
            </w:r>
          </w:p>
          <w:p w:rsidR="006E54F4" w:rsidRPr="006C144B" w:rsidRDefault="006E54F4" w:rsidP="008D3BB6">
            <w:pPr>
              <w:pStyle w:val="InformationRequestBullet"/>
              <w:tabs>
                <w:tab w:val="clear" w:pos="340"/>
              </w:tabs>
              <w:ind w:left="360" w:hanging="360"/>
            </w:pPr>
            <w:r w:rsidRPr="006C144B">
              <w:t xml:space="preserve">Are there particular population sub-groups that are more </w:t>
            </w:r>
            <w:r w:rsidR="00474680" w:rsidRPr="006C144B">
              <w:t>at risk of</w:t>
            </w:r>
            <w:r w:rsidRPr="006C144B">
              <w:t xml:space="preserve"> mental </w:t>
            </w:r>
            <w:r w:rsidR="00B26758" w:rsidRPr="006C144B">
              <w:t>ill-</w:t>
            </w:r>
            <w:r w:rsidRPr="006C144B">
              <w:t xml:space="preserve">health </w:t>
            </w:r>
            <w:r w:rsidR="00474680" w:rsidRPr="006C144B">
              <w:t>due to</w:t>
            </w:r>
            <w:r w:rsidRPr="006C144B">
              <w:t xml:space="preserve"> inadequate social participation and inclusion? Wh</w:t>
            </w:r>
            <w:r w:rsidR="00215597" w:rsidRPr="006C144B">
              <w:t>at, if anything, should be done to specifically target those groups</w:t>
            </w:r>
            <w:r w:rsidRPr="006C144B">
              <w:t>?</w:t>
            </w:r>
          </w:p>
          <w:p w:rsidR="00904C46" w:rsidRPr="006C144B" w:rsidRDefault="006E54F4" w:rsidP="008D3BB6">
            <w:pPr>
              <w:pStyle w:val="InformationRequestBullet"/>
              <w:tabs>
                <w:tab w:val="clear" w:pos="340"/>
              </w:tabs>
              <w:ind w:left="360" w:hanging="360"/>
            </w:pPr>
            <w:r w:rsidRPr="006C144B">
              <w:t xml:space="preserve">What </w:t>
            </w:r>
            <w:r w:rsidR="00D65D48">
              <w:t>indicators</w:t>
            </w:r>
            <w:r w:rsidR="00D65D48" w:rsidRPr="006C144B">
              <w:t xml:space="preserve"> </w:t>
            </w:r>
            <w:r w:rsidRPr="006C144B">
              <w:t xml:space="preserve">are most useful </w:t>
            </w:r>
            <w:r w:rsidR="00D65D48">
              <w:t>to</w:t>
            </w:r>
            <w:r w:rsidR="00D65D48" w:rsidRPr="006C144B">
              <w:t xml:space="preserve"> </w:t>
            </w:r>
            <w:r w:rsidRPr="006C144B">
              <w:t xml:space="preserve">monitor progress in improving mental health outcomes </w:t>
            </w:r>
            <w:r w:rsidR="00D65D48">
              <w:t>through</w:t>
            </w:r>
            <w:r w:rsidRPr="006C144B">
              <w:t xml:space="preserve"> improved social participation and </w:t>
            </w:r>
            <w:r w:rsidR="00363982" w:rsidRPr="006C144B">
              <w:t>inclusion?</w:t>
            </w:r>
            <w:r w:rsidR="00B05DFB" w:rsidRPr="00FB144B">
              <w:t xml:space="preserve"> </w:t>
            </w:r>
          </w:p>
        </w:tc>
      </w:tr>
      <w:tr w:rsidR="006E54F4" w:rsidTr="00904C46">
        <w:trPr>
          <w:cantSplit/>
        </w:trPr>
        <w:tc>
          <w:tcPr>
            <w:tcW w:w="5000" w:type="pct"/>
            <w:tcBorders>
              <w:top w:val="nil"/>
              <w:left w:val="nil"/>
              <w:bottom w:val="single" w:sz="6" w:space="0" w:color="78A22F"/>
              <w:right w:val="nil"/>
            </w:tcBorders>
            <w:shd w:val="clear" w:color="auto" w:fill="auto"/>
          </w:tcPr>
          <w:p w:rsidR="006E54F4" w:rsidRDefault="006E54F4" w:rsidP="000F2920">
            <w:pPr>
              <w:pStyle w:val="Space"/>
              <w:keepLines/>
            </w:pPr>
          </w:p>
        </w:tc>
      </w:tr>
      <w:tr w:rsidR="006E54F4" w:rsidRPr="000863A5" w:rsidTr="00904C46">
        <w:trPr>
          <w:cantSplit/>
        </w:trPr>
        <w:tc>
          <w:tcPr>
            <w:tcW w:w="5000" w:type="pct"/>
            <w:tcBorders>
              <w:top w:val="single" w:sz="6" w:space="0" w:color="78A22F"/>
              <w:left w:val="nil"/>
              <w:bottom w:val="nil"/>
              <w:right w:val="nil"/>
            </w:tcBorders>
          </w:tcPr>
          <w:p w:rsidR="006E54F4" w:rsidRPr="00626D32" w:rsidRDefault="006E54F4" w:rsidP="000F2920">
            <w:pPr>
              <w:pStyle w:val="BoxSpaceBelow"/>
              <w:keepLines/>
            </w:pPr>
          </w:p>
        </w:tc>
      </w:tr>
    </w:tbl>
    <w:p w:rsidR="009A3F7E" w:rsidRDefault="009A3F7E" w:rsidP="007D2EA3">
      <w:pPr>
        <w:pStyle w:val="Heading3"/>
      </w:pPr>
      <w:bookmarkStart w:id="26" w:name="_Toc520279313"/>
      <w:bookmarkStart w:id="27" w:name="_Toc528902912"/>
      <w:bookmarkStart w:id="28" w:name="_Toc529979218"/>
      <w:bookmarkStart w:id="29" w:name="_Toc530993237"/>
      <w:bookmarkStart w:id="30" w:name="_Toc531114870"/>
      <w:r w:rsidRPr="001E016F">
        <w:lastRenderedPageBreak/>
        <w:t xml:space="preserve">Justice </w:t>
      </w:r>
      <w:r w:rsidR="007A643B">
        <w:t xml:space="preserve">and child </w:t>
      </w:r>
      <w:r w:rsidR="00534F30">
        <w:t>protection</w:t>
      </w:r>
    </w:p>
    <w:p w:rsidR="008C0243" w:rsidRPr="00534F30" w:rsidRDefault="00990997" w:rsidP="00990997">
      <w:pPr>
        <w:pStyle w:val="BodyText"/>
        <w:rPr>
          <w:spacing w:val="-4"/>
        </w:rPr>
      </w:pPr>
      <w:r w:rsidRPr="00534F30">
        <w:rPr>
          <w:spacing w:val="-4"/>
        </w:rPr>
        <w:t xml:space="preserve">For some parts of Australia’s social frameworks — such as the justice system and child protection system — mental ill-health may be a factor that raises the likelihood of people interacting with these systems, but may also necessitate particular consideration in program and support delivery. You are invited to comment on what changes could be made in Australia’s justice and child protection systems that could improve mental health and have flow-on benefits to </w:t>
      </w:r>
      <w:r w:rsidR="00154B41" w:rsidRPr="00534F30">
        <w:rPr>
          <w:spacing w:val="-4"/>
        </w:rPr>
        <w:t xml:space="preserve">individuals’ economic or social participation and contribution in the short or longer term. </w:t>
      </w:r>
      <w:r w:rsidRPr="00534F30">
        <w:rPr>
          <w:spacing w:val="-4"/>
        </w:rPr>
        <w:t xml:space="preserve"> </w:t>
      </w:r>
    </w:p>
    <w:p w:rsidR="007A643B" w:rsidRPr="00B851FD" w:rsidRDefault="007A643B" w:rsidP="00990997">
      <w:pPr>
        <w:pStyle w:val="Heading4"/>
        <w:tabs>
          <w:tab w:val="center" w:pos="4394"/>
        </w:tabs>
      </w:pPr>
      <w:r>
        <w:t>Justice</w:t>
      </w:r>
      <w:r w:rsidR="008C0243">
        <w:t xml:space="preserve"> system</w:t>
      </w:r>
    </w:p>
    <w:p w:rsidR="009A3F7E" w:rsidRDefault="009A3F7E" w:rsidP="009A3F7E">
      <w:pPr>
        <w:pStyle w:val="BodyText"/>
      </w:pPr>
      <w:r>
        <w:t xml:space="preserve">The </w:t>
      </w:r>
      <w:r w:rsidR="000356CF">
        <w:t>share</w:t>
      </w:r>
      <w:r>
        <w:t xml:space="preserve"> of people with a mental illness </w:t>
      </w:r>
      <w:r w:rsidR="00114E2C">
        <w:t>is</w:t>
      </w:r>
      <w:r>
        <w:t xml:space="preserve"> </w:t>
      </w:r>
      <w:r w:rsidR="000356CF">
        <w:t>much</w:t>
      </w:r>
      <w:r>
        <w:t xml:space="preserve"> higher in prisons than in the general population. Almost half of adults entering prison report that a health professional had told them they have a mental illness </w:t>
      </w:r>
      <w:r w:rsidR="00854FF1" w:rsidRPr="00854FF1">
        <w:rPr>
          <w:szCs w:val="24"/>
        </w:rPr>
        <w:t>(AIHW 2015)</w:t>
      </w:r>
      <w:r>
        <w:t xml:space="preserve">. Although repeat contact with the justice system is common among prisoners, mental disorders compound it. Those with complex needs (including multiple mental disorders, as well as </w:t>
      </w:r>
      <w:r w:rsidRPr="009863F5">
        <w:t>social and economic disadvantage</w:t>
      </w:r>
      <w:r>
        <w:t xml:space="preserve">) have significantly higher rates of offences, convictions and imprisonments than persons with a single or no-diagnosis, both as a juvenile and an adult. </w:t>
      </w:r>
      <w:r w:rsidR="00B55458">
        <w:t>I</w:t>
      </w:r>
      <w:r>
        <w:t>nadequate resources in prisons</w:t>
      </w:r>
      <w:r w:rsidR="00B55458">
        <w:t>,</w:t>
      </w:r>
      <w:r>
        <w:t xml:space="preserve"> and a lack of services designed to smooth transitions back into society</w:t>
      </w:r>
      <w:r w:rsidR="00B55458">
        <w:t>, have been identified by others as concerns</w:t>
      </w:r>
      <w:r>
        <w:t xml:space="preserve"> </w:t>
      </w:r>
      <w:r w:rsidR="00854FF1" w:rsidRPr="00854FF1">
        <w:rPr>
          <w:szCs w:val="24"/>
        </w:rPr>
        <w:t>(NMHC 2013; SCMH 2006)</w:t>
      </w:r>
      <w:r>
        <w:t>.</w:t>
      </w:r>
    </w:p>
    <w:p w:rsidR="009A3F7E" w:rsidRPr="00F80CFC" w:rsidRDefault="009A3F7E" w:rsidP="009A3F7E">
      <w:pPr>
        <w:pStyle w:val="BodyText"/>
        <w:rPr>
          <w:spacing w:val="-2"/>
        </w:rPr>
      </w:pPr>
      <w:r w:rsidRPr="00F80CFC">
        <w:rPr>
          <w:spacing w:val="-2"/>
        </w:rPr>
        <w:t xml:space="preserve">The impact of cycling in and out of prison on individuals and their families is </w:t>
      </w:r>
      <w:r w:rsidR="00C62D98" w:rsidRPr="00F80CFC">
        <w:rPr>
          <w:spacing w:val="-2"/>
        </w:rPr>
        <w:t>significant</w:t>
      </w:r>
      <w:r w:rsidRPr="00F80CFC">
        <w:rPr>
          <w:spacing w:val="-2"/>
        </w:rPr>
        <w:t>. The cost</w:t>
      </w:r>
      <w:r w:rsidR="00B604D3" w:rsidRPr="00F80CFC">
        <w:rPr>
          <w:spacing w:val="-2"/>
        </w:rPr>
        <w:t xml:space="preserve"> to the wider community</w:t>
      </w:r>
      <w:r w:rsidRPr="00F80CFC">
        <w:rPr>
          <w:spacing w:val="-2"/>
        </w:rPr>
        <w:t xml:space="preserve"> </w:t>
      </w:r>
      <w:r w:rsidR="00B604D3" w:rsidRPr="00F80CFC">
        <w:rPr>
          <w:spacing w:val="-2"/>
        </w:rPr>
        <w:t>is</w:t>
      </w:r>
      <w:r w:rsidRPr="00F80CFC">
        <w:rPr>
          <w:spacing w:val="-2"/>
        </w:rPr>
        <w:t xml:space="preserve"> also high, including </w:t>
      </w:r>
      <w:r w:rsidR="00090A47" w:rsidRPr="00F80CFC">
        <w:rPr>
          <w:spacing w:val="-2"/>
        </w:rPr>
        <w:t xml:space="preserve">for </w:t>
      </w:r>
      <w:r w:rsidR="00912989" w:rsidRPr="00F80CFC">
        <w:rPr>
          <w:spacing w:val="-2"/>
        </w:rPr>
        <w:t>those</w:t>
      </w:r>
      <w:r w:rsidR="00097CCE" w:rsidRPr="00F80CFC">
        <w:rPr>
          <w:spacing w:val="-2"/>
        </w:rPr>
        <w:t xml:space="preserve"> who </w:t>
      </w:r>
      <w:r w:rsidR="00BC71B8" w:rsidRPr="00F80CFC">
        <w:rPr>
          <w:spacing w:val="-2"/>
        </w:rPr>
        <w:t xml:space="preserve">are </w:t>
      </w:r>
      <w:r w:rsidR="00564545" w:rsidRPr="00F80CFC">
        <w:rPr>
          <w:spacing w:val="-2"/>
        </w:rPr>
        <w:t>impacted by</w:t>
      </w:r>
      <w:r w:rsidR="00097CCE" w:rsidRPr="00F80CFC">
        <w:rPr>
          <w:spacing w:val="-2"/>
        </w:rPr>
        <w:t xml:space="preserve"> criminal acts and the cost of </w:t>
      </w:r>
      <w:r w:rsidR="00B604D3" w:rsidRPr="00F80CFC">
        <w:rPr>
          <w:spacing w:val="-2"/>
        </w:rPr>
        <w:t>fund</w:t>
      </w:r>
      <w:r w:rsidR="00097CCE" w:rsidRPr="00F80CFC">
        <w:rPr>
          <w:spacing w:val="-2"/>
        </w:rPr>
        <w:t>ing</w:t>
      </w:r>
      <w:r w:rsidR="00B604D3" w:rsidRPr="00F80CFC">
        <w:rPr>
          <w:spacing w:val="-2"/>
        </w:rPr>
        <w:t xml:space="preserve"> </w:t>
      </w:r>
      <w:r w:rsidRPr="00F80CFC">
        <w:rPr>
          <w:spacing w:val="-2"/>
        </w:rPr>
        <w:t xml:space="preserve">police, legal aid and prosecutors, courts, prisons and community corrections, community health and hospitals, public and community housing and Centrelink. In extreme cases, these costs could reach $1 million a year for </w:t>
      </w:r>
      <w:r w:rsidR="00090A47" w:rsidRPr="00F80CFC">
        <w:rPr>
          <w:spacing w:val="-2"/>
        </w:rPr>
        <w:t>an individual</w:t>
      </w:r>
      <w:r w:rsidRPr="00F80CFC">
        <w:rPr>
          <w:spacing w:val="-2"/>
        </w:rPr>
        <w:t xml:space="preserve"> with complex needs and high levels of institutional contact from a young age </w:t>
      </w:r>
      <w:r w:rsidR="00854FF1" w:rsidRPr="00854FF1">
        <w:rPr>
          <w:szCs w:val="24"/>
        </w:rPr>
        <w:t>(McCausland et al. 2013)</w:t>
      </w:r>
      <w:r w:rsidRPr="00F80CFC">
        <w:rPr>
          <w:spacing w:val="-2"/>
        </w:rPr>
        <w:t>.</w:t>
      </w:r>
    </w:p>
    <w:p w:rsidR="009A3F7E" w:rsidRDefault="00C07DEA" w:rsidP="009A3F7E">
      <w:pPr>
        <w:pStyle w:val="BodyText"/>
      </w:pPr>
      <w:r>
        <w:t xml:space="preserve">The </w:t>
      </w:r>
      <w:r w:rsidR="009A3F7E">
        <w:t>State and Territor</w:t>
      </w:r>
      <w:r>
        <w:t>y Governments</w:t>
      </w:r>
      <w:r w:rsidR="009A3F7E">
        <w:t xml:space="preserve"> have introduced alternative approaches, including mental health courts and diversion programs. These specialist courts aim to break the cycle of reoffending by diverting individuals towards support and treatment, rather than by applying criminal penalties. The circumstances under which such approaches represent constructive alternatives are important in evaluating their effectiveness. </w:t>
      </w:r>
    </w:p>
    <w:p w:rsidR="009A3F7E" w:rsidRPr="004E3B94" w:rsidRDefault="009A3F7E" w:rsidP="009A3F7E">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A3F7E" w:rsidTr="00AD1BED">
        <w:trPr>
          <w:cantSplit/>
        </w:trPr>
        <w:tc>
          <w:tcPr>
            <w:tcW w:w="5000" w:type="pct"/>
            <w:tcBorders>
              <w:top w:val="single" w:sz="6" w:space="0" w:color="78A22F"/>
              <w:left w:val="nil"/>
              <w:bottom w:val="nil"/>
              <w:right w:val="nil"/>
            </w:tcBorders>
            <w:shd w:val="clear" w:color="auto" w:fill="auto"/>
          </w:tcPr>
          <w:p w:rsidR="009A3F7E" w:rsidRPr="00CE4C64" w:rsidRDefault="004331C8" w:rsidP="00B851FD">
            <w:pPr>
              <w:pStyle w:val="InformationRequestTitle"/>
              <w:spacing w:before="120"/>
            </w:pPr>
            <w:r>
              <w:t>Questions on justice</w:t>
            </w:r>
          </w:p>
        </w:tc>
      </w:tr>
      <w:tr w:rsidR="009A3F7E" w:rsidRPr="00750BE2" w:rsidTr="00AD1BED">
        <w:trPr>
          <w:cantSplit/>
        </w:trPr>
        <w:tc>
          <w:tcPr>
            <w:tcW w:w="5000" w:type="pct"/>
            <w:tcBorders>
              <w:top w:val="nil"/>
              <w:left w:val="nil"/>
              <w:bottom w:val="nil"/>
              <w:right w:val="nil"/>
            </w:tcBorders>
            <w:shd w:val="clear" w:color="auto" w:fill="auto"/>
          </w:tcPr>
          <w:p w:rsidR="009A3F7E" w:rsidRDefault="009A3F7E" w:rsidP="008D3BB6">
            <w:pPr>
              <w:pStyle w:val="InformationRequestBullet"/>
              <w:tabs>
                <w:tab w:val="clear" w:pos="340"/>
              </w:tabs>
              <w:ind w:left="360" w:hanging="360"/>
            </w:pPr>
            <w:r>
              <w:t xml:space="preserve">What mental health supports earlier in life are most effective in reducing contact with the justice system? </w:t>
            </w:r>
          </w:p>
          <w:p w:rsidR="009A3F7E" w:rsidRDefault="009A3F7E" w:rsidP="008D3BB6">
            <w:pPr>
              <w:pStyle w:val="InformationRequestBullet"/>
              <w:tabs>
                <w:tab w:val="clear" w:pos="340"/>
              </w:tabs>
              <w:ind w:left="360" w:hanging="360"/>
            </w:pPr>
            <w:r>
              <w:t xml:space="preserve">To what extent does inadequate </w:t>
            </w:r>
            <w:r w:rsidR="005E1D43">
              <w:t xml:space="preserve">identification </w:t>
            </w:r>
            <w:r>
              <w:t xml:space="preserve">of mental health </w:t>
            </w:r>
            <w:r w:rsidR="007B73E5">
              <w:t xml:space="preserve">and individual needs </w:t>
            </w:r>
            <w:r>
              <w:t xml:space="preserve">in different parts of the justice system increase </w:t>
            </w:r>
            <w:r w:rsidR="00E91402">
              <w:t>the likelihood</w:t>
            </w:r>
            <w:r w:rsidR="00C85248">
              <w:t>,</w:t>
            </w:r>
            <w:r w:rsidR="00E91402">
              <w:t xml:space="preserve"> </w:t>
            </w:r>
            <w:r>
              <w:t xml:space="preserve">and </w:t>
            </w:r>
            <w:r w:rsidR="00C85248">
              <w:t xml:space="preserve">extent, of peoples’ future </w:t>
            </w:r>
            <w:r>
              <w:t>interactions</w:t>
            </w:r>
            <w:r w:rsidR="00C85248">
              <w:t xml:space="preserve"> with th</w:t>
            </w:r>
            <w:r w:rsidR="004F0B1F">
              <w:t>at</w:t>
            </w:r>
            <w:r w:rsidR="00C85248">
              <w:t xml:space="preserve"> system</w:t>
            </w:r>
            <w:r>
              <w:t>?</w:t>
            </w:r>
          </w:p>
          <w:p w:rsidR="00063F85" w:rsidRDefault="00063F85" w:rsidP="008D3BB6">
            <w:pPr>
              <w:pStyle w:val="InformationRequestBullet"/>
              <w:tabs>
                <w:tab w:val="clear" w:pos="340"/>
              </w:tabs>
              <w:ind w:left="360" w:hanging="360"/>
            </w:pPr>
            <w:r>
              <w:t xml:space="preserve">Where are the gaps in mental health services for people in the justice system including while incarcerated? </w:t>
            </w:r>
          </w:p>
          <w:p w:rsidR="009A3F7E" w:rsidRDefault="009A3F7E" w:rsidP="008D3BB6">
            <w:pPr>
              <w:pStyle w:val="InformationRequestBullet"/>
              <w:tabs>
                <w:tab w:val="clear" w:pos="340"/>
              </w:tabs>
              <w:ind w:left="360" w:hanging="360"/>
            </w:pPr>
            <w:r>
              <w:t xml:space="preserve">What interventions </w:t>
            </w:r>
            <w:r w:rsidR="00E91402">
              <w:t xml:space="preserve">in the justice system </w:t>
            </w:r>
            <w:r>
              <w:t>most effectively reduce the likelihood of re</w:t>
            </w:r>
            <w:r w:rsidR="00E91402">
              <w:noBreakHyphen/>
            </w:r>
            <w:r>
              <w:t>offending, improve mental health and increase prospects for re-establishing contributing lives? What evidence is there about the long-term benefits and costs of these interventions?</w:t>
            </w:r>
          </w:p>
          <w:p w:rsidR="009A3F7E" w:rsidRDefault="009A3F7E" w:rsidP="008D3BB6">
            <w:pPr>
              <w:pStyle w:val="InformationRequestBullet"/>
              <w:tabs>
                <w:tab w:val="clear" w:pos="340"/>
              </w:tabs>
              <w:ind w:left="360" w:hanging="360"/>
            </w:pPr>
            <w:r>
              <w:t xml:space="preserve">What are the main barriers to lowering the over-representation of people living with </w:t>
            </w:r>
            <w:r w:rsidR="000D279B">
              <w:t xml:space="preserve">a </w:t>
            </w:r>
            <w:r>
              <w:t>mental illness in the justice system and what strategies would best overcome them?</w:t>
            </w:r>
          </w:p>
          <w:p w:rsidR="009A3F7E" w:rsidRPr="0057773F" w:rsidRDefault="009A3F7E" w:rsidP="008D3BB6">
            <w:pPr>
              <w:pStyle w:val="InformationRequestBullet"/>
              <w:tabs>
                <w:tab w:val="clear" w:pos="340"/>
              </w:tabs>
              <w:ind w:left="360" w:hanging="360"/>
            </w:pPr>
            <w:r>
              <w:t xml:space="preserve">To what extent do inconsistent approaches across states and territories lead to inefficient, ineffective or inequitable outcomes for offenders and their families?  </w:t>
            </w:r>
          </w:p>
        </w:tc>
      </w:tr>
      <w:tr w:rsidR="009A3F7E" w:rsidTr="00AD1BED">
        <w:trPr>
          <w:cantSplit/>
        </w:trPr>
        <w:tc>
          <w:tcPr>
            <w:tcW w:w="5000" w:type="pct"/>
            <w:tcBorders>
              <w:top w:val="nil"/>
              <w:left w:val="nil"/>
              <w:bottom w:val="single" w:sz="6" w:space="0" w:color="78A22F"/>
              <w:right w:val="nil"/>
            </w:tcBorders>
            <w:shd w:val="clear" w:color="auto" w:fill="auto"/>
          </w:tcPr>
          <w:p w:rsidR="009A3F7E" w:rsidRDefault="009A3F7E" w:rsidP="00AD1BED">
            <w:pPr>
              <w:pStyle w:val="Space"/>
              <w:keepLines/>
            </w:pPr>
          </w:p>
        </w:tc>
      </w:tr>
      <w:tr w:rsidR="009A3F7E" w:rsidRPr="000863A5" w:rsidTr="00AD1BED">
        <w:trPr>
          <w:cantSplit/>
        </w:trPr>
        <w:tc>
          <w:tcPr>
            <w:tcW w:w="5000" w:type="pct"/>
            <w:tcBorders>
              <w:top w:val="single" w:sz="6" w:space="0" w:color="78A22F"/>
              <w:left w:val="nil"/>
              <w:bottom w:val="nil"/>
              <w:right w:val="nil"/>
            </w:tcBorders>
          </w:tcPr>
          <w:p w:rsidR="009A3F7E" w:rsidRPr="00626D32" w:rsidRDefault="009A3F7E" w:rsidP="00AD1BED">
            <w:pPr>
              <w:pStyle w:val="BoxSpaceBelow"/>
              <w:keepLines/>
            </w:pPr>
          </w:p>
        </w:tc>
      </w:tr>
    </w:tbl>
    <w:p w:rsidR="007A643B" w:rsidRPr="00B851FD" w:rsidRDefault="007A643B" w:rsidP="007D2EA3">
      <w:pPr>
        <w:pStyle w:val="Heading4"/>
      </w:pPr>
      <w:r w:rsidRPr="00B851FD">
        <w:t xml:space="preserve">Child </w:t>
      </w:r>
      <w:r w:rsidR="00534F30">
        <w:t>safety</w:t>
      </w:r>
    </w:p>
    <w:p w:rsidR="007A643B" w:rsidRPr="007A643B" w:rsidRDefault="007A643B" w:rsidP="00F80CFC">
      <w:pPr>
        <w:pStyle w:val="BodyText"/>
        <w:spacing w:before="220"/>
      </w:pPr>
      <w:r w:rsidRPr="007A643B">
        <w:t>Mental ill-health is widespread among children and young people who are in contact with the child protection system. In particular, there are sharply elevated rates of mental illness among young people that child protection authoriti</w:t>
      </w:r>
      <w:r w:rsidR="007678A7">
        <w:t>es have placed in out-of-</w:t>
      </w:r>
      <w:r w:rsidRPr="007A643B">
        <w:t xml:space="preserve">home care (OOHC) and young people that have left out of home care — a consequence of </w:t>
      </w:r>
      <w:r w:rsidR="00154B41">
        <w:t xml:space="preserve">factors such as </w:t>
      </w:r>
      <w:r w:rsidR="00481F89">
        <w:t xml:space="preserve">trauma </w:t>
      </w:r>
      <w:r w:rsidR="00B31695">
        <w:t xml:space="preserve">associated with </w:t>
      </w:r>
      <w:r w:rsidRPr="007A643B">
        <w:t>family circumstances prior to entering care, negative experiences (such as placement instability, disrupted attachments or sexual abuse) while in care and lack of support after leaving care. The prevalence of mental illness is especially high among the 5% of children in OOHC that live in residential care facilities</w:t>
      </w:r>
      <w:r w:rsidR="004645E2">
        <w:t xml:space="preserve">, rather than </w:t>
      </w:r>
      <w:r w:rsidRPr="007A643B">
        <w:t>home-based care with relatives or foster carers</w:t>
      </w:r>
      <w:r>
        <w:t xml:space="preserve"> </w:t>
      </w:r>
      <w:r w:rsidR="00854FF1" w:rsidRPr="00854FF1">
        <w:rPr>
          <w:szCs w:val="24"/>
        </w:rPr>
        <w:t>(AIHW 2018a; Rahamim and Mendes 2016)</w:t>
      </w:r>
      <w:r>
        <w:t>.</w:t>
      </w:r>
      <w:r w:rsidRPr="007A643B">
        <w:t xml:space="preserve"> </w:t>
      </w:r>
    </w:p>
    <w:p w:rsidR="007A643B" w:rsidRPr="007A643B" w:rsidRDefault="007A643B" w:rsidP="00F80CFC">
      <w:pPr>
        <w:pStyle w:val="BodyText"/>
        <w:spacing w:before="220"/>
      </w:pPr>
      <w:r w:rsidRPr="007A643B">
        <w:t xml:space="preserve">In addition to the devastating impact on the mental health and development of children, child maltreatment generates significant economic costs that are borne by both the child and by society more broadly. McCarthy et al. </w:t>
      </w:r>
      <w:r w:rsidR="00854FF1" w:rsidRPr="00854FF1">
        <w:t>(2016)</w:t>
      </w:r>
      <w:r w:rsidR="001921CA" w:rsidRPr="007A643B">
        <w:t xml:space="preserve"> </w:t>
      </w:r>
      <w:r w:rsidRPr="007A643B">
        <w:t xml:space="preserve">estimated the lifetime cost </w:t>
      </w:r>
      <w:r w:rsidR="003129BA" w:rsidRPr="007A643B">
        <w:t xml:space="preserve">of each incident of child maltreatment in 2012-13 </w:t>
      </w:r>
      <w:r w:rsidR="003129BA">
        <w:t>was</w:t>
      </w:r>
      <w:r w:rsidR="003129BA" w:rsidRPr="007A643B">
        <w:t xml:space="preserve"> almost $</w:t>
      </w:r>
      <w:r w:rsidR="00842FC5" w:rsidRPr="007A643B">
        <w:t>180</w:t>
      </w:r>
      <w:r w:rsidR="00842FC5">
        <w:t> </w:t>
      </w:r>
      <w:r w:rsidR="003129BA" w:rsidRPr="007A643B">
        <w:t>000</w:t>
      </w:r>
      <w:r w:rsidR="00842FC5">
        <w:t xml:space="preserve"> on average</w:t>
      </w:r>
      <w:r w:rsidR="00D641A1">
        <w:t xml:space="preserve">, </w:t>
      </w:r>
      <w:r w:rsidRPr="007A643B">
        <w:t xml:space="preserve">due to additional demand for child protection, health, justice and housing services, reduced </w:t>
      </w:r>
      <w:r w:rsidR="00D641A1">
        <w:t xml:space="preserve">workplace </w:t>
      </w:r>
      <w:r w:rsidRPr="007A643B">
        <w:t>productivity</w:t>
      </w:r>
      <w:r w:rsidR="00D641A1">
        <w:t>,</w:t>
      </w:r>
      <w:r w:rsidRPr="007A643B">
        <w:t xml:space="preserve"> and </w:t>
      </w:r>
      <w:r w:rsidR="003129BA">
        <w:t xml:space="preserve">efficiency costs associated with </w:t>
      </w:r>
      <w:r w:rsidRPr="007A643B">
        <w:t>taxation.</w:t>
      </w:r>
    </w:p>
    <w:p w:rsidR="007A643B" w:rsidRPr="00534F30" w:rsidRDefault="007A643B" w:rsidP="00F80CFC">
      <w:pPr>
        <w:pStyle w:val="BodyText"/>
        <w:spacing w:before="220"/>
        <w:rPr>
          <w:spacing w:val="-4"/>
        </w:rPr>
      </w:pPr>
      <w:r w:rsidRPr="00534F30">
        <w:rPr>
          <w:spacing w:val="-4"/>
        </w:rPr>
        <w:t>The Commission is interested in ways to improve the mental health of people in contact with the child protection system, including prevention and early intervention programs target</w:t>
      </w:r>
      <w:r w:rsidR="00912989">
        <w:rPr>
          <w:spacing w:val="-4"/>
        </w:rPr>
        <w:t>ing</w:t>
      </w:r>
      <w:r w:rsidRPr="00534F30">
        <w:rPr>
          <w:spacing w:val="-4"/>
        </w:rPr>
        <w:t xml:space="preserve"> at-risk parents and children, and</w:t>
      </w:r>
      <w:r w:rsidRPr="00534F30" w:rsidDel="00842FC5">
        <w:rPr>
          <w:spacing w:val="-4"/>
        </w:rPr>
        <w:t xml:space="preserve"> </w:t>
      </w:r>
      <w:r w:rsidRPr="00534F30">
        <w:rPr>
          <w:spacing w:val="-4"/>
        </w:rPr>
        <w:t xml:space="preserve">support </w:t>
      </w:r>
      <w:r w:rsidR="008E328E">
        <w:rPr>
          <w:spacing w:val="-4"/>
        </w:rPr>
        <w:t>around the mental well</w:t>
      </w:r>
      <w:r w:rsidR="00842FC5" w:rsidRPr="00534F30">
        <w:rPr>
          <w:spacing w:val="-4"/>
        </w:rPr>
        <w:t>being of</w:t>
      </w:r>
      <w:r w:rsidRPr="00534F30">
        <w:rPr>
          <w:spacing w:val="-4"/>
        </w:rPr>
        <w:t xml:space="preserve"> young adults leaving OOHC.</w:t>
      </w:r>
    </w:p>
    <w:p w:rsidR="004331C8" w:rsidRPr="004E3B94" w:rsidRDefault="004331C8" w:rsidP="004331C8">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331C8" w:rsidTr="00452D1D">
        <w:trPr>
          <w:cantSplit/>
        </w:trPr>
        <w:tc>
          <w:tcPr>
            <w:tcW w:w="5000" w:type="pct"/>
            <w:tcBorders>
              <w:top w:val="single" w:sz="6" w:space="0" w:color="78A22F"/>
              <w:left w:val="nil"/>
              <w:bottom w:val="nil"/>
              <w:right w:val="nil"/>
            </w:tcBorders>
            <w:shd w:val="clear" w:color="auto" w:fill="auto"/>
          </w:tcPr>
          <w:p w:rsidR="004331C8" w:rsidRPr="00CE4C64" w:rsidRDefault="004331C8" w:rsidP="00B851FD">
            <w:pPr>
              <w:pStyle w:val="InformationRequestTitle"/>
              <w:spacing w:before="120"/>
            </w:pPr>
            <w:r>
              <w:t>Questions on child safety</w:t>
            </w:r>
          </w:p>
        </w:tc>
      </w:tr>
      <w:tr w:rsidR="004331C8" w:rsidRPr="00750BE2" w:rsidTr="00452D1D">
        <w:trPr>
          <w:cantSplit/>
        </w:trPr>
        <w:tc>
          <w:tcPr>
            <w:tcW w:w="5000" w:type="pct"/>
            <w:tcBorders>
              <w:top w:val="nil"/>
              <w:left w:val="nil"/>
              <w:bottom w:val="nil"/>
              <w:right w:val="nil"/>
            </w:tcBorders>
            <w:shd w:val="clear" w:color="auto" w:fill="auto"/>
          </w:tcPr>
          <w:p w:rsidR="00E67492" w:rsidRDefault="00D65D48" w:rsidP="008D3BB6">
            <w:pPr>
              <w:pStyle w:val="InformationRequestBullet"/>
              <w:tabs>
                <w:tab w:val="clear" w:pos="340"/>
              </w:tabs>
              <w:ind w:left="360" w:hanging="360"/>
            </w:pPr>
            <w:r>
              <w:t xml:space="preserve">What aspects of the </w:t>
            </w:r>
            <w:r w:rsidR="00F54BE0">
              <w:t>child</w:t>
            </w:r>
            <w:r w:rsidR="002E1B67">
              <w:t xml:space="preserve"> </w:t>
            </w:r>
            <w:r w:rsidR="00F54BE0">
              <w:t xml:space="preserve">protection </w:t>
            </w:r>
            <w:r w:rsidR="00E67492">
              <w:t>programs administered by the Australian, State and Territory Governments are the most effective in improving the mental health of p</w:t>
            </w:r>
            <w:r w:rsidR="009014F0">
              <w:t>eople in contact with the child</w:t>
            </w:r>
            <w:r w:rsidR="002E1B67">
              <w:t xml:space="preserve"> </w:t>
            </w:r>
            <w:r w:rsidR="00E67492">
              <w:t>protection system?</w:t>
            </w:r>
          </w:p>
          <w:p w:rsidR="006E59AC" w:rsidRPr="006E59AC" w:rsidRDefault="0033662F" w:rsidP="008D3BB6">
            <w:pPr>
              <w:pStyle w:val="InformationRequestBullet"/>
              <w:tabs>
                <w:tab w:val="clear" w:pos="340"/>
              </w:tabs>
              <w:ind w:left="360" w:hanging="360"/>
            </w:pPr>
            <w:r>
              <w:t xml:space="preserve">What, if any, </w:t>
            </w:r>
            <w:r w:rsidR="00E13718" w:rsidRPr="00E13718">
              <w:t xml:space="preserve">alternative approaches </w:t>
            </w:r>
            <w:r w:rsidR="00873CB0">
              <w:t>to</w:t>
            </w:r>
            <w:r w:rsidR="00873CB0" w:rsidRPr="00E13718">
              <w:t xml:space="preserve"> child protection</w:t>
            </w:r>
            <w:r w:rsidR="00873CB0">
              <w:t xml:space="preserve"> </w:t>
            </w:r>
            <w:r w:rsidR="00E13718" w:rsidRPr="00E13718">
              <w:t xml:space="preserve">would </w:t>
            </w:r>
            <w:r w:rsidR="006D7602">
              <w:t xml:space="preserve">achieve better </w:t>
            </w:r>
            <w:r w:rsidR="00297249">
              <w:t xml:space="preserve">mental health </w:t>
            </w:r>
            <w:r w:rsidR="006D7602">
              <w:t>outcomes</w:t>
            </w:r>
            <w:r w:rsidR="00E13718" w:rsidRPr="00E13718">
              <w:t>?</w:t>
            </w:r>
          </w:p>
        </w:tc>
      </w:tr>
      <w:tr w:rsidR="004331C8" w:rsidTr="00452D1D">
        <w:trPr>
          <w:cantSplit/>
        </w:trPr>
        <w:tc>
          <w:tcPr>
            <w:tcW w:w="5000" w:type="pct"/>
            <w:tcBorders>
              <w:top w:val="nil"/>
              <w:left w:val="nil"/>
              <w:bottom w:val="single" w:sz="6" w:space="0" w:color="78A22F"/>
              <w:right w:val="nil"/>
            </w:tcBorders>
            <w:shd w:val="clear" w:color="auto" w:fill="auto"/>
          </w:tcPr>
          <w:p w:rsidR="004331C8" w:rsidRDefault="004331C8" w:rsidP="00452D1D">
            <w:pPr>
              <w:pStyle w:val="Space"/>
              <w:keepLines/>
            </w:pPr>
          </w:p>
        </w:tc>
      </w:tr>
      <w:tr w:rsidR="004331C8" w:rsidRPr="000863A5" w:rsidTr="00452D1D">
        <w:trPr>
          <w:cantSplit/>
        </w:trPr>
        <w:tc>
          <w:tcPr>
            <w:tcW w:w="5000" w:type="pct"/>
            <w:tcBorders>
              <w:top w:val="single" w:sz="6" w:space="0" w:color="78A22F"/>
              <w:left w:val="nil"/>
              <w:bottom w:val="nil"/>
              <w:right w:val="nil"/>
            </w:tcBorders>
          </w:tcPr>
          <w:p w:rsidR="004331C8" w:rsidRPr="00626D32" w:rsidRDefault="004331C8" w:rsidP="00452D1D">
            <w:pPr>
              <w:pStyle w:val="BoxSpaceBelow"/>
              <w:keepLines/>
            </w:pPr>
          </w:p>
        </w:tc>
      </w:tr>
    </w:tbl>
    <w:p w:rsidR="004E4AC4" w:rsidRDefault="004E4AC4" w:rsidP="00F80CFC">
      <w:pPr>
        <w:pStyle w:val="Heading3"/>
        <w:spacing w:before="480"/>
      </w:pPr>
      <w:r>
        <w:t>S</w:t>
      </w:r>
      <w:r w:rsidRPr="00070C78">
        <w:t>kills acquisition, employment and healthy workplaces</w:t>
      </w:r>
      <w:bookmarkEnd w:id="26"/>
      <w:bookmarkEnd w:id="27"/>
      <w:bookmarkEnd w:id="28"/>
      <w:bookmarkEnd w:id="29"/>
      <w:bookmarkEnd w:id="30"/>
    </w:p>
    <w:p w:rsidR="00845E9D" w:rsidRDefault="00845E9D" w:rsidP="00845E9D">
      <w:pPr>
        <w:pStyle w:val="BodyText"/>
      </w:pPr>
      <w:r>
        <w:t xml:space="preserve">The participation and productivity of people with mental </w:t>
      </w:r>
      <w:r w:rsidR="00C82A33">
        <w:t>ill-</w:t>
      </w:r>
      <w:r>
        <w:t>health depends on the opportunities for them to acquire skills, the necessary support to find and maintain a job and a mentally healthy workplace that supports and maintains the good mental health and wellbeing of all its employees.</w:t>
      </w:r>
    </w:p>
    <w:p w:rsidR="006972AD" w:rsidRPr="006972AD" w:rsidRDefault="004E4AC4" w:rsidP="006C144B">
      <w:pPr>
        <w:pStyle w:val="Heading4"/>
        <w:spacing w:before="360"/>
      </w:pPr>
      <w:r w:rsidRPr="006972AD">
        <w:t>Education and training</w:t>
      </w:r>
    </w:p>
    <w:p w:rsidR="008F1F01" w:rsidRPr="006D5CDE" w:rsidRDefault="00AD0171" w:rsidP="00F80CFC">
      <w:pPr>
        <w:pStyle w:val="BodyText"/>
        <w:spacing w:before="220"/>
        <w:rPr>
          <w:rFonts w:eastAsia="MinionPro-Regular"/>
        </w:rPr>
      </w:pPr>
      <w:r>
        <w:rPr>
          <w:rFonts w:eastAsia="MinionPro-Regular"/>
        </w:rPr>
        <w:t xml:space="preserve">Education and training play an important role in </w:t>
      </w:r>
      <w:r w:rsidR="00FD581D">
        <w:rPr>
          <w:rFonts w:eastAsia="MinionPro-Regular"/>
        </w:rPr>
        <w:t xml:space="preserve">social participation, </w:t>
      </w:r>
      <w:r w:rsidR="003F2CF4">
        <w:rPr>
          <w:rFonts w:eastAsia="MinionPro-Regular"/>
        </w:rPr>
        <w:t>economic participation and productivity</w:t>
      </w:r>
      <w:r>
        <w:rPr>
          <w:rFonts w:eastAsia="MinionPro-Regular"/>
        </w:rPr>
        <w:t xml:space="preserve">. </w:t>
      </w:r>
      <w:r w:rsidR="00F56A69">
        <w:rPr>
          <w:rFonts w:eastAsia="MinionPro-Regular"/>
        </w:rPr>
        <w:t>Education</w:t>
      </w:r>
      <w:r w:rsidR="00620B96">
        <w:rPr>
          <w:rFonts w:eastAsia="MinionPro-Regular"/>
        </w:rPr>
        <w:t xml:space="preserve"> </w:t>
      </w:r>
      <w:r w:rsidR="007973CD">
        <w:rPr>
          <w:rFonts w:eastAsia="MinionPro-Regular"/>
        </w:rPr>
        <w:t>can enable</w:t>
      </w:r>
      <w:r w:rsidR="00620B96">
        <w:rPr>
          <w:rFonts w:eastAsia="MinionPro-Regular"/>
        </w:rPr>
        <w:t xml:space="preserve"> </w:t>
      </w:r>
      <w:r w:rsidR="001B2CD8">
        <w:rPr>
          <w:rFonts w:eastAsia="MinionPro-Regular"/>
        </w:rPr>
        <w:t xml:space="preserve">increased </w:t>
      </w:r>
      <w:r w:rsidR="00620B96">
        <w:rPr>
          <w:rFonts w:eastAsia="MinionPro-Regular"/>
        </w:rPr>
        <w:t xml:space="preserve">workforce participation and </w:t>
      </w:r>
      <w:r w:rsidR="008672A6">
        <w:rPr>
          <w:rFonts w:eastAsia="MinionPro-Regular"/>
        </w:rPr>
        <w:t xml:space="preserve">higher </w:t>
      </w:r>
      <w:r w:rsidR="00620B96">
        <w:rPr>
          <w:rFonts w:eastAsia="MinionPro-Regular"/>
        </w:rPr>
        <w:t>earnings</w:t>
      </w:r>
      <w:r w:rsidR="00F56A69">
        <w:rPr>
          <w:rFonts w:eastAsia="MinionPro-Regular"/>
        </w:rPr>
        <w:t xml:space="preserve">, and </w:t>
      </w:r>
      <w:r w:rsidR="00A403FD">
        <w:rPr>
          <w:rFonts w:eastAsia="MinionPro-Regular"/>
        </w:rPr>
        <w:t>other private and social benefits, such as improved health and reduced crime</w:t>
      </w:r>
      <w:r w:rsidR="006A547D">
        <w:rPr>
          <w:rFonts w:eastAsia="MinionPro-Regular"/>
        </w:rPr>
        <w:t xml:space="preserve"> </w:t>
      </w:r>
      <w:r w:rsidR="00854FF1" w:rsidRPr="00854FF1">
        <w:rPr>
          <w:szCs w:val="24"/>
        </w:rPr>
        <w:t>(FCDC 2012; McMahon 2004; Wolfe and Haveman 2002)</w:t>
      </w:r>
      <w:r w:rsidR="00A403FD">
        <w:rPr>
          <w:rFonts w:eastAsia="MinionPro-Regular"/>
        </w:rPr>
        <w:t xml:space="preserve">. </w:t>
      </w:r>
    </w:p>
    <w:p w:rsidR="00AD0171" w:rsidRPr="000A40D9" w:rsidRDefault="00A2602E" w:rsidP="00F80CFC">
      <w:pPr>
        <w:pStyle w:val="BodyText"/>
        <w:spacing w:before="220"/>
        <w:rPr>
          <w:rFonts w:eastAsia="MinionPro-Regular"/>
        </w:rPr>
      </w:pPr>
      <w:r w:rsidRPr="00A2602E">
        <w:rPr>
          <w:rFonts w:eastAsia="MinionPro-Regular"/>
        </w:rPr>
        <w:t>However, many people who have a mental disorder in adulthood had experienced mental ill</w:t>
      </w:r>
      <w:r w:rsidR="002E5D59">
        <w:rPr>
          <w:rFonts w:eastAsia="MinionPro-Regular"/>
        </w:rPr>
        <w:noBreakHyphen/>
      </w:r>
      <w:r w:rsidRPr="00A2602E">
        <w:rPr>
          <w:rFonts w:eastAsia="MinionPro-Regular"/>
        </w:rPr>
        <w:t>health earlier in their life when they were undertaking education and training. For most people, mental disorders first emerge when they are young — half of all mental disorders emerge by the time people are 14</w:t>
      </w:r>
      <w:r w:rsidR="00BF3B8B">
        <w:rPr>
          <w:rFonts w:eastAsia="MinionPro-Regular"/>
        </w:rPr>
        <w:t xml:space="preserve"> </w:t>
      </w:r>
      <w:r w:rsidRPr="00A2602E">
        <w:rPr>
          <w:rFonts w:eastAsia="MinionPro-Regular"/>
        </w:rPr>
        <w:t xml:space="preserve">years old and three quarters by 25 years </w:t>
      </w:r>
      <w:r w:rsidR="00854FF1" w:rsidRPr="00854FF1">
        <w:rPr>
          <w:szCs w:val="24"/>
        </w:rPr>
        <w:t>(Kessler et al. 2005; youthbeyondblue 2018)</w:t>
      </w:r>
      <w:r w:rsidR="001249E8">
        <w:rPr>
          <w:rFonts w:eastAsia="MinionPro-Regular"/>
        </w:rPr>
        <w:t xml:space="preserve">. </w:t>
      </w:r>
      <w:r w:rsidR="00F8590B">
        <w:rPr>
          <w:rFonts w:eastAsia="MinionPro-Regular"/>
        </w:rPr>
        <w:t>In addition, o</w:t>
      </w:r>
      <w:r w:rsidR="001249E8">
        <w:rPr>
          <w:rFonts w:eastAsia="MinionPro-Regular"/>
        </w:rPr>
        <w:t>ne in seven students aged 4</w:t>
      </w:r>
      <w:r w:rsidR="002942A2">
        <w:rPr>
          <w:rFonts w:eastAsia="MinionPro-Regular"/>
        </w:rPr>
        <w:noBreakHyphen/>
      </w:r>
      <w:r w:rsidR="001249E8">
        <w:rPr>
          <w:rFonts w:eastAsia="MinionPro-Regular"/>
        </w:rPr>
        <w:t>17 years have experienced a mental disorder in the previous 12 months</w:t>
      </w:r>
      <w:r w:rsidR="00B64BEC">
        <w:rPr>
          <w:rFonts w:eastAsia="MinionPro-Regular"/>
        </w:rPr>
        <w:t xml:space="preserve"> </w:t>
      </w:r>
      <w:r w:rsidR="00854FF1" w:rsidRPr="00854FF1">
        <w:rPr>
          <w:szCs w:val="24"/>
        </w:rPr>
        <w:t>(Telethon Kids Institute 2017)</w:t>
      </w:r>
      <w:r w:rsidR="00B64BEC">
        <w:rPr>
          <w:rFonts w:eastAsia="MinionPro-Regular"/>
        </w:rPr>
        <w:t>.</w:t>
      </w:r>
      <w:r w:rsidR="001249E8">
        <w:rPr>
          <w:rFonts w:eastAsia="MinionPro-Regular"/>
        </w:rPr>
        <w:t xml:space="preserve"> </w:t>
      </w:r>
      <w:r w:rsidR="00C81E3E">
        <w:rPr>
          <w:rFonts w:eastAsia="MinionPro-Regular"/>
        </w:rPr>
        <w:t xml:space="preserve">There is </w:t>
      </w:r>
      <w:r w:rsidR="003F47EF">
        <w:rPr>
          <w:rFonts w:eastAsia="MinionPro-Regular"/>
        </w:rPr>
        <w:t>some</w:t>
      </w:r>
      <w:r w:rsidR="00C81E3E">
        <w:rPr>
          <w:rFonts w:eastAsia="MinionPro-Regular"/>
        </w:rPr>
        <w:t xml:space="preserve"> evidence that </w:t>
      </w:r>
      <w:r w:rsidR="003F47EF">
        <w:rPr>
          <w:rFonts w:eastAsia="MinionPro-Regular"/>
        </w:rPr>
        <w:t>students</w:t>
      </w:r>
      <w:r w:rsidR="00CA6D8A">
        <w:rPr>
          <w:rFonts w:eastAsia="MinionPro-Regular"/>
        </w:rPr>
        <w:t xml:space="preserve"> </w:t>
      </w:r>
      <w:r w:rsidR="008D70D1">
        <w:rPr>
          <w:rFonts w:eastAsia="MinionPro-Regular"/>
        </w:rPr>
        <w:t>experiencing</w:t>
      </w:r>
      <w:r w:rsidR="00CA6D8A">
        <w:rPr>
          <w:rFonts w:eastAsia="MinionPro-Regular"/>
        </w:rPr>
        <w:t xml:space="preserve"> mental </w:t>
      </w:r>
      <w:r w:rsidR="008D70D1">
        <w:rPr>
          <w:rFonts w:eastAsia="MinionPro-Regular"/>
        </w:rPr>
        <w:t>ill</w:t>
      </w:r>
      <w:r w:rsidR="008D70D1">
        <w:rPr>
          <w:rFonts w:eastAsia="MinionPro-Regular"/>
        </w:rPr>
        <w:noBreakHyphen/>
      </w:r>
      <w:r w:rsidR="00CA6D8A">
        <w:rPr>
          <w:rFonts w:eastAsia="MinionPro-Regular"/>
        </w:rPr>
        <w:t>health</w:t>
      </w:r>
      <w:r w:rsidR="003F47EF">
        <w:rPr>
          <w:rFonts w:eastAsia="MinionPro-Regular"/>
        </w:rPr>
        <w:t xml:space="preserve"> </w:t>
      </w:r>
      <w:r w:rsidR="008D70D1">
        <w:rPr>
          <w:rFonts w:eastAsia="MinionPro-Regular"/>
        </w:rPr>
        <w:t>can have</w:t>
      </w:r>
      <w:r w:rsidR="00CA6D8A">
        <w:rPr>
          <w:rFonts w:eastAsia="MinionPro-Regular"/>
        </w:rPr>
        <w:t xml:space="preserve"> poorer education outcomes than their peers, including lower educational attainment, higher drop</w:t>
      </w:r>
      <w:r w:rsidR="00CA6D8A">
        <w:rPr>
          <w:rFonts w:eastAsia="MinionPro-Regular"/>
        </w:rPr>
        <w:noBreakHyphen/>
        <w:t>out rates, and poorer engagement while studying</w:t>
      </w:r>
      <w:r w:rsidR="00F2330B">
        <w:rPr>
          <w:rFonts w:eastAsia="MinionPro-Regular"/>
        </w:rPr>
        <w:t xml:space="preserve"> </w:t>
      </w:r>
      <w:r w:rsidR="00854FF1" w:rsidRPr="00854FF1">
        <w:rPr>
          <w:szCs w:val="24"/>
        </w:rPr>
        <w:t>(for example, ABS 2008; Orygen 2018; Telethon Kids Institute 2017)</w:t>
      </w:r>
      <w:r w:rsidR="00CA6D8A">
        <w:rPr>
          <w:rFonts w:eastAsia="MinionPro-Regular"/>
        </w:rPr>
        <w:t xml:space="preserve">. </w:t>
      </w:r>
    </w:p>
    <w:p w:rsidR="00BC5CA5" w:rsidRDefault="007E5930" w:rsidP="00721558">
      <w:pPr>
        <w:pStyle w:val="BodyText"/>
        <w:keepNext/>
        <w:spacing w:before="220"/>
        <w:rPr>
          <w:rFonts w:eastAsia="MinionPro-Regular"/>
        </w:rPr>
      </w:pPr>
      <w:r w:rsidRPr="003572BE">
        <w:rPr>
          <w:rFonts w:eastAsia="MinionPro-Regular"/>
        </w:rPr>
        <w:t xml:space="preserve">In recent years, there has been increased focus on the mental health and </w:t>
      </w:r>
      <w:r w:rsidR="003F47EF">
        <w:rPr>
          <w:rFonts w:eastAsia="MinionPro-Regular"/>
        </w:rPr>
        <w:t>wellbeing</w:t>
      </w:r>
      <w:r w:rsidRPr="003572BE">
        <w:rPr>
          <w:rFonts w:eastAsia="MinionPro-Regular"/>
        </w:rPr>
        <w:t xml:space="preserve"> of </w:t>
      </w:r>
      <w:r w:rsidR="00A351A1">
        <w:rPr>
          <w:rFonts w:eastAsia="MinionPro-Regular"/>
        </w:rPr>
        <w:t xml:space="preserve">children and </w:t>
      </w:r>
      <w:r w:rsidRPr="003572BE">
        <w:rPr>
          <w:rFonts w:eastAsia="MinionPro-Regular"/>
        </w:rPr>
        <w:t>young people participati</w:t>
      </w:r>
      <w:r w:rsidR="001553BE">
        <w:rPr>
          <w:rFonts w:eastAsia="MinionPro-Regular"/>
        </w:rPr>
        <w:t>ng in all levels of education (</w:t>
      </w:r>
      <w:r w:rsidRPr="003572BE">
        <w:rPr>
          <w:rFonts w:eastAsia="MinionPro-Regular"/>
        </w:rPr>
        <w:t>early childhood education and care, school education, university and vocational education and training</w:t>
      </w:r>
      <w:r w:rsidR="001553BE">
        <w:rPr>
          <w:rFonts w:eastAsia="MinionPro-Regular"/>
        </w:rPr>
        <w:t>)</w:t>
      </w:r>
      <w:r w:rsidRPr="00E316D2">
        <w:rPr>
          <w:rFonts w:eastAsia="MinionPro-Regular"/>
        </w:rPr>
        <w:t xml:space="preserve">. </w:t>
      </w:r>
      <w:r w:rsidR="00750AEC">
        <w:rPr>
          <w:rFonts w:eastAsia="MinionPro-Regular"/>
        </w:rPr>
        <w:t xml:space="preserve">There are a range of programs and services that focus on </w:t>
      </w:r>
      <w:r w:rsidR="00A556A9">
        <w:rPr>
          <w:rFonts w:eastAsia="MinionPro-Regular"/>
        </w:rPr>
        <w:t xml:space="preserve">educating </w:t>
      </w:r>
      <w:r w:rsidR="006E05AD">
        <w:rPr>
          <w:rFonts w:eastAsia="MinionPro-Regular"/>
        </w:rPr>
        <w:t>students</w:t>
      </w:r>
      <w:r w:rsidR="00A556A9">
        <w:rPr>
          <w:rFonts w:eastAsia="MinionPro-Regular"/>
        </w:rPr>
        <w:t xml:space="preserve">, teachers and other staff, and families </w:t>
      </w:r>
      <w:r w:rsidR="006E05AD">
        <w:rPr>
          <w:rFonts w:eastAsia="MinionPro-Regular"/>
        </w:rPr>
        <w:t>on mental health and wellbeing and building resilience</w:t>
      </w:r>
      <w:r w:rsidR="00750AEC">
        <w:rPr>
          <w:rFonts w:eastAsia="MinionPro-Regular"/>
        </w:rPr>
        <w:t xml:space="preserve">, providing support to </w:t>
      </w:r>
      <w:r w:rsidR="00A556A9">
        <w:rPr>
          <w:rFonts w:eastAsia="MinionPro-Regular"/>
        </w:rPr>
        <w:t xml:space="preserve">students </w:t>
      </w:r>
      <w:r w:rsidR="00AC0F64">
        <w:rPr>
          <w:rFonts w:eastAsia="MinionPro-Regular"/>
        </w:rPr>
        <w:t xml:space="preserve">experiencing </w:t>
      </w:r>
      <w:r w:rsidR="00750AEC">
        <w:rPr>
          <w:rFonts w:eastAsia="MinionPro-Regular"/>
        </w:rPr>
        <w:t xml:space="preserve">mental </w:t>
      </w:r>
      <w:r w:rsidR="008D70D1">
        <w:rPr>
          <w:rFonts w:eastAsia="MinionPro-Regular"/>
        </w:rPr>
        <w:t>ill</w:t>
      </w:r>
      <w:r w:rsidR="008D70D1">
        <w:rPr>
          <w:rFonts w:eastAsia="MinionPro-Regular"/>
        </w:rPr>
        <w:noBreakHyphen/>
      </w:r>
      <w:r w:rsidR="00750AEC">
        <w:rPr>
          <w:rFonts w:eastAsia="MinionPro-Regular"/>
        </w:rPr>
        <w:t xml:space="preserve">health </w:t>
      </w:r>
      <w:r w:rsidR="00A556A9">
        <w:rPr>
          <w:rFonts w:eastAsia="MinionPro-Regular"/>
        </w:rPr>
        <w:t>and helping non</w:t>
      </w:r>
      <w:r w:rsidR="00A556A9">
        <w:rPr>
          <w:rFonts w:eastAsia="MinionPro-Regular"/>
        </w:rPr>
        <w:noBreakHyphen/>
        <w:t>students to re</w:t>
      </w:r>
      <w:r w:rsidR="00A556A9">
        <w:rPr>
          <w:rFonts w:eastAsia="MinionPro-Regular"/>
        </w:rPr>
        <w:noBreakHyphen/>
        <w:t xml:space="preserve">engage with education and </w:t>
      </w:r>
      <w:r w:rsidR="00A556A9">
        <w:rPr>
          <w:rFonts w:eastAsia="MinionPro-Regular"/>
        </w:rPr>
        <w:lastRenderedPageBreak/>
        <w:t>training</w:t>
      </w:r>
      <w:r w:rsidR="00750AEC">
        <w:rPr>
          <w:rFonts w:eastAsia="MinionPro-Regular"/>
        </w:rPr>
        <w:t xml:space="preserve">. </w:t>
      </w:r>
      <w:r w:rsidR="00665566">
        <w:rPr>
          <w:rFonts w:eastAsia="MinionPro-Regular"/>
        </w:rPr>
        <w:t xml:space="preserve">Services are funded and/or provided by </w:t>
      </w:r>
      <w:r w:rsidR="003F47EF">
        <w:rPr>
          <w:rFonts w:eastAsia="MinionPro-Regular"/>
        </w:rPr>
        <w:t>government</w:t>
      </w:r>
      <w:r w:rsidR="00665566">
        <w:rPr>
          <w:rFonts w:eastAsia="MinionPro-Regular"/>
        </w:rPr>
        <w:t xml:space="preserve"> and non</w:t>
      </w:r>
      <w:r w:rsidR="00665566">
        <w:rPr>
          <w:rFonts w:eastAsia="MinionPro-Regular"/>
        </w:rPr>
        <w:noBreakHyphen/>
        <w:t>government organisations</w:t>
      </w:r>
      <w:r w:rsidR="003E5377">
        <w:rPr>
          <w:rFonts w:eastAsia="MinionPro-Regular"/>
        </w:rPr>
        <w:t xml:space="preserve"> and include a mix of broad brush and targeted services</w:t>
      </w:r>
      <w:r w:rsidR="00665566">
        <w:rPr>
          <w:rFonts w:eastAsia="MinionPro-Regular"/>
        </w:rPr>
        <w:t xml:space="preserve">. </w:t>
      </w:r>
      <w:r w:rsidR="00BC5CA5">
        <w:rPr>
          <w:rFonts w:eastAsia="MinionPro-Regular"/>
        </w:rPr>
        <w:t>Examples include:</w:t>
      </w:r>
    </w:p>
    <w:p w:rsidR="00BC5CA5" w:rsidRDefault="00BC5CA5" w:rsidP="00534F30">
      <w:pPr>
        <w:pStyle w:val="ListBullet"/>
        <w:spacing w:before="100"/>
        <w:rPr>
          <w:rFonts w:eastAsia="MinionPro-Regular"/>
        </w:rPr>
      </w:pPr>
      <w:r>
        <w:rPr>
          <w:rFonts w:eastAsia="MinionPro-Regular"/>
          <w:i/>
        </w:rPr>
        <w:t>Be You</w:t>
      </w:r>
      <w:r>
        <w:rPr>
          <w:rFonts w:eastAsia="MinionPro-Regular"/>
        </w:rPr>
        <w:t xml:space="preserve">, which is funded by the Australian Government and delivered by Beyond Blue, Headspace and Early Childhood Australia and aims to promote mental health and wellbeing in early childhood education and care settings and schools </w:t>
      </w:r>
      <w:r w:rsidR="00854FF1" w:rsidRPr="00854FF1">
        <w:rPr>
          <w:szCs w:val="24"/>
        </w:rPr>
        <w:t>(Be You 2018)</w:t>
      </w:r>
    </w:p>
    <w:p w:rsidR="00F81AEB" w:rsidRDefault="00085BE2" w:rsidP="00534F30">
      <w:pPr>
        <w:pStyle w:val="ListBullet"/>
        <w:spacing w:before="100"/>
        <w:rPr>
          <w:rFonts w:eastAsia="MinionPro-Regular"/>
        </w:rPr>
      </w:pPr>
      <w:r>
        <w:rPr>
          <w:rFonts w:eastAsia="MinionPro-Regular"/>
        </w:rPr>
        <w:t xml:space="preserve">State Government initiatives, </w:t>
      </w:r>
      <w:r w:rsidR="00EB3EA6">
        <w:rPr>
          <w:rFonts w:eastAsia="MinionPro-Regular"/>
        </w:rPr>
        <w:t>such as</w:t>
      </w:r>
      <w:r>
        <w:rPr>
          <w:rFonts w:eastAsia="MinionPro-Regular"/>
        </w:rPr>
        <w:t xml:space="preserve"> </w:t>
      </w:r>
      <w:r w:rsidR="00ED66AF">
        <w:rPr>
          <w:rFonts w:eastAsia="MinionPro-Regular"/>
        </w:rPr>
        <w:t>the NSW</w:t>
      </w:r>
      <w:r w:rsidR="003C18E0">
        <w:rPr>
          <w:rFonts w:eastAsia="MinionPro-Regular"/>
        </w:rPr>
        <w:t xml:space="preserve"> Government’s School-Link program, which provides early intervention programs in schools and TAFEs </w:t>
      </w:r>
      <w:r w:rsidR="00854FF1" w:rsidRPr="00854FF1">
        <w:rPr>
          <w:szCs w:val="24"/>
        </w:rPr>
        <w:t>(School-Link 2018)</w:t>
      </w:r>
    </w:p>
    <w:p w:rsidR="00BC5CA5" w:rsidRPr="00F81AEB" w:rsidRDefault="00F81AEB" w:rsidP="00534F30">
      <w:pPr>
        <w:pStyle w:val="ListBullet"/>
        <w:spacing w:before="100"/>
        <w:rPr>
          <w:rFonts w:eastAsia="MinionPro-Regular"/>
        </w:rPr>
      </w:pPr>
      <w:r>
        <w:rPr>
          <w:rFonts w:eastAsia="MinionPro-Regular"/>
        </w:rPr>
        <w:t xml:space="preserve">counselling and mental health support services provided by universities </w:t>
      </w:r>
      <w:r w:rsidR="00854FF1" w:rsidRPr="00854FF1">
        <w:rPr>
          <w:szCs w:val="24"/>
        </w:rPr>
        <w:t>(for example, University of Sydney 2018)</w:t>
      </w:r>
      <w:r>
        <w:rPr>
          <w:rFonts w:eastAsia="MinionPro-Regular"/>
        </w:rPr>
        <w:t>.</w:t>
      </w:r>
    </w:p>
    <w:p w:rsidR="00462A59" w:rsidRPr="004E3B94" w:rsidRDefault="00D96BCD" w:rsidP="00D96BCD">
      <w:pPr>
        <w:pStyle w:val="BoxSpaceAboveElement"/>
        <w:keepLines/>
        <w:tabs>
          <w:tab w:val="left" w:pos="2928"/>
        </w:tabs>
        <w:rPr>
          <w:vanish w:val="0"/>
          <w:color w:val="auto"/>
        </w:rPr>
      </w:pPr>
      <w:r>
        <w:rPr>
          <w:vanish w:val="0"/>
        </w:rPr>
        <w:tab/>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35C88" w:rsidTr="00D003A4">
        <w:trPr>
          <w:cantSplit/>
        </w:trPr>
        <w:tc>
          <w:tcPr>
            <w:tcW w:w="5000" w:type="pct"/>
            <w:tcBorders>
              <w:top w:val="single" w:sz="6" w:space="0" w:color="78A22F"/>
              <w:left w:val="nil"/>
              <w:bottom w:val="nil"/>
              <w:right w:val="nil"/>
            </w:tcBorders>
            <w:shd w:val="clear" w:color="auto" w:fill="auto"/>
          </w:tcPr>
          <w:p w:rsidR="00435C88" w:rsidRPr="00CE4C64" w:rsidRDefault="00435C88" w:rsidP="00435C88">
            <w:pPr>
              <w:pStyle w:val="InformationRequestTitle"/>
              <w:spacing w:before="120"/>
            </w:pPr>
            <w:r>
              <w:t>Questions on education and training</w:t>
            </w:r>
          </w:p>
        </w:tc>
      </w:tr>
      <w:tr w:rsidR="00435C88" w:rsidRPr="00750BE2" w:rsidTr="00D003A4">
        <w:trPr>
          <w:cantSplit/>
        </w:trPr>
        <w:tc>
          <w:tcPr>
            <w:tcW w:w="5000" w:type="pct"/>
            <w:tcBorders>
              <w:top w:val="nil"/>
              <w:left w:val="nil"/>
              <w:bottom w:val="nil"/>
              <w:right w:val="nil"/>
            </w:tcBorders>
            <w:shd w:val="clear" w:color="auto" w:fill="auto"/>
          </w:tcPr>
          <w:p w:rsidR="00914714" w:rsidRDefault="00914714" w:rsidP="008D3BB6">
            <w:pPr>
              <w:pStyle w:val="InformationRequestBullet"/>
              <w:tabs>
                <w:tab w:val="clear" w:pos="340"/>
              </w:tabs>
              <w:ind w:left="360" w:hanging="360"/>
            </w:pPr>
            <w:r>
              <w:t>What are the key barriers to children and young people with mental ill</w:t>
            </w:r>
            <w:r>
              <w:noBreakHyphen/>
              <w:t xml:space="preserve">health </w:t>
            </w:r>
            <w:r w:rsidR="006E05AD">
              <w:t xml:space="preserve">participating and </w:t>
            </w:r>
            <w:r>
              <w:t>engaging in education and training</w:t>
            </w:r>
            <w:r w:rsidR="00A26F56">
              <w:t>,</w:t>
            </w:r>
            <w:r>
              <w:t xml:space="preserve"> </w:t>
            </w:r>
            <w:r w:rsidR="006E05AD">
              <w:t>and achieving good education outcomes?</w:t>
            </w:r>
          </w:p>
          <w:p w:rsidR="005909F6" w:rsidRPr="008F2094" w:rsidRDefault="005909F6" w:rsidP="008D3BB6">
            <w:pPr>
              <w:pStyle w:val="InformationRequestBullet"/>
              <w:tabs>
                <w:tab w:val="clear" w:pos="340"/>
              </w:tabs>
              <w:ind w:left="360" w:hanging="360"/>
            </w:pPr>
            <w:r w:rsidRPr="008F2094">
              <w:t xml:space="preserve">Is there adequate support available for </w:t>
            </w:r>
            <w:r>
              <w:t xml:space="preserve">children and </w:t>
            </w:r>
            <w:r w:rsidRPr="008F2094">
              <w:t>young people with mental ill</w:t>
            </w:r>
            <w:r w:rsidRPr="008F2094">
              <w:noBreakHyphen/>
              <w:t xml:space="preserve">health to </w:t>
            </w:r>
            <w:r>
              <w:t>re</w:t>
            </w:r>
            <w:r>
              <w:noBreakHyphen/>
              <w:t>engage with</w:t>
            </w:r>
            <w:r w:rsidRPr="008F2094">
              <w:t xml:space="preserve"> education and training?</w:t>
            </w:r>
          </w:p>
          <w:p w:rsidR="009F3782" w:rsidRPr="009F3782" w:rsidRDefault="009F3782" w:rsidP="008D3BB6">
            <w:pPr>
              <w:pStyle w:val="InformationRequestBullet"/>
              <w:tabs>
                <w:tab w:val="clear" w:pos="340"/>
              </w:tabs>
              <w:ind w:left="360" w:hanging="360"/>
            </w:pPr>
            <w:r>
              <w:t xml:space="preserve">Do students in all levels of education and training have access to </w:t>
            </w:r>
            <w:r w:rsidRPr="000A65A3">
              <w:t xml:space="preserve">adequate </w:t>
            </w:r>
            <w:r w:rsidR="00B434C0">
              <w:t>mental health-</w:t>
            </w:r>
            <w:r w:rsidR="000A65A3">
              <w:t xml:space="preserve">related </w:t>
            </w:r>
            <w:r w:rsidRPr="000A65A3">
              <w:t>support</w:t>
            </w:r>
            <w:r w:rsidR="000A65A3">
              <w:t xml:space="preserve"> and education</w:t>
            </w:r>
            <w:r w:rsidRPr="000A65A3">
              <w:t xml:space="preserve">? </w:t>
            </w:r>
            <w:r w:rsidR="00DE12B8">
              <w:t xml:space="preserve">If not, </w:t>
            </w:r>
            <w:r w:rsidR="003E5377">
              <w:t>what</w:t>
            </w:r>
            <w:r w:rsidR="00DE12B8">
              <w:t xml:space="preserve"> are the</w:t>
            </w:r>
            <w:r w:rsidRPr="000A65A3">
              <w:t xml:space="preserve"> gaps?</w:t>
            </w:r>
          </w:p>
          <w:p w:rsidR="00914714" w:rsidRDefault="006C719B" w:rsidP="008D3BB6">
            <w:pPr>
              <w:pStyle w:val="InformationRequestBullet"/>
              <w:tabs>
                <w:tab w:val="clear" w:pos="340"/>
              </w:tabs>
              <w:ind w:left="360" w:hanging="360"/>
            </w:pPr>
            <w:r>
              <w:t>How effective a</w:t>
            </w:r>
            <w:r w:rsidR="00A26F56">
              <w:t>re</w:t>
            </w:r>
            <w:r w:rsidR="00BA205C">
              <w:t xml:space="preserve"> </w:t>
            </w:r>
            <w:r w:rsidR="006E05AD">
              <w:t>mental health</w:t>
            </w:r>
            <w:r w:rsidR="006E05AD">
              <w:noBreakHyphen/>
              <w:t xml:space="preserve">related </w:t>
            </w:r>
            <w:r w:rsidR="00897D5A">
              <w:t xml:space="preserve">supports and programs in </w:t>
            </w:r>
            <w:r>
              <w:t xml:space="preserve">Australian </w:t>
            </w:r>
            <w:r w:rsidR="00897D5A" w:rsidDel="00DE12B8">
              <w:t xml:space="preserve">education and </w:t>
            </w:r>
            <w:r w:rsidR="00DE12B8">
              <w:t>training</w:t>
            </w:r>
            <w:r w:rsidR="00897D5A">
              <w:t xml:space="preserve"> settings </w:t>
            </w:r>
            <w:r w:rsidR="009F3782">
              <w:t xml:space="preserve">in </w:t>
            </w:r>
            <w:r w:rsidR="00BA7C03">
              <w:t>providing support to students</w:t>
            </w:r>
            <w:r w:rsidR="005909F6">
              <w:t>?</w:t>
            </w:r>
            <w:r w:rsidR="00BA7C03">
              <w:t xml:space="preserve"> </w:t>
            </w:r>
            <w:r w:rsidR="005909F6">
              <w:t xml:space="preserve">How effective are programs in </w:t>
            </w:r>
            <w:r w:rsidR="00BA7C03">
              <w:t>educating staff, students and families, on mental health and wellbeing? What interventions are most effective</w:t>
            </w:r>
            <w:r w:rsidR="00897D5A">
              <w:t xml:space="preserve">? </w:t>
            </w:r>
            <w:r w:rsidR="00B502E7">
              <w:t xml:space="preserve">What evidence exists to support </w:t>
            </w:r>
            <w:r>
              <w:t xml:space="preserve">your </w:t>
            </w:r>
            <w:r w:rsidR="002D4D7E">
              <w:t>assessment</w:t>
            </w:r>
            <w:r w:rsidR="00B502E7">
              <w:t>?</w:t>
            </w:r>
          </w:p>
          <w:p w:rsidR="00435C88" w:rsidRDefault="00897D5A" w:rsidP="008D3BB6">
            <w:pPr>
              <w:pStyle w:val="InformationRequestBullet"/>
              <w:tabs>
                <w:tab w:val="clear" w:pos="340"/>
              </w:tabs>
              <w:ind w:left="360" w:hanging="360"/>
            </w:pPr>
            <w:r w:rsidRPr="008F2094">
              <w:t xml:space="preserve">Do teachers and other staff </w:t>
            </w:r>
            <w:r w:rsidR="00D05A5E">
              <w:t xml:space="preserve">in schools and education facilities </w:t>
            </w:r>
            <w:r w:rsidRPr="008F2094">
              <w:t xml:space="preserve">receive sufficient training on </w:t>
            </w:r>
            <w:r w:rsidR="00B502E7">
              <w:t xml:space="preserve">student </w:t>
            </w:r>
            <w:r w:rsidRPr="008F2094">
              <w:t>mental hea</w:t>
            </w:r>
            <w:r w:rsidR="009F3782" w:rsidRPr="008F2094">
              <w:t>lth</w:t>
            </w:r>
            <w:r w:rsidR="009F3782" w:rsidRPr="004652B2">
              <w:t>?</w:t>
            </w:r>
            <w:r w:rsidR="009F3782" w:rsidRPr="008F2094">
              <w:t xml:space="preserve"> Do they receive sufficient </w:t>
            </w:r>
            <w:r w:rsidR="00D05A5E" w:rsidRPr="008F2094">
              <w:t>support and advice</w:t>
            </w:r>
            <w:r w:rsidR="00D05A5E">
              <w:t>, including on the quality and suitability of different approaches,</w:t>
            </w:r>
            <w:r w:rsidR="00D05A5E" w:rsidRPr="008F2094">
              <w:t xml:space="preserve"> </w:t>
            </w:r>
            <w:r w:rsidR="009F3782" w:rsidRPr="008F2094">
              <w:t>to adequately support students</w:t>
            </w:r>
            <w:r w:rsidR="008F2094" w:rsidRPr="008F2094">
              <w:t xml:space="preserve"> with mental ill-health</w:t>
            </w:r>
            <w:r w:rsidR="009F3782" w:rsidRPr="008F2094">
              <w:t>?</w:t>
            </w:r>
          </w:p>
          <w:p w:rsidR="005909F6" w:rsidRPr="005909F6" w:rsidRDefault="005909F6" w:rsidP="008D3BB6">
            <w:pPr>
              <w:pStyle w:val="InformationRequestBullet"/>
              <w:tabs>
                <w:tab w:val="clear" w:pos="340"/>
              </w:tabs>
              <w:ind w:left="360" w:hanging="360"/>
            </w:pPr>
            <w:r>
              <w:t>What overseas practice</w:t>
            </w:r>
            <w:r w:rsidR="002D50F0">
              <w:t>s</w:t>
            </w:r>
            <w:r>
              <w:t xml:space="preserve"> </w:t>
            </w:r>
            <w:r w:rsidR="002D50F0">
              <w:t>for</w:t>
            </w:r>
            <w:r>
              <w:t xml:space="preserve"> supporting mental health in education and training should be considered for Australia?</w:t>
            </w:r>
            <w:r w:rsidR="004E7D2E">
              <w:t xml:space="preserve"> Why? Is there formal evidence of the success of these practices, such as </w:t>
            </w:r>
            <w:r w:rsidR="00AD32E3">
              <w:t xml:space="preserve">an </w:t>
            </w:r>
            <w:r w:rsidR="004E7D2E">
              <w:t>independent evaluation?</w:t>
            </w:r>
          </w:p>
        </w:tc>
      </w:tr>
      <w:tr w:rsidR="00435C88" w:rsidTr="00D003A4">
        <w:trPr>
          <w:cantSplit/>
        </w:trPr>
        <w:tc>
          <w:tcPr>
            <w:tcW w:w="5000" w:type="pct"/>
            <w:tcBorders>
              <w:top w:val="nil"/>
              <w:left w:val="nil"/>
              <w:bottom w:val="single" w:sz="6" w:space="0" w:color="78A22F"/>
              <w:right w:val="nil"/>
            </w:tcBorders>
            <w:shd w:val="clear" w:color="auto" w:fill="auto"/>
          </w:tcPr>
          <w:p w:rsidR="00435C88" w:rsidRDefault="00435C88" w:rsidP="006E05AD">
            <w:pPr>
              <w:pStyle w:val="Space"/>
              <w:keepLines/>
            </w:pPr>
          </w:p>
        </w:tc>
      </w:tr>
      <w:tr w:rsidR="00435C88" w:rsidRPr="000863A5" w:rsidTr="00D003A4">
        <w:trPr>
          <w:cantSplit/>
        </w:trPr>
        <w:tc>
          <w:tcPr>
            <w:tcW w:w="5000" w:type="pct"/>
            <w:tcBorders>
              <w:top w:val="single" w:sz="6" w:space="0" w:color="78A22F"/>
              <w:left w:val="nil"/>
              <w:bottom w:val="nil"/>
              <w:right w:val="nil"/>
            </w:tcBorders>
          </w:tcPr>
          <w:p w:rsidR="00435C88" w:rsidRPr="00626D32" w:rsidRDefault="00A34B81" w:rsidP="00A34B81">
            <w:pPr>
              <w:pStyle w:val="BoxSpaceBelow"/>
              <w:keepLines/>
              <w:tabs>
                <w:tab w:val="right" w:pos="8505"/>
              </w:tabs>
            </w:pPr>
            <w:r>
              <w:rPr>
                <w:rFonts w:ascii="Times New Roman" w:hAnsi="Times New Roman"/>
                <w:b/>
                <w:color w:val="FF00FF"/>
              </w:rPr>
              <w:tab/>
            </w:r>
          </w:p>
        </w:tc>
      </w:tr>
    </w:tbl>
    <w:p w:rsidR="00332540" w:rsidRDefault="001C7143" w:rsidP="0050025A">
      <w:pPr>
        <w:pStyle w:val="Heading4"/>
        <w:spacing w:before="360"/>
      </w:pPr>
      <w:r>
        <w:t>Government su</w:t>
      </w:r>
      <w:r w:rsidR="00332540" w:rsidRPr="00FE13F1">
        <w:t>pport to find and maintain a job</w:t>
      </w:r>
    </w:p>
    <w:p w:rsidR="00462ECC" w:rsidRDefault="00462ECC" w:rsidP="00462ECC">
      <w:pPr>
        <w:pStyle w:val="BodyText"/>
      </w:pPr>
      <w:r>
        <w:t xml:space="preserve">The rate of workforce participation among people with a diagnosed mental illness (62%) is considerably lower than for those without a mental illness (80%). There are strong social and economic arguments </w:t>
      </w:r>
      <w:r w:rsidR="00FF68D6">
        <w:t xml:space="preserve">for governments </w:t>
      </w:r>
      <w:r w:rsidR="0096613A">
        <w:t xml:space="preserve">to </w:t>
      </w:r>
      <w:r w:rsidR="00F81FEF">
        <w:t>reduce this gap</w:t>
      </w:r>
      <w:r w:rsidR="00874ACF">
        <w:t xml:space="preserve"> by </w:t>
      </w:r>
      <w:r w:rsidR="0096613A">
        <w:t>support</w:t>
      </w:r>
      <w:r w:rsidR="00874ACF">
        <w:t>ing</w:t>
      </w:r>
      <w:r w:rsidR="0096613A">
        <w:t xml:space="preserve"> individuals with a mental illness to find and maintain a job</w:t>
      </w:r>
      <w:r>
        <w:t xml:space="preserve">. Employment </w:t>
      </w:r>
      <w:r w:rsidR="00F81FEF">
        <w:t xml:space="preserve">can </w:t>
      </w:r>
      <w:r>
        <w:t>provide</w:t>
      </w:r>
      <w:r w:rsidR="00F81FEF">
        <w:t xml:space="preserve"> them with </w:t>
      </w:r>
      <w:r>
        <w:t>social engagement</w:t>
      </w:r>
      <w:r w:rsidR="00F81FEF">
        <w:t>;</w:t>
      </w:r>
      <w:r>
        <w:t xml:space="preserve"> </w:t>
      </w:r>
      <w:r w:rsidR="00F81FEF">
        <w:t>be</w:t>
      </w:r>
      <w:r>
        <w:t xml:space="preserve"> important in providing a sense of self</w:t>
      </w:r>
      <w:r>
        <w:noBreakHyphen/>
        <w:t>identity, purpose and daily structure</w:t>
      </w:r>
      <w:r w:rsidR="00F81FEF">
        <w:t>; and is</w:t>
      </w:r>
      <w:r>
        <w:t xml:space="preserve"> associated with better mental wellbeing, </w:t>
      </w:r>
      <w:r w:rsidR="00F81FEF">
        <w:t xml:space="preserve">including </w:t>
      </w:r>
      <w:r>
        <w:t xml:space="preserve">lower rates of depression and anxiety </w:t>
      </w:r>
      <w:r w:rsidR="00854FF1" w:rsidRPr="00854FF1">
        <w:rPr>
          <w:szCs w:val="24"/>
        </w:rPr>
        <w:t>(Harvey et al. 2012)</w:t>
      </w:r>
      <w:r>
        <w:t xml:space="preserve">. Workforce participation </w:t>
      </w:r>
      <w:r w:rsidR="00D34121">
        <w:t xml:space="preserve">also </w:t>
      </w:r>
      <w:r>
        <w:t xml:space="preserve">reduces reliance on income support measures and increases the overall income generation capacity of the economy. </w:t>
      </w:r>
    </w:p>
    <w:p w:rsidR="00332540" w:rsidRDefault="00332540" w:rsidP="00332540">
      <w:pPr>
        <w:pStyle w:val="BodyText"/>
      </w:pPr>
      <w:r>
        <w:lastRenderedPageBreak/>
        <w:t xml:space="preserve">The Australian Government has primary responsibility for income support and employment services for people </w:t>
      </w:r>
      <w:r w:rsidR="006D459F">
        <w:t>experiencing mental ill-health</w:t>
      </w:r>
      <w:r>
        <w:t xml:space="preserve"> </w:t>
      </w:r>
      <w:r w:rsidR="00854FF1" w:rsidRPr="00854FF1">
        <w:rPr>
          <w:szCs w:val="24"/>
        </w:rPr>
        <w:t>(AIHW 2018f)</w:t>
      </w:r>
      <w:r>
        <w:t xml:space="preserve">. It funds a number of programs and services provided by both profit and non-profit organisations to assist </w:t>
      </w:r>
      <w:r w:rsidR="006D454A">
        <w:t xml:space="preserve">people with mental ill-health, </w:t>
      </w:r>
      <w:r>
        <w:t>and their carers</w:t>
      </w:r>
      <w:r w:rsidR="006D454A">
        <w:t>,</w:t>
      </w:r>
      <w:r>
        <w:t xml:space="preserve"> </w:t>
      </w:r>
      <w:r w:rsidR="00F65512">
        <w:t>to</w:t>
      </w:r>
      <w:r w:rsidR="00A520CF">
        <w:t xml:space="preserve"> </w:t>
      </w:r>
      <w:r>
        <w:t xml:space="preserve">find employment and remain in the workforce. This includes </w:t>
      </w:r>
      <w:r w:rsidR="000A3272">
        <w:t>the</w:t>
      </w:r>
      <w:r>
        <w:t>:</w:t>
      </w:r>
    </w:p>
    <w:p w:rsidR="00332540" w:rsidRDefault="00332540" w:rsidP="00F80CFC">
      <w:pPr>
        <w:pStyle w:val="ListBullet"/>
        <w:spacing w:before="60"/>
      </w:pPr>
      <w:r>
        <w:t xml:space="preserve">Disability Employment Service (DES), which assists those with a disability, injury or health condition </w:t>
      </w:r>
      <w:r w:rsidR="00F03612">
        <w:t xml:space="preserve">to </w:t>
      </w:r>
      <w:r>
        <w:t>find and keep a job</w:t>
      </w:r>
    </w:p>
    <w:p w:rsidR="00332540" w:rsidRDefault="00332540" w:rsidP="00F80CFC">
      <w:pPr>
        <w:pStyle w:val="ListBullet"/>
        <w:spacing w:before="60"/>
      </w:pPr>
      <w:r>
        <w:t>Personal Helpers and Mentors (PHaMs) employment services, which focus on assisting people with a mental illness to overcome non-vocational barriers to finding or keeping a job. PHaMs will be transitioned to the NDIS from 2019</w:t>
      </w:r>
      <w:r>
        <w:noBreakHyphen/>
        <w:t>20</w:t>
      </w:r>
    </w:p>
    <w:p w:rsidR="00332540" w:rsidRDefault="00332540" w:rsidP="00F80CFC">
      <w:pPr>
        <w:pStyle w:val="ListBullet"/>
        <w:spacing w:before="60"/>
      </w:pPr>
      <w:r>
        <w:t>Carers and Work program, which helps carers to increase their workforce participation.</w:t>
      </w:r>
    </w:p>
    <w:p w:rsidR="0017202A" w:rsidRDefault="0017202A" w:rsidP="007D2EA3">
      <w:pPr>
        <w:pStyle w:val="BodyText"/>
      </w:pPr>
      <w:r>
        <w:t xml:space="preserve">State and Territory Government employment support is provided through various programs, including by funding the provision of </w:t>
      </w:r>
      <w:r w:rsidR="008804D1">
        <w:t>community-</w:t>
      </w:r>
      <w:r>
        <w:t>based mental health support services, and social enterprises to employ people with mental and physical disabilities.</w:t>
      </w:r>
    </w:p>
    <w:p w:rsidR="00332540" w:rsidRPr="004E3B94" w:rsidRDefault="00332540" w:rsidP="00332540">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332540" w:rsidTr="0044262A">
        <w:trPr>
          <w:cantSplit/>
        </w:trPr>
        <w:tc>
          <w:tcPr>
            <w:tcW w:w="5000" w:type="pct"/>
            <w:tcBorders>
              <w:top w:val="single" w:sz="6" w:space="0" w:color="78A22F"/>
              <w:left w:val="nil"/>
              <w:bottom w:val="nil"/>
              <w:right w:val="nil"/>
            </w:tcBorders>
            <w:shd w:val="clear" w:color="auto" w:fill="auto"/>
          </w:tcPr>
          <w:p w:rsidR="00332540" w:rsidRPr="00CE4C64" w:rsidRDefault="00332540" w:rsidP="0044262A">
            <w:pPr>
              <w:pStyle w:val="InformationRequestTitle"/>
              <w:spacing w:before="120"/>
            </w:pPr>
            <w:r>
              <w:t>Questions on government-funded employment support</w:t>
            </w:r>
          </w:p>
        </w:tc>
      </w:tr>
      <w:tr w:rsidR="00332540" w:rsidRPr="00750BE2" w:rsidTr="0044262A">
        <w:trPr>
          <w:cantSplit/>
        </w:trPr>
        <w:tc>
          <w:tcPr>
            <w:tcW w:w="5000" w:type="pct"/>
            <w:tcBorders>
              <w:top w:val="nil"/>
              <w:left w:val="nil"/>
              <w:bottom w:val="nil"/>
              <w:right w:val="nil"/>
            </w:tcBorders>
            <w:shd w:val="clear" w:color="auto" w:fill="auto"/>
          </w:tcPr>
          <w:p w:rsidR="00185225" w:rsidRDefault="00332540" w:rsidP="00CA553E">
            <w:pPr>
              <w:pStyle w:val="InformationRequestBullet"/>
              <w:tabs>
                <w:tab w:val="clear" w:pos="340"/>
              </w:tabs>
              <w:ind w:left="360" w:hanging="360"/>
            </w:pPr>
            <w:r>
              <w:t>How cost effective have</w:t>
            </w:r>
            <w:r w:rsidRPr="009D1A4F">
              <w:t xml:space="preserve"> the</w:t>
            </w:r>
            <w:r>
              <w:t xml:space="preserve"> </w:t>
            </w:r>
            <w:r w:rsidR="00043BCB">
              <w:t xml:space="preserve">Australian Government’s </w:t>
            </w:r>
            <w:r>
              <w:t xml:space="preserve">Disability Employment Service (DES) and Personal Helpers and Mentors service (PHaMs) been </w:t>
            </w:r>
            <w:r w:rsidRPr="009D1A4F">
              <w:t xml:space="preserve">in </w:t>
            </w:r>
            <w:r>
              <w:t xml:space="preserve">enabling </w:t>
            </w:r>
            <w:r w:rsidRPr="009D1A4F">
              <w:t xml:space="preserve">people with a mental illness </w:t>
            </w:r>
            <w:r>
              <w:t xml:space="preserve">to </w:t>
            </w:r>
            <w:r w:rsidRPr="009D1A4F">
              <w:t xml:space="preserve">find </w:t>
            </w:r>
            <w:r>
              <w:t xml:space="preserve">and keep </w:t>
            </w:r>
            <w:r w:rsidRPr="009D1A4F">
              <w:t>a job?</w:t>
            </w:r>
            <w:r>
              <w:t xml:space="preserve"> Have the DES and PHaM</w:t>
            </w:r>
            <w:r w:rsidR="00F80CFC">
              <w:t>s</w:t>
            </w:r>
            <w:r w:rsidRPr="009D1A4F">
              <w:t xml:space="preserve"> </w:t>
            </w:r>
            <w:r>
              <w:t>been targeted at the right population</w:t>
            </w:r>
            <w:r w:rsidR="0011403A">
              <w:t>s</w:t>
            </w:r>
            <w:r>
              <w:t xml:space="preserve">? </w:t>
            </w:r>
          </w:p>
          <w:p w:rsidR="00332540" w:rsidRDefault="00332540" w:rsidP="00CA553E">
            <w:pPr>
              <w:pStyle w:val="InformationRequestBullet"/>
              <w:tabs>
                <w:tab w:val="clear" w:pos="340"/>
              </w:tabs>
              <w:ind w:left="360" w:hanging="360"/>
            </w:pPr>
            <w:r>
              <w:t xml:space="preserve">What </w:t>
            </w:r>
            <w:r w:rsidR="00B328A1">
              <w:t xml:space="preserve">alternative approaches </w:t>
            </w:r>
            <w:r w:rsidR="00B9508D">
              <w:t>would better support</w:t>
            </w:r>
            <w:r w:rsidR="00B328A1">
              <w:t xml:space="preserve"> people with a mental illness</w:t>
            </w:r>
            <w:r w:rsidR="00B9508D">
              <w:t xml:space="preserve"> (whether episodic or not)</w:t>
            </w:r>
            <w:r w:rsidR="00B328A1">
              <w:t xml:space="preserve"> to find and keep a job</w:t>
            </w:r>
            <w:r w:rsidRPr="009D1A4F">
              <w:t>?</w:t>
            </w:r>
          </w:p>
          <w:p w:rsidR="00332540" w:rsidRPr="009D1A4F" w:rsidRDefault="00332540" w:rsidP="00CA553E">
            <w:pPr>
              <w:pStyle w:val="InformationRequestBullet"/>
              <w:tabs>
                <w:tab w:val="clear" w:pos="340"/>
              </w:tabs>
              <w:ind w:left="360" w:hanging="360"/>
            </w:pPr>
            <w:r>
              <w:t>To what extent has the workforce participation</w:t>
            </w:r>
            <w:r w:rsidDel="001B7016">
              <w:t xml:space="preserve"> </w:t>
            </w:r>
            <w:r>
              <w:t xml:space="preserve">of carers increased due to the </w:t>
            </w:r>
            <w:r w:rsidR="00FB77B3">
              <w:t xml:space="preserve">Australian Government’s </w:t>
            </w:r>
            <w:r>
              <w:t>Carers and Work Program?</w:t>
            </w:r>
          </w:p>
          <w:p w:rsidR="004A0898" w:rsidRDefault="004A0898" w:rsidP="00CA553E">
            <w:pPr>
              <w:pStyle w:val="InformationRequestBullet"/>
              <w:tabs>
                <w:tab w:val="clear" w:pos="340"/>
              </w:tabs>
              <w:ind w:left="360" w:hanging="360"/>
            </w:pPr>
            <w:r w:rsidRPr="004A0898">
              <w:t>What will the transition to the NDIS mean for those receiving employment support?</w:t>
            </w:r>
          </w:p>
          <w:p w:rsidR="00332540" w:rsidRDefault="004D72B1" w:rsidP="00CA553E">
            <w:pPr>
              <w:pStyle w:val="InformationRequestBullet"/>
              <w:tabs>
                <w:tab w:val="clear" w:pos="340"/>
              </w:tabs>
              <w:ind w:left="360" w:hanging="360"/>
            </w:pPr>
            <w:r w:rsidRPr="004D72B1">
              <w:t>Wh</w:t>
            </w:r>
            <w:r w:rsidR="00E00986">
              <w:t>ich</w:t>
            </w:r>
            <w:r w:rsidRPr="004D72B1">
              <w:t xml:space="preserve"> State or Territory Government programs have been found to be most effective </w:t>
            </w:r>
            <w:r w:rsidR="004A0898">
              <w:t>in</w:t>
            </w:r>
            <w:r w:rsidRPr="004D72B1">
              <w:t xml:space="preserve"> enabling people with a mental illness to find and keep a job? What evidence supports this</w:t>
            </w:r>
            <w:r w:rsidR="00332540" w:rsidRPr="009D1A4F">
              <w:t>?</w:t>
            </w:r>
          </w:p>
          <w:p w:rsidR="00332540" w:rsidRPr="001B7016" w:rsidRDefault="00332540" w:rsidP="00CA553E">
            <w:pPr>
              <w:pStyle w:val="InformationRequestBullet"/>
              <w:tabs>
                <w:tab w:val="clear" w:pos="340"/>
              </w:tabs>
              <w:ind w:left="360" w:hanging="360"/>
            </w:pPr>
            <w:r>
              <w:t xml:space="preserve">How could employment outcomes for people </w:t>
            </w:r>
            <w:r w:rsidR="005A39FC">
              <w:t xml:space="preserve">experiencing </w:t>
            </w:r>
            <w:r>
              <w:t xml:space="preserve">mental </w:t>
            </w:r>
            <w:r w:rsidR="005A39FC">
              <w:t>ill-</w:t>
            </w:r>
            <w:r>
              <w:t xml:space="preserve">health be further improved? </w:t>
            </w:r>
          </w:p>
        </w:tc>
      </w:tr>
      <w:tr w:rsidR="00332540" w:rsidTr="0044262A">
        <w:trPr>
          <w:cantSplit/>
        </w:trPr>
        <w:tc>
          <w:tcPr>
            <w:tcW w:w="5000" w:type="pct"/>
            <w:tcBorders>
              <w:top w:val="nil"/>
              <w:left w:val="nil"/>
              <w:bottom w:val="single" w:sz="6" w:space="0" w:color="78A22F"/>
              <w:right w:val="nil"/>
            </w:tcBorders>
            <w:shd w:val="clear" w:color="auto" w:fill="auto"/>
          </w:tcPr>
          <w:p w:rsidR="00332540" w:rsidRDefault="00332540" w:rsidP="0044262A">
            <w:pPr>
              <w:pStyle w:val="Space"/>
              <w:keepLines/>
            </w:pPr>
          </w:p>
        </w:tc>
      </w:tr>
      <w:tr w:rsidR="00332540" w:rsidRPr="000863A5" w:rsidTr="0044262A">
        <w:trPr>
          <w:cantSplit/>
        </w:trPr>
        <w:tc>
          <w:tcPr>
            <w:tcW w:w="5000" w:type="pct"/>
            <w:tcBorders>
              <w:top w:val="single" w:sz="6" w:space="0" w:color="78A22F"/>
              <w:left w:val="nil"/>
              <w:bottom w:val="nil"/>
              <w:right w:val="nil"/>
            </w:tcBorders>
          </w:tcPr>
          <w:p w:rsidR="00332540" w:rsidRPr="00626D32" w:rsidRDefault="00332540" w:rsidP="00F80CFC">
            <w:pPr>
              <w:pStyle w:val="BoxSpaceBelow"/>
              <w:keepLines/>
              <w:spacing w:before="0" w:line="40" w:lineRule="exact"/>
            </w:pPr>
          </w:p>
        </w:tc>
      </w:tr>
    </w:tbl>
    <w:p w:rsidR="0017202A" w:rsidRDefault="0017202A" w:rsidP="0017202A">
      <w:pPr>
        <w:pStyle w:val="BodyText"/>
      </w:pPr>
      <w:r>
        <w:t xml:space="preserve">The Australian Government also provides general support to firms to employ people with a disability, injury or health condition (including mental illness). This involves the provision of wage subsidies and special workplace arrangements to enable employers to pay wages to a person with a disability, injury or health condition based on how productive they are in their job. Furthermore, there is financial assistance for employers to provide for work-related modifications, equipment and workplace assistance to employ people with a disability, injury or health condition through </w:t>
      </w:r>
      <w:r w:rsidR="000D7D0A">
        <w:t>an</w:t>
      </w:r>
      <w:r>
        <w:t xml:space="preserve"> employment assistance fund.</w:t>
      </w:r>
    </w:p>
    <w:p w:rsidR="00332540" w:rsidRPr="004E3B94" w:rsidRDefault="00332540" w:rsidP="00332540">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332540" w:rsidTr="0044262A">
        <w:trPr>
          <w:cantSplit/>
        </w:trPr>
        <w:tc>
          <w:tcPr>
            <w:tcW w:w="5000" w:type="pct"/>
            <w:tcBorders>
              <w:top w:val="single" w:sz="6" w:space="0" w:color="78A22F"/>
              <w:left w:val="nil"/>
              <w:bottom w:val="nil"/>
              <w:right w:val="nil"/>
            </w:tcBorders>
            <w:shd w:val="clear" w:color="auto" w:fill="auto"/>
          </w:tcPr>
          <w:p w:rsidR="00332540" w:rsidRPr="00CE4C64" w:rsidRDefault="00332540" w:rsidP="000D7D0A">
            <w:pPr>
              <w:pStyle w:val="InformationRequestTitle"/>
              <w:spacing w:before="120"/>
            </w:pPr>
            <w:r>
              <w:t xml:space="preserve">Questions on </w:t>
            </w:r>
            <w:r w:rsidR="00FD6B78">
              <w:t xml:space="preserve">general </w:t>
            </w:r>
            <w:r w:rsidR="000D7D0A">
              <w:t xml:space="preserve">employment </w:t>
            </w:r>
            <w:r>
              <w:t xml:space="preserve">support to </w:t>
            </w:r>
            <w:r w:rsidR="00FD6B78">
              <w:t>firms</w:t>
            </w:r>
          </w:p>
        </w:tc>
      </w:tr>
      <w:tr w:rsidR="00332540" w:rsidRPr="00750BE2" w:rsidTr="0044262A">
        <w:trPr>
          <w:cantSplit/>
        </w:trPr>
        <w:tc>
          <w:tcPr>
            <w:tcW w:w="5000" w:type="pct"/>
            <w:tcBorders>
              <w:top w:val="nil"/>
              <w:left w:val="nil"/>
              <w:bottom w:val="nil"/>
              <w:right w:val="nil"/>
            </w:tcBorders>
            <w:shd w:val="clear" w:color="auto" w:fill="auto"/>
          </w:tcPr>
          <w:p w:rsidR="00332540" w:rsidRDefault="00332540" w:rsidP="00CA553E">
            <w:pPr>
              <w:pStyle w:val="InformationRequestBullet"/>
              <w:tabs>
                <w:tab w:val="clear" w:pos="340"/>
              </w:tabs>
              <w:ind w:left="360" w:hanging="360"/>
            </w:pPr>
            <w:r>
              <w:t>What examples are there of</w:t>
            </w:r>
            <w:r w:rsidRPr="00E86696">
              <w:t xml:space="preserve"> employers </w:t>
            </w:r>
            <w:r w:rsidR="007B6A07">
              <w:t>using</w:t>
            </w:r>
            <w:r w:rsidR="007B6A07" w:rsidRPr="00E86696">
              <w:t xml:space="preserve"> </w:t>
            </w:r>
            <w:r>
              <w:t xml:space="preserve">general disability </w:t>
            </w:r>
            <w:r w:rsidRPr="00E86696">
              <w:t xml:space="preserve">support </w:t>
            </w:r>
            <w:r>
              <w:t xml:space="preserve">measures (through supported wages and assistance to provide workplace modifications) </w:t>
            </w:r>
            <w:r w:rsidRPr="00E86696">
              <w:t xml:space="preserve">to employ people with a mental illness? How could </w:t>
            </w:r>
            <w:r w:rsidR="00B523E9">
              <w:t>such</w:t>
            </w:r>
            <w:r>
              <w:t xml:space="preserve"> measures </w:t>
            </w:r>
            <w:r w:rsidRPr="00E86696">
              <w:t xml:space="preserve">be made more effective to encourage employers to employ people with a mental illness? </w:t>
            </w:r>
          </w:p>
          <w:p w:rsidR="00332540" w:rsidRPr="0035192A" w:rsidRDefault="00332540" w:rsidP="00CA553E">
            <w:pPr>
              <w:pStyle w:val="InformationRequestBullet"/>
              <w:tabs>
                <w:tab w:val="clear" w:pos="340"/>
              </w:tabs>
              <w:ind w:left="360" w:hanging="360"/>
            </w:pPr>
            <w:r w:rsidRPr="00E86696">
              <w:t xml:space="preserve">Are there other support measures that would be </w:t>
            </w:r>
            <w:r>
              <w:t xml:space="preserve">equally or more cost </w:t>
            </w:r>
            <w:r w:rsidRPr="00E86696">
              <w:t>effective</w:t>
            </w:r>
            <w:r w:rsidR="00B523E9">
              <w:t>,</w:t>
            </w:r>
            <w:r>
              <w:t xml:space="preserve"> or deliver improved outcomes</w:t>
            </w:r>
            <w:r w:rsidRPr="00E86696">
              <w:t>?</w:t>
            </w:r>
          </w:p>
        </w:tc>
      </w:tr>
      <w:tr w:rsidR="00332540" w:rsidTr="0044262A">
        <w:trPr>
          <w:cantSplit/>
        </w:trPr>
        <w:tc>
          <w:tcPr>
            <w:tcW w:w="5000" w:type="pct"/>
            <w:tcBorders>
              <w:top w:val="nil"/>
              <w:left w:val="nil"/>
              <w:bottom w:val="single" w:sz="6" w:space="0" w:color="78A22F"/>
              <w:right w:val="nil"/>
            </w:tcBorders>
            <w:shd w:val="clear" w:color="auto" w:fill="auto"/>
          </w:tcPr>
          <w:p w:rsidR="00332540" w:rsidRDefault="00332540" w:rsidP="0044262A">
            <w:pPr>
              <w:pStyle w:val="Space"/>
              <w:keepLines/>
            </w:pPr>
          </w:p>
        </w:tc>
      </w:tr>
      <w:tr w:rsidR="00332540" w:rsidRPr="000863A5" w:rsidTr="0044262A">
        <w:trPr>
          <w:cantSplit/>
        </w:trPr>
        <w:tc>
          <w:tcPr>
            <w:tcW w:w="5000" w:type="pct"/>
            <w:tcBorders>
              <w:top w:val="single" w:sz="6" w:space="0" w:color="78A22F"/>
              <w:left w:val="nil"/>
              <w:bottom w:val="nil"/>
              <w:right w:val="nil"/>
            </w:tcBorders>
          </w:tcPr>
          <w:p w:rsidR="00332540" w:rsidRPr="00626D32" w:rsidRDefault="00332540" w:rsidP="00F80CFC">
            <w:pPr>
              <w:pStyle w:val="BoxSpaceBelow"/>
              <w:keepLines/>
              <w:spacing w:line="40" w:lineRule="exact"/>
            </w:pPr>
          </w:p>
        </w:tc>
      </w:tr>
    </w:tbl>
    <w:p w:rsidR="00FE13F1" w:rsidRDefault="00FE13F1" w:rsidP="00534F30">
      <w:pPr>
        <w:pStyle w:val="Heading4"/>
        <w:tabs>
          <w:tab w:val="left" w:pos="4959"/>
        </w:tabs>
        <w:spacing w:before="360"/>
      </w:pPr>
      <w:r>
        <w:t>Mentally healthy workplaces</w:t>
      </w:r>
    </w:p>
    <w:p w:rsidR="00125ED0" w:rsidRDefault="007806F7" w:rsidP="00534F30">
      <w:pPr>
        <w:pStyle w:val="BodyText"/>
        <w:spacing w:before="230"/>
      </w:pPr>
      <w:r w:rsidRPr="007D2EA3">
        <w:t xml:space="preserve">There are many actions </w:t>
      </w:r>
      <w:r w:rsidR="00327019">
        <w:t>that</w:t>
      </w:r>
      <w:r w:rsidRPr="007D2EA3">
        <w:t xml:space="preserve"> </w:t>
      </w:r>
      <w:r w:rsidR="00125ED0">
        <w:t>could</w:t>
      </w:r>
      <w:r w:rsidR="00125ED0" w:rsidRPr="007D2EA3">
        <w:t xml:space="preserve"> </w:t>
      </w:r>
      <w:r w:rsidR="00125ED0">
        <w:t xml:space="preserve">potentially </w:t>
      </w:r>
      <w:r w:rsidRPr="007D2EA3">
        <w:t xml:space="preserve">be taken in workplaces to </w:t>
      </w:r>
      <w:r w:rsidR="00BC4B62">
        <w:t>improve</w:t>
      </w:r>
      <w:r w:rsidRPr="007D2EA3">
        <w:t xml:space="preserve"> </w:t>
      </w:r>
      <w:r w:rsidR="00125ED0">
        <w:t>mental health</w:t>
      </w:r>
      <w:r w:rsidRPr="007D2EA3">
        <w:t xml:space="preserve">. </w:t>
      </w:r>
      <w:r w:rsidR="00125ED0">
        <w:t>Examples include</w:t>
      </w:r>
      <w:r w:rsidR="00327019">
        <w:t>:</w:t>
      </w:r>
      <w:r w:rsidR="00125ED0">
        <w:t xml:space="preserve"> anti-bullying policies</w:t>
      </w:r>
      <w:r w:rsidR="00864C6E">
        <w:t>;</w:t>
      </w:r>
      <w:r w:rsidR="00125ED0">
        <w:t xml:space="preserve"> improved manager and leadership training to better manage workplace</w:t>
      </w:r>
      <w:r w:rsidR="00327019" w:rsidRPr="00327019">
        <w:t xml:space="preserve"> </w:t>
      </w:r>
      <w:r w:rsidR="00327019">
        <w:t>changes</w:t>
      </w:r>
      <w:r w:rsidR="00125ED0">
        <w:t>; resilience training and stress management; promoting and supporting early help through employee assistance programs; support and training for those returning</w:t>
      </w:r>
      <w:r w:rsidR="00327019">
        <w:t xml:space="preserve"> to</w:t>
      </w:r>
      <w:r w:rsidR="00125ED0">
        <w:t xml:space="preserve"> work from a mental illness; </w:t>
      </w:r>
      <w:r w:rsidR="00E73748">
        <w:t>giving workers</w:t>
      </w:r>
      <w:r w:rsidR="00E73748" w:rsidRPr="00A91C57">
        <w:t xml:space="preserve"> </w:t>
      </w:r>
      <w:r w:rsidR="00E73748">
        <w:t xml:space="preserve">greater flexibility and </w:t>
      </w:r>
      <w:r w:rsidR="00E73748" w:rsidRPr="00A91C57">
        <w:t>control over how, when and where their work is completed</w:t>
      </w:r>
      <w:r w:rsidR="00E73748">
        <w:t xml:space="preserve">; </w:t>
      </w:r>
      <w:r w:rsidR="00125ED0">
        <w:t>and increasing awareness of mental illness among employees to reduce stigma and facilitate support from work colleagues.</w:t>
      </w:r>
    </w:p>
    <w:p w:rsidR="008D08BC" w:rsidRDefault="00F3604D" w:rsidP="00534F30">
      <w:pPr>
        <w:pStyle w:val="BodyText"/>
        <w:spacing w:before="230"/>
      </w:pPr>
      <w:r w:rsidRPr="00F3604D">
        <w:t>A n</w:t>
      </w:r>
      <w:r>
        <w:t>umber</w:t>
      </w:r>
      <w:r w:rsidRPr="00F3604D">
        <w:t xml:space="preserve"> of studies have estimated that such measures </w:t>
      </w:r>
      <w:r w:rsidR="002E5F69">
        <w:t>could</w:t>
      </w:r>
      <w:r w:rsidRPr="00F3604D">
        <w:t xml:space="preserve"> deliver a net benefit not only for employees but also </w:t>
      </w:r>
      <w:r w:rsidR="004166DA">
        <w:t xml:space="preserve">the </w:t>
      </w:r>
      <w:r w:rsidRPr="00F3604D">
        <w:t xml:space="preserve">businesses which implement them. For example, </w:t>
      </w:r>
      <w:r w:rsidR="009A16D6">
        <w:t>PWC </w:t>
      </w:r>
      <w:r w:rsidR="00854FF1" w:rsidRPr="00854FF1">
        <w:t>(2014)</w:t>
      </w:r>
      <w:r w:rsidRPr="00F3604D">
        <w:t xml:space="preserve"> modelled </w:t>
      </w:r>
      <w:r w:rsidR="00FA77C1">
        <w:t>various</w:t>
      </w:r>
      <w:r w:rsidRPr="00F3604D">
        <w:t xml:space="preserve"> </w:t>
      </w:r>
      <w:r w:rsidR="006C5D83">
        <w:t>initiatives</w:t>
      </w:r>
      <w:r w:rsidRPr="00F3604D">
        <w:t xml:space="preserve"> </w:t>
      </w:r>
      <w:r w:rsidR="00053DFA">
        <w:t xml:space="preserve">to facilitate </w:t>
      </w:r>
      <w:r w:rsidR="005F2626">
        <w:t>better</w:t>
      </w:r>
      <w:r w:rsidR="00053DFA">
        <w:t xml:space="preserve"> mental health in </w:t>
      </w:r>
      <w:r w:rsidR="00272B8A">
        <w:t xml:space="preserve">Australian </w:t>
      </w:r>
      <w:r w:rsidR="00053DFA">
        <w:t xml:space="preserve">workplaces </w:t>
      </w:r>
      <w:r w:rsidRPr="00F3604D">
        <w:t>which it estimated would deliver a</w:t>
      </w:r>
      <w:r w:rsidR="00511C9A">
        <w:t>n average</w:t>
      </w:r>
      <w:r w:rsidRPr="00F3604D">
        <w:t xml:space="preserve"> return to employers of $2.30 for every $1.00 invested. </w:t>
      </w:r>
      <w:r w:rsidR="0088585B">
        <w:t xml:space="preserve">Similarly, </w:t>
      </w:r>
      <w:r w:rsidR="00535326" w:rsidRPr="00FD1934">
        <w:t xml:space="preserve">KPMG </w:t>
      </w:r>
      <w:r w:rsidR="00535326">
        <w:t>and Mental Health Australia </w:t>
      </w:r>
      <w:r w:rsidR="00854FF1" w:rsidRPr="00854FF1">
        <w:t>(2018)</w:t>
      </w:r>
      <w:r w:rsidR="00535326" w:rsidRPr="00FD1934">
        <w:t xml:space="preserve"> </w:t>
      </w:r>
      <w:r w:rsidRPr="00F3604D">
        <w:t xml:space="preserve">estimated </w:t>
      </w:r>
      <w:r w:rsidR="004B2E78">
        <w:t xml:space="preserve">a return </w:t>
      </w:r>
      <w:r w:rsidR="007930B3">
        <w:t>to</w:t>
      </w:r>
      <w:r w:rsidR="003555C8">
        <w:t xml:space="preserve"> Australian employers </w:t>
      </w:r>
      <w:r w:rsidR="004B2E78">
        <w:t>which ranged from $1.30 to $4.70</w:t>
      </w:r>
      <w:r w:rsidR="00961BFD">
        <w:t xml:space="preserve"> </w:t>
      </w:r>
      <w:r w:rsidR="00961BFD" w:rsidRPr="00F3604D">
        <w:t>for every $1.00 invested</w:t>
      </w:r>
      <w:r w:rsidR="004B2E78">
        <w:t xml:space="preserve">, depending </w:t>
      </w:r>
      <w:r w:rsidR="00961BFD">
        <w:t>on the initiative being implemented.</w:t>
      </w:r>
    </w:p>
    <w:p w:rsidR="00F47509" w:rsidRDefault="00860AF0" w:rsidP="00534F30">
      <w:pPr>
        <w:pStyle w:val="BodyText"/>
        <w:spacing w:before="230"/>
      </w:pPr>
      <w:r>
        <w:t xml:space="preserve">The aggregate gains to businesses could be significant, given that there is currently a large cost associated with mental-ill </w:t>
      </w:r>
      <w:r w:rsidR="00757883">
        <w:t xml:space="preserve">health </w:t>
      </w:r>
      <w:r>
        <w:t xml:space="preserve">in the workforce. Available estimates indicate that almost all </w:t>
      </w:r>
      <w:r w:rsidR="00294090">
        <w:t xml:space="preserve">of the costs </w:t>
      </w:r>
      <w:r w:rsidR="00F436E7">
        <w:t xml:space="preserve">borne by employers </w:t>
      </w:r>
      <w:r w:rsidR="00294090">
        <w:t xml:space="preserve">are </w:t>
      </w:r>
      <w:r w:rsidR="004D499F">
        <w:t>due</w:t>
      </w:r>
      <w:r w:rsidR="00294090">
        <w:t xml:space="preserve"> to </w:t>
      </w:r>
      <w:r w:rsidR="003F6D18">
        <w:t xml:space="preserve">people with </w:t>
      </w:r>
      <w:r w:rsidR="00EF420E">
        <w:t xml:space="preserve">mental-ill health </w:t>
      </w:r>
      <w:r w:rsidR="003F6D18">
        <w:t xml:space="preserve">being </w:t>
      </w:r>
      <w:r w:rsidR="00CC542F">
        <w:t>absent from work (absenteeism)</w:t>
      </w:r>
      <w:r w:rsidR="00294090">
        <w:t xml:space="preserve"> </w:t>
      </w:r>
      <w:r w:rsidR="00EF420E">
        <w:t>or</w:t>
      </w:r>
      <w:r w:rsidR="00294090">
        <w:t xml:space="preserve"> </w:t>
      </w:r>
      <w:r w:rsidR="00EF420E">
        <w:t xml:space="preserve">having </w:t>
      </w:r>
      <w:r w:rsidR="00CC542F">
        <w:t>lower productivity wh</w:t>
      </w:r>
      <w:r w:rsidR="00EF420E">
        <w:t>en</w:t>
      </w:r>
      <w:r w:rsidR="00CC542F">
        <w:t xml:space="preserve"> at work (presenteeism).</w:t>
      </w:r>
      <w:r w:rsidR="00A363F3" w:rsidRPr="00A363F3">
        <w:t xml:space="preserve"> </w:t>
      </w:r>
      <w:r w:rsidR="004D499F">
        <w:t>PWC </w:t>
      </w:r>
      <w:r w:rsidR="00854FF1" w:rsidRPr="00854FF1">
        <w:t>(2014)</w:t>
      </w:r>
      <w:r w:rsidR="008440CE">
        <w:t xml:space="preserve"> </w:t>
      </w:r>
      <w:r w:rsidR="00A363F3" w:rsidRPr="00A363F3">
        <w:t>estimated that absenteeism cost Australian employers $4.7 billion annually</w:t>
      </w:r>
      <w:r w:rsidR="00A363F3">
        <w:t xml:space="preserve"> and presenteeism a further </w:t>
      </w:r>
      <w:r w:rsidR="00484007">
        <w:t>$6.1 </w:t>
      </w:r>
      <w:r w:rsidR="00A363F3" w:rsidRPr="00A363F3">
        <w:t>billion</w:t>
      </w:r>
      <w:r w:rsidR="00F7063A">
        <w:t>.</w:t>
      </w:r>
      <w:r w:rsidR="00A363F3" w:rsidRPr="00A363F3">
        <w:t xml:space="preserve"> </w:t>
      </w:r>
      <w:r w:rsidR="00D06C8A">
        <w:t xml:space="preserve">More recent estimates by </w:t>
      </w:r>
      <w:r w:rsidR="005D192F" w:rsidRPr="00FD1934">
        <w:t xml:space="preserve">KPMG </w:t>
      </w:r>
      <w:r w:rsidR="005D192F">
        <w:t>and Mental Health Australia </w:t>
      </w:r>
      <w:r w:rsidR="00854FF1" w:rsidRPr="00854FF1">
        <w:t>(2018)</w:t>
      </w:r>
      <w:r w:rsidR="00D06C8A">
        <w:t xml:space="preserve"> </w:t>
      </w:r>
      <w:r w:rsidR="00496D9D">
        <w:t>put these costs at</w:t>
      </w:r>
      <w:r w:rsidR="00F01A38">
        <w:t xml:space="preserve"> </w:t>
      </w:r>
      <w:r w:rsidR="00084275">
        <w:t>$</w:t>
      </w:r>
      <w:r w:rsidR="000D5CD9">
        <w:t>2.6</w:t>
      </w:r>
      <w:r w:rsidR="00084275">
        <w:t xml:space="preserve"> billion</w:t>
      </w:r>
      <w:r w:rsidR="00F01A38">
        <w:t xml:space="preserve"> and </w:t>
      </w:r>
      <w:r w:rsidR="00084275">
        <w:t>$</w:t>
      </w:r>
      <w:r w:rsidR="000D5CD9">
        <w:t>9.9</w:t>
      </w:r>
      <w:r w:rsidR="00F01A38">
        <w:t xml:space="preserve"> </w:t>
      </w:r>
      <w:r w:rsidR="00084275">
        <w:t xml:space="preserve">billion </w:t>
      </w:r>
      <w:r w:rsidR="00F01A38" w:rsidRPr="00B851FD">
        <w:t>respectively.</w:t>
      </w:r>
      <w:r w:rsidR="00F47509" w:rsidRPr="00F47509">
        <w:t xml:space="preserve"> </w:t>
      </w:r>
      <w:r w:rsidR="00565C6E">
        <w:t>The NMHC </w:t>
      </w:r>
      <w:r w:rsidR="00854FF1" w:rsidRPr="00854FF1">
        <w:t>(2014b)</w:t>
      </w:r>
      <w:r w:rsidR="00F47509">
        <w:t xml:space="preserve"> reported that employees with job</w:t>
      </w:r>
      <w:r w:rsidR="00F47509">
        <w:noBreakHyphen/>
        <w:t>rel</w:t>
      </w:r>
      <w:r w:rsidR="00F47D91">
        <w:t>ated stress and mental illness we</w:t>
      </w:r>
      <w:r w:rsidR="00F47509">
        <w:t>re absent from work for an average of almost 11 weeks a year in Australia.</w:t>
      </w:r>
    </w:p>
    <w:p w:rsidR="00C93823" w:rsidRDefault="00C93823">
      <w:pPr>
        <w:rPr>
          <w:szCs w:val="20"/>
        </w:rPr>
      </w:pPr>
      <w:r>
        <w:br w:type="page"/>
      </w:r>
    </w:p>
    <w:p w:rsidR="006E6420" w:rsidRDefault="006E6420" w:rsidP="00534F30">
      <w:pPr>
        <w:pStyle w:val="BodyText"/>
        <w:spacing w:before="230"/>
      </w:pPr>
      <w:r w:rsidRPr="007D2EA3">
        <w:lastRenderedPageBreak/>
        <w:t>The Com</w:t>
      </w:r>
      <w:r>
        <w:t xml:space="preserve">mission welcomes comments on why employers are not investing more </w:t>
      </w:r>
      <w:r w:rsidRPr="008706E8">
        <w:t>in workplace</w:t>
      </w:r>
      <w:r>
        <w:t xml:space="preserve"> mental health, given the </w:t>
      </w:r>
      <w:r w:rsidR="005B6458" w:rsidRPr="00B851FD">
        <w:t xml:space="preserve">large potential </w:t>
      </w:r>
      <w:r w:rsidR="00380513">
        <w:t xml:space="preserve">benefits </w:t>
      </w:r>
      <w:r w:rsidR="004F5C04">
        <w:t>suggested</w:t>
      </w:r>
      <w:r w:rsidR="00380513">
        <w:t xml:space="preserve"> </w:t>
      </w:r>
      <w:r w:rsidR="004F5C04">
        <w:t xml:space="preserve">by </w:t>
      </w:r>
      <w:r w:rsidR="005B6458" w:rsidRPr="005B6458">
        <w:t>past modelling</w:t>
      </w:r>
      <w:r>
        <w:t>.</w:t>
      </w:r>
      <w:r w:rsidR="00111348">
        <w:t xml:space="preserve"> </w:t>
      </w:r>
      <w:r w:rsidR="00267157">
        <w:t xml:space="preserve">It may be that </w:t>
      </w:r>
      <w:r w:rsidR="00B31172">
        <w:t>the</w:t>
      </w:r>
      <w:r w:rsidR="00267157">
        <w:t xml:space="preserve"> modelling </w:t>
      </w:r>
      <w:r w:rsidR="000E710B">
        <w:t>does not fully reflect the</w:t>
      </w:r>
      <w:r w:rsidR="006C6C1A">
        <w:t>:</w:t>
      </w:r>
    </w:p>
    <w:p w:rsidR="00F64B75" w:rsidRDefault="006C6C1A" w:rsidP="0050025A">
      <w:pPr>
        <w:pStyle w:val="ListBullet"/>
        <w:spacing w:before="100" w:line="260" w:lineRule="atLeast"/>
      </w:pPr>
      <w:r w:rsidRPr="007D2EA3">
        <w:t>barriers to implementing measures</w:t>
      </w:r>
      <w:r w:rsidR="00F64B75">
        <w:t xml:space="preserve"> </w:t>
      </w:r>
      <w:r w:rsidR="000D7468">
        <w:t xml:space="preserve">to improve workplace mental health, </w:t>
      </w:r>
      <w:r w:rsidR="00F64B75">
        <w:t>and</w:t>
      </w:r>
      <w:r w:rsidRPr="007D2EA3">
        <w:t xml:space="preserve"> their cost</w:t>
      </w:r>
    </w:p>
    <w:p w:rsidR="006C6C1A" w:rsidRPr="007D2EA3" w:rsidRDefault="006C6C1A" w:rsidP="0050025A">
      <w:pPr>
        <w:pStyle w:val="ListBullet"/>
        <w:spacing w:before="100" w:line="260" w:lineRule="atLeast"/>
      </w:pPr>
      <w:r w:rsidRPr="007D2EA3">
        <w:t xml:space="preserve">factors which </w:t>
      </w:r>
      <w:r w:rsidR="000F54C7">
        <w:t xml:space="preserve">create </w:t>
      </w:r>
      <w:r w:rsidRPr="007D2EA3">
        <w:t xml:space="preserve">uncertainty about the returns to a given employer </w:t>
      </w:r>
    </w:p>
    <w:p w:rsidR="006C6C1A" w:rsidRPr="007D2EA3" w:rsidRDefault="00693F31" w:rsidP="0050025A">
      <w:pPr>
        <w:pStyle w:val="ListBullet"/>
        <w:spacing w:before="100" w:line="260" w:lineRule="atLeast"/>
      </w:pPr>
      <w:r>
        <w:t xml:space="preserve">limited extent to which </w:t>
      </w:r>
      <w:r w:rsidR="006C6C1A" w:rsidRPr="007D2EA3">
        <w:t>measures which be</w:t>
      </w:r>
      <w:r w:rsidR="00B31172">
        <w:t>en</w:t>
      </w:r>
      <w:r w:rsidR="006C6C1A" w:rsidRPr="007D2EA3">
        <w:t xml:space="preserve"> beneficial for a small sample of businesses, or </w:t>
      </w:r>
      <w:r>
        <w:t xml:space="preserve">a </w:t>
      </w:r>
      <w:r w:rsidR="006C6C1A" w:rsidRPr="007D2EA3">
        <w:t>particular type of organisation, can be applied more widely</w:t>
      </w:r>
      <w:r w:rsidR="006C6C1A">
        <w:t>.</w:t>
      </w:r>
    </w:p>
    <w:p w:rsidR="00072679" w:rsidRDefault="006C6C1A" w:rsidP="007D2EA3">
      <w:pPr>
        <w:pStyle w:val="BodyText"/>
      </w:pPr>
      <w:r w:rsidRPr="007D2EA3">
        <w:t>Small businesses could find it particularly challenging to implement measures to make their workplaces more mentally healthy, given their limited resources and smaller size over which to spread the fixed cost of any initiatives.</w:t>
      </w:r>
      <w:r w:rsidR="00072679">
        <w:t xml:space="preserve"> </w:t>
      </w:r>
      <w:r w:rsidR="00327019">
        <w:t>Of interest, is the extent to which</w:t>
      </w:r>
      <w:r w:rsidR="00972EB7" w:rsidRPr="007D2EA3">
        <w:t xml:space="preserve"> industry associations, professional groups, governments and other external parties </w:t>
      </w:r>
      <w:r w:rsidR="00327019">
        <w:t>can and should assist</w:t>
      </w:r>
      <w:r w:rsidR="00972EB7" w:rsidRPr="007D2EA3">
        <w:t xml:space="preserve"> </w:t>
      </w:r>
      <w:r w:rsidR="00327019">
        <w:t>small</w:t>
      </w:r>
      <w:r w:rsidR="003963F8">
        <w:t>,</w:t>
      </w:r>
      <w:r w:rsidR="00072679">
        <w:t xml:space="preserve"> and other</w:t>
      </w:r>
      <w:r w:rsidR="003963F8">
        <w:t>,</w:t>
      </w:r>
      <w:r w:rsidR="00972EB7" w:rsidRPr="007D2EA3">
        <w:t xml:space="preserve"> businesses to reduce implementation barriers and costs.</w:t>
      </w:r>
    </w:p>
    <w:p w:rsidR="001A15E3" w:rsidRPr="00B851FD" w:rsidRDefault="001A15E3" w:rsidP="001A15E3">
      <w:pPr>
        <w:pStyle w:val="BodyText"/>
      </w:pPr>
      <w:r w:rsidRPr="007D2EA3">
        <w:t xml:space="preserve">There </w:t>
      </w:r>
      <w:r w:rsidR="003A750E">
        <w:t>may</w:t>
      </w:r>
      <w:r w:rsidRPr="007D2EA3">
        <w:t xml:space="preserve"> also be a case to strengthen </w:t>
      </w:r>
      <w:r w:rsidR="0044622A">
        <w:t xml:space="preserve">the </w:t>
      </w:r>
      <w:r w:rsidRPr="007D2EA3">
        <w:t xml:space="preserve">incentives </w:t>
      </w:r>
      <w:r w:rsidR="0044622A">
        <w:t xml:space="preserve">which </w:t>
      </w:r>
      <w:r w:rsidRPr="007D2EA3">
        <w:t xml:space="preserve">employers </w:t>
      </w:r>
      <w:r w:rsidR="0044622A">
        <w:t xml:space="preserve">face </w:t>
      </w:r>
      <w:r w:rsidRPr="007D2EA3">
        <w:t xml:space="preserve">to make their workplaces more mentally healthy. For example, </w:t>
      </w:r>
      <w:r w:rsidRPr="00B851FD">
        <w:t>KPMG and Mental Health Australia </w:t>
      </w:r>
      <w:r w:rsidR="00854FF1" w:rsidRPr="00854FF1">
        <w:t>(2018)</w:t>
      </w:r>
      <w:r w:rsidRPr="00B851FD">
        <w:t xml:space="preserve"> </w:t>
      </w:r>
      <w:r w:rsidR="00414F6B">
        <w:t>recommended</w:t>
      </w:r>
      <w:r w:rsidRPr="00B851FD">
        <w:t xml:space="preserve"> trialling a system to make workers’ compensation insurance premiums more reflective of the mental-health risk profile of workplaces. </w:t>
      </w:r>
      <w:r w:rsidR="004141B1">
        <w:t>They proposed a</w:t>
      </w:r>
      <w:r w:rsidRPr="00B851FD">
        <w:t xml:space="preserve"> trial </w:t>
      </w:r>
      <w:r w:rsidR="0083486E">
        <w:t>because</w:t>
      </w:r>
      <w:r w:rsidRPr="00B851FD">
        <w:t xml:space="preserve"> an evidence base </w:t>
      </w:r>
      <w:r w:rsidR="0083486E">
        <w:t>need</w:t>
      </w:r>
      <w:r w:rsidR="008F5C03">
        <w:t>s to be developed</w:t>
      </w:r>
      <w:r w:rsidR="0083486E">
        <w:t xml:space="preserve"> </w:t>
      </w:r>
      <w:r w:rsidRPr="00B851FD">
        <w:t>on whether there is a strong case for such a system.</w:t>
      </w:r>
    </w:p>
    <w:p w:rsidR="00CA3CFC" w:rsidRPr="00534F30" w:rsidRDefault="00EE430E" w:rsidP="00FE13F1">
      <w:pPr>
        <w:pStyle w:val="BodyText"/>
      </w:pPr>
      <w:r>
        <w:t>While m</w:t>
      </w:r>
      <w:r w:rsidR="001A15E3">
        <w:t xml:space="preserve">ental </w:t>
      </w:r>
      <w:r w:rsidR="000610AD">
        <w:t>ill-</w:t>
      </w:r>
      <w:r w:rsidR="001A15E3">
        <w:t>health account</w:t>
      </w:r>
      <w:r w:rsidR="001B7BD9">
        <w:t>ed</w:t>
      </w:r>
      <w:r w:rsidR="001A15E3">
        <w:t xml:space="preserve"> for only 6% of all workers’ compensation claims </w:t>
      </w:r>
      <w:r w:rsidR="001B7BD9">
        <w:t>in 2014</w:t>
      </w:r>
      <w:r w:rsidR="00564545">
        <w:noBreakHyphen/>
      </w:r>
      <w:r w:rsidR="001B7BD9">
        <w:t>15</w:t>
      </w:r>
      <w:r>
        <w:t>, they</w:t>
      </w:r>
      <w:r w:rsidR="001A15E3">
        <w:t xml:space="preserve"> </w:t>
      </w:r>
      <w:r w:rsidR="001B7BD9">
        <w:t>we</w:t>
      </w:r>
      <w:r w:rsidR="001A15E3">
        <w:t>re associated with more time off work (15.3 weeks off work compared to 5.5 weeks for all claims) and higher average claim costs ($24 500 per claim compared to $9 000 for all claims).</w:t>
      </w:r>
      <w:r w:rsidR="001A15E3" w:rsidRPr="00BF6538">
        <w:t xml:space="preserve"> </w:t>
      </w:r>
      <w:r w:rsidR="001A15E3">
        <w:t>Moreover, the number of serious claims lin</w:t>
      </w:r>
      <w:r w:rsidR="000241EA">
        <w:t xml:space="preserve">ked to mental </w:t>
      </w:r>
      <w:r w:rsidR="00AD4D13">
        <w:t>ill-health</w:t>
      </w:r>
      <w:r w:rsidR="000241EA">
        <w:t xml:space="preserve"> in 2014</w:t>
      </w:r>
      <w:r w:rsidR="000241EA">
        <w:noBreakHyphen/>
        <w:t>1</w:t>
      </w:r>
      <w:r w:rsidR="001A15E3">
        <w:t xml:space="preserve">5 was similar to that recorded in 2000-01, whereas claims linked to most other causes had fallen significantly over that period. </w:t>
      </w:r>
      <w:r w:rsidR="00854FF1" w:rsidRPr="00854FF1">
        <w:rPr>
          <w:szCs w:val="24"/>
        </w:rPr>
        <w:t>(Safe Work Australia 2018)</w:t>
      </w:r>
    </w:p>
    <w:p w:rsidR="00FE13F1" w:rsidRPr="004E3B94" w:rsidRDefault="00FE13F1" w:rsidP="00FE13F1">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FE13F1" w:rsidTr="0044262A">
        <w:trPr>
          <w:cantSplit/>
        </w:trPr>
        <w:tc>
          <w:tcPr>
            <w:tcW w:w="5000" w:type="pct"/>
            <w:tcBorders>
              <w:top w:val="single" w:sz="6" w:space="0" w:color="78A22F"/>
              <w:left w:val="nil"/>
              <w:bottom w:val="nil"/>
              <w:right w:val="nil"/>
            </w:tcBorders>
            <w:shd w:val="clear" w:color="auto" w:fill="auto"/>
          </w:tcPr>
          <w:p w:rsidR="00FE13F1" w:rsidRPr="00CE4C64" w:rsidRDefault="00FE13F1" w:rsidP="0044262A">
            <w:pPr>
              <w:pStyle w:val="InformationRequestTitle"/>
              <w:spacing w:before="120"/>
            </w:pPr>
            <w:r>
              <w:t>Questions on mentally healthy workplaces</w:t>
            </w:r>
          </w:p>
        </w:tc>
      </w:tr>
      <w:tr w:rsidR="00FE13F1" w:rsidRPr="00750BE2" w:rsidTr="0044262A">
        <w:trPr>
          <w:cantSplit/>
        </w:trPr>
        <w:tc>
          <w:tcPr>
            <w:tcW w:w="5000" w:type="pct"/>
            <w:tcBorders>
              <w:top w:val="nil"/>
              <w:left w:val="nil"/>
              <w:bottom w:val="nil"/>
              <w:right w:val="nil"/>
            </w:tcBorders>
            <w:shd w:val="clear" w:color="auto" w:fill="auto"/>
          </w:tcPr>
          <w:p w:rsidR="0072077A" w:rsidRDefault="00FE13F1" w:rsidP="00B858B2">
            <w:pPr>
              <w:pStyle w:val="InformationRequestBullet"/>
              <w:tabs>
                <w:tab w:val="clear" w:pos="340"/>
              </w:tabs>
              <w:ind w:left="360" w:hanging="360"/>
            </w:pPr>
            <w:r>
              <w:t xml:space="preserve">What </w:t>
            </w:r>
            <w:r w:rsidR="0072077A">
              <w:t>types of workplace interventions do you recommend this inquiry explore as options to facilitate more mentally health</w:t>
            </w:r>
            <w:r w:rsidR="0036432F">
              <w:t>y</w:t>
            </w:r>
            <w:r w:rsidR="0072077A">
              <w:t xml:space="preserve"> workplaces? What are </w:t>
            </w:r>
            <w:r w:rsidR="007B6523">
              <w:t xml:space="preserve">some of </w:t>
            </w:r>
            <w:r w:rsidR="0072077A">
              <w:t xml:space="preserve">the </w:t>
            </w:r>
            <w:r w:rsidR="00B9508D">
              <w:t>advantages and disadvantages</w:t>
            </w:r>
            <w:r w:rsidR="0072077A">
              <w:t xml:space="preserve"> of the interventions</w:t>
            </w:r>
            <w:r w:rsidR="002835F2">
              <w:t>;</w:t>
            </w:r>
            <w:r w:rsidR="0072077A">
              <w:t xml:space="preserve"> </w:t>
            </w:r>
            <w:r w:rsidR="002835F2">
              <w:t>how would the</w:t>
            </w:r>
            <w:r w:rsidR="00FE213A">
              <w:t>se</w:t>
            </w:r>
            <w:r w:rsidR="002835F2">
              <w:t xml:space="preserve"> be distributed between employers, </w:t>
            </w:r>
            <w:r w:rsidR="00FE213A">
              <w:t>workers and the wider community;</w:t>
            </w:r>
            <w:r w:rsidR="002835F2">
              <w:t xml:space="preserve"> </w:t>
            </w:r>
            <w:r w:rsidR="0072077A">
              <w:t xml:space="preserve">and what evidence exists to support </w:t>
            </w:r>
            <w:r w:rsidR="002835F2">
              <w:t>your views</w:t>
            </w:r>
            <w:r w:rsidR="0072077A">
              <w:t>?</w:t>
            </w:r>
          </w:p>
          <w:p w:rsidR="00051F57" w:rsidRDefault="00051F57" w:rsidP="00B858B2">
            <w:pPr>
              <w:pStyle w:val="InformationRequestBullet"/>
              <w:tabs>
                <w:tab w:val="clear" w:pos="340"/>
              </w:tabs>
              <w:ind w:left="360" w:hanging="360"/>
            </w:pPr>
            <w:r>
              <w:t>Are employers purs</w:t>
            </w:r>
            <w:r w:rsidR="00BC71B8">
              <w:t>u</w:t>
            </w:r>
            <w:r>
              <w:t>ing the</w:t>
            </w:r>
            <w:r w:rsidRPr="008F7C5D">
              <w:t xml:space="preserve"> potential </w:t>
            </w:r>
            <w:r>
              <w:t xml:space="preserve">gains </w:t>
            </w:r>
            <w:r w:rsidRPr="008F7C5D">
              <w:t xml:space="preserve">from increased investment in </w:t>
            </w:r>
            <w:r>
              <w:t xml:space="preserve">workplace </w:t>
            </w:r>
            <w:r w:rsidRPr="008F7C5D">
              <w:t xml:space="preserve">mental health </w:t>
            </w:r>
            <w:r>
              <w:t xml:space="preserve">which have been </w:t>
            </w:r>
            <w:r w:rsidRPr="008F7C5D">
              <w:t xml:space="preserve">identified </w:t>
            </w:r>
            <w:r>
              <w:t>in</w:t>
            </w:r>
            <w:r w:rsidRPr="008F7C5D">
              <w:t xml:space="preserve"> past </w:t>
            </w:r>
            <w:r w:rsidR="00BC71B8">
              <w:t>studies</w:t>
            </w:r>
            <w:r w:rsidRPr="008F7C5D">
              <w:t xml:space="preserve">? </w:t>
            </w:r>
            <w:r>
              <w:t xml:space="preserve">If so, which employers are doing this and how? If not, why are the </w:t>
            </w:r>
            <w:r w:rsidR="00BC71B8">
              <w:t xml:space="preserve">potential </w:t>
            </w:r>
            <w:r>
              <w:t>gains not being pursued by employers?</w:t>
            </w:r>
          </w:p>
          <w:p w:rsidR="007A2528" w:rsidRPr="00534F30" w:rsidRDefault="00534F30" w:rsidP="00B858B2">
            <w:pPr>
              <w:pStyle w:val="InformationRequestBullet"/>
              <w:tabs>
                <w:tab w:val="clear" w:pos="340"/>
              </w:tabs>
              <w:ind w:left="360" w:hanging="360"/>
            </w:pPr>
            <w:r>
              <w:t>What are some practical ways that</w:t>
            </w:r>
            <w:r w:rsidRPr="00534F30">
              <w:t xml:space="preserve"> </w:t>
            </w:r>
            <w:r>
              <w:t xml:space="preserve">workplaces could be more flexible for carers of </w:t>
            </w:r>
            <w:r w:rsidR="00B5351C">
              <w:t xml:space="preserve">people </w:t>
            </w:r>
            <w:r>
              <w:t xml:space="preserve">with </w:t>
            </w:r>
            <w:r w:rsidR="00B5351C">
              <w:t xml:space="preserve">a </w:t>
            </w:r>
            <w:r>
              <w:t>mental illness?</w:t>
            </w:r>
            <w:r w:rsidR="0098296F">
              <w:t xml:space="preserve"> </w:t>
            </w:r>
            <w:r w:rsidR="007A2528">
              <w:t>What examples are there of best practice and innovation by employers?</w:t>
            </w:r>
          </w:p>
          <w:p w:rsidR="00260219" w:rsidRDefault="00260219" w:rsidP="00B858B2">
            <w:pPr>
              <w:pStyle w:val="InformationRequestBullet"/>
              <w:tabs>
                <w:tab w:val="clear" w:pos="340"/>
              </w:tabs>
              <w:ind w:left="360" w:hanging="360"/>
            </w:pPr>
            <w:r>
              <w:t xml:space="preserve">How can </w:t>
            </w:r>
            <w:r w:rsidR="00F6358C">
              <w:t xml:space="preserve">workplace </w:t>
            </w:r>
            <w:r>
              <w:t>interventions be adapted to increase the</w:t>
            </w:r>
            <w:r w:rsidR="00F6358C">
              <w:t>ir</w:t>
            </w:r>
            <w:r>
              <w:t xml:space="preserve"> likelihood of </w:t>
            </w:r>
            <w:r w:rsidR="00F6358C">
              <w:t>having</w:t>
            </w:r>
            <w:r>
              <w:t xml:space="preserve"> a net benefit for small businesses?</w:t>
            </w:r>
          </w:p>
          <w:p w:rsidR="00FE213A" w:rsidRDefault="00FE213A" w:rsidP="00B858B2">
            <w:pPr>
              <w:pStyle w:val="InformationRequestBullet"/>
              <w:tabs>
                <w:tab w:val="clear" w:pos="340"/>
              </w:tabs>
              <w:ind w:left="360" w:hanging="360"/>
            </w:pPr>
            <w:r>
              <w:t xml:space="preserve">What </w:t>
            </w:r>
            <w:r w:rsidR="00FE13F1">
              <w:t xml:space="preserve">role </w:t>
            </w:r>
            <w:r>
              <w:t xml:space="preserve">do </w:t>
            </w:r>
            <w:r w:rsidRPr="007D2EA3">
              <w:t xml:space="preserve">industry associations, professional groups, governments and other parties </w:t>
            </w:r>
            <w:r>
              <w:t>currently play in supporting small businesses and other employers to make their workplaces mentally health</w:t>
            </w:r>
            <w:r w:rsidR="007C52A4">
              <w:t>y</w:t>
            </w:r>
            <w:r>
              <w:t>? What more should they do?</w:t>
            </w:r>
          </w:p>
          <w:p w:rsidR="0067046F" w:rsidRPr="0067046F" w:rsidRDefault="00327019" w:rsidP="00B858B2">
            <w:pPr>
              <w:pStyle w:val="InformationRequestBullet"/>
              <w:tabs>
                <w:tab w:val="clear" w:pos="340"/>
              </w:tabs>
              <w:ind w:left="360" w:hanging="360"/>
            </w:pPr>
            <w:r>
              <w:t>What</w:t>
            </w:r>
            <w:r w:rsidR="0067046F">
              <w:t xml:space="preserve"> </w:t>
            </w:r>
            <w:r w:rsidR="00260219">
              <w:t xml:space="preserve">differences between </w:t>
            </w:r>
            <w:r>
              <w:t xml:space="preserve">sectors or </w:t>
            </w:r>
            <w:r w:rsidR="00260219">
              <w:t xml:space="preserve">industries </w:t>
            </w:r>
            <w:r w:rsidR="0067046F">
              <w:t xml:space="preserve">should </w:t>
            </w:r>
            <w:r w:rsidR="00260219">
              <w:t>the Commission</w:t>
            </w:r>
            <w:r w:rsidR="0067046F">
              <w:t xml:space="preserve"> take account of in considering the scope for employers to make their workplaces more mentally healthy?</w:t>
            </w:r>
          </w:p>
          <w:p w:rsidR="00E05F85" w:rsidRDefault="0009321C" w:rsidP="00B858B2">
            <w:pPr>
              <w:pStyle w:val="InformationRequestBullet"/>
              <w:tabs>
                <w:tab w:val="clear" w:pos="340"/>
              </w:tabs>
              <w:ind w:left="360" w:hanging="360"/>
            </w:pPr>
            <w:r>
              <w:t>Are existing</w:t>
            </w:r>
            <w:r w:rsidR="006C15D9">
              <w:t xml:space="preserve"> </w:t>
            </w:r>
            <w:r>
              <w:t xml:space="preserve">workers’ compensation schemes adequate to deal with mental health problems in the workplace? </w:t>
            </w:r>
            <w:r w:rsidR="00C95EA6" w:rsidRPr="000C559C">
              <w:t xml:space="preserve">How could workers’ compensation </w:t>
            </w:r>
            <w:r w:rsidR="004E7D2E">
              <w:t xml:space="preserve">arrangements, including </w:t>
            </w:r>
            <w:r w:rsidR="00C95EA6" w:rsidRPr="000C559C">
              <w:t>insurance premiums</w:t>
            </w:r>
            <w:r w:rsidR="004E7D2E">
              <w:t>,</w:t>
            </w:r>
            <w:r w:rsidR="00C95EA6" w:rsidRPr="000C559C">
              <w:t xml:space="preserve"> </w:t>
            </w:r>
            <w:r w:rsidR="00C95EA6" w:rsidRPr="00582547">
              <w:t xml:space="preserve">be made </w:t>
            </w:r>
            <w:r w:rsidR="00C95EA6" w:rsidRPr="000C559C">
              <w:t>more reflective of the mental-health risk profile of workplaces</w:t>
            </w:r>
            <w:r w:rsidR="006C15D9">
              <w:t>?</w:t>
            </w:r>
          </w:p>
          <w:p w:rsidR="008804D1" w:rsidRPr="008804D1" w:rsidRDefault="008804D1" w:rsidP="00B858B2">
            <w:pPr>
              <w:pStyle w:val="InformationRequestBullet"/>
              <w:tabs>
                <w:tab w:val="clear" w:pos="340"/>
              </w:tabs>
              <w:ind w:left="360" w:hanging="360"/>
            </w:pPr>
            <w:r>
              <w:t>What overseas practice</w:t>
            </w:r>
            <w:r w:rsidR="002D50F0">
              <w:t>s</w:t>
            </w:r>
            <w:r>
              <w:t xml:space="preserve"> </w:t>
            </w:r>
            <w:r w:rsidR="002D50F0">
              <w:t>for</w:t>
            </w:r>
            <w:r>
              <w:t xml:space="preserve"> supporting mental health in workplaces should be considered for Australia?</w:t>
            </w:r>
            <w:r w:rsidR="004E7D2E">
              <w:t xml:space="preserve"> Why? Is there formal evidence of the success of these practices, such as </w:t>
            </w:r>
            <w:r w:rsidR="00AD32E3">
              <w:t xml:space="preserve">an </w:t>
            </w:r>
            <w:r w:rsidR="004E7D2E">
              <w:t>independent evaluation?</w:t>
            </w:r>
          </w:p>
        </w:tc>
      </w:tr>
      <w:tr w:rsidR="00FE13F1" w:rsidTr="0044262A">
        <w:trPr>
          <w:cantSplit/>
        </w:trPr>
        <w:tc>
          <w:tcPr>
            <w:tcW w:w="5000" w:type="pct"/>
            <w:tcBorders>
              <w:top w:val="nil"/>
              <w:left w:val="nil"/>
              <w:bottom w:val="single" w:sz="6" w:space="0" w:color="78A22F"/>
              <w:right w:val="nil"/>
            </w:tcBorders>
            <w:shd w:val="clear" w:color="auto" w:fill="auto"/>
          </w:tcPr>
          <w:p w:rsidR="00FE13F1" w:rsidRDefault="00FE13F1" w:rsidP="0044262A">
            <w:pPr>
              <w:pStyle w:val="Space"/>
              <w:keepLines/>
            </w:pPr>
          </w:p>
        </w:tc>
      </w:tr>
      <w:tr w:rsidR="00FE13F1" w:rsidRPr="000863A5" w:rsidTr="0044262A">
        <w:trPr>
          <w:cantSplit/>
        </w:trPr>
        <w:tc>
          <w:tcPr>
            <w:tcW w:w="5000" w:type="pct"/>
            <w:tcBorders>
              <w:top w:val="single" w:sz="6" w:space="0" w:color="78A22F"/>
              <w:left w:val="nil"/>
              <w:bottom w:val="nil"/>
              <w:right w:val="nil"/>
            </w:tcBorders>
          </w:tcPr>
          <w:p w:rsidR="00FE13F1" w:rsidRPr="00626D32" w:rsidRDefault="00FE13F1" w:rsidP="0044262A">
            <w:pPr>
              <w:pStyle w:val="BoxSpaceBelow"/>
              <w:keepLines/>
            </w:pPr>
          </w:p>
        </w:tc>
      </w:tr>
    </w:tbl>
    <w:p w:rsidR="00E419F0" w:rsidRDefault="00D244E3" w:rsidP="00E419F0">
      <w:pPr>
        <w:pStyle w:val="BodyText"/>
      </w:pPr>
      <w:bookmarkStart w:id="31" w:name="_Toc528902913"/>
      <w:bookmarkStart w:id="32" w:name="_Toc529979219"/>
      <w:r>
        <w:t xml:space="preserve">Another factor which could influence the adoption of measures to facilitate mentally health workplaces is </w:t>
      </w:r>
      <w:r w:rsidR="00634CC9">
        <w:t xml:space="preserve">the regulation of </w:t>
      </w:r>
      <w:r>
        <w:t>w</w:t>
      </w:r>
      <w:r w:rsidR="00E419F0" w:rsidRPr="006F7434">
        <w:t xml:space="preserve">orkplace health and safety </w:t>
      </w:r>
      <w:r w:rsidR="00E419F0">
        <w:t>(WHS)</w:t>
      </w:r>
      <w:r w:rsidR="00634CC9">
        <w:t xml:space="preserve"> by </w:t>
      </w:r>
      <w:r w:rsidR="00E419F0">
        <w:t>the Australian, State and Territory Governments</w:t>
      </w:r>
      <w:r>
        <w:t xml:space="preserve">. </w:t>
      </w:r>
      <w:r w:rsidR="006A10F9">
        <w:t xml:space="preserve">Such regulation </w:t>
      </w:r>
      <w:r w:rsidR="00E419F0">
        <w:t>set</w:t>
      </w:r>
      <w:r w:rsidR="006A10F9">
        <w:t>s</w:t>
      </w:r>
      <w:r w:rsidR="00E419F0">
        <w:t xml:space="preserve"> requirements on how the wellbeing of employees is protected in workplaces.</w:t>
      </w:r>
      <w:r w:rsidR="00825A7E">
        <w:t xml:space="preserve"> However, i</w:t>
      </w:r>
      <w:r w:rsidR="00E419F0">
        <w:t xml:space="preserve">dentifying, assessing and addressing risks to mental health in the workplace is likely to be more complex than </w:t>
      </w:r>
      <w:r w:rsidR="00C60B96">
        <w:t xml:space="preserve">for </w:t>
      </w:r>
      <w:r w:rsidR="00E419F0">
        <w:t>physical health because many of the risk factors — such as job demand and control, imbalance between effort and reward,</w:t>
      </w:r>
      <w:r w:rsidR="00E419F0" w:rsidRPr="00570BC7">
        <w:t xml:space="preserve"> </w:t>
      </w:r>
      <w:r w:rsidR="000626B4">
        <w:t xml:space="preserve">and </w:t>
      </w:r>
      <w:r w:rsidR="00E419F0">
        <w:t>bullying and harassment</w:t>
      </w:r>
      <w:r w:rsidR="000626B4">
        <w:t xml:space="preserve"> </w:t>
      </w:r>
      <w:r w:rsidR="00E419F0">
        <w:t xml:space="preserve">— are not as easily identified and addressed </w:t>
      </w:r>
      <w:r w:rsidR="00854FF1" w:rsidRPr="00854FF1">
        <w:rPr>
          <w:szCs w:val="24"/>
        </w:rPr>
        <w:t>(Harvey et al. 2014)</w:t>
      </w:r>
      <w:r w:rsidR="00E419F0">
        <w:t>.</w:t>
      </w:r>
    </w:p>
    <w:p w:rsidR="00E419F0" w:rsidRPr="004E3B94" w:rsidRDefault="00E419F0" w:rsidP="00E419F0">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419F0" w:rsidTr="00084F78">
        <w:trPr>
          <w:cantSplit/>
        </w:trPr>
        <w:tc>
          <w:tcPr>
            <w:tcW w:w="5000" w:type="pct"/>
            <w:tcBorders>
              <w:top w:val="single" w:sz="6" w:space="0" w:color="78A22F"/>
              <w:left w:val="nil"/>
              <w:bottom w:val="nil"/>
              <w:right w:val="nil"/>
            </w:tcBorders>
            <w:shd w:val="clear" w:color="auto" w:fill="auto"/>
          </w:tcPr>
          <w:p w:rsidR="00E419F0" w:rsidRPr="00CE4C64" w:rsidRDefault="00E419F0" w:rsidP="00BD7572">
            <w:pPr>
              <w:pStyle w:val="InformationRequestTitle"/>
              <w:spacing w:before="120"/>
            </w:pPr>
            <w:r>
              <w:t xml:space="preserve">Questions on </w:t>
            </w:r>
            <w:r w:rsidR="00BD7572">
              <w:t xml:space="preserve">regulation of </w:t>
            </w:r>
            <w:r>
              <w:t xml:space="preserve">workplace health and safety </w:t>
            </w:r>
          </w:p>
        </w:tc>
      </w:tr>
      <w:tr w:rsidR="00E419F0" w:rsidRPr="00750BE2" w:rsidTr="00084F78">
        <w:trPr>
          <w:cantSplit/>
        </w:trPr>
        <w:tc>
          <w:tcPr>
            <w:tcW w:w="5000" w:type="pct"/>
            <w:tcBorders>
              <w:top w:val="nil"/>
              <w:left w:val="nil"/>
              <w:bottom w:val="nil"/>
              <w:right w:val="nil"/>
            </w:tcBorders>
            <w:shd w:val="clear" w:color="auto" w:fill="auto"/>
          </w:tcPr>
          <w:p w:rsidR="00E419F0" w:rsidRDefault="004C217B" w:rsidP="00B858B2">
            <w:pPr>
              <w:pStyle w:val="InformationRequestBullet"/>
              <w:tabs>
                <w:tab w:val="clear" w:pos="340"/>
              </w:tabs>
              <w:ind w:left="360" w:hanging="360"/>
            </w:pPr>
            <w:r>
              <w:t xml:space="preserve">What, if any, changes do you recommend to </w:t>
            </w:r>
            <w:r w:rsidR="001E02EE">
              <w:t>w</w:t>
            </w:r>
            <w:r w:rsidR="001E02EE" w:rsidRPr="006F7434">
              <w:t xml:space="preserve">orkplace health and safety </w:t>
            </w:r>
            <w:r w:rsidR="00564545">
              <w:t xml:space="preserve">laws and </w:t>
            </w:r>
            <w:r w:rsidR="001E02EE">
              <w:t>regulation</w:t>
            </w:r>
            <w:r w:rsidR="00643BD8">
              <w:t>s</w:t>
            </w:r>
            <w:r>
              <w:t xml:space="preserve"> to improve mental health in workplaces</w:t>
            </w:r>
            <w:r w:rsidR="00E419F0">
              <w:t>?</w:t>
            </w:r>
            <w:r>
              <w:t xml:space="preserve"> What evidence is there that the benefits would outweigh the costs</w:t>
            </w:r>
            <w:r w:rsidR="00E419F0">
              <w:t xml:space="preserve">? </w:t>
            </w:r>
          </w:p>
          <w:p w:rsidR="00E419F0" w:rsidRPr="003D0EC7" w:rsidRDefault="00DF3449" w:rsidP="00B858B2">
            <w:pPr>
              <w:pStyle w:val="InformationRequestBullet"/>
              <w:tabs>
                <w:tab w:val="clear" w:pos="340"/>
              </w:tabs>
              <w:ind w:left="360" w:hanging="360"/>
            </w:pPr>
            <w:r>
              <w:t>What</w:t>
            </w:r>
            <w:r w:rsidR="00643BD8">
              <w:t xml:space="preserve"> workplace characteristics increase the risk of mental</w:t>
            </w:r>
            <w:r w:rsidR="002A35B0">
              <w:t xml:space="preserve"> </w:t>
            </w:r>
            <w:r w:rsidR="00643BD8">
              <w:t>ill</w:t>
            </w:r>
            <w:r w:rsidR="002A35B0">
              <w:t>-</w:t>
            </w:r>
            <w:r w:rsidR="00643BD8">
              <w:t xml:space="preserve">health among employees, and how should </w:t>
            </w:r>
            <w:r>
              <w:t xml:space="preserve">these risks </w:t>
            </w:r>
            <w:r w:rsidR="00643BD8">
              <w:t xml:space="preserve">be </w:t>
            </w:r>
            <w:r w:rsidR="00E419F0" w:rsidDel="00643BD8">
              <w:t>addressed</w:t>
            </w:r>
            <w:r>
              <w:t xml:space="preserve"> by regulators and/or employers</w:t>
            </w:r>
            <w:r w:rsidR="00E419F0">
              <w:t>?</w:t>
            </w:r>
          </w:p>
        </w:tc>
      </w:tr>
      <w:tr w:rsidR="00E419F0" w:rsidTr="00084F78">
        <w:trPr>
          <w:cantSplit/>
        </w:trPr>
        <w:tc>
          <w:tcPr>
            <w:tcW w:w="5000" w:type="pct"/>
            <w:tcBorders>
              <w:top w:val="nil"/>
              <w:left w:val="nil"/>
              <w:bottom w:val="single" w:sz="6" w:space="0" w:color="78A22F"/>
              <w:right w:val="nil"/>
            </w:tcBorders>
            <w:shd w:val="clear" w:color="auto" w:fill="auto"/>
          </w:tcPr>
          <w:p w:rsidR="00E419F0" w:rsidRDefault="00E419F0" w:rsidP="0044262A">
            <w:pPr>
              <w:pStyle w:val="Space"/>
              <w:keepLines/>
            </w:pPr>
          </w:p>
        </w:tc>
      </w:tr>
      <w:tr w:rsidR="00E419F0" w:rsidRPr="000863A5" w:rsidTr="00084F78">
        <w:trPr>
          <w:cantSplit/>
        </w:trPr>
        <w:tc>
          <w:tcPr>
            <w:tcW w:w="5000" w:type="pct"/>
            <w:tcBorders>
              <w:top w:val="single" w:sz="6" w:space="0" w:color="78A22F"/>
              <w:left w:val="nil"/>
              <w:bottom w:val="nil"/>
              <w:right w:val="nil"/>
            </w:tcBorders>
          </w:tcPr>
          <w:p w:rsidR="00E419F0" w:rsidRPr="00626D32" w:rsidRDefault="00E419F0" w:rsidP="0044262A">
            <w:pPr>
              <w:pStyle w:val="BoxSpaceBelow"/>
              <w:keepLines/>
            </w:pPr>
          </w:p>
        </w:tc>
      </w:tr>
    </w:tbl>
    <w:p w:rsidR="00961710" w:rsidRDefault="00CB6A36" w:rsidP="00DF07D5">
      <w:pPr>
        <w:pStyle w:val="Heading2"/>
      </w:pPr>
      <w:bookmarkStart w:id="33" w:name="_Toc520279310"/>
      <w:bookmarkStart w:id="34" w:name="_Toc528902909"/>
      <w:bookmarkStart w:id="35" w:name="_Toc529979215"/>
      <w:bookmarkStart w:id="36" w:name="_Toc530993234"/>
      <w:bookmarkStart w:id="37" w:name="_Toc534966414"/>
      <w:bookmarkStart w:id="38" w:name="_Toc535242305"/>
      <w:r>
        <w:rPr>
          <w:noProof/>
        </w:rPr>
        <w:t>4</w:t>
      </w:r>
      <w:r w:rsidR="00961710">
        <w:rPr>
          <w:noProof/>
        </w:rPr>
        <w:t>.</w:t>
      </w:r>
      <w:r w:rsidR="00961710">
        <w:tab/>
      </w:r>
      <w:r w:rsidR="00DF07D5">
        <w:t>F</w:t>
      </w:r>
      <w:r w:rsidR="00961710">
        <w:t xml:space="preserve">ramework to </w:t>
      </w:r>
      <w:r w:rsidR="00C304A9">
        <w:t>enhance</w:t>
      </w:r>
      <w:r w:rsidR="00961710">
        <w:t xml:space="preserve"> mental health</w:t>
      </w:r>
      <w:bookmarkEnd w:id="33"/>
      <w:bookmarkEnd w:id="34"/>
      <w:bookmarkEnd w:id="35"/>
      <w:bookmarkEnd w:id="36"/>
      <w:r w:rsidR="00C304A9">
        <w:t xml:space="preserve"> and improve participation and workforce contribution</w:t>
      </w:r>
      <w:bookmarkEnd w:id="37"/>
      <w:bookmarkEnd w:id="38"/>
    </w:p>
    <w:p w:rsidR="00961710" w:rsidRDefault="00961710" w:rsidP="00961710">
      <w:pPr>
        <w:pStyle w:val="Heading3"/>
        <w:spacing w:before="480"/>
      </w:pPr>
      <w:r>
        <w:t>Towards coordinated care and a fully integrated system</w:t>
      </w:r>
    </w:p>
    <w:p w:rsidR="00961710" w:rsidRDefault="00961710" w:rsidP="00961710">
      <w:pPr>
        <w:pStyle w:val="BodyText"/>
      </w:pPr>
      <w:r>
        <w:t xml:space="preserve">Achieving </w:t>
      </w:r>
      <w:r w:rsidR="00606B53">
        <w:t>a coordinated and integrated</w:t>
      </w:r>
      <w:r>
        <w:t xml:space="preserve"> mental health system requires a strong policy framework and good governance. </w:t>
      </w:r>
      <w:r w:rsidR="00900893">
        <w:t xml:space="preserve">This </w:t>
      </w:r>
      <w:r w:rsidR="006A786C">
        <w:t>is a</w:t>
      </w:r>
      <w:r w:rsidR="00900893">
        <w:t xml:space="preserve"> responsibility </w:t>
      </w:r>
      <w:r w:rsidR="00161B4F">
        <w:t>shared by</w:t>
      </w:r>
      <w:r w:rsidR="00900893">
        <w:t xml:space="preserve"> </w:t>
      </w:r>
      <w:r w:rsidR="00161B4F">
        <w:t>Commonwealth, State</w:t>
      </w:r>
      <w:r w:rsidR="00900893">
        <w:t xml:space="preserve"> and </w:t>
      </w:r>
      <w:r w:rsidR="00161B4F">
        <w:t>Territory Governments</w:t>
      </w:r>
      <w:r w:rsidR="00900893">
        <w:t xml:space="preserve">. </w:t>
      </w:r>
      <w:r>
        <w:t>The</w:t>
      </w:r>
      <w:r w:rsidR="00A40F1E">
        <w:t>y have</w:t>
      </w:r>
      <w:r>
        <w:t xml:space="preserve"> articulated </w:t>
      </w:r>
      <w:r w:rsidR="00A40F1E">
        <w:t xml:space="preserve">their </w:t>
      </w:r>
      <w:r>
        <w:t xml:space="preserve">aims in the Fifth National Mental Health and Suicide Prevention Plan </w:t>
      </w:r>
      <w:r w:rsidR="00854FF1" w:rsidRPr="00854FF1">
        <w:rPr>
          <w:szCs w:val="24"/>
        </w:rPr>
        <w:t>(COAG Health Council 2017a)</w:t>
      </w:r>
      <w:r w:rsidR="00A40F1E">
        <w:t xml:space="preserve"> as being to</w:t>
      </w:r>
      <w:r>
        <w:t>:</w:t>
      </w:r>
    </w:p>
    <w:p w:rsidR="00961710" w:rsidRDefault="00961710" w:rsidP="00961710">
      <w:pPr>
        <w:pStyle w:val="ListBullet"/>
        <w:spacing w:before="100" w:line="280" w:lineRule="atLeast"/>
      </w:pPr>
      <w:r>
        <w:t xml:space="preserve">promote the mental health and wellbeing of the Australian community and, where possible, prevent the development of mental </w:t>
      </w:r>
      <w:r w:rsidR="00087B9B">
        <w:t>ill-health</w:t>
      </w:r>
    </w:p>
    <w:p w:rsidR="00961710" w:rsidRDefault="00961710" w:rsidP="00961710">
      <w:pPr>
        <w:pStyle w:val="ListBullet"/>
        <w:spacing w:before="100" w:line="280" w:lineRule="atLeast"/>
      </w:pPr>
      <w:r>
        <w:t xml:space="preserve">reduce the impact of mental </w:t>
      </w:r>
      <w:r w:rsidR="00087B9B">
        <w:t>ill-health</w:t>
      </w:r>
      <w:r>
        <w:t>, including the effects of stigma on individuals, families and the community</w:t>
      </w:r>
    </w:p>
    <w:p w:rsidR="00961710" w:rsidRDefault="00961710" w:rsidP="00961710">
      <w:pPr>
        <w:pStyle w:val="ListBullet"/>
        <w:spacing w:before="100" w:line="280" w:lineRule="atLeast"/>
      </w:pPr>
      <w:r>
        <w:t xml:space="preserve">promote recovery from mental </w:t>
      </w:r>
      <w:r w:rsidR="005324CC">
        <w:t>ill-</w:t>
      </w:r>
      <w:r>
        <w:t xml:space="preserve">health </w:t>
      </w:r>
    </w:p>
    <w:p w:rsidR="00961710" w:rsidRDefault="00961710" w:rsidP="00961710">
      <w:pPr>
        <w:pStyle w:val="ListBullet"/>
        <w:spacing w:before="100" w:line="280" w:lineRule="atLeast"/>
      </w:pPr>
      <w:r>
        <w:t xml:space="preserve">assure the rights of people with mental </w:t>
      </w:r>
      <w:r w:rsidR="00C46CD9">
        <w:t>ill-</w:t>
      </w:r>
      <w:r>
        <w:t>health, and enable them to participate meaningfully in society.</w:t>
      </w:r>
    </w:p>
    <w:p w:rsidR="00961710" w:rsidRDefault="00961710" w:rsidP="00961710">
      <w:pPr>
        <w:pStyle w:val="BodyText"/>
      </w:pPr>
      <w:r w:rsidRPr="00781FD0">
        <w:t>In its review, the</w:t>
      </w:r>
      <w:r w:rsidR="00DC16BE" w:rsidRPr="00DC16BE">
        <w:t xml:space="preserve"> </w:t>
      </w:r>
      <w:r w:rsidR="00DC16BE">
        <w:t>NMHC</w:t>
      </w:r>
      <w:r w:rsidR="001530B9">
        <w:t> </w:t>
      </w:r>
      <w:r w:rsidR="001530B9" w:rsidRPr="001530B9">
        <w:t>(2014a)</w:t>
      </w:r>
      <w:r w:rsidR="00DC16BE">
        <w:t> </w:t>
      </w:r>
      <w:r w:rsidR="003A5E8E">
        <w:t xml:space="preserve">recommended </w:t>
      </w:r>
      <w:r w:rsidRPr="00781FD0">
        <w:t xml:space="preserve">a system </w:t>
      </w:r>
      <w:r w:rsidR="003A5E8E">
        <w:t xml:space="preserve">which delivers </w:t>
      </w:r>
      <w:r w:rsidRPr="00781FD0">
        <w:t>truly person-centred care</w:t>
      </w:r>
      <w:r w:rsidR="003A5E8E">
        <w:t>, so that</w:t>
      </w:r>
      <w:r>
        <w:t xml:space="preserve"> </w:t>
      </w:r>
      <w:r w:rsidRPr="00781FD0">
        <w:t xml:space="preserve">people with </w:t>
      </w:r>
      <w:r w:rsidR="003A5E8E">
        <w:t xml:space="preserve">a </w:t>
      </w:r>
      <w:r w:rsidRPr="00781FD0">
        <w:t>mental illness and their carers c</w:t>
      </w:r>
      <w:r w:rsidR="003A5E8E">
        <w:t>an</w:t>
      </w:r>
      <w:r w:rsidRPr="00781FD0">
        <w:t xml:space="preserve"> easily access support</w:t>
      </w:r>
      <w:r w:rsidR="00DD663A">
        <w:t xml:space="preserve"> at the time </w:t>
      </w:r>
      <w:r w:rsidR="003A5E8E">
        <w:t>it</w:t>
      </w:r>
      <w:r w:rsidR="00DD663A">
        <w:t xml:space="preserve"> is needed</w:t>
      </w:r>
      <w:r w:rsidRPr="00781FD0">
        <w:t xml:space="preserve">. </w:t>
      </w:r>
      <w:r w:rsidR="003A5E8E">
        <w:t>The NMHC also call</w:t>
      </w:r>
      <w:r w:rsidR="00B42DC6">
        <w:t>ed</w:t>
      </w:r>
      <w:r w:rsidR="003A5E8E">
        <w:t xml:space="preserve"> for s</w:t>
      </w:r>
      <w:r w:rsidRPr="00781FD0">
        <w:t xml:space="preserve">ervices </w:t>
      </w:r>
      <w:r w:rsidR="001C64C6" w:rsidRPr="001C64C6">
        <w:t xml:space="preserve">for </w:t>
      </w:r>
      <w:r w:rsidR="003A5E8E">
        <w:t xml:space="preserve">people </w:t>
      </w:r>
      <w:r w:rsidR="001C64C6" w:rsidRPr="001C64C6">
        <w:t xml:space="preserve">with more severe and complex disorders </w:t>
      </w:r>
      <w:r w:rsidR="003A5E8E">
        <w:t>to</w:t>
      </w:r>
      <w:r w:rsidRPr="00781FD0">
        <w:t xml:space="preserve"> ‘wrap around the person’, </w:t>
      </w:r>
      <w:r>
        <w:t>cover the continuum of their needs</w:t>
      </w:r>
      <w:r w:rsidR="008C2490">
        <w:t>,</w:t>
      </w:r>
      <w:r w:rsidRPr="00781FD0">
        <w:t xml:space="preserve"> and be </w:t>
      </w:r>
      <w:r w:rsidR="001C64C6">
        <w:t xml:space="preserve">sustained and </w:t>
      </w:r>
      <w:r w:rsidRPr="00781FD0">
        <w:t>responsive to their changing needs</w:t>
      </w:r>
      <w:r>
        <w:t xml:space="preserve"> </w:t>
      </w:r>
      <w:r w:rsidR="001C64C6">
        <w:t>over time</w:t>
      </w:r>
      <w:r w:rsidRPr="00781FD0">
        <w:t>. For those who need</w:t>
      </w:r>
      <w:r>
        <w:t>ed</w:t>
      </w:r>
      <w:r w:rsidRPr="00781FD0">
        <w:t xml:space="preserve"> it, different types of care would be coordinated and case managed. Underpinning this </w:t>
      </w:r>
      <w:r w:rsidR="00B42DC6">
        <w:t>was envisaged to be</w:t>
      </w:r>
      <w:r w:rsidRPr="00781FD0">
        <w:t xml:space="preserve"> a </w:t>
      </w:r>
      <w:r>
        <w:t xml:space="preserve">fully integrated </w:t>
      </w:r>
      <w:r w:rsidRPr="00781FD0">
        <w:t>system, with strategy</w:t>
      </w:r>
      <w:r>
        <w:t>, policy and funding</w:t>
      </w:r>
      <w:r w:rsidRPr="00781FD0">
        <w:t xml:space="preserve"> aligned through the combined efforts of mental health consumers</w:t>
      </w:r>
      <w:r>
        <w:t xml:space="preserve"> </w:t>
      </w:r>
      <w:r w:rsidRPr="00781FD0">
        <w:t>and governments.</w:t>
      </w:r>
    </w:p>
    <w:p w:rsidR="00961710" w:rsidRPr="0019469A" w:rsidRDefault="00961710" w:rsidP="00961710">
      <w:pPr>
        <w:pStyle w:val="BodyText"/>
      </w:pPr>
      <w:r w:rsidRPr="0019469A">
        <w:t xml:space="preserve">The </w:t>
      </w:r>
      <w:r w:rsidR="005647FE">
        <w:t>NMHC </w:t>
      </w:r>
      <w:r w:rsidR="005647FE" w:rsidRPr="001530B9">
        <w:t>(2014a)</w:t>
      </w:r>
      <w:r w:rsidR="005647FE">
        <w:t> </w:t>
      </w:r>
      <w:r w:rsidRPr="0019469A">
        <w:t>found that people who were living with mental illness and their carers often ha</w:t>
      </w:r>
      <w:r w:rsidR="0019469A" w:rsidRPr="0019469A">
        <w:t>d</w:t>
      </w:r>
      <w:r w:rsidRPr="0019469A">
        <w:t xml:space="preserve"> a poor experience of care. In part, this </w:t>
      </w:r>
      <w:r w:rsidR="0019469A" w:rsidRPr="0019469A">
        <w:t>wa</w:t>
      </w:r>
      <w:r w:rsidRPr="0019469A">
        <w:t xml:space="preserve">s because the system </w:t>
      </w:r>
      <w:r w:rsidR="0019469A" w:rsidRPr="0019469A">
        <w:t>wa</w:t>
      </w:r>
      <w:r w:rsidRPr="0019469A">
        <w:t>s fragmented and d</w:t>
      </w:r>
      <w:r w:rsidR="0019469A" w:rsidRPr="0019469A">
        <w:t>id</w:t>
      </w:r>
      <w:r w:rsidRPr="0019469A">
        <w:t xml:space="preserve"> not</w:t>
      </w:r>
      <w:r w:rsidRPr="0019469A" w:rsidDel="00507025">
        <w:t xml:space="preserve"> </w:t>
      </w:r>
      <w:r w:rsidRPr="0019469A">
        <w:t>consider all aspects of a</w:t>
      </w:r>
      <w:r w:rsidRPr="0019469A" w:rsidDel="00507025">
        <w:t xml:space="preserve"> </w:t>
      </w:r>
      <w:r w:rsidRPr="0019469A">
        <w:t>person’s life (that is, the ‘whole person’). Years of poor planning and service coordination ha</w:t>
      </w:r>
      <w:r w:rsidR="006D2007" w:rsidRPr="0019469A">
        <w:t>d</w:t>
      </w:r>
      <w:r w:rsidRPr="0019469A">
        <w:t xml:space="preserve"> often</w:t>
      </w:r>
      <w:r w:rsidRPr="0019469A" w:rsidDel="00507025">
        <w:t xml:space="preserve"> </w:t>
      </w:r>
      <w:r w:rsidRPr="0019469A">
        <w:t>resulted in different levels of government and different sectors of the system operating in isolation which, in turn, led to duplication, overlap and service gaps.</w:t>
      </w:r>
    </w:p>
    <w:p w:rsidR="00961710" w:rsidRDefault="00961710" w:rsidP="00961710">
      <w:pPr>
        <w:pStyle w:val="BodyText"/>
      </w:pPr>
      <w:r>
        <w:lastRenderedPageBreak/>
        <w:t>K</w:t>
      </w:r>
      <w:r w:rsidRPr="00800177">
        <w:t>ey to achieving a person</w:t>
      </w:r>
      <w:r>
        <w:t>-</w:t>
      </w:r>
      <w:r w:rsidRPr="00800177">
        <w:t>centred and coordinat</w:t>
      </w:r>
      <w:r>
        <w:t>ed</w:t>
      </w:r>
      <w:r w:rsidRPr="00800177">
        <w:t xml:space="preserve"> approach to mental health care and support is a more integrated mental health system </w:t>
      </w:r>
      <w:r w:rsidR="00C96EA1" w:rsidRPr="00C96EA1">
        <w:rPr>
          <w:szCs w:val="24"/>
        </w:rPr>
        <w:t>(NMHC 2014a; Senate Select Committee on Health 2015)</w:t>
      </w:r>
      <w:r w:rsidRPr="00800177">
        <w:t>. The Fifth Plan aims to achieve this</w:t>
      </w:r>
      <w:r>
        <w:t xml:space="preserve"> in</w:t>
      </w:r>
      <w:r w:rsidRPr="00800177">
        <w:t xml:space="preserve"> emphasis</w:t>
      </w:r>
      <w:r>
        <w:t>ing</w:t>
      </w:r>
      <w:r w:rsidRPr="00800177">
        <w:t xml:space="preserve"> coordination and integration</w:t>
      </w:r>
      <w:r>
        <w:t>, which</w:t>
      </w:r>
      <w:r w:rsidRPr="00800177">
        <w:t xml:space="preserve"> </w:t>
      </w:r>
      <w:r>
        <w:t>t</w:t>
      </w:r>
      <w:r w:rsidRPr="00800177">
        <w:t xml:space="preserve">he COAG Health Council committed to operationalising </w:t>
      </w:r>
      <w:r>
        <w:t>through</w:t>
      </w:r>
      <w:r w:rsidRPr="00800177">
        <w:t xml:space="preserve"> supporting integrated planning and service delivery at the regional level </w:t>
      </w:r>
      <w:r w:rsidR="00854FF1" w:rsidRPr="00854FF1">
        <w:rPr>
          <w:szCs w:val="24"/>
        </w:rPr>
        <w:t>(COAG Health Council 2017a)</w:t>
      </w:r>
      <w:r w:rsidRPr="00800177">
        <w:t>. However, these reform</w:t>
      </w:r>
      <w:r>
        <w:t xml:space="preserve">s are still in the early stages. Despite pockets of excellence </w:t>
      </w:r>
      <w:r w:rsidR="00854FF1" w:rsidRPr="00854FF1">
        <w:rPr>
          <w:szCs w:val="24"/>
        </w:rPr>
        <w:t>(Mendoza et al. 2013)</w:t>
      </w:r>
      <w:r>
        <w:t>,</w:t>
      </w:r>
      <w:r w:rsidRPr="00800177">
        <w:t xml:space="preserve"> poor integration and coordination between health and non</w:t>
      </w:r>
      <w:r w:rsidRPr="00800177">
        <w:noBreakHyphen/>
        <w:t xml:space="preserve">health service areas remains a fundamental </w:t>
      </w:r>
      <w:r w:rsidR="00E408DD">
        <w:t>concern</w:t>
      </w:r>
      <w:r w:rsidRPr="00800177">
        <w:t>.</w:t>
      </w:r>
    </w:p>
    <w:p w:rsidR="00961710" w:rsidRDefault="00961710" w:rsidP="00961710">
      <w:pPr>
        <w:pStyle w:val="BodyText"/>
      </w:pPr>
      <w:r w:rsidRPr="00800177">
        <w:t xml:space="preserve">The policy framework, institutional arrangements, systems and processes for guiding, monitoring and evaluating public and private resources define the governance arrangements that are deployed for targeting the mental health outcomes described above. </w:t>
      </w:r>
      <w:r>
        <w:t>A</w:t>
      </w:r>
      <w:r w:rsidRPr="00B21DDA">
        <w:t>t a national level</w:t>
      </w:r>
      <w:r>
        <w:t>, these are expressed in</w:t>
      </w:r>
      <w:r w:rsidRPr="00B21DDA">
        <w:t xml:space="preserve"> the </w:t>
      </w:r>
      <w:r w:rsidRPr="00726796">
        <w:rPr>
          <w:i/>
        </w:rPr>
        <w:t>National Mental Health Strategy</w:t>
      </w:r>
      <w:r w:rsidRPr="00B21DDA">
        <w:t xml:space="preserve">, which </w:t>
      </w:r>
      <w:r>
        <w:t>includes</w:t>
      </w:r>
      <w:r w:rsidRPr="00B21DDA">
        <w:t xml:space="preserve">: the </w:t>
      </w:r>
      <w:r w:rsidRPr="00726796">
        <w:rPr>
          <w:i/>
        </w:rPr>
        <w:t>National Mental Health Policy</w:t>
      </w:r>
      <w:r>
        <w:t xml:space="preserve"> </w:t>
      </w:r>
      <w:r w:rsidR="00854FF1" w:rsidRPr="00854FF1">
        <w:rPr>
          <w:szCs w:val="24"/>
        </w:rPr>
        <w:t>(AHMC 1992)</w:t>
      </w:r>
      <w:r>
        <w:t xml:space="preserve">; five </w:t>
      </w:r>
      <w:r w:rsidRPr="00726796">
        <w:rPr>
          <w:i/>
        </w:rPr>
        <w:t>National Mental Health Plans</w:t>
      </w:r>
      <w:r w:rsidRPr="00B21DDA">
        <w:t xml:space="preserve">; and the </w:t>
      </w:r>
      <w:r w:rsidRPr="00726796">
        <w:rPr>
          <w:i/>
        </w:rPr>
        <w:t>Mental Health Statement of Rights and Responsibilities</w:t>
      </w:r>
      <w:r>
        <w:t xml:space="preserve"> </w:t>
      </w:r>
      <w:r w:rsidR="00854FF1" w:rsidRPr="00854FF1">
        <w:rPr>
          <w:szCs w:val="24"/>
        </w:rPr>
        <w:t>(Standing Council on Health 2012)</w:t>
      </w:r>
      <w:r w:rsidRPr="00B21DDA">
        <w:t>.</w:t>
      </w:r>
      <w:r>
        <w:t xml:space="preserve"> </w:t>
      </w:r>
    </w:p>
    <w:p w:rsidR="00631691" w:rsidRDefault="00B20E1C" w:rsidP="00961710">
      <w:pPr>
        <w:pStyle w:val="BodyText"/>
      </w:pPr>
      <w:r>
        <w:t>T</w:t>
      </w:r>
      <w:r w:rsidR="00456887" w:rsidRPr="00456887">
        <w:t xml:space="preserve">here is a wide range of </w:t>
      </w:r>
      <w:r w:rsidR="008B0D5D" w:rsidRPr="008B0D5D">
        <w:t xml:space="preserve">both health and non-health </w:t>
      </w:r>
      <w:r w:rsidR="00456887" w:rsidRPr="00456887">
        <w:t xml:space="preserve">services delivered to people living with a mental illness that are best delivered </w:t>
      </w:r>
      <w:r w:rsidR="00E408DD">
        <w:t>at a sub-national level</w:t>
      </w:r>
      <w:r w:rsidR="00456887" w:rsidRPr="00456887">
        <w:t xml:space="preserve">. </w:t>
      </w:r>
      <w:r w:rsidR="00694E98">
        <w:t>In addition to</w:t>
      </w:r>
      <w:r w:rsidR="00456887" w:rsidRPr="00456887">
        <w:t xml:space="preserve"> joint governance </w:t>
      </w:r>
      <w:r w:rsidR="00694E98">
        <w:t>arrangements</w:t>
      </w:r>
      <w:r w:rsidR="00456887" w:rsidRPr="00456887">
        <w:t xml:space="preserve"> with the Commonwealth</w:t>
      </w:r>
      <w:r w:rsidR="0052233C">
        <w:t xml:space="preserve"> in these areas</w:t>
      </w:r>
      <w:r w:rsidR="00456887" w:rsidRPr="00456887">
        <w:t xml:space="preserve">, </w:t>
      </w:r>
      <w:r w:rsidR="00DE08B4" w:rsidRPr="00456887">
        <w:t xml:space="preserve">State </w:t>
      </w:r>
      <w:r w:rsidR="00DE08B4">
        <w:t>a</w:t>
      </w:r>
      <w:r w:rsidR="00DE08B4" w:rsidRPr="00456887">
        <w:t xml:space="preserve">nd Territory Governments </w:t>
      </w:r>
      <w:r w:rsidR="00456887" w:rsidRPr="00456887">
        <w:t xml:space="preserve">are responsible for </w:t>
      </w:r>
      <w:r w:rsidR="009342EF">
        <w:t>overseeing</w:t>
      </w:r>
      <w:r w:rsidR="00456887" w:rsidRPr="00456887">
        <w:t xml:space="preserve"> </w:t>
      </w:r>
      <w:r w:rsidR="00DE08B4">
        <w:t xml:space="preserve">publicly funded </w:t>
      </w:r>
      <w:r w:rsidR="00456887" w:rsidRPr="00456887">
        <w:t xml:space="preserve">services provided in their </w:t>
      </w:r>
      <w:r w:rsidR="00DE08B4">
        <w:t>jurisdiction</w:t>
      </w:r>
      <w:r w:rsidR="0052233C">
        <w:t>, including healthcare and other services that</w:t>
      </w:r>
      <w:r w:rsidR="00D87CD1">
        <w:t xml:space="preserve"> support mental health, </w:t>
      </w:r>
      <w:r w:rsidR="0052233C">
        <w:t xml:space="preserve">such as </w:t>
      </w:r>
      <w:r w:rsidR="00D87CD1">
        <w:t>school</w:t>
      </w:r>
      <w:r w:rsidR="0052233C">
        <w:t>s</w:t>
      </w:r>
      <w:r w:rsidR="00D87CD1">
        <w:t xml:space="preserve">, housing and justice. </w:t>
      </w:r>
    </w:p>
    <w:p w:rsidR="00D87CD1" w:rsidRDefault="00D87CD1" w:rsidP="00961710">
      <w:pPr>
        <w:pStyle w:val="BodyText"/>
      </w:pPr>
      <w:r w:rsidRPr="00800177">
        <w:t xml:space="preserve">Although good governance </w:t>
      </w:r>
      <w:r w:rsidR="00F025C5">
        <w:t>will</w:t>
      </w:r>
      <w:r w:rsidRPr="00800177">
        <w:t xml:space="preserve"> not necessarily guarantee the outcomes sought by every individual who lives with a mental illness, or their carers, it goes a long way to increasing that likelihood.</w:t>
      </w:r>
    </w:p>
    <w:p w:rsidR="00961710" w:rsidRPr="004E3B94" w:rsidRDefault="00961710" w:rsidP="00961710">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61710" w:rsidTr="00C608E1">
        <w:trPr>
          <w:cantSplit/>
        </w:trPr>
        <w:tc>
          <w:tcPr>
            <w:tcW w:w="5000" w:type="pct"/>
            <w:tcBorders>
              <w:top w:val="single" w:sz="6" w:space="0" w:color="78A22F"/>
              <w:left w:val="nil"/>
              <w:bottom w:val="nil"/>
              <w:right w:val="nil"/>
            </w:tcBorders>
            <w:shd w:val="clear" w:color="auto" w:fill="auto"/>
          </w:tcPr>
          <w:p w:rsidR="00961710" w:rsidRPr="00CE4C64" w:rsidRDefault="00961710" w:rsidP="00EE0A89">
            <w:pPr>
              <w:pStyle w:val="InformationRequestTitle"/>
              <w:spacing w:before="120"/>
            </w:pPr>
            <w:r>
              <w:t>questions on coordination and integration</w:t>
            </w:r>
          </w:p>
        </w:tc>
      </w:tr>
      <w:tr w:rsidR="00961710" w:rsidRPr="00750BE2" w:rsidTr="00C608E1">
        <w:trPr>
          <w:cantSplit/>
        </w:trPr>
        <w:tc>
          <w:tcPr>
            <w:tcW w:w="5000" w:type="pct"/>
            <w:tcBorders>
              <w:top w:val="nil"/>
              <w:left w:val="nil"/>
              <w:bottom w:val="nil"/>
              <w:right w:val="nil"/>
            </w:tcBorders>
            <w:shd w:val="clear" w:color="auto" w:fill="auto"/>
          </w:tcPr>
          <w:p w:rsidR="00961710" w:rsidRDefault="008409F0" w:rsidP="00E221AE">
            <w:pPr>
              <w:pStyle w:val="InformationRequestBullet"/>
              <w:tabs>
                <w:tab w:val="clear" w:pos="340"/>
              </w:tabs>
              <w:ind w:left="360" w:hanging="360"/>
            </w:pPr>
            <w:r>
              <w:t>How effective are</w:t>
            </w:r>
            <w:r w:rsidR="00961710">
              <w:t xml:space="preserve"> the governance and institutional arrangements </w:t>
            </w:r>
            <w:r w:rsidR="003A3718">
              <w:t>for</w:t>
            </w:r>
            <w:r w:rsidR="00961710">
              <w:t xml:space="preserve"> mental health </w:t>
            </w:r>
            <w:r w:rsidR="003A3718">
              <w:t xml:space="preserve">in Australia in </w:t>
            </w:r>
            <w:r w:rsidR="00961710">
              <w:t>achiev</w:t>
            </w:r>
            <w:r w:rsidR="003A3718">
              <w:t>ing</w:t>
            </w:r>
            <w:r w:rsidR="00961710">
              <w:t xml:space="preserve"> the objectives agreed by COAG Health Council in the Fifth Plan? </w:t>
            </w:r>
            <w:r>
              <w:t>How</w:t>
            </w:r>
            <w:r w:rsidR="00961710">
              <w:t xml:space="preserve"> can they be improved?</w:t>
            </w:r>
          </w:p>
          <w:p w:rsidR="00961710" w:rsidRDefault="0062682D" w:rsidP="00E221AE">
            <w:pPr>
              <w:pStyle w:val="InformationRequestBullet"/>
              <w:tabs>
                <w:tab w:val="clear" w:pos="340"/>
              </w:tabs>
              <w:ind w:left="360" w:hanging="360"/>
            </w:pPr>
            <w:r>
              <w:t>To what extent do</w:t>
            </w:r>
            <w:r w:rsidR="00961710" w:rsidRPr="0000472C">
              <w:t xml:space="preserve"> current governance and institutional arrangements promot</w:t>
            </w:r>
            <w:r>
              <w:t>e</w:t>
            </w:r>
            <w:r w:rsidR="00961710" w:rsidRPr="0000472C">
              <w:t xml:space="preserve"> coordination and integration of mental health services and supports across health and non-health sectors</w:t>
            </w:r>
            <w:r w:rsidR="00F025C5">
              <w:t xml:space="preserve"> and different levels of government</w:t>
            </w:r>
            <w:r w:rsidR="00961710" w:rsidRPr="0000472C">
              <w:t>?</w:t>
            </w:r>
          </w:p>
          <w:p w:rsidR="00961710" w:rsidRDefault="00961710" w:rsidP="00E221AE">
            <w:pPr>
              <w:pStyle w:val="InformationRequestBullet"/>
              <w:tabs>
                <w:tab w:val="clear" w:pos="340"/>
              </w:tabs>
              <w:ind w:left="360" w:hanging="360"/>
            </w:pPr>
            <w:r>
              <w:t>What are the barriers to achieving closer coordination of health, mental health and non-health services and how might these be overcome?</w:t>
            </w:r>
          </w:p>
          <w:p w:rsidR="00961710" w:rsidRDefault="00961710" w:rsidP="00E221AE">
            <w:pPr>
              <w:pStyle w:val="InformationRequestBullet"/>
              <w:tabs>
                <w:tab w:val="clear" w:pos="340"/>
              </w:tabs>
              <w:ind w:left="360" w:hanging="360"/>
            </w:pPr>
            <w:r>
              <w:t>Is the suite of documents that comprises the National Mental Health Strategy effectively guiding mental health reform? Does it provide government and non</w:t>
            </w:r>
            <w:r>
              <w:noBreakHyphen/>
              <w:t>government stakeholders with clear and coherent policy direction? If not, what changes could be made?</w:t>
            </w:r>
          </w:p>
          <w:p w:rsidR="00961710" w:rsidRPr="006E7EE2" w:rsidRDefault="00961710" w:rsidP="00E221AE">
            <w:pPr>
              <w:pStyle w:val="InformationRequestBullet"/>
              <w:tabs>
                <w:tab w:val="clear" w:pos="340"/>
              </w:tabs>
              <w:ind w:left="360" w:hanging="360"/>
            </w:pPr>
            <w:r>
              <w:t xml:space="preserve">Are there aspects of mental health governance where roles and responsibilities are unclear or absent? Are the mechanisms for holding government decision-makers accountable for system performance sufficiently well-defined? </w:t>
            </w:r>
          </w:p>
        </w:tc>
      </w:tr>
      <w:tr w:rsidR="00961710" w:rsidTr="00C608E1">
        <w:trPr>
          <w:cantSplit/>
        </w:trPr>
        <w:tc>
          <w:tcPr>
            <w:tcW w:w="5000" w:type="pct"/>
            <w:tcBorders>
              <w:top w:val="nil"/>
              <w:left w:val="nil"/>
              <w:bottom w:val="single" w:sz="6" w:space="0" w:color="78A22F"/>
              <w:right w:val="nil"/>
            </w:tcBorders>
            <w:shd w:val="clear" w:color="auto" w:fill="auto"/>
          </w:tcPr>
          <w:p w:rsidR="00961710" w:rsidRDefault="00961710" w:rsidP="00EE0A89">
            <w:pPr>
              <w:pStyle w:val="Space"/>
              <w:keepLines/>
            </w:pPr>
          </w:p>
        </w:tc>
      </w:tr>
      <w:tr w:rsidR="00961710" w:rsidRPr="000863A5" w:rsidTr="00C608E1">
        <w:trPr>
          <w:cantSplit/>
        </w:trPr>
        <w:tc>
          <w:tcPr>
            <w:tcW w:w="5000" w:type="pct"/>
            <w:tcBorders>
              <w:top w:val="single" w:sz="6" w:space="0" w:color="78A22F"/>
              <w:left w:val="nil"/>
              <w:bottom w:val="nil"/>
              <w:right w:val="nil"/>
            </w:tcBorders>
          </w:tcPr>
          <w:p w:rsidR="00961710" w:rsidRPr="00626D32" w:rsidRDefault="00961710" w:rsidP="00EE0A89">
            <w:pPr>
              <w:pStyle w:val="BoxSpaceBelow"/>
              <w:keepLines/>
            </w:pPr>
          </w:p>
        </w:tc>
      </w:tr>
    </w:tbl>
    <w:p w:rsidR="00961710" w:rsidRDefault="00961710" w:rsidP="00961710">
      <w:pPr>
        <w:pStyle w:val="Heading3"/>
      </w:pPr>
      <w:r>
        <w:lastRenderedPageBreak/>
        <w:t>Funding arrangements</w:t>
      </w:r>
    </w:p>
    <w:p w:rsidR="00961710" w:rsidRDefault="00961710" w:rsidP="000B0A49">
      <w:pPr>
        <w:pStyle w:val="BodyText"/>
        <w:spacing w:before="220" w:line="290" w:lineRule="atLeast"/>
      </w:pPr>
      <w:r>
        <w:t>The costs of providing mental health services and payments are borne by governments, consumers and their families, insurers, employers and not-for-profit organisations.</w:t>
      </w:r>
    </w:p>
    <w:p w:rsidR="00961710" w:rsidRDefault="00961710" w:rsidP="000B0A49">
      <w:pPr>
        <w:pStyle w:val="BodyText"/>
        <w:spacing w:before="220" w:line="290" w:lineRule="atLeast"/>
      </w:pPr>
      <w:r>
        <w:t>In 2016-17, the Australian Gover</w:t>
      </w:r>
      <w:r w:rsidR="00754AF2">
        <w:t>nment contributed at least $12.1</w:t>
      </w:r>
      <w:r>
        <w:t xml:space="preserve"> billion to mental health-related services and payments, </w:t>
      </w:r>
      <w:r w:rsidR="00762651">
        <w:t>while S</w:t>
      </w:r>
      <w:r>
        <w:t xml:space="preserve">tate and </w:t>
      </w:r>
      <w:r w:rsidR="00762651">
        <w:t>T</w:t>
      </w:r>
      <w:r>
        <w:t xml:space="preserve">erritory </w:t>
      </w:r>
      <w:r w:rsidR="00762651">
        <w:t>G</w:t>
      </w:r>
      <w:r>
        <w:t>ov</w:t>
      </w:r>
      <w:r w:rsidR="00754AF2">
        <w:t>ernments contributed at least $4</w:t>
      </w:r>
      <w:r>
        <w:t> billion (figure </w:t>
      </w:r>
      <w:r w:rsidR="00253D8A">
        <w:t>9</w:t>
      </w:r>
      <w:r>
        <w:t>) — an amount that has grown significantly since the early 1990s (figure </w:t>
      </w:r>
      <w:r w:rsidR="009F2C88">
        <w:t>1</w:t>
      </w:r>
      <w:r w:rsidR="00253D8A">
        <w:t>0</w:t>
      </w:r>
      <w:r>
        <w:t>). While both levels of government fund health services to a similar amount, the Australian Government takes sole responsibility for funding income support payments to people with mental illness</w:t>
      </w:r>
      <w:r>
        <w:noBreakHyphen/>
        <w:t xml:space="preserve">related disability and their carers. In addition, at the full rollout of the NDIS (expected in 2020), it is anticipated that governments will fund services to people with psychosocial disability </w:t>
      </w:r>
      <w:r w:rsidR="003731E0">
        <w:t>in the order</w:t>
      </w:r>
      <w:r>
        <w:t xml:space="preserve"> of $3–3.3 billion per annum.</w:t>
      </w:r>
      <w:r w:rsidRPr="004C2106">
        <w:rPr>
          <w:rStyle w:val="FootnoteReference"/>
        </w:rPr>
        <w:footnoteReference w:id="9"/>
      </w:r>
    </w:p>
    <w:p w:rsidR="00961710" w:rsidRDefault="00961710" w:rsidP="000B0A49">
      <w:pPr>
        <w:pStyle w:val="BoxSpaceAbove"/>
        <w:spacing w:before="240" w:line="60" w:lineRule="exac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61710" w:rsidTr="005870C9">
        <w:trPr>
          <w:cantSplit/>
        </w:trPr>
        <w:tc>
          <w:tcPr>
            <w:tcW w:w="5000" w:type="pct"/>
            <w:tcBorders>
              <w:top w:val="single" w:sz="6" w:space="0" w:color="78A22F"/>
              <w:left w:val="nil"/>
              <w:bottom w:val="nil"/>
              <w:right w:val="nil"/>
            </w:tcBorders>
            <w:shd w:val="clear" w:color="auto" w:fill="auto"/>
          </w:tcPr>
          <w:p w:rsidR="00961710" w:rsidRPr="008C370E" w:rsidRDefault="00961710" w:rsidP="00EE0A89">
            <w:pPr>
              <w:pStyle w:val="FigureTitle"/>
              <w:rPr>
                <w:rStyle w:val="NoteLabel"/>
              </w:rPr>
            </w:pPr>
            <w:r w:rsidRPr="00784A05">
              <w:rPr>
                <w:b w:val="0"/>
              </w:rPr>
              <w:t xml:space="preserve">Figure </w:t>
            </w:r>
            <w:r w:rsidR="00253D8A">
              <w:rPr>
                <w:b w:val="0"/>
              </w:rPr>
              <w:t>9</w:t>
            </w:r>
            <w:r>
              <w:tab/>
              <w:t xml:space="preserve">Snapshot of mental health funding and </w:t>
            </w:r>
            <w:r w:rsidR="008F5D16">
              <w:t>expenditure</w:t>
            </w:r>
            <w:r w:rsidR="007F5E14">
              <w:rPr>
                <w:rStyle w:val="NoteLabel"/>
                <w:b/>
              </w:rPr>
              <w:t>a</w:t>
            </w:r>
            <w:r w:rsidR="008F5D16">
              <w:rPr>
                <w:rStyle w:val="NoteLabel"/>
                <w:b/>
              </w:rPr>
              <w:t>,b,c</w:t>
            </w:r>
          </w:p>
          <w:p w:rsidR="00961710" w:rsidRPr="00176D3F" w:rsidRDefault="00961710" w:rsidP="00EE0A89">
            <w:pPr>
              <w:pStyle w:val="Subtitle"/>
            </w:pPr>
            <w:r>
              <w:t>2016</w:t>
            </w:r>
            <w:r>
              <w:noBreakHyphen/>
              <w:t>17, with NDIS expenditures also projected to full rollout (expected 2020)</w:t>
            </w:r>
          </w:p>
        </w:tc>
      </w:tr>
      <w:tr w:rsidR="00961710" w:rsidTr="005870C9">
        <w:trPr>
          <w:cantSplit/>
        </w:trPr>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61710" w:rsidRPr="00B1465D" w:rsidTr="00EE0A89">
              <w:trPr>
                <w:tblHeader/>
                <w:jc w:val="center"/>
              </w:trPr>
              <w:tc>
                <w:tcPr>
                  <w:tcW w:w="5000" w:type="pct"/>
                  <w:tcBorders>
                    <w:top w:val="nil"/>
                    <w:bottom w:val="nil"/>
                  </w:tcBorders>
                </w:tcPr>
                <w:p w:rsidR="00961710" w:rsidRPr="00B1465D" w:rsidRDefault="007F5E14" w:rsidP="00EE0A89">
                  <w:pPr>
                    <w:pStyle w:val="Figure"/>
                    <w:spacing w:before="60" w:after="60"/>
                    <w:rPr>
                      <w:rFonts w:ascii="Arial" w:hAnsi="Arial" w:cs="Arial"/>
                      <w:sz w:val="18"/>
                      <w:szCs w:val="18"/>
                    </w:rPr>
                  </w:pPr>
                  <w:r>
                    <w:rPr>
                      <w:rFonts w:ascii="Arial" w:hAnsi="Arial" w:cs="Arial"/>
                      <w:noProof/>
                      <w:sz w:val="18"/>
                      <w:szCs w:val="18"/>
                    </w:rPr>
                    <w:drawing>
                      <wp:inline distT="0" distB="0" distL="0" distR="0" wp14:anchorId="11D98444" wp14:editId="2F15B615">
                        <wp:extent cx="5377180" cy="2621280"/>
                        <wp:effectExtent l="0" t="0" r="0" b="7620"/>
                        <wp:docPr id="1070" name="Picture 1070" descr="Mental health funding and expenditure of Australian, state and territory governments by aggregated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77180" cy="2621280"/>
                                </a:xfrm>
                                <a:prstGeom prst="rect">
                                  <a:avLst/>
                                </a:prstGeom>
                                <a:noFill/>
                              </pic:spPr>
                            </pic:pic>
                          </a:graphicData>
                        </a:graphic>
                      </wp:inline>
                    </w:drawing>
                  </w:r>
                </w:p>
              </w:tc>
            </w:tr>
          </w:tbl>
          <w:p w:rsidR="00961710" w:rsidRDefault="00961710" w:rsidP="00EE0A89">
            <w:pPr>
              <w:pStyle w:val="Figure"/>
            </w:pPr>
          </w:p>
        </w:tc>
      </w:tr>
      <w:tr w:rsidR="00961710" w:rsidRPr="00176D3F" w:rsidTr="005870C9">
        <w:trPr>
          <w:cantSplit/>
        </w:trPr>
        <w:tc>
          <w:tcPr>
            <w:tcW w:w="5000" w:type="pct"/>
            <w:tcBorders>
              <w:top w:val="nil"/>
              <w:left w:val="nil"/>
              <w:bottom w:val="nil"/>
              <w:right w:val="nil"/>
            </w:tcBorders>
            <w:shd w:val="clear" w:color="auto" w:fill="auto"/>
          </w:tcPr>
          <w:p w:rsidR="00961710" w:rsidRPr="00F2004F" w:rsidRDefault="007F5E14" w:rsidP="009B7538">
            <w:pPr>
              <w:pStyle w:val="Note"/>
              <w:keepNext/>
              <w:rPr>
                <w:rStyle w:val="NoteLabel"/>
              </w:rPr>
            </w:pPr>
            <w:r>
              <w:rPr>
                <w:rStyle w:val="NoteLabel"/>
              </w:rPr>
              <w:t>a</w:t>
            </w:r>
            <w:r w:rsidR="00961710">
              <w:t xml:space="preserve"> ‘</w:t>
            </w:r>
            <w:r w:rsidR="00961710" w:rsidRPr="000B0A49">
              <w:rPr>
                <w:spacing w:val="-2"/>
              </w:rPr>
              <w:t>Other expenditure’ by the Australian</w:t>
            </w:r>
            <w:r w:rsidR="008D0983" w:rsidRPr="000B0A49">
              <w:rPr>
                <w:spacing w:val="-2"/>
              </w:rPr>
              <w:t>,</w:t>
            </w:r>
            <w:r w:rsidR="00961710" w:rsidRPr="000B0A49">
              <w:rPr>
                <w:spacing w:val="-2"/>
              </w:rPr>
              <w:t xml:space="preserve"> State and Territory Government</w:t>
            </w:r>
            <w:r w:rsidR="008D0983" w:rsidRPr="000B0A49">
              <w:rPr>
                <w:spacing w:val="-2"/>
              </w:rPr>
              <w:t>s</w:t>
            </w:r>
            <w:r w:rsidR="00961710" w:rsidRPr="000B0A49">
              <w:rPr>
                <w:spacing w:val="-2"/>
              </w:rPr>
              <w:t xml:space="preserve"> is expenditure reported by AIHW </w:t>
            </w:r>
            <w:r w:rsidR="00854FF1" w:rsidRPr="00854FF1">
              <w:rPr>
                <w:rFonts w:cs="Arial"/>
              </w:rPr>
              <w:t>(2018g)</w:t>
            </w:r>
            <w:r w:rsidR="00961710" w:rsidRPr="000B0A49">
              <w:rPr>
                <w:spacing w:val="-2"/>
              </w:rPr>
              <w:t xml:space="preserve"> that is not listed elsewhere</w:t>
            </w:r>
            <w:r w:rsidR="00961710">
              <w:t xml:space="preserve">. </w:t>
            </w:r>
            <w:r>
              <w:rPr>
                <w:rStyle w:val="NoteLabel"/>
              </w:rPr>
              <w:t>b</w:t>
            </w:r>
            <w:r w:rsidR="00961710">
              <w:t xml:space="preserve"> </w:t>
            </w:r>
            <w:r w:rsidR="00961710" w:rsidRPr="000B0A49">
              <w:rPr>
                <w:spacing w:val="-2"/>
              </w:rPr>
              <w:t>‘Income support payments’ are Disability Support Pension, Carer Payment and Carer Allowance issued because of psychiatric/psychological disability</w:t>
            </w:r>
            <w:r w:rsidR="00961710">
              <w:t>.</w:t>
            </w:r>
            <w:r>
              <w:rPr>
                <w:rStyle w:val="NoteLabel"/>
              </w:rPr>
              <w:t>c</w:t>
            </w:r>
            <w:r w:rsidR="00961710">
              <w:t xml:space="preserve"> </w:t>
            </w:r>
            <w:r w:rsidR="00961710" w:rsidRPr="000B0A49">
              <w:rPr>
                <w:spacing w:val="-2"/>
              </w:rPr>
              <w:t>‘Public hospitals (admitted patients)’ are specialised psychiatric units or wards in public acute hospitals or public psychiatric hospitals.</w:t>
            </w:r>
            <w:r w:rsidR="00A51F9B" w:rsidRPr="000B0A49">
              <w:rPr>
                <w:spacing w:val="-2"/>
              </w:rPr>
              <w:t xml:space="preserve"> </w:t>
            </w:r>
            <w:r w:rsidR="00685463" w:rsidRPr="000B0A49">
              <w:rPr>
                <w:spacing w:val="-2"/>
              </w:rPr>
              <w:t xml:space="preserve">This </w:t>
            </w:r>
            <w:r w:rsidR="009D7875" w:rsidRPr="000B0A49">
              <w:rPr>
                <w:spacing w:val="-2"/>
              </w:rPr>
              <w:t xml:space="preserve">understates </w:t>
            </w:r>
            <w:r w:rsidR="00412C3F" w:rsidRPr="000B0A49">
              <w:rPr>
                <w:spacing w:val="-2"/>
              </w:rPr>
              <w:t xml:space="preserve">total expenditure on admitted patients </w:t>
            </w:r>
            <w:r w:rsidR="005248CF" w:rsidRPr="000B0A49">
              <w:rPr>
                <w:spacing w:val="-2"/>
              </w:rPr>
              <w:t>with</w:t>
            </w:r>
            <w:r w:rsidR="00624813" w:rsidRPr="000B0A49">
              <w:rPr>
                <w:spacing w:val="-2"/>
              </w:rPr>
              <w:t xml:space="preserve"> a </w:t>
            </w:r>
            <w:r w:rsidR="00412C3F" w:rsidRPr="000B0A49">
              <w:rPr>
                <w:spacing w:val="-2"/>
              </w:rPr>
              <w:t xml:space="preserve">psychiatric diagnosis because </w:t>
            </w:r>
            <w:r w:rsidR="004B5824" w:rsidRPr="000B0A49">
              <w:rPr>
                <w:spacing w:val="-2"/>
              </w:rPr>
              <w:t xml:space="preserve">they </w:t>
            </w:r>
            <w:r w:rsidR="00412C3F" w:rsidRPr="000B0A49">
              <w:rPr>
                <w:spacing w:val="-2"/>
              </w:rPr>
              <w:t xml:space="preserve">sometimes receive care in </w:t>
            </w:r>
            <w:r w:rsidR="00685463" w:rsidRPr="000B0A49">
              <w:rPr>
                <w:spacing w:val="-2"/>
              </w:rPr>
              <w:t>hospital</w:t>
            </w:r>
            <w:r w:rsidR="009B7538" w:rsidRPr="000B0A49">
              <w:rPr>
                <w:spacing w:val="-2"/>
              </w:rPr>
              <w:t>s</w:t>
            </w:r>
            <w:r w:rsidR="00685463" w:rsidRPr="000B0A49">
              <w:rPr>
                <w:spacing w:val="-2"/>
              </w:rPr>
              <w:t xml:space="preserve"> without</w:t>
            </w:r>
            <w:r w:rsidR="00392E7C" w:rsidRPr="000B0A49">
              <w:rPr>
                <w:spacing w:val="-2"/>
              </w:rPr>
              <w:t xml:space="preserve"> a</w:t>
            </w:r>
            <w:r w:rsidR="00685463" w:rsidRPr="000B0A49">
              <w:rPr>
                <w:spacing w:val="-2"/>
              </w:rPr>
              <w:t xml:space="preserve"> specialised </w:t>
            </w:r>
            <w:r w:rsidR="00412C3F" w:rsidRPr="000B0A49">
              <w:rPr>
                <w:spacing w:val="-2"/>
              </w:rPr>
              <w:t xml:space="preserve">psychiatric </w:t>
            </w:r>
            <w:r w:rsidR="00685463" w:rsidRPr="000B0A49">
              <w:rPr>
                <w:spacing w:val="-2"/>
              </w:rPr>
              <w:t>unit or ward.</w:t>
            </w:r>
            <w:r w:rsidR="00961710">
              <w:t xml:space="preserve"> </w:t>
            </w:r>
            <w:r>
              <w:rPr>
                <w:rStyle w:val="NoteLabel"/>
              </w:rPr>
              <w:t>d</w:t>
            </w:r>
            <w:r w:rsidR="00685463">
              <w:rPr>
                <w:rStyle w:val="NoteLabel"/>
              </w:rPr>
              <w:t> </w:t>
            </w:r>
            <w:r w:rsidRPr="000B0A49">
              <w:rPr>
                <w:spacing w:val="-2"/>
              </w:rPr>
              <w:t>2015</w:t>
            </w:r>
            <w:r w:rsidR="00BD525E" w:rsidRPr="000B0A49">
              <w:rPr>
                <w:spacing w:val="-2"/>
              </w:rPr>
              <w:noBreakHyphen/>
            </w:r>
            <w:r w:rsidRPr="000B0A49">
              <w:rPr>
                <w:spacing w:val="-2"/>
              </w:rPr>
              <w:t>16 figures</w:t>
            </w:r>
            <w:r>
              <w:t xml:space="preserve">. </w:t>
            </w:r>
            <w:r w:rsidR="00961710" w:rsidRPr="006F5B2F">
              <w:rPr>
                <w:rStyle w:val="NoteLabel"/>
              </w:rPr>
              <w:t>e</w:t>
            </w:r>
            <w:r w:rsidR="00961710">
              <w:t xml:space="preserve"> </w:t>
            </w:r>
            <w:r w:rsidR="00961710" w:rsidRPr="000B0A49">
              <w:rPr>
                <w:spacing w:val="-2"/>
              </w:rPr>
              <w:t xml:space="preserve">Total funding is the total expenditure for the respective level of government with an adjustment made to account for the National Health Reform funding transfer from the Australian Government to the </w:t>
            </w:r>
            <w:r w:rsidR="0099733C" w:rsidRPr="000B0A49">
              <w:rPr>
                <w:spacing w:val="-2"/>
              </w:rPr>
              <w:t>State and Territory Governments</w:t>
            </w:r>
            <w:r w:rsidR="00961710" w:rsidRPr="000B0A49">
              <w:rPr>
                <w:spacing w:val="-2"/>
              </w:rPr>
              <w:t>.</w:t>
            </w:r>
          </w:p>
        </w:tc>
      </w:tr>
      <w:tr w:rsidR="00961710" w:rsidRPr="00176D3F" w:rsidTr="005870C9">
        <w:trPr>
          <w:cantSplit/>
        </w:trPr>
        <w:tc>
          <w:tcPr>
            <w:tcW w:w="5000" w:type="pct"/>
            <w:tcBorders>
              <w:top w:val="nil"/>
              <w:left w:val="nil"/>
              <w:bottom w:val="nil"/>
              <w:right w:val="nil"/>
            </w:tcBorders>
            <w:shd w:val="clear" w:color="auto" w:fill="auto"/>
          </w:tcPr>
          <w:p w:rsidR="00961710" w:rsidRPr="00176D3F" w:rsidRDefault="00961710" w:rsidP="007D680C">
            <w:pPr>
              <w:pStyle w:val="Source"/>
            </w:pPr>
            <w:r>
              <w:rPr>
                <w:i/>
              </w:rPr>
              <w:t>S</w:t>
            </w:r>
            <w:r w:rsidRPr="00784A05">
              <w:rPr>
                <w:i/>
              </w:rPr>
              <w:t>ource</w:t>
            </w:r>
            <w:r w:rsidR="007D680C">
              <w:rPr>
                <w:i/>
              </w:rPr>
              <w:t>s</w:t>
            </w:r>
            <w:r w:rsidRPr="00176D3F">
              <w:t xml:space="preserve">: </w:t>
            </w:r>
            <w:r>
              <w:t>AIHW </w:t>
            </w:r>
            <w:r w:rsidR="00854FF1" w:rsidRPr="00854FF1">
              <w:rPr>
                <w:rFonts w:cs="Arial"/>
              </w:rPr>
              <w:t>(2018g)</w:t>
            </w:r>
            <w:r>
              <w:t>;</w:t>
            </w:r>
            <w:r w:rsidRPr="00176D3F">
              <w:t xml:space="preserve"> </w:t>
            </w:r>
            <w:r>
              <w:t>Income support payments are Productivity Commission estimates based on data.gov.au </w:t>
            </w:r>
            <w:r w:rsidR="00854FF1" w:rsidRPr="00854FF1">
              <w:rPr>
                <w:rFonts w:cs="Arial"/>
              </w:rPr>
              <w:t>(2016)</w:t>
            </w:r>
            <w:r>
              <w:t xml:space="preserve"> and DSS </w:t>
            </w:r>
            <w:r w:rsidR="00854FF1" w:rsidRPr="00854FF1">
              <w:rPr>
                <w:rFonts w:cs="Arial"/>
              </w:rPr>
              <w:t>(2017)</w:t>
            </w:r>
            <w:r>
              <w:t>; National Disability Insurance Scheme expenditures are Productivity Commission estimates based on NDIA </w:t>
            </w:r>
            <w:r w:rsidR="00854FF1" w:rsidRPr="00854FF1">
              <w:rPr>
                <w:rFonts w:cs="Arial"/>
              </w:rPr>
              <w:t>(2017)</w:t>
            </w:r>
            <w:r>
              <w:t xml:space="preserve"> and PC </w:t>
            </w:r>
            <w:r w:rsidR="00854FF1" w:rsidRPr="00854FF1">
              <w:rPr>
                <w:rFonts w:cs="Arial"/>
              </w:rPr>
              <w:t>(2017b)</w:t>
            </w:r>
            <w:r>
              <w:t>; National Health Reform funding is a Productivity Commission estimate based on ABS (</w:t>
            </w:r>
            <w:r w:rsidRPr="00F2004F">
              <w:rPr>
                <w:i/>
              </w:rPr>
              <w:t>Australian Demographic Statistics, March 2018</w:t>
            </w:r>
            <w:r>
              <w:t>, Cat. no. 3101.0) and Administrator National Health Funding Pool </w:t>
            </w:r>
            <w:r w:rsidR="00854FF1" w:rsidRPr="00854FF1">
              <w:rPr>
                <w:rFonts w:cs="Arial"/>
              </w:rPr>
              <w:t>(2017, 2018)</w:t>
            </w:r>
            <w:r>
              <w:t>.</w:t>
            </w:r>
          </w:p>
        </w:tc>
      </w:tr>
      <w:tr w:rsidR="00961710" w:rsidTr="005870C9">
        <w:trPr>
          <w:cantSplit/>
        </w:trPr>
        <w:tc>
          <w:tcPr>
            <w:tcW w:w="5000" w:type="pct"/>
            <w:tcBorders>
              <w:top w:val="nil"/>
              <w:left w:val="nil"/>
              <w:bottom w:val="single" w:sz="6" w:space="0" w:color="78A22F"/>
              <w:right w:val="nil"/>
            </w:tcBorders>
            <w:shd w:val="clear" w:color="auto" w:fill="auto"/>
          </w:tcPr>
          <w:p w:rsidR="00961710" w:rsidRDefault="00961710" w:rsidP="00EE0A89">
            <w:pPr>
              <w:pStyle w:val="Figurespace"/>
            </w:pPr>
          </w:p>
        </w:tc>
      </w:tr>
      <w:tr w:rsidR="00961710" w:rsidRPr="000863A5" w:rsidTr="005870C9">
        <w:trPr>
          <w:cantSplit/>
        </w:trPr>
        <w:tc>
          <w:tcPr>
            <w:tcW w:w="5000" w:type="pct"/>
            <w:tcBorders>
              <w:top w:val="single" w:sz="6" w:space="0" w:color="78A22F"/>
              <w:left w:val="nil"/>
              <w:bottom w:val="nil"/>
              <w:right w:val="nil"/>
            </w:tcBorders>
          </w:tcPr>
          <w:p w:rsidR="00961710" w:rsidRPr="00626D32" w:rsidRDefault="00961710" w:rsidP="000B0A49">
            <w:pPr>
              <w:pStyle w:val="BoxSpaceBelow"/>
              <w:spacing w:line="20" w:lineRule="exact"/>
            </w:pPr>
          </w:p>
        </w:tc>
      </w:tr>
    </w:tbl>
    <w:p w:rsidR="0050025A" w:rsidRDefault="0050025A" w:rsidP="0050025A">
      <w:pPr>
        <w:pStyle w:val="BodyText"/>
      </w:pPr>
      <w:r>
        <w:lastRenderedPageBreak/>
        <w:t>The Commonwealth and the states each fund a very different mix of services. The Commonwealth subsidises primary health services</w:t>
      </w:r>
      <w:r w:rsidRPr="004C2106">
        <w:rPr>
          <w:rStyle w:val="FootnoteReference"/>
        </w:rPr>
        <w:footnoteReference w:id="10"/>
      </w:r>
      <w:r>
        <w:t xml:space="preserve"> and pharmaceuticals, provides payments to the states to support their provision of public hospitals, and directly funds a wide variety of national programs across several portfolios. The states, meanwhile, primarily fund a share of community mental health services and public hospital services.</w:t>
      </w:r>
    </w:p>
    <w:p w:rsidR="0050025A" w:rsidRDefault="0050025A" w:rsidP="0050025A">
      <w:pPr>
        <w:pStyle w:val="BodyText"/>
      </w:pPr>
      <w:r>
        <w:t>Expenditure by Australian governments on mental health services is moderate by international standards — ninth among 20 (out of 34) OECD members as a share of gross domestic product, and eighth as a share of total government health expenditure (figure 11).</w:t>
      </w:r>
      <w:r w:rsidRPr="004C2106">
        <w:rPr>
          <w:rStyle w:val="FootnoteReference"/>
        </w:rPr>
        <w:footnoteReference w:id="11"/>
      </w:r>
    </w:p>
    <w:p w:rsidR="00961710" w:rsidRDefault="00961710" w:rsidP="0096171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61710" w:rsidTr="00EE0A89">
        <w:trPr>
          <w:tblHeader/>
        </w:trPr>
        <w:tc>
          <w:tcPr>
            <w:tcW w:w="5000" w:type="pct"/>
            <w:tcBorders>
              <w:top w:val="single" w:sz="6" w:space="0" w:color="78A22F"/>
              <w:left w:val="nil"/>
              <w:bottom w:val="nil"/>
              <w:right w:val="nil"/>
            </w:tcBorders>
            <w:shd w:val="clear" w:color="auto" w:fill="auto"/>
          </w:tcPr>
          <w:p w:rsidR="00961710" w:rsidRPr="00A60092" w:rsidRDefault="00961710" w:rsidP="00EE0A89">
            <w:pPr>
              <w:pStyle w:val="FigureTitle"/>
              <w:rPr>
                <w:rStyle w:val="NoteLabel"/>
              </w:rPr>
            </w:pPr>
            <w:r w:rsidRPr="00784A05">
              <w:rPr>
                <w:b w:val="0"/>
              </w:rPr>
              <w:t xml:space="preserve">Figure </w:t>
            </w:r>
            <w:r w:rsidR="009F2C88">
              <w:rPr>
                <w:b w:val="0"/>
              </w:rPr>
              <w:t>1</w:t>
            </w:r>
            <w:r w:rsidR="00253D8A">
              <w:rPr>
                <w:b w:val="0"/>
              </w:rPr>
              <w:t>0</w:t>
            </w:r>
            <w:r>
              <w:tab/>
              <w:t>Mental health expenditure over time</w:t>
            </w:r>
            <w:r w:rsidR="00EF106D" w:rsidRPr="00A71132">
              <w:rPr>
                <w:rStyle w:val="NoteLabel"/>
                <w:b/>
              </w:rPr>
              <w:t>a</w:t>
            </w:r>
          </w:p>
          <w:p w:rsidR="00961710" w:rsidRPr="00176D3F" w:rsidRDefault="00961710" w:rsidP="00EE0A89">
            <w:pPr>
              <w:pStyle w:val="Subtitle"/>
            </w:pPr>
            <w:r>
              <w:t>Real per-capita expenditure on mental health by level of government</w:t>
            </w:r>
          </w:p>
        </w:tc>
      </w:tr>
      <w:tr w:rsidR="00961710" w:rsidTr="00EE0A8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61710" w:rsidRPr="00B1465D" w:rsidTr="00EE0A89">
              <w:trPr>
                <w:tblHeader/>
                <w:jc w:val="center"/>
              </w:trPr>
              <w:tc>
                <w:tcPr>
                  <w:tcW w:w="5000" w:type="pct"/>
                  <w:tcBorders>
                    <w:top w:val="nil"/>
                    <w:bottom w:val="nil"/>
                  </w:tcBorders>
                </w:tcPr>
                <w:p w:rsidR="00961710" w:rsidRPr="00B1465D" w:rsidRDefault="00760345" w:rsidP="00EE0A89">
                  <w:pPr>
                    <w:pStyle w:val="Figure"/>
                    <w:spacing w:before="60" w:after="60"/>
                    <w:rPr>
                      <w:rFonts w:ascii="Arial" w:hAnsi="Arial" w:cs="Arial"/>
                      <w:sz w:val="18"/>
                      <w:szCs w:val="18"/>
                    </w:rPr>
                  </w:pPr>
                  <w:r>
                    <w:rPr>
                      <w:rFonts w:ascii="Arial" w:hAnsi="Arial" w:cs="Arial"/>
                      <w:noProof/>
                      <w:sz w:val="18"/>
                      <w:szCs w:val="18"/>
                    </w:rPr>
                    <w:drawing>
                      <wp:inline distT="0" distB="0" distL="0" distR="0">
                        <wp:extent cx="5353050" cy="2876550"/>
                        <wp:effectExtent l="0" t="0" r="0" b="0"/>
                        <wp:docPr id="6" name="Picture 6" descr="Mental health expenditure of Australian, state and territory governments rising from 1992-93 to 20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53050" cy="2876550"/>
                                </a:xfrm>
                                <a:prstGeom prst="rect">
                                  <a:avLst/>
                                </a:prstGeom>
                                <a:noFill/>
                                <a:ln>
                                  <a:noFill/>
                                </a:ln>
                              </pic:spPr>
                            </pic:pic>
                          </a:graphicData>
                        </a:graphic>
                      </wp:inline>
                    </w:drawing>
                  </w:r>
                </w:p>
              </w:tc>
            </w:tr>
          </w:tbl>
          <w:p w:rsidR="00961710" w:rsidRDefault="00961710" w:rsidP="00EE0A89">
            <w:pPr>
              <w:pStyle w:val="Figure"/>
            </w:pPr>
          </w:p>
        </w:tc>
      </w:tr>
      <w:tr w:rsidR="00EF106D" w:rsidRPr="00176D3F" w:rsidTr="00EE0A89">
        <w:tc>
          <w:tcPr>
            <w:tcW w:w="5000" w:type="pct"/>
            <w:tcBorders>
              <w:top w:val="nil"/>
              <w:left w:val="nil"/>
              <w:bottom w:val="nil"/>
              <w:right w:val="nil"/>
            </w:tcBorders>
            <w:shd w:val="clear" w:color="auto" w:fill="auto"/>
          </w:tcPr>
          <w:p w:rsidR="00EF106D" w:rsidRDefault="00EF106D" w:rsidP="00A71132">
            <w:pPr>
              <w:pStyle w:val="Source"/>
              <w:rPr>
                <w:i/>
              </w:rPr>
            </w:pPr>
            <w:r>
              <w:rPr>
                <w:rStyle w:val="NoteLabel"/>
              </w:rPr>
              <w:t>a</w:t>
            </w:r>
            <w:r>
              <w:t xml:space="preserve"> Expenditure is </w:t>
            </w:r>
            <w:r w:rsidR="00A71132">
              <w:t>not adjusted for National Health Reform funding transfer from the Australian Government to the state and territory governments.</w:t>
            </w:r>
          </w:p>
        </w:tc>
      </w:tr>
      <w:tr w:rsidR="00961710" w:rsidRPr="00176D3F" w:rsidTr="00EE0A89">
        <w:tc>
          <w:tcPr>
            <w:tcW w:w="5000" w:type="pct"/>
            <w:tcBorders>
              <w:top w:val="nil"/>
              <w:left w:val="nil"/>
              <w:bottom w:val="nil"/>
              <w:right w:val="nil"/>
            </w:tcBorders>
            <w:shd w:val="clear" w:color="auto" w:fill="auto"/>
          </w:tcPr>
          <w:p w:rsidR="00961710" w:rsidRPr="00176D3F" w:rsidRDefault="00961710" w:rsidP="00535B1D">
            <w:pPr>
              <w:pStyle w:val="Source"/>
            </w:pPr>
            <w:r>
              <w:rPr>
                <w:i/>
              </w:rPr>
              <w:t>S</w:t>
            </w:r>
            <w:r w:rsidRPr="00784A05">
              <w:rPr>
                <w:i/>
              </w:rPr>
              <w:t>ource</w:t>
            </w:r>
            <w:r w:rsidRPr="00176D3F">
              <w:t xml:space="preserve">: </w:t>
            </w:r>
            <w:r>
              <w:t>AIHW </w:t>
            </w:r>
            <w:r w:rsidR="00854FF1" w:rsidRPr="00854FF1">
              <w:rPr>
                <w:rFonts w:cs="Arial"/>
              </w:rPr>
              <w:t>(2018g)</w:t>
            </w:r>
            <w:r w:rsidR="00063543">
              <w:t>; Australian Government income support payments are Productivity Commission estimates based on ABS (</w:t>
            </w:r>
            <w:r w:rsidR="00063543" w:rsidRPr="00063543">
              <w:rPr>
                <w:i/>
              </w:rPr>
              <w:t>Australian Demographic Statistics, Mar 2018</w:t>
            </w:r>
            <w:r w:rsidR="00063543">
              <w:t>, Cat. no. 3101.0</w:t>
            </w:r>
            <w:r w:rsidR="00F12C5D">
              <w:t xml:space="preserve">; </w:t>
            </w:r>
            <w:r w:rsidR="00F12C5D" w:rsidRPr="00F12C5D">
              <w:rPr>
                <w:i/>
              </w:rPr>
              <w:t>Consumer Price Index</w:t>
            </w:r>
            <w:r w:rsidR="00F12C5D">
              <w:rPr>
                <w:i/>
              </w:rPr>
              <w:t>, Sep 2018</w:t>
            </w:r>
            <w:r w:rsidR="00F12C5D">
              <w:t>, Cat. no. 6401.0</w:t>
            </w:r>
            <w:r w:rsidR="00063543">
              <w:t>)</w:t>
            </w:r>
            <w:r w:rsidR="00F12C5D">
              <w:t xml:space="preserve"> and various departmental annual reports. </w:t>
            </w:r>
          </w:p>
        </w:tc>
      </w:tr>
      <w:tr w:rsidR="00961710" w:rsidTr="00EE0A89">
        <w:tc>
          <w:tcPr>
            <w:tcW w:w="5000" w:type="pct"/>
            <w:tcBorders>
              <w:top w:val="nil"/>
              <w:left w:val="nil"/>
              <w:bottom w:val="single" w:sz="6" w:space="0" w:color="78A22F"/>
              <w:right w:val="nil"/>
            </w:tcBorders>
            <w:shd w:val="clear" w:color="auto" w:fill="auto"/>
          </w:tcPr>
          <w:p w:rsidR="00961710" w:rsidRDefault="00961710" w:rsidP="00EE0A89">
            <w:pPr>
              <w:pStyle w:val="Figurespace"/>
            </w:pPr>
          </w:p>
        </w:tc>
      </w:tr>
      <w:tr w:rsidR="00961710" w:rsidRPr="000863A5" w:rsidTr="00EE0A89">
        <w:tc>
          <w:tcPr>
            <w:tcW w:w="5000" w:type="pct"/>
            <w:tcBorders>
              <w:top w:val="single" w:sz="6" w:space="0" w:color="78A22F"/>
              <w:left w:val="nil"/>
              <w:bottom w:val="nil"/>
              <w:right w:val="nil"/>
            </w:tcBorders>
          </w:tcPr>
          <w:p w:rsidR="00961710" w:rsidRPr="00626D32" w:rsidRDefault="00961710" w:rsidP="00EE0A89">
            <w:pPr>
              <w:pStyle w:val="BoxSpaceBelow"/>
            </w:pPr>
          </w:p>
        </w:tc>
      </w:tr>
    </w:tbl>
    <w:p w:rsidR="00961710" w:rsidRDefault="00961710" w:rsidP="0096171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61710" w:rsidTr="00EE0A89">
        <w:trPr>
          <w:tblHeader/>
        </w:trPr>
        <w:tc>
          <w:tcPr>
            <w:tcW w:w="5000" w:type="pct"/>
            <w:tcBorders>
              <w:top w:val="single" w:sz="6" w:space="0" w:color="78A22F"/>
              <w:left w:val="nil"/>
              <w:bottom w:val="nil"/>
              <w:right w:val="nil"/>
            </w:tcBorders>
            <w:shd w:val="clear" w:color="auto" w:fill="auto"/>
          </w:tcPr>
          <w:p w:rsidR="00961710" w:rsidRDefault="00961710" w:rsidP="00EE0A89">
            <w:pPr>
              <w:pStyle w:val="FigureTitle"/>
            </w:pPr>
            <w:r w:rsidRPr="00784A05">
              <w:rPr>
                <w:b w:val="0"/>
              </w:rPr>
              <w:t xml:space="preserve">Figure </w:t>
            </w:r>
            <w:r w:rsidR="009F2C88">
              <w:rPr>
                <w:b w:val="0"/>
              </w:rPr>
              <w:t>1</w:t>
            </w:r>
            <w:r w:rsidR="00253D8A">
              <w:rPr>
                <w:b w:val="0"/>
              </w:rPr>
              <w:t>1</w:t>
            </w:r>
            <w:r>
              <w:tab/>
              <w:t>Government expenditure on mental health services — international comparison</w:t>
            </w:r>
          </w:p>
          <w:p w:rsidR="00961710" w:rsidRPr="00176D3F" w:rsidRDefault="00961710" w:rsidP="00EE0A89">
            <w:pPr>
              <w:pStyle w:val="Subtitle"/>
            </w:pPr>
            <w:r>
              <w:t>Selected OECD countries, 2011</w:t>
            </w:r>
          </w:p>
        </w:tc>
      </w:tr>
      <w:tr w:rsidR="00961710" w:rsidTr="00EE0A8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61710" w:rsidRPr="00B1465D" w:rsidTr="00EE0A89">
              <w:trPr>
                <w:tblHeader/>
                <w:jc w:val="center"/>
              </w:trPr>
              <w:tc>
                <w:tcPr>
                  <w:tcW w:w="5000" w:type="pct"/>
                  <w:tcBorders>
                    <w:top w:val="nil"/>
                    <w:bottom w:val="nil"/>
                  </w:tcBorders>
                </w:tcPr>
                <w:p w:rsidR="00961710" w:rsidRPr="00B1465D" w:rsidRDefault="00760345" w:rsidP="000A3049">
                  <w:pPr>
                    <w:pStyle w:val="Figure"/>
                    <w:spacing w:before="60" w:after="60"/>
                    <w:rPr>
                      <w:rFonts w:ascii="Arial" w:hAnsi="Arial" w:cs="Arial"/>
                      <w:sz w:val="18"/>
                      <w:szCs w:val="18"/>
                    </w:rPr>
                  </w:pPr>
                  <w:r>
                    <w:rPr>
                      <w:rFonts w:ascii="Arial" w:hAnsi="Arial" w:cs="Arial"/>
                      <w:noProof/>
                      <w:sz w:val="18"/>
                      <w:szCs w:val="18"/>
                    </w:rPr>
                    <w:drawing>
                      <wp:inline distT="0" distB="0" distL="0" distR="0">
                        <wp:extent cx="5391150" cy="2762250"/>
                        <wp:effectExtent l="0" t="0" r="0" b="0"/>
                        <wp:docPr id="7" name="Picture 7" descr="Government expenditure on mental health services for Australia and selected other OECD countries, in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91150" cy="2762250"/>
                                </a:xfrm>
                                <a:prstGeom prst="rect">
                                  <a:avLst/>
                                </a:prstGeom>
                                <a:noFill/>
                                <a:ln>
                                  <a:noFill/>
                                </a:ln>
                              </pic:spPr>
                            </pic:pic>
                          </a:graphicData>
                        </a:graphic>
                      </wp:inline>
                    </w:drawing>
                  </w:r>
                </w:p>
              </w:tc>
            </w:tr>
          </w:tbl>
          <w:p w:rsidR="00961710" w:rsidRDefault="00961710" w:rsidP="00EE0A89">
            <w:pPr>
              <w:pStyle w:val="Figure"/>
            </w:pPr>
          </w:p>
        </w:tc>
      </w:tr>
      <w:tr w:rsidR="00961710" w:rsidRPr="00176D3F" w:rsidTr="00EE0A89">
        <w:tc>
          <w:tcPr>
            <w:tcW w:w="5000" w:type="pct"/>
            <w:tcBorders>
              <w:top w:val="nil"/>
              <w:left w:val="nil"/>
              <w:bottom w:val="nil"/>
              <w:right w:val="nil"/>
            </w:tcBorders>
            <w:shd w:val="clear" w:color="auto" w:fill="auto"/>
          </w:tcPr>
          <w:p w:rsidR="00961710" w:rsidRPr="00176D3F" w:rsidRDefault="00961710" w:rsidP="004F3127">
            <w:pPr>
              <w:pStyle w:val="Source"/>
            </w:pPr>
            <w:r>
              <w:rPr>
                <w:i/>
              </w:rPr>
              <w:t>S</w:t>
            </w:r>
            <w:r w:rsidRPr="00784A05">
              <w:rPr>
                <w:i/>
              </w:rPr>
              <w:t>ource</w:t>
            </w:r>
            <w:r w:rsidRPr="00176D3F">
              <w:t>:</w:t>
            </w:r>
            <w:r>
              <w:t xml:space="preserve"> </w:t>
            </w:r>
            <w:r w:rsidR="004F3127">
              <w:t>P</w:t>
            </w:r>
            <w:r>
              <w:t>roductivity Commission estimate</w:t>
            </w:r>
            <w:r w:rsidR="004F3127">
              <w:t>s</w:t>
            </w:r>
            <w:r>
              <w:t xml:space="preserve"> based</w:t>
            </w:r>
            <w:r w:rsidR="00C04300">
              <w:t xml:space="preserve"> on</w:t>
            </w:r>
            <w:r>
              <w:t xml:space="preserve"> </w:t>
            </w:r>
            <w:r w:rsidR="004F3127">
              <w:t xml:space="preserve">data from </w:t>
            </w:r>
            <w:r>
              <w:t>OECD </w:t>
            </w:r>
            <w:r w:rsidR="00854FF1" w:rsidRPr="00854FF1">
              <w:rPr>
                <w:rFonts w:cs="Arial"/>
              </w:rPr>
              <w:t>(2018)</w:t>
            </w:r>
            <w:r w:rsidR="004F3127">
              <w:t xml:space="preserve"> and WHO </w:t>
            </w:r>
            <w:r w:rsidR="00854FF1" w:rsidRPr="00854FF1">
              <w:rPr>
                <w:rFonts w:cs="Arial"/>
              </w:rPr>
              <w:t>(2013)</w:t>
            </w:r>
            <w:r>
              <w:t>.</w:t>
            </w:r>
          </w:p>
        </w:tc>
      </w:tr>
      <w:tr w:rsidR="00961710" w:rsidTr="00EE0A89">
        <w:tc>
          <w:tcPr>
            <w:tcW w:w="5000" w:type="pct"/>
            <w:tcBorders>
              <w:top w:val="nil"/>
              <w:left w:val="nil"/>
              <w:bottom w:val="single" w:sz="6" w:space="0" w:color="78A22F"/>
              <w:right w:val="nil"/>
            </w:tcBorders>
            <w:shd w:val="clear" w:color="auto" w:fill="auto"/>
          </w:tcPr>
          <w:p w:rsidR="00961710" w:rsidRDefault="00961710" w:rsidP="00EE0A89">
            <w:pPr>
              <w:pStyle w:val="Figurespace"/>
            </w:pPr>
          </w:p>
        </w:tc>
      </w:tr>
      <w:tr w:rsidR="00961710" w:rsidRPr="000863A5" w:rsidTr="00EE0A89">
        <w:tc>
          <w:tcPr>
            <w:tcW w:w="5000" w:type="pct"/>
            <w:tcBorders>
              <w:top w:val="single" w:sz="6" w:space="0" w:color="78A22F"/>
              <w:left w:val="nil"/>
              <w:bottom w:val="nil"/>
              <w:right w:val="nil"/>
            </w:tcBorders>
          </w:tcPr>
          <w:p w:rsidR="00961710" w:rsidRPr="00626D32" w:rsidRDefault="00961710" w:rsidP="00EE0A89">
            <w:pPr>
              <w:pStyle w:val="BoxSpaceBelow"/>
            </w:pPr>
          </w:p>
        </w:tc>
      </w:tr>
    </w:tbl>
    <w:p w:rsidR="00961710" w:rsidRDefault="009E6BDB" w:rsidP="00961710">
      <w:pPr>
        <w:pStyle w:val="BodyText"/>
      </w:pPr>
      <w:r>
        <w:t>C</w:t>
      </w:r>
      <w:r w:rsidR="00961710">
        <w:t xml:space="preserve">onsumers (and their families), </w:t>
      </w:r>
      <w:r>
        <w:t>carers</w:t>
      </w:r>
      <w:r w:rsidR="00961710">
        <w:t>, insurers, employers and not-for-profit organisations also bear costs of providing mental health services.</w:t>
      </w:r>
    </w:p>
    <w:p w:rsidR="00961710" w:rsidRDefault="00961710" w:rsidP="00961710">
      <w:pPr>
        <w:pStyle w:val="ListBullet"/>
      </w:pPr>
      <w:r>
        <w:t xml:space="preserve">Mental health consumers incurred expenditure of </w:t>
      </w:r>
      <w:r w:rsidR="00754AF2">
        <w:t xml:space="preserve">at least </w:t>
      </w:r>
      <w:r>
        <w:t xml:space="preserve">$285 million (in 2016-17) </w:t>
      </w:r>
      <w:r w:rsidR="008444BA">
        <w:t>o</w:t>
      </w:r>
      <w:r>
        <w:t xml:space="preserve">n Medicare-subsidised mental health services, spent a further $115 million (in 2015-16) on mental health services provided by state governments, and spent an estimated $185 million (in 2010-11) on Pharmaceutical Benefits Scheme-subsidised mental health-related medications </w:t>
      </w:r>
      <w:r w:rsidR="00854FF1" w:rsidRPr="00854FF1">
        <w:rPr>
          <w:szCs w:val="24"/>
        </w:rPr>
        <w:t>(AIHW 2018g; Medibank and Nous Group 2013b)</w:t>
      </w:r>
      <w:r>
        <w:t>.</w:t>
      </w:r>
      <w:r w:rsidR="008444BA">
        <w:t xml:space="preserve"> This is in addition to expenditure on services that are not government subsidised.</w:t>
      </w:r>
    </w:p>
    <w:p w:rsidR="009E6BDB" w:rsidRDefault="009E6BDB" w:rsidP="00961710">
      <w:pPr>
        <w:pStyle w:val="ListBullet"/>
      </w:pPr>
      <w:r>
        <w:t xml:space="preserve">Informal carers provided an estimated $13 billion worth of support services to people with </w:t>
      </w:r>
      <w:r w:rsidR="00136577">
        <w:t xml:space="preserve">a </w:t>
      </w:r>
      <w:r>
        <w:t xml:space="preserve">mental illness in 2015 </w:t>
      </w:r>
      <w:r w:rsidR="00854FF1" w:rsidRPr="00854FF1">
        <w:rPr>
          <w:szCs w:val="24"/>
        </w:rPr>
        <w:t>(Diminic et al. 2017)</w:t>
      </w:r>
      <w:r w:rsidR="008444BA">
        <w:t>.</w:t>
      </w:r>
    </w:p>
    <w:p w:rsidR="00961710" w:rsidRDefault="00961710" w:rsidP="00961710">
      <w:pPr>
        <w:pStyle w:val="ListBullet"/>
      </w:pPr>
      <w:r>
        <w:t xml:space="preserve">Private health consumers contributed, through their private health insurers, about $466 million toward mental health services provided in private hospitals in 2015-16 </w:t>
      </w:r>
      <w:r w:rsidR="00854FF1" w:rsidRPr="00854FF1">
        <w:rPr>
          <w:szCs w:val="24"/>
        </w:rPr>
        <w:t>(AIHW 2018g)</w:t>
      </w:r>
      <w:r>
        <w:t>.</w:t>
      </w:r>
    </w:p>
    <w:p w:rsidR="00302541" w:rsidRDefault="00302541" w:rsidP="00302541">
      <w:pPr>
        <w:pStyle w:val="BodyText"/>
      </w:pPr>
      <w:r>
        <w:t xml:space="preserve">Funding arrangements are not simply a way of paying for things — they also generate incentives for governments and service providers. </w:t>
      </w:r>
      <w:r w:rsidR="00961710">
        <w:t xml:space="preserve">This inquiry will consider </w:t>
      </w:r>
      <w:r>
        <w:t>if (and how) funding arrangements could:</w:t>
      </w:r>
    </w:p>
    <w:p w:rsidR="00302541" w:rsidRDefault="00302541" w:rsidP="007D2EA3">
      <w:pPr>
        <w:pStyle w:val="ListBullet"/>
      </w:pPr>
      <w:r>
        <w:t>better incentivise service providers to deliver good outcomes</w:t>
      </w:r>
    </w:p>
    <w:p w:rsidR="00302541" w:rsidRDefault="00302541" w:rsidP="007D2EA3">
      <w:pPr>
        <w:pStyle w:val="ListBullet"/>
      </w:pPr>
      <w:r>
        <w:t>break down silos and encourage different governments and service providers to operate in a coordinated fashion</w:t>
      </w:r>
    </w:p>
    <w:p w:rsidR="00302541" w:rsidRDefault="00302541" w:rsidP="007D2EA3">
      <w:pPr>
        <w:pStyle w:val="ListBullet"/>
      </w:pPr>
      <w:r>
        <w:lastRenderedPageBreak/>
        <w:t xml:space="preserve">encourage governments to recognise the impacts of funding decisions on other portfolios, levels of government or over time. Of interest, for example, is whether there are sufficient incentives for investment that would yield improved mental health, even though the benefits may not be realised for some years and and/or the fiscal benefits would accrue to a different portfolio or level of government. </w:t>
      </w:r>
    </w:p>
    <w:p w:rsidR="00961710" w:rsidRPr="004E3B94" w:rsidRDefault="00961710" w:rsidP="00961710">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61710" w:rsidTr="00295623">
        <w:trPr>
          <w:cantSplit/>
        </w:trPr>
        <w:tc>
          <w:tcPr>
            <w:tcW w:w="5000" w:type="pct"/>
            <w:tcBorders>
              <w:top w:val="single" w:sz="6" w:space="0" w:color="78A22F"/>
              <w:left w:val="nil"/>
              <w:bottom w:val="nil"/>
              <w:right w:val="nil"/>
            </w:tcBorders>
            <w:shd w:val="clear" w:color="auto" w:fill="auto"/>
          </w:tcPr>
          <w:p w:rsidR="00961710" w:rsidRPr="00CE4C64" w:rsidRDefault="00961710" w:rsidP="00EE0A89">
            <w:pPr>
              <w:pStyle w:val="InformationRequestTitle"/>
              <w:spacing w:before="120"/>
            </w:pPr>
            <w:r>
              <w:t>Questions on funding arrangements</w:t>
            </w:r>
          </w:p>
        </w:tc>
      </w:tr>
      <w:tr w:rsidR="00961710" w:rsidRPr="00750BE2" w:rsidTr="00295623">
        <w:trPr>
          <w:cantSplit/>
        </w:trPr>
        <w:tc>
          <w:tcPr>
            <w:tcW w:w="5000" w:type="pct"/>
            <w:tcBorders>
              <w:top w:val="nil"/>
              <w:left w:val="nil"/>
              <w:bottom w:val="nil"/>
              <w:right w:val="nil"/>
            </w:tcBorders>
            <w:shd w:val="clear" w:color="auto" w:fill="auto"/>
          </w:tcPr>
          <w:p w:rsidR="00961710" w:rsidRDefault="00961710" w:rsidP="00E221AE">
            <w:pPr>
              <w:pStyle w:val="InformationRequestBullet"/>
              <w:tabs>
                <w:tab w:val="clear" w:pos="340"/>
              </w:tabs>
              <w:ind w:left="360" w:hanging="360"/>
            </w:pPr>
            <w:r>
              <w:t xml:space="preserve">What have been the drivers of the growth in mental health expenditure </w:t>
            </w:r>
            <w:r w:rsidR="00B403F4">
              <w:t>in Australia</w:t>
            </w:r>
            <w:r>
              <w:t xml:space="preserve">? Are these same forces likely to continue driving expenditure growth in the future? </w:t>
            </w:r>
            <w:r w:rsidR="00F84EE3">
              <w:t xml:space="preserve">What </w:t>
            </w:r>
            <w:r>
              <w:t xml:space="preserve">new drivers </w:t>
            </w:r>
            <w:r w:rsidR="00F84EE3">
              <w:t xml:space="preserve">are likely to </w:t>
            </w:r>
            <w:r>
              <w:t>emerge in the future?</w:t>
            </w:r>
          </w:p>
          <w:p w:rsidR="00302541" w:rsidRDefault="00302541" w:rsidP="00E221AE">
            <w:pPr>
              <w:pStyle w:val="InformationRequestBullet"/>
              <w:tabs>
                <w:tab w:val="clear" w:pos="340"/>
              </w:tabs>
              <w:ind w:left="360" w:hanging="360"/>
            </w:pPr>
            <w:r>
              <w:t xml:space="preserve">Can you provide specific examples of sub-optimal policy outcomes that result </w:t>
            </w:r>
            <w:r w:rsidR="0042518B">
              <w:t>from</w:t>
            </w:r>
            <w:r>
              <w:t xml:space="preserve"> </w:t>
            </w:r>
            <w:r w:rsidR="00B403F4">
              <w:t xml:space="preserve">any </w:t>
            </w:r>
            <w:r>
              <w:t>problems with existing funding arrangements?</w:t>
            </w:r>
          </w:p>
          <w:p w:rsidR="006A4A22" w:rsidRDefault="00302541" w:rsidP="00E221AE">
            <w:pPr>
              <w:pStyle w:val="InformationRequestBullet"/>
              <w:tabs>
                <w:tab w:val="clear" w:pos="340"/>
              </w:tabs>
              <w:ind w:left="360" w:hanging="360"/>
            </w:pPr>
            <w:r>
              <w:t xml:space="preserve">How could funding arrangements </w:t>
            </w:r>
            <w:r w:rsidR="00E75550">
              <w:t xml:space="preserve">be </w:t>
            </w:r>
            <w:r w:rsidR="006A4A22">
              <w:t>reformed</w:t>
            </w:r>
            <w:r w:rsidR="00E75550">
              <w:t xml:space="preserve"> to </w:t>
            </w:r>
            <w:r>
              <w:t>better incentivise service providers to deliver good outcomes</w:t>
            </w:r>
            <w:r w:rsidR="00541EF5">
              <w:t xml:space="preserve">, </w:t>
            </w:r>
            <w:r w:rsidR="006A4A22">
              <w:t xml:space="preserve">and facilitate coordination between government agencies and </w:t>
            </w:r>
            <w:r w:rsidR="00E67A3B">
              <w:t>across</w:t>
            </w:r>
            <w:r w:rsidR="006A4A22">
              <w:t xml:space="preserve"> tiers of government</w:t>
            </w:r>
            <w:r>
              <w:t>?</w:t>
            </w:r>
            <w:r w:rsidR="006A4A22">
              <w:t xml:space="preserve"> </w:t>
            </w:r>
          </w:p>
          <w:p w:rsidR="003E793F" w:rsidRDefault="003E793F" w:rsidP="00E221AE">
            <w:pPr>
              <w:pStyle w:val="InformationRequestBullet"/>
              <w:tabs>
                <w:tab w:val="clear" w:pos="340"/>
              </w:tabs>
              <w:ind w:left="360" w:hanging="360"/>
            </w:pPr>
            <w:r>
              <w:t xml:space="preserve">Are the current </w:t>
            </w:r>
            <w:r w:rsidR="00B91542">
              <w:t>arrangements for commissioning and funding mental health services — such as through government departments, PHNs or non-government bodies — delivering the best outcomes for consumers? If not, how can they be improved?</w:t>
            </w:r>
          </w:p>
          <w:p w:rsidR="003E793F" w:rsidRPr="003E793F" w:rsidRDefault="00251EDA" w:rsidP="00E221AE">
            <w:pPr>
              <w:pStyle w:val="InformationRequestBullet"/>
              <w:tabs>
                <w:tab w:val="clear" w:pos="340"/>
              </w:tabs>
              <w:ind w:left="360" w:hanging="360"/>
            </w:pPr>
            <w:r>
              <w:t>How does</w:t>
            </w:r>
            <w:r w:rsidR="003E793F">
              <w:t xml:space="preserve"> the way the Medicare Benefits Scheme operate</w:t>
            </w:r>
            <w:r>
              <w:t xml:space="preserve"> impact on the delivery of mental health service</w:t>
            </w:r>
            <w:r w:rsidR="003E793F">
              <w:t xml:space="preserve">s? </w:t>
            </w:r>
            <w:r>
              <w:t>What changes might deliver improved mental health outcomes?</w:t>
            </w:r>
          </w:p>
          <w:p w:rsidR="00961710" w:rsidRPr="006E7EE2" w:rsidRDefault="00961710" w:rsidP="00E221AE">
            <w:pPr>
              <w:pStyle w:val="InformationRequestBullet"/>
              <w:tabs>
                <w:tab w:val="clear" w:pos="340"/>
              </w:tabs>
              <w:ind w:left="360" w:hanging="360"/>
            </w:pPr>
            <w:r>
              <w:t xml:space="preserve">What </w:t>
            </w:r>
            <w:r w:rsidRPr="00FA1F77">
              <w:t xml:space="preserve">government services </w:t>
            </w:r>
            <w:r>
              <w:t xml:space="preserve">and payments </w:t>
            </w:r>
            <w:r w:rsidR="00F270FA">
              <w:t>beyond those directly targeted at mental health</w:t>
            </w:r>
            <w:r w:rsidRPr="00FA1F77">
              <w:t xml:space="preserve"> </w:t>
            </w:r>
            <w:r w:rsidR="00F270FA">
              <w:t>should this inquiry seek to quantify, and how should this be done?</w:t>
            </w:r>
          </w:p>
        </w:tc>
      </w:tr>
      <w:tr w:rsidR="00961710" w:rsidTr="00295623">
        <w:trPr>
          <w:cantSplit/>
        </w:trPr>
        <w:tc>
          <w:tcPr>
            <w:tcW w:w="5000" w:type="pct"/>
            <w:tcBorders>
              <w:top w:val="nil"/>
              <w:left w:val="nil"/>
              <w:bottom w:val="single" w:sz="6" w:space="0" w:color="78A22F"/>
              <w:right w:val="nil"/>
            </w:tcBorders>
            <w:shd w:val="clear" w:color="auto" w:fill="auto"/>
          </w:tcPr>
          <w:p w:rsidR="00961710" w:rsidRDefault="00961710" w:rsidP="00EE0A89">
            <w:pPr>
              <w:pStyle w:val="Space"/>
              <w:keepLines/>
            </w:pPr>
          </w:p>
        </w:tc>
      </w:tr>
      <w:tr w:rsidR="00961710" w:rsidRPr="000863A5" w:rsidTr="00295623">
        <w:trPr>
          <w:cantSplit/>
        </w:trPr>
        <w:tc>
          <w:tcPr>
            <w:tcW w:w="5000" w:type="pct"/>
            <w:tcBorders>
              <w:top w:val="single" w:sz="6" w:space="0" w:color="78A22F"/>
              <w:left w:val="nil"/>
              <w:bottom w:val="nil"/>
              <w:right w:val="nil"/>
            </w:tcBorders>
          </w:tcPr>
          <w:p w:rsidR="00961710" w:rsidRPr="00626D32" w:rsidRDefault="00961710" w:rsidP="00EE0A89">
            <w:pPr>
              <w:pStyle w:val="BoxSpaceBelow"/>
              <w:keepLines/>
            </w:pPr>
          </w:p>
        </w:tc>
      </w:tr>
    </w:tbl>
    <w:p w:rsidR="00961710" w:rsidRDefault="00961710" w:rsidP="00504F38">
      <w:pPr>
        <w:pStyle w:val="Heading3"/>
        <w:spacing w:before="480"/>
      </w:pPr>
      <w:r w:rsidRPr="009239B7">
        <w:t>Measurement and reporting of outcomes</w:t>
      </w:r>
    </w:p>
    <w:p w:rsidR="00961710" w:rsidRDefault="00961710" w:rsidP="00D11137">
      <w:pPr>
        <w:pStyle w:val="BodyText"/>
        <w:spacing w:before="200"/>
      </w:pPr>
      <w:r>
        <w:t>Measurement and reporting of mental health outcomes can play a pivotal role in improving supports for individuals living with mental ill</w:t>
      </w:r>
      <w:r w:rsidR="00105D74">
        <w:t>-health</w:t>
      </w:r>
      <w:r>
        <w:t xml:space="preserve">, their families and carers. If well-designed, measurement and reporting can help hold governments to account by making information available to the public. It can also inform mental health policy and funding decisions made by government. Measurement and reporting can track mental health policy initiatives to determine if desired outcomes are being achieved or not. </w:t>
      </w:r>
    </w:p>
    <w:p w:rsidR="00E7062B" w:rsidRDefault="00EB722C" w:rsidP="00D11137">
      <w:pPr>
        <w:pStyle w:val="BodyText"/>
        <w:spacing w:before="200"/>
      </w:pPr>
      <w:r>
        <w:t>At a national level, t</w:t>
      </w:r>
      <w:r w:rsidR="00E7062B" w:rsidRPr="00DD4D54">
        <w:t xml:space="preserve">he Mental Health Information Strategy Standing Committee (MHISSC) has been established to provide expert technical advice on monitoring and reporting, including on further developing mental health data collections </w:t>
      </w:r>
      <w:r w:rsidR="00854FF1" w:rsidRPr="00854FF1">
        <w:rPr>
          <w:szCs w:val="24"/>
        </w:rPr>
        <w:t>(AIHW 2018c)</w:t>
      </w:r>
      <w:r w:rsidR="00E7062B" w:rsidRPr="00DD4D54">
        <w:t>.</w:t>
      </w:r>
      <w:r w:rsidR="00E7062B">
        <w:t xml:space="preserve"> </w:t>
      </w:r>
    </w:p>
    <w:p w:rsidR="00EB78B8" w:rsidRDefault="00EB78B8" w:rsidP="00D11137">
      <w:pPr>
        <w:pStyle w:val="BodyText"/>
        <w:spacing w:before="200"/>
      </w:pPr>
      <w:r>
        <w:t>Australia has been routinely collecting, analysing and reporting on outcomes for consumers of mental health services for over a decade</w:t>
      </w:r>
      <w:r w:rsidR="0065061D">
        <w:t>, with r</w:t>
      </w:r>
      <w:r w:rsidR="00754499">
        <w:t xml:space="preserve">outine outcome measurement implemented under the National Outcomes and Casemix Collection (NOCC) </w:t>
      </w:r>
      <w:r w:rsidR="00854FF1" w:rsidRPr="00854FF1">
        <w:rPr>
          <w:szCs w:val="24"/>
        </w:rPr>
        <w:t>(Burgess, Pirkis and Coombs 2015)</w:t>
      </w:r>
      <w:r>
        <w:t>.</w:t>
      </w:r>
      <w:r w:rsidR="00754499">
        <w:t xml:space="preserve"> </w:t>
      </w:r>
      <w:r w:rsidR="0065061D">
        <w:t>In Australia, w</w:t>
      </w:r>
      <w:r w:rsidR="002671B5">
        <w:t xml:space="preserve">hen consumers present for care, clinicians are mandated to assess them using relevant clinician-rated outcome measures, and are expected to offer </w:t>
      </w:r>
      <w:r w:rsidR="004B5983">
        <w:t>them</w:t>
      </w:r>
      <w:r w:rsidR="002671B5" w:rsidDel="004B5983">
        <w:t xml:space="preserve"> </w:t>
      </w:r>
      <w:r w:rsidR="002671B5">
        <w:t>self-report</w:t>
      </w:r>
      <w:r w:rsidR="00503B9B">
        <w:t>ed</w:t>
      </w:r>
      <w:r w:rsidR="002671B5">
        <w:t xml:space="preserve"> outcome measures </w:t>
      </w:r>
      <w:r w:rsidR="00854FF1" w:rsidRPr="00854FF1">
        <w:rPr>
          <w:szCs w:val="24"/>
        </w:rPr>
        <w:t>(Burgess, Pirkis and Coombs 2015)</w:t>
      </w:r>
      <w:r w:rsidR="005F5A66">
        <w:t>.</w:t>
      </w:r>
      <w:r w:rsidR="00C7432E">
        <w:t xml:space="preserve"> </w:t>
      </w:r>
      <w:r w:rsidR="000C3AA7" w:rsidRPr="0019415D">
        <w:t xml:space="preserve">The NOCC measures </w:t>
      </w:r>
      <w:r w:rsidR="000C3AA7" w:rsidRPr="0019415D">
        <w:lastRenderedPageBreak/>
        <w:t>contribute to the development of clinical practice, aiming to improve the quality of care for consumers of Australia’s public sector mental health services</w:t>
      </w:r>
      <w:r w:rsidR="000C3AA7">
        <w:t xml:space="preserve"> </w:t>
      </w:r>
      <w:r w:rsidR="00854FF1" w:rsidRPr="00854FF1">
        <w:rPr>
          <w:szCs w:val="24"/>
        </w:rPr>
        <w:t>(AMHOCN 2019)</w:t>
      </w:r>
      <w:r w:rsidR="00762991">
        <w:t>.</w:t>
      </w:r>
    </w:p>
    <w:p w:rsidR="00C7432E" w:rsidRDefault="0065061D" w:rsidP="00D11137">
      <w:pPr>
        <w:pStyle w:val="BodyText"/>
        <w:spacing w:before="200"/>
      </w:pPr>
      <w:r>
        <w:t>Although t</w:t>
      </w:r>
      <w:r w:rsidR="00E470A0">
        <w:t xml:space="preserve">he NOCC provides information </w:t>
      </w:r>
      <w:r>
        <w:t>about consumer outcomes</w:t>
      </w:r>
      <w:r w:rsidR="00DD4D54">
        <w:t xml:space="preserve"> that can help</w:t>
      </w:r>
      <w:r w:rsidR="005959BE">
        <w:t xml:space="preserve"> develop</w:t>
      </w:r>
      <w:r w:rsidR="00FD3956">
        <w:t xml:space="preserve"> clinical practice</w:t>
      </w:r>
      <w:r w:rsidR="00DD4D54">
        <w:t>, in</w:t>
      </w:r>
      <w:r w:rsidR="005959BE">
        <w:t xml:space="preserve">formation is also needed to track the whole‑of‑life outcomes </w:t>
      </w:r>
      <w:r w:rsidR="00DD4D54">
        <w:t xml:space="preserve">(such as workforce participation and contribution) </w:t>
      </w:r>
      <w:r w:rsidR="005959BE">
        <w:t xml:space="preserve">for mental health consumers and carers </w:t>
      </w:r>
      <w:r w:rsidR="00854FF1" w:rsidRPr="00854FF1">
        <w:rPr>
          <w:szCs w:val="24"/>
        </w:rPr>
        <w:t>(NMHC 2016)</w:t>
      </w:r>
      <w:r w:rsidR="00D92CA6">
        <w:t xml:space="preserve">. </w:t>
      </w:r>
      <w:r w:rsidR="007F2DCE">
        <w:t>Measuring the things that matter to people with lived experience provides true measures of quality, and valuable insights that help to interpret other indicators and understand how mental health services and systems are operating in practice</w:t>
      </w:r>
      <w:r w:rsidR="007F3FB0">
        <w:t xml:space="preserve"> </w:t>
      </w:r>
      <w:r w:rsidR="00854FF1" w:rsidRPr="00854FF1">
        <w:rPr>
          <w:szCs w:val="24"/>
        </w:rPr>
        <w:t>(NMHC 2016)</w:t>
      </w:r>
      <w:r w:rsidR="007F2DCE">
        <w:t xml:space="preserve">. </w:t>
      </w:r>
    </w:p>
    <w:p w:rsidR="00961710" w:rsidRDefault="00961710" w:rsidP="00D11137">
      <w:pPr>
        <w:pStyle w:val="BodyText"/>
        <w:spacing w:before="200"/>
      </w:pPr>
      <w:r>
        <w:t xml:space="preserve">The NMHC </w:t>
      </w:r>
      <w:r w:rsidR="00412047">
        <w:t>recently</w:t>
      </w:r>
      <w:r>
        <w:t xml:space="preserve"> worked with Nous Group to develo</w:t>
      </w:r>
      <w:r w:rsidR="00B6170E">
        <w:t xml:space="preserve">p a new </w:t>
      </w:r>
      <w:r>
        <w:t>framework for monitoring and reporting</w:t>
      </w:r>
      <w:r w:rsidR="001E4754">
        <w:t xml:space="preserve">, which </w:t>
      </w:r>
      <w:r>
        <w:t>was finalised for use in October 2018. The framework</w:t>
      </w:r>
      <w:r w:rsidR="0003217C">
        <w:t xml:space="preserve"> sought to fill gaps in monitoring and reporting, and</w:t>
      </w:r>
      <w:r>
        <w:t xml:space="preserve"> includes broader social factors (such as economic and social participation, justice and housing), activity in health and non-health services, and mental health and wellbeing outcomes </w:t>
      </w:r>
      <w:r w:rsidR="00854FF1" w:rsidRPr="00854FF1">
        <w:rPr>
          <w:szCs w:val="24"/>
        </w:rPr>
        <w:t>(Nous Group 2018)</w:t>
      </w:r>
      <w:r>
        <w:t>. The NMHC also monitors and reports on the progress of implementation of the Fifth National Mental Health and Suicide Prevention Plan.</w:t>
      </w:r>
    </w:p>
    <w:p w:rsidR="00961710" w:rsidRDefault="00961710" w:rsidP="00D11137">
      <w:pPr>
        <w:pStyle w:val="BodyText"/>
        <w:spacing w:before="200"/>
      </w:pPr>
      <w:r>
        <w:t xml:space="preserve">Despite this, </w:t>
      </w:r>
      <w:r w:rsidR="00F84FFE">
        <w:t>gaps in</w:t>
      </w:r>
      <w:r w:rsidDel="00F84FFE">
        <w:t xml:space="preserve"> </w:t>
      </w:r>
      <w:r w:rsidR="00F84FFE">
        <w:t xml:space="preserve">outcomes </w:t>
      </w:r>
      <w:r>
        <w:t xml:space="preserve">measurement and reporting still exist. For example, untreated mental illness in the workforce can lead to productivity losses and sickness absences, which are </w:t>
      </w:r>
      <w:r w:rsidR="00185305">
        <w:t xml:space="preserve">outcomes </w:t>
      </w:r>
      <w:r>
        <w:t>not measured or reported on. The indirect costs of these outcomes are estimated to be significant.</w:t>
      </w:r>
      <w:r w:rsidDel="00DB7926">
        <w:t xml:space="preserve"> </w:t>
      </w:r>
      <w:r>
        <w:t xml:space="preserve">Further, data challenges continue to limit the potential for monitoring and reporting such as lack of standardisation and linkage between sectors and jurisdictions </w:t>
      </w:r>
      <w:r w:rsidR="00854FF1" w:rsidRPr="00854FF1">
        <w:rPr>
          <w:szCs w:val="24"/>
        </w:rPr>
        <w:t>(Nous Group 2018)</w:t>
      </w:r>
      <w:r>
        <w:t>. Additional measurement and reporting could address these shortfalls, and build on recent reforms and other existing frameworks.</w:t>
      </w:r>
      <w:r w:rsidR="00E57B29" w:rsidRPr="00E57B29">
        <w:t xml:space="preserve"> </w:t>
      </w:r>
      <w:r w:rsidR="00E57B29" w:rsidRPr="00FD4103">
        <w:t>What is also unclear is the extent to which the information that is collected is used to improve service efficiency and effectiveness</w:t>
      </w:r>
      <w:r w:rsidR="00FD4103" w:rsidRPr="00FD4103">
        <w:t>.</w:t>
      </w:r>
    </w:p>
    <w:p w:rsidR="00961710" w:rsidRPr="004E3B94" w:rsidRDefault="00961710" w:rsidP="00961710">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61710" w:rsidTr="00295623">
        <w:trPr>
          <w:cantSplit/>
        </w:trPr>
        <w:tc>
          <w:tcPr>
            <w:tcW w:w="5000" w:type="pct"/>
            <w:tcBorders>
              <w:top w:val="single" w:sz="6" w:space="0" w:color="78A22F"/>
              <w:left w:val="nil"/>
              <w:bottom w:val="nil"/>
              <w:right w:val="nil"/>
            </w:tcBorders>
            <w:shd w:val="clear" w:color="auto" w:fill="auto"/>
          </w:tcPr>
          <w:p w:rsidR="00961710" w:rsidRPr="00CE4C64" w:rsidRDefault="00961710" w:rsidP="00EE0A89">
            <w:pPr>
              <w:pStyle w:val="InformationRequestTitle"/>
              <w:spacing w:before="120"/>
            </w:pPr>
            <w:r>
              <w:t>Questions on monitoring and reporting outcomes</w:t>
            </w:r>
          </w:p>
        </w:tc>
      </w:tr>
      <w:tr w:rsidR="00961710" w:rsidRPr="00750BE2" w:rsidTr="00295623">
        <w:trPr>
          <w:cantSplit/>
        </w:trPr>
        <w:tc>
          <w:tcPr>
            <w:tcW w:w="5000" w:type="pct"/>
            <w:tcBorders>
              <w:top w:val="nil"/>
              <w:left w:val="nil"/>
              <w:bottom w:val="nil"/>
              <w:right w:val="nil"/>
            </w:tcBorders>
            <w:shd w:val="clear" w:color="auto" w:fill="auto"/>
          </w:tcPr>
          <w:p w:rsidR="00961710" w:rsidRDefault="00961710" w:rsidP="00E221AE">
            <w:pPr>
              <w:pStyle w:val="InformationRequestBullet"/>
              <w:tabs>
                <w:tab w:val="clear" w:pos="340"/>
              </w:tabs>
              <w:ind w:left="360" w:hanging="360"/>
            </w:pPr>
            <w:r w:rsidRPr="00241C67">
              <w:t xml:space="preserve">Are decision-making forums </w:t>
            </w:r>
            <w:r w:rsidR="00841FA0">
              <w:t xml:space="preserve">for mental health </w:t>
            </w:r>
            <w:r w:rsidRPr="00241C67">
              <w:t xml:space="preserve">receiving high quality and timely information on which to base strategic decisions? </w:t>
            </w:r>
          </w:p>
          <w:p w:rsidR="00961710" w:rsidRDefault="00961710" w:rsidP="00E221AE">
            <w:pPr>
              <w:pStyle w:val="InformationRequestBullet"/>
              <w:tabs>
                <w:tab w:val="clear" w:pos="340"/>
              </w:tabs>
              <w:ind w:left="360" w:hanging="360"/>
            </w:pPr>
            <w:r w:rsidRPr="00241C67">
              <w:t>Does Australia have adequate monitoring and reporting processes to assure compliance with national standards and international obligations?</w:t>
            </w:r>
          </w:p>
          <w:p w:rsidR="00961710" w:rsidRDefault="00961710" w:rsidP="00E221AE">
            <w:pPr>
              <w:pStyle w:val="InformationRequestBullet"/>
              <w:tabs>
                <w:tab w:val="clear" w:pos="340"/>
              </w:tabs>
              <w:ind w:left="360" w:hanging="360"/>
            </w:pPr>
            <w:r>
              <w:t>Is there sufficient independence given to monitoring, reporting and analysing the performance of mental health s</w:t>
            </w:r>
            <w:r w:rsidR="006B03A5">
              <w:t>ervices</w:t>
            </w:r>
            <w:r>
              <w:t xml:space="preserve">? </w:t>
            </w:r>
          </w:p>
          <w:p w:rsidR="00961710" w:rsidRDefault="00961710" w:rsidP="00E221AE">
            <w:pPr>
              <w:pStyle w:val="InformationRequestBullet"/>
              <w:tabs>
                <w:tab w:val="clear" w:pos="340"/>
              </w:tabs>
              <w:ind w:left="360" w:hanging="360"/>
            </w:pPr>
            <w:r>
              <w:t>Which agency or agencies are best placed to administer measurement and reporting of outcomes?</w:t>
            </w:r>
          </w:p>
          <w:p w:rsidR="00830B3B" w:rsidRPr="00830B3B" w:rsidRDefault="00961710" w:rsidP="00E221AE">
            <w:pPr>
              <w:pStyle w:val="InformationRequestBullet"/>
              <w:tabs>
                <w:tab w:val="clear" w:pos="340"/>
              </w:tabs>
              <w:ind w:left="360" w:hanging="360"/>
            </w:pPr>
            <w:r>
              <w:t>What does improved participation, productivity and economic growth mean for consumers and carers? What outcomes should be measured and reported on?</w:t>
            </w:r>
          </w:p>
          <w:p w:rsidR="00961710" w:rsidRDefault="00830B3B" w:rsidP="00E221AE">
            <w:pPr>
              <w:pStyle w:val="InformationRequestBullet"/>
              <w:tabs>
                <w:tab w:val="clear" w:pos="340"/>
              </w:tabs>
              <w:ind w:left="360" w:hanging="360"/>
            </w:pPr>
            <w:r>
              <w:t>What approaches to monitoring and reporting are implemented internationally</w:t>
            </w:r>
            <w:r w:rsidR="00961710">
              <w:t>?</w:t>
            </w:r>
            <w:r>
              <w:t xml:space="preserve"> </w:t>
            </w:r>
            <w:r w:rsidR="00835EF0">
              <w:t>What c</w:t>
            </w:r>
            <w:r>
              <w:t xml:space="preserve">an Australia learn from </w:t>
            </w:r>
            <w:r w:rsidR="00C16670">
              <w:t>developments in</w:t>
            </w:r>
            <w:r>
              <w:t xml:space="preserve"> other countries?</w:t>
            </w:r>
          </w:p>
          <w:p w:rsidR="00FE1B0B" w:rsidRPr="00FE1B0B" w:rsidRDefault="001819AC" w:rsidP="00E221AE">
            <w:pPr>
              <w:pStyle w:val="InformationRequestBullet"/>
              <w:tabs>
                <w:tab w:val="clear" w:pos="340"/>
              </w:tabs>
              <w:ind w:left="360" w:hanging="360"/>
            </w:pPr>
            <w:r>
              <w:t xml:space="preserve">To what extent </w:t>
            </w:r>
            <w:r w:rsidRPr="00FE1B0B">
              <w:t xml:space="preserve">is </w:t>
            </w:r>
            <w:r>
              <w:t xml:space="preserve">currently collected </w:t>
            </w:r>
            <w:r w:rsidRPr="00FE1B0B">
              <w:t>information used to improve servi</w:t>
            </w:r>
            <w:r>
              <w:t>ce efficiency and effectiveness</w:t>
            </w:r>
            <w:r w:rsidR="00FE1B0B">
              <w:t>?</w:t>
            </w:r>
          </w:p>
        </w:tc>
      </w:tr>
      <w:tr w:rsidR="00961710" w:rsidTr="00295623">
        <w:trPr>
          <w:cantSplit/>
        </w:trPr>
        <w:tc>
          <w:tcPr>
            <w:tcW w:w="5000" w:type="pct"/>
            <w:tcBorders>
              <w:top w:val="nil"/>
              <w:left w:val="nil"/>
              <w:bottom w:val="single" w:sz="6" w:space="0" w:color="78A22F"/>
              <w:right w:val="nil"/>
            </w:tcBorders>
            <w:shd w:val="clear" w:color="auto" w:fill="auto"/>
          </w:tcPr>
          <w:p w:rsidR="00961710" w:rsidRDefault="00961710" w:rsidP="00EE0A89">
            <w:pPr>
              <w:pStyle w:val="Space"/>
              <w:keepLines/>
            </w:pPr>
          </w:p>
        </w:tc>
      </w:tr>
    </w:tbl>
    <w:p w:rsidR="00CB6A36" w:rsidRDefault="00CB6A36">
      <w:pPr>
        <w:sectPr w:rsidR="00CB6A36" w:rsidSect="00634E20">
          <w:headerReference w:type="even" r:id="rId36"/>
          <w:headerReference w:type="default" r:id="rId37"/>
          <w:footerReference w:type="default" r:id="rId38"/>
          <w:headerReference w:type="first" r:id="rId39"/>
          <w:type w:val="oddPage"/>
          <w:pgSz w:w="11907" w:h="16840" w:code="9"/>
          <w:pgMar w:top="1985" w:right="1304" w:bottom="1247" w:left="1814" w:header="1701" w:footer="397" w:gutter="0"/>
          <w:pgNumType w:start="1" w:chapSep="period"/>
          <w:cols w:space="720"/>
        </w:sectPr>
      </w:pPr>
    </w:p>
    <w:p w:rsidR="009E1819" w:rsidRDefault="009E1819" w:rsidP="0050025A">
      <w:pPr>
        <w:pStyle w:val="Heading2nosectionno"/>
        <w:spacing w:after="240"/>
      </w:pPr>
      <w:bookmarkStart w:id="39" w:name="_Toc530993238"/>
      <w:bookmarkStart w:id="40" w:name="_Toc534966415"/>
      <w:bookmarkStart w:id="41" w:name="_Toc535242306"/>
      <w:r>
        <w:lastRenderedPageBreak/>
        <w:t>References</w:t>
      </w:r>
      <w:bookmarkEnd w:id="31"/>
      <w:bookmarkEnd w:id="32"/>
      <w:bookmarkEnd w:id="39"/>
      <w:bookmarkEnd w:id="40"/>
      <w:bookmarkEnd w:id="41"/>
    </w:p>
    <w:p w:rsidR="00961ECE" w:rsidRDefault="00961ECE" w:rsidP="00D11137">
      <w:pPr>
        <w:pStyle w:val="Reference"/>
      </w:pPr>
      <w:r>
        <w:t xml:space="preserve">ABS (Australian Bureau of Statistics) 2008, </w:t>
      </w:r>
      <w:r>
        <w:rPr>
          <w:i/>
          <w:iCs/>
        </w:rPr>
        <w:t>National Survey of Mental Health and Wellbeing: Summary of Results</w:t>
      </w:r>
      <w:r>
        <w:t>, Cat. no. 4326.0, Canberra.</w:t>
      </w:r>
    </w:p>
    <w:p w:rsidR="00961ECE" w:rsidRDefault="009D070D" w:rsidP="00D11137">
      <w:pPr>
        <w:pStyle w:val="Reference"/>
      </w:pPr>
      <w:r>
        <w:t>—— </w:t>
      </w:r>
      <w:r w:rsidR="00961ECE">
        <w:t xml:space="preserve">2018, </w:t>
      </w:r>
      <w:r w:rsidR="00961ECE">
        <w:rPr>
          <w:i/>
          <w:iCs/>
        </w:rPr>
        <w:t>Causes of Death, Australia, 2017</w:t>
      </w:r>
      <w:r w:rsidR="00961ECE">
        <w:t>, Cat no. 3303.0, Canberra.</w:t>
      </w:r>
    </w:p>
    <w:p w:rsidR="00961ECE" w:rsidRDefault="00961ECE" w:rsidP="00D11137">
      <w:pPr>
        <w:pStyle w:val="Reference"/>
      </w:pPr>
      <w:r>
        <w:t xml:space="preserve">Access Economics 2009, </w:t>
      </w:r>
      <w:r>
        <w:rPr>
          <w:i/>
          <w:iCs/>
        </w:rPr>
        <w:t>The Economic Impact of Youth Mental Illness and the Cost Effectiveness of Early Intervention</w:t>
      </w:r>
      <w:r>
        <w:t>, Report for the Headspace Centre of Excellence in Youth Mental Health, Canberra.</w:t>
      </w:r>
    </w:p>
    <w:p w:rsidR="00961ECE" w:rsidRDefault="00961ECE" w:rsidP="00D11137">
      <w:pPr>
        <w:pStyle w:val="Reference"/>
      </w:pPr>
      <w:r>
        <w:t xml:space="preserve">Administrator National Health Funding Pool 2017, </w:t>
      </w:r>
      <w:r>
        <w:rPr>
          <w:i/>
          <w:iCs/>
        </w:rPr>
        <w:t>Annual Report 2016-2017</w:t>
      </w:r>
      <w:r>
        <w:t>.</w:t>
      </w:r>
    </w:p>
    <w:p w:rsidR="00961ECE" w:rsidRDefault="009D070D" w:rsidP="00D11137">
      <w:pPr>
        <w:pStyle w:val="Reference"/>
      </w:pPr>
      <w:r>
        <w:t>—— </w:t>
      </w:r>
      <w:r w:rsidR="00961ECE">
        <w:t xml:space="preserve">2018, </w:t>
      </w:r>
      <w:r w:rsidR="00961ECE">
        <w:rPr>
          <w:i/>
          <w:iCs/>
        </w:rPr>
        <w:t>State or territory reports</w:t>
      </w:r>
      <w:r w:rsidR="00961ECE">
        <w:t>, https://www.publichospitalfunding.gov.au/</w:t>
      </w:r>
      <w:r w:rsidR="00FB144B">
        <w:br/>
      </w:r>
      <w:r w:rsidR="00961ECE">
        <w:t>Reports/state (accessed 26 September 2018).</w:t>
      </w:r>
    </w:p>
    <w:p w:rsidR="00961ECE" w:rsidRDefault="00961ECE" w:rsidP="00D11137">
      <w:pPr>
        <w:pStyle w:val="Reference"/>
      </w:pPr>
      <w:r>
        <w:t xml:space="preserve">AHMC (Australian Health Ministers’ Conference) 1992, </w:t>
      </w:r>
      <w:r>
        <w:rPr>
          <w:i/>
          <w:iCs/>
        </w:rPr>
        <w:t>National Mental Health Strategy</w:t>
      </w:r>
      <w:r>
        <w:t>.</w:t>
      </w:r>
    </w:p>
    <w:p w:rsidR="00961ECE" w:rsidRDefault="00961ECE" w:rsidP="00D11137">
      <w:pPr>
        <w:pStyle w:val="Reference"/>
      </w:pPr>
      <w:r>
        <w:t xml:space="preserve">AIHW (Australian Institute of Health and Welfare) 2012, </w:t>
      </w:r>
      <w:r>
        <w:rPr>
          <w:i/>
          <w:iCs/>
        </w:rPr>
        <w:t>Comorbidity of Mental Disorders and Physical Cconditions 2007</w:t>
      </w:r>
      <w:r>
        <w:t>, Cat. no. PHE 155, Canberra.</w:t>
      </w:r>
    </w:p>
    <w:p w:rsidR="00961ECE" w:rsidRDefault="009D070D" w:rsidP="00D11137">
      <w:pPr>
        <w:pStyle w:val="Reference"/>
      </w:pPr>
      <w:r>
        <w:t>—— </w:t>
      </w:r>
      <w:r w:rsidR="00961ECE">
        <w:t xml:space="preserve">2015, </w:t>
      </w:r>
      <w:r w:rsidR="00961ECE">
        <w:rPr>
          <w:i/>
          <w:iCs/>
        </w:rPr>
        <w:t>The health of Australia’s prisoners 2015</w:t>
      </w:r>
      <w:r w:rsidR="00961ECE">
        <w:t>.</w:t>
      </w:r>
    </w:p>
    <w:p w:rsidR="00961ECE" w:rsidRDefault="009D070D" w:rsidP="00D11137">
      <w:pPr>
        <w:pStyle w:val="Reference"/>
      </w:pPr>
      <w:r>
        <w:t>—— </w:t>
      </w:r>
      <w:r w:rsidR="00961ECE">
        <w:t xml:space="preserve">2016, </w:t>
      </w:r>
      <w:r w:rsidR="00961ECE">
        <w:rPr>
          <w:i/>
          <w:iCs/>
        </w:rPr>
        <w:t>Impact and causes of illness and death in Australia 2011</w:t>
      </w:r>
      <w:r w:rsidR="00961ECE">
        <w:t>, Australian Burden of Disease Study series no. 3, Canberra.</w:t>
      </w:r>
    </w:p>
    <w:p w:rsidR="00961ECE" w:rsidRDefault="009D070D" w:rsidP="00D11137">
      <w:pPr>
        <w:pStyle w:val="Reference"/>
      </w:pPr>
      <w:r>
        <w:t>—— </w:t>
      </w:r>
      <w:r w:rsidR="00961ECE">
        <w:t xml:space="preserve">2018a, </w:t>
      </w:r>
      <w:r w:rsidR="00961ECE">
        <w:rPr>
          <w:i/>
          <w:iCs/>
        </w:rPr>
        <w:t>Child protection Australia 2016-17</w:t>
      </w:r>
      <w:r w:rsidR="00961ECE">
        <w:t>, Cat. no. CWS 63, Child welfare, Canberra.</w:t>
      </w:r>
    </w:p>
    <w:p w:rsidR="00961ECE" w:rsidRDefault="009D070D" w:rsidP="00D11137">
      <w:pPr>
        <w:pStyle w:val="Reference"/>
      </w:pPr>
      <w:r>
        <w:t>—— </w:t>
      </w:r>
      <w:r w:rsidR="00961ECE">
        <w:t xml:space="preserve">2018b, </w:t>
      </w:r>
      <w:r w:rsidR="00961ECE">
        <w:rPr>
          <w:i/>
          <w:iCs/>
        </w:rPr>
        <w:t>Housing Assistance Glossary</w:t>
      </w:r>
      <w:r w:rsidR="00961ECE">
        <w:t>.</w:t>
      </w:r>
    </w:p>
    <w:p w:rsidR="00961ECE" w:rsidRDefault="009D070D" w:rsidP="00D11137">
      <w:pPr>
        <w:pStyle w:val="Reference"/>
      </w:pPr>
      <w:r>
        <w:t>—— </w:t>
      </w:r>
      <w:r w:rsidR="00961ECE">
        <w:t xml:space="preserve">2018c, </w:t>
      </w:r>
      <w:r w:rsidR="00961ECE">
        <w:rPr>
          <w:i/>
          <w:iCs/>
        </w:rPr>
        <w:t>Mental Health Information Strategy Standing Committee</w:t>
      </w:r>
      <w:r w:rsidR="00961ECE">
        <w:t>, https://www.aihw.gov.au/reports/mental-health-services/mental-health-services-in-australia/national-mental-health-committees/mental-health-information-strategy-standing-committee (accessed 1 October 2019).</w:t>
      </w:r>
    </w:p>
    <w:p w:rsidR="00961ECE" w:rsidRDefault="009D070D" w:rsidP="00D11137">
      <w:pPr>
        <w:pStyle w:val="Reference"/>
      </w:pPr>
      <w:r>
        <w:t>—— </w:t>
      </w:r>
      <w:r w:rsidR="00961ECE">
        <w:t xml:space="preserve">2018d, </w:t>
      </w:r>
      <w:r w:rsidR="00961ECE">
        <w:rPr>
          <w:i/>
          <w:iCs/>
        </w:rPr>
        <w:t>Mental Health Services in Australia</w:t>
      </w:r>
      <w:r w:rsidR="00961ECE">
        <w:t>, https://www.aihw.gov.au/reports/mental-health-services/mental-health-services-in-australia/report-contents/summary (accessed 6 June 2018).</w:t>
      </w:r>
    </w:p>
    <w:p w:rsidR="00961ECE" w:rsidRDefault="009D070D" w:rsidP="00D11137">
      <w:pPr>
        <w:pStyle w:val="Reference"/>
      </w:pPr>
      <w:r>
        <w:t>—— </w:t>
      </w:r>
      <w:r w:rsidR="00961ECE">
        <w:t xml:space="preserve">2018e, </w:t>
      </w:r>
      <w:r w:rsidR="00961ECE">
        <w:rPr>
          <w:i/>
          <w:iCs/>
        </w:rPr>
        <w:t>Mental health services in Australia - Specialist homelessness services 2016-17 tables</w:t>
      </w:r>
      <w:r w:rsidR="00961ECE">
        <w:t>.</w:t>
      </w:r>
    </w:p>
    <w:p w:rsidR="00961ECE" w:rsidRDefault="009D070D" w:rsidP="00D11137">
      <w:pPr>
        <w:pStyle w:val="Reference"/>
      </w:pPr>
      <w:r>
        <w:t>—— </w:t>
      </w:r>
      <w:r w:rsidR="00961ECE">
        <w:t xml:space="preserve">2018f, </w:t>
      </w:r>
      <w:r w:rsidR="00961ECE">
        <w:rPr>
          <w:i/>
          <w:iCs/>
        </w:rPr>
        <w:t>Mental health services in Australia - Web report</w:t>
      </w:r>
      <w:r w:rsidR="00961ECE">
        <w:t>, https://www.aihw.gov.au/reports/mental-health-services/mental-health-services-in-australia/report-contents/summary (accessed 6 June 2018).</w:t>
      </w:r>
    </w:p>
    <w:p w:rsidR="00961ECE" w:rsidRDefault="009D070D" w:rsidP="00D11137">
      <w:pPr>
        <w:pStyle w:val="Reference"/>
      </w:pPr>
      <w:r>
        <w:t>—— </w:t>
      </w:r>
      <w:r w:rsidR="00961ECE">
        <w:t xml:space="preserve">2018g, </w:t>
      </w:r>
      <w:r w:rsidR="00961ECE">
        <w:rPr>
          <w:i/>
          <w:iCs/>
        </w:rPr>
        <w:t>Mental health services in Australia, Expenditure on mental health services 2015-16 tables</w:t>
      </w:r>
      <w:r w:rsidR="00961ECE">
        <w:t>.</w:t>
      </w:r>
    </w:p>
    <w:p w:rsidR="00961ECE" w:rsidRDefault="009D070D" w:rsidP="00D11137">
      <w:pPr>
        <w:pStyle w:val="Reference"/>
      </w:pPr>
      <w:r>
        <w:t>—— </w:t>
      </w:r>
      <w:r w:rsidR="00961ECE">
        <w:t xml:space="preserve">2018h, </w:t>
      </w:r>
      <w:r w:rsidR="00961ECE">
        <w:rPr>
          <w:i/>
          <w:iCs/>
        </w:rPr>
        <w:t>Specialist homelessness services annual report 2017-18</w:t>
      </w:r>
      <w:r w:rsidR="00961ECE">
        <w:t>, December.</w:t>
      </w:r>
    </w:p>
    <w:p w:rsidR="00961ECE" w:rsidRDefault="00961ECE" w:rsidP="00D11137">
      <w:pPr>
        <w:pStyle w:val="Reference"/>
      </w:pPr>
      <w:r>
        <w:lastRenderedPageBreak/>
        <w:t xml:space="preserve">AMHOCN (Australian Mental Health Outcomes and Classification Network) 2019, </w:t>
      </w:r>
      <w:r>
        <w:rPr>
          <w:i/>
          <w:iCs/>
        </w:rPr>
        <w:t>NOCC - What is it?</w:t>
      </w:r>
      <w:r>
        <w:t>, https://www.amhocn.org/background/nocc-what-it (accessed 1 October 2019).</w:t>
      </w:r>
    </w:p>
    <w:p w:rsidR="00961ECE" w:rsidRDefault="00961ECE" w:rsidP="00D11137">
      <w:pPr>
        <w:pStyle w:val="Reference"/>
      </w:pPr>
      <w:r>
        <w:t xml:space="preserve">APA (American Psychiatric Association) 2013, </w:t>
      </w:r>
      <w:r>
        <w:rPr>
          <w:i/>
          <w:iCs/>
        </w:rPr>
        <w:t>Diagnostic and Statistical Manual of Mental Disorders</w:t>
      </w:r>
      <w:r>
        <w:t>, Fifth, Arlington.</w:t>
      </w:r>
    </w:p>
    <w:p w:rsidR="00961ECE" w:rsidRDefault="00961ECE" w:rsidP="00D11137">
      <w:pPr>
        <w:pStyle w:val="Reference"/>
      </w:pPr>
      <w:r>
        <w:t xml:space="preserve">Atkins, J., Naismith, S.L., Luscombe, G.M. and Hickie, I.B. 2013, ‘Psychological distress and quality of life in older persons: relative contributions of fixed and modifiable risk factors’, </w:t>
      </w:r>
      <w:r>
        <w:rPr>
          <w:i/>
          <w:iCs/>
        </w:rPr>
        <w:t>BMC psychiatry</w:t>
      </w:r>
      <w:r>
        <w:t>, vol. 13, p. 249.</w:t>
      </w:r>
    </w:p>
    <w:p w:rsidR="00961ECE" w:rsidRDefault="00961ECE" w:rsidP="00D11137">
      <w:pPr>
        <w:pStyle w:val="Reference"/>
      </w:pPr>
      <w:r>
        <w:t xml:space="preserve">Be You 2018, </w:t>
      </w:r>
      <w:r>
        <w:rPr>
          <w:i/>
          <w:iCs/>
        </w:rPr>
        <w:t>Be You</w:t>
      </w:r>
      <w:r>
        <w:t>, https://beyou.edu.au/ (accessed 13 November 2018).</w:t>
      </w:r>
    </w:p>
    <w:p w:rsidR="00961ECE" w:rsidRDefault="00961ECE" w:rsidP="00D11137">
      <w:pPr>
        <w:pStyle w:val="Reference"/>
      </w:pPr>
      <w:r>
        <w:t xml:space="preserve">Bloom, D., Cafiero, E., Jane-Lopis, E., Abrahams-Gessel, S., Bloom, L., Fathima, S., Feigl, A., Gaziano, T., Mowafi, M., Pandya, A., Prettner, K., Rosenberg, L., Seligman, B., Stein, A. and Weinstein, C. 2011, </w:t>
      </w:r>
      <w:r>
        <w:rPr>
          <w:i/>
          <w:iCs/>
        </w:rPr>
        <w:t>The Global Economic Burden of Non-Communicable Diseases</w:t>
      </w:r>
      <w:r>
        <w:t>, World Economic Forum, Geneva.</w:t>
      </w:r>
    </w:p>
    <w:p w:rsidR="00961ECE" w:rsidRDefault="00961ECE" w:rsidP="00D11137">
      <w:pPr>
        <w:pStyle w:val="Reference"/>
      </w:pPr>
      <w:r>
        <w:t xml:space="preserve">Bubonya, M., Cobb-Clark, D. and Wooden, M. 2016, </w:t>
      </w:r>
      <w:r>
        <w:rPr>
          <w:i/>
          <w:iCs/>
        </w:rPr>
        <w:t>Mental Health and Productivity at Work: Does What You Do Matter?</w:t>
      </w:r>
      <w:r>
        <w:t>, Working Paper no. 16/16, Melbourne Institute of Applied Economic and Social Research, Melbourne.</w:t>
      </w:r>
    </w:p>
    <w:p w:rsidR="00961ECE" w:rsidRDefault="00961ECE" w:rsidP="00D11137">
      <w:pPr>
        <w:pStyle w:val="Reference"/>
      </w:pPr>
      <w:r>
        <w:t>Burgess, P., Pirkis, J. and Coombs, T. 2015, ‘Routine outcome measurement in Australia’, vol. 27, no. 4, pp. 264–275.</w:t>
      </w:r>
    </w:p>
    <w:p w:rsidR="00961ECE" w:rsidRDefault="00961ECE" w:rsidP="00D11137">
      <w:pPr>
        <w:pStyle w:val="Reference"/>
      </w:pPr>
      <w:r>
        <w:t xml:space="preserve">Byles, J.E., Robinson, I., Banks, E., Gibson, R., Leigh, L., Rodgers, B., Curryer, C. and Jorm, L. 2014, ‘Psychological distress and comorbid physical conditions: disease or disability?’, </w:t>
      </w:r>
      <w:r>
        <w:rPr>
          <w:i/>
          <w:iCs/>
        </w:rPr>
        <w:t>Depression and Anxiety</w:t>
      </w:r>
      <w:r>
        <w:t>, vol. 31, no. 6, pp. 524–532.</w:t>
      </w:r>
    </w:p>
    <w:p w:rsidR="00961ECE" w:rsidRDefault="00961ECE" w:rsidP="00D11137">
      <w:pPr>
        <w:pStyle w:val="Reference"/>
      </w:pPr>
      <w:r>
        <w:t xml:space="preserve">CARC (Community Affairs References Committee) 2018, </w:t>
      </w:r>
      <w:r>
        <w:rPr>
          <w:i/>
          <w:iCs/>
        </w:rPr>
        <w:t>Accessibility and quality of mental health services in rural and remote Australia</w:t>
      </w:r>
      <w:r>
        <w:t>, https://www.aph.gov.au/Parliamentary_Business/Committees/Senate/Community_Affairs/MentalHealthServices (accessed 24 August 2018).</w:t>
      </w:r>
    </w:p>
    <w:p w:rsidR="00961ECE" w:rsidRDefault="00961ECE" w:rsidP="00D11137">
      <w:pPr>
        <w:pStyle w:val="Reference"/>
      </w:pPr>
      <w:r>
        <w:t xml:space="preserve">COAG Health Council 2017a, </w:t>
      </w:r>
      <w:r>
        <w:rPr>
          <w:i/>
          <w:iCs/>
        </w:rPr>
        <w:t>Fifth National Mental Health and Suicide Prevention Plan</w:t>
      </w:r>
      <w:r>
        <w:t>.</w:t>
      </w:r>
    </w:p>
    <w:p w:rsidR="00961ECE" w:rsidRDefault="009D070D" w:rsidP="00D11137">
      <w:pPr>
        <w:pStyle w:val="Reference"/>
      </w:pPr>
      <w:r>
        <w:t>—— </w:t>
      </w:r>
      <w:r w:rsidR="00961ECE">
        <w:t xml:space="preserve">2017b, </w:t>
      </w:r>
      <w:r w:rsidR="00961ECE">
        <w:rPr>
          <w:i/>
          <w:iCs/>
        </w:rPr>
        <w:t>Fifth National Mental Health and Suicide Prevention Plan</w:t>
      </w:r>
      <w:r w:rsidR="00961ECE">
        <w:t>.</w:t>
      </w:r>
    </w:p>
    <w:p w:rsidR="00961ECE" w:rsidRDefault="00961ECE" w:rsidP="00D11137">
      <w:pPr>
        <w:pStyle w:val="Reference"/>
      </w:pPr>
      <w:r>
        <w:t xml:space="preserve">Considine, R., Tynan, R., James, C., Wiggers, J., Lewin, T., Inder, K., Perkins, D., Handley, T. and Kelly, B. 2017, ‘The Contribution of Individual, Social and Work Characteristics to Employee Mental Health in a Coal Mining Industry Population’, </w:t>
      </w:r>
      <w:r>
        <w:rPr>
          <w:i/>
          <w:iCs/>
        </w:rPr>
        <w:t>PloS One</w:t>
      </w:r>
      <w:r>
        <w:t>, vol. 12, no. 1, p. e0168445.</w:t>
      </w:r>
    </w:p>
    <w:p w:rsidR="00961ECE" w:rsidRDefault="00961ECE" w:rsidP="00D11137">
      <w:pPr>
        <w:pStyle w:val="Reference"/>
      </w:pPr>
      <w:r>
        <w:t xml:space="preserve">Costello, L., Thomson, M. and Jones, K. 2013, </w:t>
      </w:r>
      <w:r>
        <w:rPr>
          <w:i/>
          <w:iCs/>
        </w:rPr>
        <w:t>Mental Health and Homelessness</w:t>
      </w:r>
      <w:r>
        <w:t>, Final Report, June, Mental Health Commission of NSW.</w:t>
      </w:r>
    </w:p>
    <w:p w:rsidR="00961ECE" w:rsidRDefault="00961ECE" w:rsidP="00D11137">
      <w:pPr>
        <w:pStyle w:val="Reference"/>
      </w:pPr>
      <w:r>
        <w:t xml:space="preserve">data.gov.au 2016, </w:t>
      </w:r>
      <w:r>
        <w:rPr>
          <w:i/>
          <w:iCs/>
        </w:rPr>
        <w:t>DSS Demographics December 2016</w:t>
      </w:r>
      <w:r>
        <w:t>, Data set, DSS Payment Demographic Data.</w:t>
      </w:r>
    </w:p>
    <w:p w:rsidR="00961ECE" w:rsidRDefault="00961ECE" w:rsidP="00D11137">
      <w:pPr>
        <w:pStyle w:val="Reference"/>
      </w:pPr>
      <w:r>
        <w:t xml:space="preserve">Department of Health 2015, </w:t>
      </w:r>
      <w:r>
        <w:rPr>
          <w:i/>
          <w:iCs/>
        </w:rPr>
        <w:t>Australian Government Response to Contributing Lives, Thriving Communities - Review of Mental Health Programmes and Services</w:t>
      </w:r>
      <w:r>
        <w:t>, Australian Government, Canberra.</w:t>
      </w:r>
    </w:p>
    <w:p w:rsidR="00961ECE" w:rsidRDefault="00961ECE" w:rsidP="00D11137">
      <w:pPr>
        <w:pStyle w:val="Reference"/>
      </w:pPr>
      <w:r>
        <w:lastRenderedPageBreak/>
        <w:t xml:space="preserve">Diminic, S., Hielscher, E., Lee, Y., Harris, M., Schess, J., Kealton, J. and Whiteford, H. 2017, </w:t>
      </w:r>
      <w:r>
        <w:rPr>
          <w:i/>
          <w:iCs/>
        </w:rPr>
        <w:t>The Economic Value of Informal Mental Health Caring in Australia: Summary Report</w:t>
      </w:r>
      <w:r>
        <w:t>, Mind Australia, Melbourne.</w:t>
      </w:r>
    </w:p>
    <w:p w:rsidR="00961ECE" w:rsidRDefault="00961ECE" w:rsidP="00D11137">
      <w:pPr>
        <w:pStyle w:val="Reference"/>
      </w:pPr>
      <w:r>
        <w:t xml:space="preserve">Doggett, J. 2018, </w:t>
      </w:r>
      <w:r>
        <w:rPr>
          <w:i/>
          <w:iCs/>
        </w:rPr>
        <w:t>Mental Health: Do it Better or Do it Differently?</w:t>
      </w:r>
      <w:r>
        <w:t>, https://insidestory.org.au/do-it-better-or-do-it-differently/ (accessed 11 December 2018).</w:t>
      </w:r>
    </w:p>
    <w:p w:rsidR="00961ECE" w:rsidRDefault="00961ECE" w:rsidP="00D11137">
      <w:pPr>
        <w:pStyle w:val="Reference"/>
      </w:pPr>
      <w:r>
        <w:t xml:space="preserve">DOHA (Department of Health and Ageing:) 2013, </w:t>
      </w:r>
      <w:r>
        <w:rPr>
          <w:i/>
          <w:iCs/>
        </w:rPr>
        <w:t>What is Mental Illness</w:t>
      </w:r>
      <w:r>
        <w:t>, Australian Government, Canberra.</w:t>
      </w:r>
    </w:p>
    <w:p w:rsidR="00961ECE" w:rsidRDefault="00961ECE" w:rsidP="00D11137">
      <w:pPr>
        <w:pStyle w:val="Reference"/>
      </w:pPr>
      <w:r>
        <w:t xml:space="preserve">DSS (Department of Social Services) 2013, </w:t>
      </w:r>
      <w:r>
        <w:rPr>
          <w:i/>
          <w:iCs/>
        </w:rPr>
        <w:t>Characteristics of Disability Support Pension Recipients June 2013</w:t>
      </w:r>
      <w:r>
        <w:t>.</w:t>
      </w:r>
    </w:p>
    <w:p w:rsidR="00961ECE" w:rsidRDefault="009D070D" w:rsidP="00D11137">
      <w:pPr>
        <w:pStyle w:val="Reference"/>
      </w:pPr>
      <w:r>
        <w:t>—— </w:t>
      </w:r>
      <w:r w:rsidR="00961ECE">
        <w:t xml:space="preserve">2017, </w:t>
      </w:r>
      <w:r w:rsidR="00961ECE">
        <w:rPr>
          <w:i/>
          <w:iCs/>
        </w:rPr>
        <w:t>Annual Report 2016-17</w:t>
      </w:r>
      <w:r w:rsidR="00961ECE">
        <w:t>.</w:t>
      </w:r>
    </w:p>
    <w:p w:rsidR="00961ECE" w:rsidRDefault="009D070D" w:rsidP="00D11137">
      <w:pPr>
        <w:pStyle w:val="Reference"/>
      </w:pPr>
      <w:r>
        <w:t>—— </w:t>
      </w:r>
      <w:r w:rsidR="00961ECE">
        <w:t xml:space="preserve">2018, </w:t>
      </w:r>
      <w:r w:rsidR="00961ECE">
        <w:rPr>
          <w:i/>
          <w:iCs/>
        </w:rPr>
        <w:t>Continuity of support for clients of Commonwealth disability programs</w:t>
      </w:r>
      <w:r w:rsidR="00961ECE">
        <w:t>, 2018 Budget.</w:t>
      </w:r>
    </w:p>
    <w:p w:rsidR="00961ECE" w:rsidRDefault="00961ECE" w:rsidP="00D11137">
      <w:pPr>
        <w:pStyle w:val="Reference"/>
      </w:pPr>
      <w:r>
        <w:t xml:space="preserve">Enticott, J.C., Lin, E., Shawyer, F., Russell, G., Inder, B., Patten, S. and Meadows, G. 2018, ‘Prevalence of psychological distress: How do Australia and Canada compare?’, </w:t>
      </w:r>
      <w:r>
        <w:rPr>
          <w:i/>
          <w:iCs/>
        </w:rPr>
        <w:t>The Australian and New Zealand Journal of Psychiatry</w:t>
      </w:r>
      <w:r>
        <w:t>, vol. 52, no. 3, pp. 227–238.</w:t>
      </w:r>
    </w:p>
    <w:p w:rsidR="00961ECE" w:rsidRDefault="00961ECE" w:rsidP="00D11137">
      <w:pPr>
        <w:pStyle w:val="Reference"/>
      </w:pPr>
      <w:r>
        <w:t xml:space="preserve">FCDC (Family and Community Development Committee) 2012, </w:t>
      </w:r>
      <w:r>
        <w:rPr>
          <w:i/>
          <w:iCs/>
        </w:rPr>
        <w:t>Inquiry into Workforce Participation by People with a Mental Illness</w:t>
      </w:r>
      <w:r>
        <w:t>, Parliament of Victoria, Melbourne.</w:t>
      </w:r>
    </w:p>
    <w:p w:rsidR="00961ECE" w:rsidRDefault="00961ECE" w:rsidP="00D11137">
      <w:pPr>
        <w:pStyle w:val="Reference"/>
      </w:pPr>
      <w:r>
        <w:t xml:space="preserve">Fletcher, P. (Minister for F. and S.S. and Henderson, S. (Assistant M. for S.S., Housing and Disability Services 2018, </w:t>
      </w:r>
      <w:r>
        <w:rPr>
          <w:i/>
          <w:iCs/>
        </w:rPr>
        <w:t>Media release: Government announces improved NDIS mental health support</w:t>
      </w:r>
      <w:r>
        <w:t>, https://ministers.dss.gov.au/media-releases/3691 (accessed 11 October 2018).</w:t>
      </w:r>
    </w:p>
    <w:p w:rsidR="00961ECE" w:rsidRDefault="00961ECE" w:rsidP="00D11137">
      <w:pPr>
        <w:pStyle w:val="Reference"/>
      </w:pPr>
      <w:r>
        <w:t xml:space="preserve">Forbes, M., Barker, A. and Turner, S. 2010, </w:t>
      </w:r>
      <w:r>
        <w:rPr>
          <w:i/>
          <w:iCs/>
        </w:rPr>
        <w:t>The Effects of Education and Health on Wages and Productivity</w:t>
      </w:r>
      <w:r>
        <w:t>, Productivity Commission Staff Working Paper, Canberra.</w:t>
      </w:r>
    </w:p>
    <w:p w:rsidR="00961ECE" w:rsidRDefault="00961ECE" w:rsidP="00D11137">
      <w:pPr>
        <w:pStyle w:val="Reference"/>
      </w:pPr>
      <w:r>
        <w:t xml:space="preserve">Frijters, P., Johnston, D.W. and Shields, M.A. 2014, ‘The effect of mental health on employment: evidence from Australian panel data’, </w:t>
      </w:r>
      <w:r>
        <w:rPr>
          <w:i/>
          <w:iCs/>
        </w:rPr>
        <w:t>Health Economics</w:t>
      </w:r>
      <w:r>
        <w:t>, vol. 23, no. 9, pp. 1058–1071.</w:t>
      </w:r>
    </w:p>
    <w:p w:rsidR="00961ECE" w:rsidRDefault="00961ECE" w:rsidP="00D11137">
      <w:pPr>
        <w:pStyle w:val="Reference"/>
      </w:pPr>
      <w:r>
        <w:t xml:space="preserve">Gordon, J., Zhao, S. and Gretton, P. 2015, </w:t>
      </w:r>
      <w:r>
        <w:rPr>
          <w:i/>
          <w:iCs/>
        </w:rPr>
        <w:t>On Productivity: Concepts and Measurement</w:t>
      </w:r>
      <w:r>
        <w:t>, Productivity Commission Staff Research Note, Canberra, February.</w:t>
      </w:r>
    </w:p>
    <w:p w:rsidR="00961ECE" w:rsidRDefault="00961ECE" w:rsidP="00D11137">
      <w:pPr>
        <w:pStyle w:val="Reference"/>
      </w:pPr>
      <w:r>
        <w:t xml:space="preserve">Harris, B., Duggan, M., Batterham, P., Bartlem, K., Clinton-McHarg, T., Dunbar, J., Fehily, C., Lawrence, D., Morgan, M. and Rosenbaum, S. 2018, </w:t>
      </w:r>
      <w:r>
        <w:rPr>
          <w:i/>
          <w:iCs/>
        </w:rPr>
        <w:t>Australia’s Mental Health and Physical Health Tracker</w:t>
      </w:r>
      <w:r>
        <w:t>, Technical paper no. 2018-06, Australian Health Policy Collaboration, Melbourne.</w:t>
      </w:r>
    </w:p>
    <w:p w:rsidR="00961ECE" w:rsidRDefault="00961ECE" w:rsidP="00D11137">
      <w:pPr>
        <w:pStyle w:val="Reference"/>
      </w:pPr>
      <w:r>
        <w:t xml:space="preserve">Harris, M., Pirkis, J., Burgess, P., Olsen, S., Bassillios, B., Fletcher, J., Blashki, G. and Scott, A. 2010, </w:t>
      </w:r>
      <w:r>
        <w:rPr>
          <w:i/>
          <w:iCs/>
        </w:rPr>
        <w:t>Evaluation of the  Better Access to Psychiatrists, Psychologists and GPs through the Medicare Benefits Schedule Initiative</w:t>
      </w:r>
      <w:r>
        <w:t>, Component B: An analysis of Medicare Benefits Schedule (MBS) and Pharmaceutical Benefits Scheme (PBS) Administrative Data, Centre for Health Policy programs and Economics, University of Melbourne.</w:t>
      </w:r>
    </w:p>
    <w:p w:rsidR="00961ECE" w:rsidRDefault="00961ECE" w:rsidP="00D11137">
      <w:pPr>
        <w:pStyle w:val="Reference"/>
      </w:pPr>
      <w:r>
        <w:lastRenderedPageBreak/>
        <w:t xml:space="preserve">Harvey, S.B., Joyce, S., Modini, M., Christensen, H., Bryant, R., Mykletun, A. and Mitchell, P.B. 2012, </w:t>
      </w:r>
      <w:r>
        <w:rPr>
          <w:i/>
          <w:iCs/>
        </w:rPr>
        <w:t>Work and depression/anxiety disorders - a systematic review of reviews</w:t>
      </w:r>
      <w:r>
        <w:t>, December, University of New South Wales.</w:t>
      </w:r>
    </w:p>
    <w:p w:rsidR="00961ECE" w:rsidRDefault="00961ECE" w:rsidP="00D11137">
      <w:pPr>
        <w:pStyle w:val="Reference"/>
      </w:pPr>
      <w:r>
        <w:t xml:space="preserve">——, ——, Tan, L., Johnson, A., Nguyen, H., Modini, M. and Groth,  markus 2014, </w:t>
      </w:r>
      <w:r>
        <w:rPr>
          <w:i/>
          <w:iCs/>
        </w:rPr>
        <w:t>Developing a mentally healthy workplace: A review of the literature</w:t>
      </w:r>
      <w:r>
        <w:t>, November.</w:t>
      </w:r>
    </w:p>
    <w:p w:rsidR="00961ECE" w:rsidRDefault="00961ECE" w:rsidP="00D11137">
      <w:pPr>
        <w:pStyle w:val="Reference"/>
      </w:pPr>
      <w:r>
        <w:t xml:space="preserve">Hodge, A., Almeida, O.P., English, D.R., Giles, G.G. and Flicker, L. 2013, ‘Patterns of dietary intake and psychological distress in older Australians: benefits not just from a Mediterranean diet’, </w:t>
      </w:r>
      <w:r>
        <w:rPr>
          <w:i/>
          <w:iCs/>
        </w:rPr>
        <w:t>International Psychogeriatrics</w:t>
      </w:r>
      <w:r>
        <w:t>, vol. 25, no. 3, pp. 456–466.</w:t>
      </w:r>
    </w:p>
    <w:p w:rsidR="00961ECE" w:rsidRDefault="00961ECE" w:rsidP="00D11137">
      <w:pPr>
        <w:pStyle w:val="Reference"/>
      </w:pPr>
      <w:r>
        <w:t xml:space="preserve">HREOC (Human Rights and Equal Opportunity Commission) 1993, </w:t>
      </w:r>
      <w:r>
        <w:rPr>
          <w:i/>
          <w:iCs/>
        </w:rPr>
        <w:t>Human Rights and Mental Illness</w:t>
      </w:r>
      <w:r>
        <w:t>, Report of the National Inquiry into the Human Rights of People with Mental Illness, Australian Government Publishing Service, Canberra.</w:t>
      </w:r>
    </w:p>
    <w:p w:rsidR="00961ECE" w:rsidRDefault="00961ECE" w:rsidP="00D11137">
      <w:pPr>
        <w:pStyle w:val="Reference"/>
      </w:pPr>
      <w:r>
        <w:t xml:space="preserve">Jorm, A.F. 2014, ‘Why hasn’t the mental health of Australians improved? The need for a national prevention strategy’, </w:t>
      </w:r>
      <w:r>
        <w:rPr>
          <w:i/>
          <w:iCs/>
        </w:rPr>
        <w:t>The Australian and New Zealand Journal of Psychiatry</w:t>
      </w:r>
      <w:r>
        <w:t>, vol. 48, no. 9, pp. 795–801.</w:t>
      </w:r>
    </w:p>
    <w:p w:rsidR="00961ECE" w:rsidRDefault="009D070D" w:rsidP="00D11137">
      <w:pPr>
        <w:pStyle w:val="Reference"/>
      </w:pPr>
      <w:r>
        <w:t>—— </w:t>
      </w:r>
      <w:r w:rsidR="00961ECE">
        <w:t xml:space="preserve">2018, ‘Australia’s “Better Access” scheme: Has it had an impact on population mental health?’, </w:t>
      </w:r>
      <w:r w:rsidR="00961ECE">
        <w:rPr>
          <w:i/>
          <w:iCs/>
        </w:rPr>
        <w:t>The Australian and New Zealand Journal of Psychiatry</w:t>
      </w:r>
      <w:r w:rsidR="00961ECE">
        <w:t>, vol. 52, no. 11, pp. 1057–1062.</w:t>
      </w:r>
    </w:p>
    <w:p w:rsidR="00961ECE" w:rsidRDefault="00961ECE" w:rsidP="00D11137">
      <w:pPr>
        <w:pStyle w:val="Reference"/>
      </w:pPr>
      <w:r>
        <w:t xml:space="preserve">Kessler, R.C., Berglund, P., Demler, O., Jin, R., Merikangas, K.R. and Walters, E.E. 2005, ‘Lifetime prevalence and age-of-onset distributions of DSM-IV disorders in the national comorbidity survey replication’, </w:t>
      </w:r>
      <w:r>
        <w:rPr>
          <w:i/>
          <w:iCs/>
        </w:rPr>
        <w:t>Archives of General Psychiatry</w:t>
      </w:r>
      <w:r>
        <w:t>, vol. 62, no. 6, pp. 593–602.</w:t>
      </w:r>
    </w:p>
    <w:p w:rsidR="00961ECE" w:rsidRDefault="00961ECE" w:rsidP="00D11137">
      <w:pPr>
        <w:pStyle w:val="Reference"/>
      </w:pPr>
      <w:r>
        <w:t>Knapp, M., McDaid, D. and Curran, C. 2003, ‘Identifying and Tackling the Economic Impacts of Mental Health Problems’, presented at Mental Health in Europe New Challenges, New Opportunities, Bilbao, Spain, 9 October.</w:t>
      </w:r>
    </w:p>
    <w:p w:rsidR="00961ECE" w:rsidRDefault="00961ECE" w:rsidP="00D11137">
      <w:pPr>
        <w:pStyle w:val="Reference"/>
      </w:pPr>
      <w:r>
        <w:t xml:space="preserve">Knapp, M., McDaid, D. and Parsonage, M. 2011, </w:t>
      </w:r>
      <w:r>
        <w:rPr>
          <w:i/>
          <w:iCs/>
        </w:rPr>
        <w:t>Mental Health Promotion and Mental Illness Prevention: The Economic Case</w:t>
      </w:r>
      <w:r>
        <w:t>, UK Department of Health, London.</w:t>
      </w:r>
    </w:p>
    <w:p w:rsidR="00961ECE" w:rsidRDefault="00961ECE" w:rsidP="00D11137">
      <w:pPr>
        <w:pStyle w:val="Reference"/>
      </w:pPr>
      <w:r>
        <w:t xml:space="preserve">KPMG 2013, </w:t>
      </w:r>
      <w:r>
        <w:rPr>
          <w:i/>
          <w:iCs/>
        </w:rPr>
        <w:t>The Economic Cost of Suicide in Australia</w:t>
      </w:r>
      <w:r>
        <w:t>, Report prepared for Menslink.</w:t>
      </w:r>
    </w:p>
    <w:p w:rsidR="00961ECE" w:rsidRDefault="00961ECE" w:rsidP="00D11137">
      <w:pPr>
        <w:pStyle w:val="Reference"/>
      </w:pPr>
      <w:r>
        <w:t xml:space="preserve">—— and Mental Health Australia 2018, </w:t>
      </w:r>
      <w:r>
        <w:rPr>
          <w:i/>
          <w:iCs/>
        </w:rPr>
        <w:t>Investing to Save: The Economic Benefits for Australia of Investment in Mental Health Reform</w:t>
      </w:r>
      <w:r>
        <w:t>.</w:t>
      </w:r>
    </w:p>
    <w:p w:rsidR="00961ECE" w:rsidRDefault="00961ECE" w:rsidP="00D11137">
      <w:pPr>
        <w:pStyle w:val="Reference"/>
      </w:pPr>
      <w:r>
        <w:t xml:space="preserve">Lawrence, D., Hancock, K.J. and Kisely, S. 2013, ‘The gap in life expectancy from preventable physical illness in psychiatric patients in Western Australia: retrospective analysis of population based registers’, </w:t>
      </w:r>
      <w:r>
        <w:rPr>
          <w:i/>
          <w:iCs/>
        </w:rPr>
        <w:t>BMJ</w:t>
      </w:r>
      <w:r>
        <w:t>, vol. 346, pp. 1–14.</w:t>
      </w:r>
    </w:p>
    <w:p w:rsidR="00961ECE" w:rsidRDefault="00961ECE" w:rsidP="00D11137">
      <w:pPr>
        <w:pStyle w:val="Reference"/>
      </w:pPr>
      <w:r>
        <w:t xml:space="preserve">Lee, Y.-C., Chatterton, M.L., Magnus, A., Mohebbi, M., Le, L.K.-D. and Mihalopoulos, C. 2017, ‘Cost of high prevalence mental disorders: Findings from the 2007 Australian National Survey of Mental Health and Wellbeing’, </w:t>
      </w:r>
      <w:r>
        <w:rPr>
          <w:i/>
          <w:iCs/>
        </w:rPr>
        <w:t>Australian and New Zealand Journal of Psychiatry</w:t>
      </w:r>
      <w:r>
        <w:t>, vol. 51, no. 12, pp. 1198–1211.</w:t>
      </w:r>
    </w:p>
    <w:p w:rsidR="00961ECE" w:rsidRDefault="00961ECE" w:rsidP="00D11137">
      <w:pPr>
        <w:pStyle w:val="Reference"/>
      </w:pPr>
      <w:r>
        <w:t xml:space="preserve">Levula, A., Harré, M. and Wilson, A. 2018, ‘The Association Between Social Network Factors with Depression and Anxiety at Different Life Stages’, </w:t>
      </w:r>
      <w:r>
        <w:rPr>
          <w:i/>
          <w:iCs/>
        </w:rPr>
        <w:t>Community Mental Health Journal</w:t>
      </w:r>
      <w:r>
        <w:t>, vol. 54, no. 6, pp. 842–854.</w:t>
      </w:r>
    </w:p>
    <w:p w:rsidR="00961ECE" w:rsidRDefault="00961ECE" w:rsidP="00D11137">
      <w:pPr>
        <w:pStyle w:val="Reference"/>
      </w:pPr>
      <w:r>
        <w:lastRenderedPageBreak/>
        <w:t xml:space="preserve">McCarthy, M.M., Taylor, P., Norman, R.E., Pezzullo, L., Tucci, J. and Goddard, C. 2016, ‘The lifetime economic and social costs of child maltreatment in Australia’, </w:t>
      </w:r>
      <w:r>
        <w:rPr>
          <w:i/>
          <w:iCs/>
        </w:rPr>
        <w:t>Children and Youth Services Review</w:t>
      </w:r>
      <w:r>
        <w:t>, vol. 71, pp. 217–226.</w:t>
      </w:r>
    </w:p>
    <w:p w:rsidR="00961ECE" w:rsidRDefault="00961ECE" w:rsidP="00D11137">
      <w:pPr>
        <w:pStyle w:val="Reference"/>
      </w:pPr>
      <w:r>
        <w:t>McCausland, R., Baldry, E., Johnson, S. and Cohen, A. 2013, ‘People with mental health disorders and cognitive impairment in the criminal justice system: Cost-benefit analysis of early support and diversion’, presented at Australian Human Rights Commission and University of New South Wales roundtable Access to Justice in the Criminal Justice System for People with Disability, University of New South Wales on 22 April 2013, August.</w:t>
      </w:r>
    </w:p>
    <w:p w:rsidR="00961ECE" w:rsidRDefault="00961ECE" w:rsidP="00D11137">
      <w:pPr>
        <w:pStyle w:val="Reference"/>
      </w:pPr>
      <w:r>
        <w:t xml:space="preserve">McClure, P., Aird, W. and Sinclair, S. 2015, </w:t>
      </w:r>
      <w:r>
        <w:rPr>
          <w:i/>
          <w:iCs/>
        </w:rPr>
        <w:t>A New System for Better Employment and Social Outcomes</w:t>
      </w:r>
      <w:r>
        <w:t>, Report of the Reference Group on Welfare Reform to the Minister for Social Services, Canberra.</w:t>
      </w:r>
    </w:p>
    <w:p w:rsidR="00961ECE" w:rsidRDefault="00961ECE" w:rsidP="00D11137">
      <w:pPr>
        <w:pStyle w:val="Reference"/>
      </w:pPr>
      <w:r>
        <w:t xml:space="preserve">McGorry, P.D., Purcell, R., Goldstone, S. and Amminger, G.P. 2011, ‘Age of onset and timing of treatment for mental and substance use disorders: implications for preventive intervention strategies and models of care’, </w:t>
      </w:r>
      <w:r>
        <w:rPr>
          <w:i/>
          <w:iCs/>
        </w:rPr>
        <w:t>Current Opinion in Psychiatry</w:t>
      </w:r>
      <w:r>
        <w:t>, vol. 24, no. 4, pp. 301–306.</w:t>
      </w:r>
    </w:p>
    <w:p w:rsidR="00961ECE" w:rsidRDefault="00961ECE" w:rsidP="00D11137">
      <w:pPr>
        <w:pStyle w:val="Reference"/>
      </w:pPr>
      <w:r>
        <w:t xml:space="preserve">McMahon, W.W. 2004, ‘The social and external benefits of education’, in Johnes, G. and Johnes, J. (eds), </w:t>
      </w:r>
      <w:r>
        <w:rPr>
          <w:i/>
          <w:iCs/>
        </w:rPr>
        <w:t>International Handbook on the Economics of Education</w:t>
      </w:r>
      <w:r>
        <w:t>, Edward Elgar Publishing, Cheltenham, UK.</w:t>
      </w:r>
    </w:p>
    <w:p w:rsidR="00961ECE" w:rsidRDefault="00961ECE" w:rsidP="00D11137">
      <w:pPr>
        <w:pStyle w:val="Reference"/>
      </w:pPr>
      <w:r>
        <w:t xml:space="preserve">McVicar, D. and Wilkins, R. 2013, ‘Explaining the growth in the number of recipients of the Disability Support Pension in Australia’, </w:t>
      </w:r>
      <w:r>
        <w:rPr>
          <w:i/>
          <w:iCs/>
        </w:rPr>
        <w:t>The Australian Economic Review</w:t>
      </w:r>
      <w:r>
        <w:t>, vol. 46, no. 3, pp. 345–356.</w:t>
      </w:r>
    </w:p>
    <w:p w:rsidR="00961ECE" w:rsidRDefault="00961ECE" w:rsidP="00D11137">
      <w:pPr>
        <w:pStyle w:val="Reference"/>
      </w:pPr>
      <w:r>
        <w:t xml:space="preserve">Meadows, G.N., Enticott, J.C., Inder, B., Russell, G.M. and Gurr, R. 2015, ‘Better access to mental health care and the failure of the Medicare principle of universality’, </w:t>
      </w:r>
      <w:r>
        <w:rPr>
          <w:i/>
          <w:iCs/>
        </w:rPr>
        <w:t>Medical Journal of Australia</w:t>
      </w:r>
      <w:r>
        <w:t>, vol. 202, no. 6, pp. 190–194.</w:t>
      </w:r>
    </w:p>
    <w:p w:rsidR="00961ECE" w:rsidRDefault="00961ECE" w:rsidP="00D11137">
      <w:pPr>
        <w:pStyle w:val="Reference"/>
      </w:pPr>
      <w:r>
        <w:t xml:space="preserve">Medibank and Nous Group 2013a, </w:t>
      </w:r>
      <w:r>
        <w:rPr>
          <w:i/>
          <w:iCs/>
        </w:rPr>
        <w:t>The Case for Mental Health Reform in Australia: A Review of Expenditure and System Design</w:t>
      </w:r>
      <w:r>
        <w:t>.</w:t>
      </w:r>
    </w:p>
    <w:p w:rsidR="00961ECE" w:rsidRDefault="009D070D" w:rsidP="00D11137">
      <w:pPr>
        <w:pStyle w:val="Reference"/>
      </w:pPr>
      <w:r>
        <w:t>—— and —— </w:t>
      </w:r>
      <w:r w:rsidR="00961ECE">
        <w:t xml:space="preserve">2013b, </w:t>
      </w:r>
      <w:r w:rsidR="00961ECE">
        <w:rPr>
          <w:i/>
          <w:iCs/>
        </w:rPr>
        <w:t>The Case for Mental Health Reform in Australia: A Review of Expenditure and System Design</w:t>
      </w:r>
      <w:r w:rsidR="00961ECE">
        <w:t>, Detailed Expenditure Calculations.</w:t>
      </w:r>
    </w:p>
    <w:p w:rsidR="00961ECE" w:rsidRDefault="00961ECE" w:rsidP="00D11137">
      <w:pPr>
        <w:pStyle w:val="Reference"/>
      </w:pPr>
      <w:r>
        <w:t xml:space="preserve">Mendoza, J., Bresnan, A., Rosenberg, S., Elson, A., Gilbert, Y., Long, P., Wilson, K. and Hopkins, J. 2013, </w:t>
      </w:r>
      <w:r>
        <w:rPr>
          <w:i/>
          <w:iCs/>
        </w:rPr>
        <w:t>Obsessive Hope Disorder: Reflections on 30 Years of Mental Health Reform in Australia and Visions for the Future</w:t>
      </w:r>
      <w:r>
        <w:t>, Connetica, Caloundra.</w:t>
      </w:r>
    </w:p>
    <w:p w:rsidR="00961ECE" w:rsidRDefault="00961ECE" w:rsidP="00D11137">
      <w:pPr>
        <w:pStyle w:val="Reference"/>
      </w:pPr>
      <w:r>
        <w:t xml:space="preserve">Morrison, S. 2018, </w:t>
      </w:r>
      <w:r>
        <w:rPr>
          <w:i/>
          <w:iCs/>
        </w:rPr>
        <w:t>Royal Commission into Aged Care Quality And Safety</w:t>
      </w:r>
      <w:r>
        <w:t>, Media release, 16 September.</w:t>
      </w:r>
    </w:p>
    <w:p w:rsidR="00961ECE" w:rsidRDefault="00961ECE" w:rsidP="00D11137">
      <w:pPr>
        <w:pStyle w:val="Reference"/>
      </w:pPr>
      <w:r>
        <w:t xml:space="preserve">Mulder, R., Rucklidge, J. and Wilkinson, S. 2017, ‘Why has increased provision of psychiatric treatment not reduced the prevalence of mental disorder?’, </w:t>
      </w:r>
      <w:r>
        <w:rPr>
          <w:i/>
          <w:iCs/>
        </w:rPr>
        <w:t>The Australian and New Zealand Journal of Psychiatry</w:t>
      </w:r>
      <w:r>
        <w:t>, vol. 51, no. 12, pp. 1176–1177.</w:t>
      </w:r>
    </w:p>
    <w:p w:rsidR="00961ECE" w:rsidRDefault="00961ECE" w:rsidP="00D11137">
      <w:pPr>
        <w:pStyle w:val="Reference"/>
      </w:pPr>
      <w:r>
        <w:t xml:space="preserve">NDIA (National Disability Insurance Agency) 2017, </w:t>
      </w:r>
      <w:r>
        <w:rPr>
          <w:i/>
          <w:iCs/>
        </w:rPr>
        <w:t xml:space="preserve">Inquiry regarding the provision of services under the NDIS for people with psychosocial disabilities related to a mental </w:t>
      </w:r>
      <w:r>
        <w:rPr>
          <w:i/>
          <w:iCs/>
        </w:rPr>
        <w:lastRenderedPageBreak/>
        <w:t>health condition</w:t>
      </w:r>
      <w:r>
        <w:t>, Submission to Joint Standing Committee on the National Disability Insurance Scheme, Submission 102.</w:t>
      </w:r>
    </w:p>
    <w:p w:rsidR="00961ECE" w:rsidRDefault="00961ECE" w:rsidP="00D11137">
      <w:pPr>
        <w:pStyle w:val="Reference"/>
      </w:pPr>
      <w:r>
        <w:t xml:space="preserve">Nguyen, B., Ding, D. and Mihrshahi, S. 2017, ‘Fruit and vegetable consumption and psychological distress: cross-sectional and longitudinal analyses based on a large Australian sample’, </w:t>
      </w:r>
      <w:r>
        <w:rPr>
          <w:i/>
          <w:iCs/>
        </w:rPr>
        <w:t>BMJ open</w:t>
      </w:r>
      <w:r>
        <w:t>, vol. 7, no. 3, p. e014201.</w:t>
      </w:r>
    </w:p>
    <w:p w:rsidR="00961ECE" w:rsidRDefault="00961ECE" w:rsidP="00D11137">
      <w:pPr>
        <w:pStyle w:val="Reference"/>
      </w:pPr>
      <w:r>
        <w:t xml:space="preserve">NMHC (National Mental Health Commission) 2013, </w:t>
      </w:r>
      <w:r>
        <w:rPr>
          <w:i/>
          <w:iCs/>
        </w:rPr>
        <w:t>A Contributing Life: The 2013 National Report Card on Mental Health and Suicide Prevention</w:t>
      </w:r>
      <w:r>
        <w:t>.</w:t>
      </w:r>
    </w:p>
    <w:p w:rsidR="00961ECE" w:rsidRDefault="009D070D" w:rsidP="00D11137">
      <w:pPr>
        <w:pStyle w:val="Reference"/>
      </w:pPr>
      <w:r>
        <w:t>—— </w:t>
      </w:r>
      <w:r w:rsidR="00961ECE">
        <w:t xml:space="preserve">2014a, </w:t>
      </w:r>
      <w:r w:rsidR="00961ECE">
        <w:rPr>
          <w:i/>
          <w:iCs/>
        </w:rPr>
        <w:t>Contributing Lives, Thriving Communities: Report of the National Review of Mental Health Programs and Services</w:t>
      </w:r>
      <w:r w:rsidR="00961ECE">
        <w:t>, Sydney.</w:t>
      </w:r>
    </w:p>
    <w:p w:rsidR="00961ECE" w:rsidRDefault="009D070D" w:rsidP="00D11137">
      <w:pPr>
        <w:pStyle w:val="Reference"/>
      </w:pPr>
      <w:r>
        <w:t>—— </w:t>
      </w:r>
      <w:r w:rsidR="00961ECE">
        <w:t xml:space="preserve">2014b, </w:t>
      </w:r>
      <w:r w:rsidR="00961ECE">
        <w:rPr>
          <w:i/>
          <w:iCs/>
        </w:rPr>
        <w:t>Fact sheet 15 - What this means for workplace mental health</w:t>
      </w:r>
      <w:r w:rsidR="00961ECE">
        <w:t>, http://www.mentalhealthcommission.gov.au/our-reports/our-national-report-cards/2014-contributing-lives-review.aspx (accessed 1 August 2018).</w:t>
      </w:r>
    </w:p>
    <w:p w:rsidR="00961ECE" w:rsidRDefault="009D070D" w:rsidP="00D11137">
      <w:pPr>
        <w:pStyle w:val="Reference"/>
      </w:pPr>
      <w:r>
        <w:t>—— </w:t>
      </w:r>
      <w:r w:rsidR="00961ECE">
        <w:t xml:space="preserve">2016, </w:t>
      </w:r>
      <w:r w:rsidR="00961ECE">
        <w:rPr>
          <w:i/>
          <w:iCs/>
        </w:rPr>
        <w:t>The 2016 National Report on Mental Health and Suicide Prevention</w:t>
      </w:r>
      <w:r w:rsidR="00961ECE">
        <w:t>, Sydney.</w:t>
      </w:r>
    </w:p>
    <w:p w:rsidR="00961ECE" w:rsidRDefault="009D070D" w:rsidP="00D11137">
      <w:pPr>
        <w:pStyle w:val="Reference"/>
      </w:pPr>
      <w:r>
        <w:t>—— </w:t>
      </w:r>
      <w:r w:rsidR="00961ECE">
        <w:t xml:space="preserve">2018a, </w:t>
      </w:r>
      <w:r w:rsidR="00961ECE">
        <w:rPr>
          <w:i/>
          <w:iCs/>
        </w:rPr>
        <w:t>Monitoring Mental Health and Suicide Prevention Reform: Fifth National Mental Health and Suicide Prevention Plan Progress Report</w:t>
      </w:r>
      <w:r w:rsidR="00961ECE">
        <w:t>, Sydney.</w:t>
      </w:r>
    </w:p>
    <w:p w:rsidR="00961ECE" w:rsidRDefault="009D070D" w:rsidP="00D11137">
      <w:pPr>
        <w:pStyle w:val="Reference"/>
      </w:pPr>
      <w:r>
        <w:t>—— </w:t>
      </w:r>
      <w:r w:rsidR="00961ECE">
        <w:t xml:space="preserve">2018b, </w:t>
      </w:r>
      <w:r w:rsidR="00961ECE">
        <w:rPr>
          <w:i/>
          <w:iCs/>
        </w:rPr>
        <w:t>Monitoring Mental Health and Suicide Prevention Reform: National Report 2018</w:t>
      </w:r>
      <w:r w:rsidR="00961ECE">
        <w:t>, Sydney.</w:t>
      </w:r>
    </w:p>
    <w:p w:rsidR="00961ECE" w:rsidRDefault="00961ECE" w:rsidP="00D11137">
      <w:pPr>
        <w:pStyle w:val="Reference"/>
      </w:pPr>
      <w:r>
        <w:t xml:space="preserve">Nous Group 2018, </w:t>
      </w:r>
      <w:r>
        <w:rPr>
          <w:i/>
          <w:iCs/>
        </w:rPr>
        <w:t>Mental Health and Suicide Prevention Monitoring and Reporting Framework: Final Report to the National Mental Health Commission</w:t>
      </w:r>
      <w:r>
        <w:t>.</w:t>
      </w:r>
    </w:p>
    <w:p w:rsidR="00961ECE" w:rsidRDefault="00961ECE" w:rsidP="00D11137">
      <w:pPr>
        <w:pStyle w:val="Reference"/>
      </w:pPr>
      <w:r>
        <w:t xml:space="preserve">OECD (Organisation for Economic Cooperation and Development) 2012, </w:t>
      </w:r>
      <w:r>
        <w:rPr>
          <w:i/>
          <w:iCs/>
        </w:rPr>
        <w:t>Sick on the Job? Myths and Realities About Mental Health and Work</w:t>
      </w:r>
      <w:r>
        <w:t>, Paris.</w:t>
      </w:r>
    </w:p>
    <w:p w:rsidR="00961ECE" w:rsidRDefault="009D070D" w:rsidP="00D11137">
      <w:pPr>
        <w:pStyle w:val="Reference"/>
      </w:pPr>
      <w:r>
        <w:t>—— </w:t>
      </w:r>
      <w:r w:rsidR="00961ECE">
        <w:t xml:space="preserve">2014, </w:t>
      </w:r>
      <w:r w:rsidR="00961ECE">
        <w:rPr>
          <w:i/>
          <w:iCs/>
        </w:rPr>
        <w:t>Making Mental Health Count: The Social and Economic Costs of Neglecting Mental Health Care</w:t>
      </w:r>
      <w:r w:rsidR="00961ECE">
        <w:t>, OECD Health Policy Studies, Paris.</w:t>
      </w:r>
    </w:p>
    <w:p w:rsidR="00961ECE" w:rsidRDefault="009D070D" w:rsidP="00D11137">
      <w:pPr>
        <w:pStyle w:val="Reference"/>
      </w:pPr>
      <w:r>
        <w:t>—— </w:t>
      </w:r>
      <w:r w:rsidR="00961ECE">
        <w:t xml:space="preserve">2018, </w:t>
      </w:r>
      <w:r w:rsidR="00961ECE">
        <w:rPr>
          <w:i/>
          <w:iCs/>
        </w:rPr>
        <w:t>Health expenditure indicators</w:t>
      </w:r>
      <w:r w:rsidR="00961ECE">
        <w:t>, OECD iLibrary, https://www.oecd-ilibrary.org/social-issues-migration-health/data/oecd-health-statistics/system-of-health-accounts-health-expenditure-by-function_data-00349-en (accessed 26 November 2018).</w:t>
      </w:r>
    </w:p>
    <w:p w:rsidR="00961ECE" w:rsidRDefault="00961ECE" w:rsidP="00D11137">
      <w:pPr>
        <w:pStyle w:val="Reference"/>
      </w:pPr>
      <w:r>
        <w:t xml:space="preserve">Orygen 2018, </w:t>
      </w:r>
      <w:r>
        <w:rPr>
          <w:i/>
          <w:iCs/>
        </w:rPr>
        <w:t>Vocational Education and Training (VET) Student Mental Health</w:t>
      </w:r>
      <w:r>
        <w:t>, Melbourne.</w:t>
      </w:r>
    </w:p>
    <w:p w:rsidR="00961ECE" w:rsidRDefault="00961ECE" w:rsidP="00D11137">
      <w:pPr>
        <w:pStyle w:val="Reference"/>
      </w:pPr>
      <w:r>
        <w:t xml:space="preserve">PBO (Parliamentary Budget Office) 2018, </w:t>
      </w:r>
      <w:r>
        <w:rPr>
          <w:i/>
          <w:iCs/>
        </w:rPr>
        <w:t>Disability Support Pension: Historical and projected trends</w:t>
      </w:r>
      <w:r>
        <w:t>, Report no. 01/2018.</w:t>
      </w:r>
    </w:p>
    <w:p w:rsidR="00961ECE" w:rsidRDefault="00961ECE" w:rsidP="00D11137">
      <w:pPr>
        <w:pStyle w:val="Reference"/>
      </w:pPr>
      <w:r>
        <w:t xml:space="preserve">PC (Productivity Commission) 2011, </w:t>
      </w:r>
      <w:r>
        <w:rPr>
          <w:i/>
          <w:iCs/>
        </w:rPr>
        <w:t>Disability Care and Support</w:t>
      </w:r>
      <w:r>
        <w:t>, Report no. 54, Canberra.</w:t>
      </w:r>
    </w:p>
    <w:p w:rsidR="00961ECE" w:rsidRDefault="009D070D" w:rsidP="00D11137">
      <w:pPr>
        <w:pStyle w:val="Reference"/>
      </w:pPr>
      <w:r>
        <w:t>—— </w:t>
      </w:r>
      <w:r w:rsidR="00961ECE">
        <w:t xml:space="preserve">2013, </w:t>
      </w:r>
      <w:r w:rsidR="00961ECE">
        <w:rPr>
          <w:i/>
          <w:iCs/>
        </w:rPr>
        <w:t>Productivity Update</w:t>
      </w:r>
      <w:r w:rsidR="00961ECE">
        <w:t>, Canberra.</w:t>
      </w:r>
    </w:p>
    <w:p w:rsidR="00961ECE" w:rsidRDefault="009D070D" w:rsidP="00D11137">
      <w:pPr>
        <w:pStyle w:val="Reference"/>
      </w:pPr>
      <w:r>
        <w:t>—— </w:t>
      </w:r>
      <w:r w:rsidR="00961ECE">
        <w:t xml:space="preserve">2016, </w:t>
      </w:r>
      <w:r w:rsidR="00961ECE">
        <w:rPr>
          <w:i/>
          <w:iCs/>
        </w:rPr>
        <w:t>Productivity Update</w:t>
      </w:r>
      <w:r w:rsidR="00961ECE">
        <w:t>, Canberra.</w:t>
      </w:r>
    </w:p>
    <w:p w:rsidR="00961ECE" w:rsidRDefault="009D070D" w:rsidP="00D11137">
      <w:pPr>
        <w:pStyle w:val="Reference"/>
      </w:pPr>
      <w:r>
        <w:t>—— </w:t>
      </w:r>
      <w:r w:rsidR="00961ECE">
        <w:t xml:space="preserve">2017a, </w:t>
      </w:r>
      <w:r w:rsidR="00961ECE">
        <w:rPr>
          <w:i/>
          <w:iCs/>
        </w:rPr>
        <w:t>Introducing Competition and Informed User Choice into Human Services: Reforms to Human Services</w:t>
      </w:r>
      <w:r w:rsidR="00961ECE">
        <w:t>, Report no. 85, Canberra.</w:t>
      </w:r>
    </w:p>
    <w:p w:rsidR="00961ECE" w:rsidRDefault="009D070D" w:rsidP="00D11137">
      <w:pPr>
        <w:pStyle w:val="Reference"/>
      </w:pPr>
      <w:r>
        <w:t>—— </w:t>
      </w:r>
      <w:r w:rsidR="00961ECE">
        <w:t xml:space="preserve">2017b, </w:t>
      </w:r>
      <w:r w:rsidR="00961ECE">
        <w:rPr>
          <w:i/>
          <w:iCs/>
        </w:rPr>
        <w:t>National Disability Insurance Scheme (NDIS) Costs</w:t>
      </w:r>
      <w:r w:rsidR="00961ECE">
        <w:t>, Study Report, Canberra.</w:t>
      </w:r>
    </w:p>
    <w:p w:rsidR="00961ECE" w:rsidRDefault="009D070D" w:rsidP="00D11137">
      <w:pPr>
        <w:pStyle w:val="Reference"/>
      </w:pPr>
      <w:r>
        <w:t>—— </w:t>
      </w:r>
      <w:r w:rsidR="00961ECE">
        <w:t xml:space="preserve">2017c, </w:t>
      </w:r>
      <w:r w:rsidR="00961ECE">
        <w:rPr>
          <w:i/>
          <w:iCs/>
        </w:rPr>
        <w:t>Shifting the Dial: 5 Year Productivity Review</w:t>
      </w:r>
      <w:r w:rsidR="00961ECE">
        <w:t>, Inquiry Report, 3 August, 84, Canberra.</w:t>
      </w:r>
    </w:p>
    <w:p w:rsidR="00961ECE" w:rsidRDefault="009D070D" w:rsidP="00D11137">
      <w:pPr>
        <w:pStyle w:val="Reference"/>
      </w:pPr>
      <w:r>
        <w:lastRenderedPageBreak/>
        <w:t>—— </w:t>
      </w:r>
      <w:r w:rsidR="00961ECE">
        <w:t xml:space="preserve">2018a, </w:t>
      </w:r>
      <w:r w:rsidR="00961ECE">
        <w:rPr>
          <w:i/>
          <w:iCs/>
        </w:rPr>
        <w:t>A Better Way to Support Veterans</w:t>
      </w:r>
      <w:r w:rsidR="00961ECE">
        <w:t>, Draft Report, Canberra.</w:t>
      </w:r>
    </w:p>
    <w:p w:rsidR="00961ECE" w:rsidRDefault="009D070D" w:rsidP="00D11137">
      <w:pPr>
        <w:pStyle w:val="Reference"/>
      </w:pPr>
      <w:r>
        <w:t>—— </w:t>
      </w:r>
      <w:r w:rsidR="00961ECE">
        <w:t xml:space="preserve">2018b, </w:t>
      </w:r>
      <w:r w:rsidR="00961ECE">
        <w:rPr>
          <w:i/>
          <w:iCs/>
        </w:rPr>
        <w:t>National Disability Agreement Review</w:t>
      </w:r>
      <w:r w:rsidR="00961ECE">
        <w:t>, Issues Paper, Canberra.</w:t>
      </w:r>
    </w:p>
    <w:p w:rsidR="00961ECE" w:rsidRDefault="00961ECE" w:rsidP="00D11137">
      <w:pPr>
        <w:pStyle w:val="Reference"/>
      </w:pPr>
      <w:r>
        <w:t xml:space="preserve">Phongsavan, P., Chey, T., Bauman, A., Brooks, R. and Silove, D. 2006, ‘Social capital, socio-economic status and psychological distress among Australian adults’, </w:t>
      </w:r>
      <w:r>
        <w:rPr>
          <w:i/>
          <w:iCs/>
        </w:rPr>
        <w:t>Social Science &amp; Medicine (1982)</w:t>
      </w:r>
      <w:r>
        <w:t>, vol. 63, no. 10, pp. 2546–2561.</w:t>
      </w:r>
    </w:p>
    <w:p w:rsidR="00961ECE" w:rsidRDefault="00961ECE" w:rsidP="00D11137">
      <w:pPr>
        <w:pStyle w:val="Reference"/>
      </w:pPr>
      <w:r>
        <w:t xml:space="preserve">PWC 2014, </w:t>
      </w:r>
      <w:r>
        <w:rPr>
          <w:i/>
          <w:iCs/>
        </w:rPr>
        <w:t>Creating a Mentally Healthy Workplace: Return on Investment Analysis</w:t>
      </w:r>
      <w:r>
        <w:t>, Melbourne.</w:t>
      </w:r>
    </w:p>
    <w:p w:rsidR="00961ECE" w:rsidRDefault="00961ECE" w:rsidP="00D11137">
      <w:pPr>
        <w:pStyle w:val="Reference"/>
      </w:pPr>
      <w:r>
        <w:t xml:space="preserve">QCMHR (Queensland Centre for Mental Health Research) 2019, </w:t>
      </w:r>
      <w:r>
        <w:rPr>
          <w:i/>
          <w:iCs/>
        </w:rPr>
        <w:t>Introduction to the National Mental Health Service Planning Framework</w:t>
      </w:r>
      <w:r>
        <w:t>, Brisbane.</w:t>
      </w:r>
    </w:p>
    <w:p w:rsidR="00961ECE" w:rsidRDefault="00961ECE" w:rsidP="00D11137">
      <w:pPr>
        <w:pStyle w:val="Reference"/>
      </w:pPr>
      <w:r>
        <w:t xml:space="preserve">Rahamim, A. and Mendes, P. 2016, ‘Mental health supports and young people transitioning from out-of-home care in Victoria’, </w:t>
      </w:r>
      <w:r>
        <w:rPr>
          <w:i/>
          <w:iCs/>
        </w:rPr>
        <w:t>Children Australia</w:t>
      </w:r>
      <w:r>
        <w:t>, vol. 41, no. 1, pp. 59–68.</w:t>
      </w:r>
    </w:p>
    <w:p w:rsidR="00961ECE" w:rsidRDefault="00961ECE" w:rsidP="00D11137">
      <w:pPr>
        <w:pStyle w:val="Reference"/>
      </w:pPr>
      <w:r>
        <w:t xml:space="preserve">RANZCP (Royal Australian and New Zealand College of Psychiatrists) 2016, </w:t>
      </w:r>
      <w:r>
        <w:rPr>
          <w:i/>
          <w:iCs/>
        </w:rPr>
        <w:t>The Economic Cost of Serious Mental Illness and Comorbidities in Australia and New Zealand</w:t>
      </w:r>
      <w:r>
        <w:t>.</w:t>
      </w:r>
    </w:p>
    <w:p w:rsidR="00961ECE" w:rsidRDefault="00961ECE" w:rsidP="00D11137">
      <w:pPr>
        <w:pStyle w:val="Reference"/>
      </w:pPr>
      <w:r>
        <w:t xml:space="preserve">Reavley, N.J., Jorm, A.F., Cvetkovski, S. and Mackinnon, A.J. 2011, ‘National depression and anxiety indices for Australia’, </w:t>
      </w:r>
      <w:r>
        <w:rPr>
          <w:i/>
          <w:iCs/>
        </w:rPr>
        <w:t>The Australian and New Zealand Journal of Psychiatry</w:t>
      </w:r>
      <w:r>
        <w:t>, vol. 45, no. 9, pp. 780–787.</w:t>
      </w:r>
    </w:p>
    <w:p w:rsidR="00961ECE" w:rsidRDefault="00961ECE" w:rsidP="00D11137">
      <w:pPr>
        <w:pStyle w:val="Reference"/>
      </w:pPr>
      <w:r>
        <w:t xml:space="preserve">Richmond, D., Sainsbury, M. and Conoulty, T. 1983, </w:t>
      </w:r>
      <w:r>
        <w:rPr>
          <w:i/>
          <w:iCs/>
        </w:rPr>
        <w:t>Inquiry Into Health Services for the Psychiatrically Ill and Developmentally Disabled</w:t>
      </w:r>
      <w:r>
        <w:t>, NSW Department of Health, Sydney.</w:t>
      </w:r>
    </w:p>
    <w:p w:rsidR="00961ECE" w:rsidRDefault="00961ECE" w:rsidP="00D11137">
      <w:pPr>
        <w:pStyle w:val="Reference"/>
      </w:pPr>
      <w:r>
        <w:t xml:space="preserve">Royal Commission into Aged Care Quality and Safety 2019, </w:t>
      </w:r>
      <w:r>
        <w:rPr>
          <w:i/>
          <w:iCs/>
        </w:rPr>
        <w:t>Terms of Reference</w:t>
      </w:r>
      <w:r>
        <w:t>, Adelaide.</w:t>
      </w:r>
    </w:p>
    <w:p w:rsidR="00961ECE" w:rsidRDefault="00961ECE" w:rsidP="00D11137">
      <w:pPr>
        <w:pStyle w:val="Reference"/>
      </w:pPr>
      <w:r>
        <w:t xml:space="preserve">Safe Work Australia 2018, </w:t>
      </w:r>
      <w:r>
        <w:rPr>
          <w:i/>
          <w:iCs/>
        </w:rPr>
        <w:t>Mental Health</w:t>
      </w:r>
      <w:r>
        <w:t>, https://www.safeworkaustralia.gov.au/</w:t>
      </w:r>
      <w:r w:rsidR="009D070D">
        <w:br/>
      </w:r>
      <w:r>
        <w:t>topic/mental-health (accessed 31 July 2018).</w:t>
      </w:r>
    </w:p>
    <w:p w:rsidR="00961ECE" w:rsidRDefault="00961ECE" w:rsidP="00D11137">
      <w:pPr>
        <w:pStyle w:val="Reference"/>
      </w:pPr>
      <w:r>
        <w:t xml:space="preserve">School-Link 2018, </w:t>
      </w:r>
      <w:r>
        <w:rPr>
          <w:i/>
          <w:iCs/>
        </w:rPr>
        <w:t>School-Link</w:t>
      </w:r>
      <w:r>
        <w:t>, https://nswschool-link.com/about-1 (accessed 8 January 2019).</w:t>
      </w:r>
    </w:p>
    <w:p w:rsidR="00961ECE" w:rsidRDefault="00961ECE" w:rsidP="00D11137">
      <w:pPr>
        <w:pStyle w:val="Reference"/>
      </w:pPr>
      <w:r>
        <w:t xml:space="preserve">SCMH (Select Committee on Mental Health) 2006, </w:t>
      </w:r>
      <w:r>
        <w:rPr>
          <w:i/>
          <w:iCs/>
        </w:rPr>
        <w:t>A National Approach to Mental Health: From Crisis to Community</w:t>
      </w:r>
      <w:r>
        <w:t>, Australian Senate, Canberra.</w:t>
      </w:r>
    </w:p>
    <w:p w:rsidR="00961ECE" w:rsidRDefault="00961ECE" w:rsidP="00D11137">
      <w:pPr>
        <w:pStyle w:val="Reference"/>
      </w:pPr>
      <w:r>
        <w:t xml:space="preserve">SCRGSP (Steering Committee for the Review of Government Service Provision) 2018, </w:t>
      </w:r>
      <w:r>
        <w:rPr>
          <w:i/>
          <w:iCs/>
        </w:rPr>
        <w:t>Report on Government Services 2018</w:t>
      </w:r>
      <w:r>
        <w:t>, Productivity Commission, Canberra.</w:t>
      </w:r>
    </w:p>
    <w:p w:rsidR="00961ECE" w:rsidRDefault="00961ECE" w:rsidP="00D11137">
      <w:pPr>
        <w:pStyle w:val="Reference"/>
      </w:pPr>
      <w:r>
        <w:t xml:space="preserve">Senate Select Committee on Health 2015, </w:t>
      </w:r>
      <w:r>
        <w:rPr>
          <w:i/>
          <w:iCs/>
        </w:rPr>
        <w:t>Mental health: a consensus for action</w:t>
      </w:r>
      <w:r>
        <w:t>, Fourth interim report.</w:t>
      </w:r>
    </w:p>
    <w:p w:rsidR="00961ECE" w:rsidRDefault="00961ECE" w:rsidP="00D11137">
      <w:pPr>
        <w:pStyle w:val="Reference"/>
      </w:pPr>
      <w:r>
        <w:t xml:space="preserve">Slade, M., Amering, M., Farkas, M., Hamilton, B., O’Hagan, M., Panther, G., Perkins, R., Shepherd, G., Tse, S. and Whitley, R. 2014, ‘Uses and abuses of recovery: implementing recovery-oriented practices in mental health systems’, </w:t>
      </w:r>
      <w:r>
        <w:rPr>
          <w:i/>
          <w:iCs/>
        </w:rPr>
        <w:t>World psychiatry: official journal of the World Psychiatric Association (WPA)</w:t>
      </w:r>
      <w:r>
        <w:t>, vol. 13, no. 1, pp. 12–20.</w:t>
      </w:r>
    </w:p>
    <w:p w:rsidR="00961ECE" w:rsidRDefault="00961ECE" w:rsidP="00D11137">
      <w:pPr>
        <w:pStyle w:val="Reference"/>
      </w:pPr>
      <w:r>
        <w:t xml:space="preserve">Standing Council on Health 2012, </w:t>
      </w:r>
      <w:r>
        <w:rPr>
          <w:i/>
          <w:iCs/>
        </w:rPr>
        <w:t>Mental health statement of rights and responsibilities</w:t>
      </w:r>
      <w:r>
        <w:t>.</w:t>
      </w:r>
    </w:p>
    <w:p w:rsidR="00961ECE" w:rsidRDefault="00961ECE" w:rsidP="00D11137">
      <w:pPr>
        <w:pStyle w:val="Reference"/>
      </w:pPr>
      <w:r>
        <w:t xml:space="preserve">Telethon Kids Institute 2017, </w:t>
      </w:r>
      <w:r>
        <w:rPr>
          <w:i/>
          <w:iCs/>
        </w:rPr>
        <w:t>The Mental Health of Australian Children and Adolescents: Educational Outcomes</w:t>
      </w:r>
      <w:r>
        <w:t>, The second Australian Child and Adolescent Survey of Mental Health and Wellbeing, Perth.</w:t>
      </w:r>
    </w:p>
    <w:p w:rsidR="00961ECE" w:rsidRDefault="00961ECE" w:rsidP="00D11137">
      <w:pPr>
        <w:pStyle w:val="Reference"/>
      </w:pPr>
      <w:r>
        <w:lastRenderedPageBreak/>
        <w:t xml:space="preserve">University of Sydney 2018, </w:t>
      </w:r>
      <w:r>
        <w:rPr>
          <w:i/>
          <w:iCs/>
        </w:rPr>
        <w:t>Counselling and Mental Health Support</w:t>
      </w:r>
      <w:r>
        <w:t>, https://sydney.edu.au/students/counselling-and-mental-</w:t>
      </w:r>
      <w:r w:rsidR="009D070D">
        <w:t>health-support.html (accessed 4 </w:t>
      </w:r>
      <w:r>
        <w:t>October 2018).</w:t>
      </w:r>
    </w:p>
    <w:p w:rsidR="00961ECE" w:rsidRDefault="00961ECE" w:rsidP="00D11137">
      <w:pPr>
        <w:pStyle w:val="Reference"/>
      </w:pPr>
      <w:r>
        <w:t xml:space="preserve">WHO (World Health Organisation)) 2001, </w:t>
      </w:r>
      <w:r>
        <w:rPr>
          <w:i/>
          <w:iCs/>
        </w:rPr>
        <w:t>Strengthening Mental Health Promotion</w:t>
      </w:r>
      <w:r>
        <w:t>, Fact sheet no. 220, Geneva.</w:t>
      </w:r>
    </w:p>
    <w:p w:rsidR="00961ECE" w:rsidRDefault="009D070D" w:rsidP="00D11137">
      <w:pPr>
        <w:pStyle w:val="Reference"/>
      </w:pPr>
      <w:r>
        <w:t>—— </w:t>
      </w:r>
      <w:r w:rsidR="00961ECE">
        <w:t xml:space="preserve">2013, </w:t>
      </w:r>
      <w:r w:rsidR="00961ECE">
        <w:rPr>
          <w:i/>
          <w:iCs/>
        </w:rPr>
        <w:t>Mental health governance - Data by country</w:t>
      </w:r>
      <w:r w:rsidR="00961ECE">
        <w:t>, Global Health Observatory data repository, http://apps.who.int/gho/data/node.mai</w:t>
      </w:r>
      <w:r>
        <w:t>n.MHPOLFIN?lang=en (accessed 26 </w:t>
      </w:r>
      <w:r w:rsidR="00961ECE">
        <w:t>November 2018).</w:t>
      </w:r>
    </w:p>
    <w:p w:rsidR="00961ECE" w:rsidRDefault="00961ECE" w:rsidP="00D11137">
      <w:pPr>
        <w:pStyle w:val="Reference"/>
      </w:pPr>
      <w:r>
        <w:t xml:space="preserve">Wolfe, B.L. and Haveman, R.H. 2002, </w:t>
      </w:r>
      <w:r>
        <w:rPr>
          <w:i/>
          <w:iCs/>
        </w:rPr>
        <w:t>Social and Nonmarket Benefits from Education in an Advanced Economy</w:t>
      </w:r>
      <w:r>
        <w:t>, Federal Reservice Bank of Boston, Boston.</w:t>
      </w:r>
    </w:p>
    <w:p w:rsidR="00961ECE" w:rsidRDefault="00961ECE" w:rsidP="00D11137">
      <w:pPr>
        <w:pStyle w:val="Reference"/>
      </w:pPr>
      <w:r>
        <w:t xml:space="preserve">youthbeyondblue 2018, </w:t>
      </w:r>
      <w:r>
        <w:rPr>
          <w:i/>
          <w:iCs/>
        </w:rPr>
        <w:t>Stats and Facts</w:t>
      </w:r>
      <w:r>
        <w:t>, https://www.youthbeyondblue.com/footer/stats-and-facts (accessed 3 October 2018).</w:t>
      </w:r>
    </w:p>
    <w:p w:rsidR="00961ECE" w:rsidRDefault="00961ECE" w:rsidP="00D11137">
      <w:pPr>
        <w:pStyle w:val="Reference"/>
      </w:pPr>
      <w:r>
        <w:t xml:space="preserve">Zaretzky, K., Flatau, P., Clear, A., Conroy, E., Burns, L. and Spicer, B. 2013, </w:t>
      </w:r>
      <w:r>
        <w:rPr>
          <w:i/>
          <w:iCs/>
        </w:rPr>
        <w:t>The cost of homelessness and the net benefit of homelessness programs: a national study</w:t>
      </w:r>
      <w:r>
        <w:t>, Final Report, April, 205, Findings from the Baseline Client Survey, Australian Housing and Urban Research Institute.</w:t>
      </w:r>
    </w:p>
    <w:p w:rsidR="009E1819" w:rsidRPr="00D76AAF" w:rsidRDefault="009E1819" w:rsidP="00034397">
      <w:pPr>
        <w:pStyle w:val="Reference"/>
        <w:spacing w:before="0" w:afterLines="120" w:after="288" w:line="240" w:lineRule="auto"/>
      </w:pPr>
    </w:p>
    <w:p w:rsidR="009E1819" w:rsidRPr="00D76AAF" w:rsidRDefault="009E1819" w:rsidP="00D76AAF">
      <w:pPr>
        <w:pStyle w:val="Reference"/>
        <w:sectPr w:rsidR="009E1819" w:rsidRPr="00D76AAF" w:rsidSect="00CB6A36">
          <w:type w:val="oddPage"/>
          <w:pgSz w:w="11907" w:h="16840" w:code="9"/>
          <w:pgMar w:top="1985" w:right="1304" w:bottom="1247" w:left="1814" w:header="1701" w:footer="397" w:gutter="0"/>
          <w:pgNumType w:chapSep="period"/>
          <w:cols w:space="720"/>
        </w:sectPr>
      </w:pPr>
    </w:p>
    <w:p w:rsidR="00D96622" w:rsidRPr="00391500" w:rsidRDefault="00D96622" w:rsidP="005B43EE">
      <w:pPr>
        <w:pStyle w:val="Heading2"/>
        <w:spacing w:before="0"/>
        <w:ind w:left="2552" w:hanging="2552"/>
      </w:pPr>
      <w:bookmarkStart w:id="42" w:name="_Toc520279314"/>
      <w:bookmarkStart w:id="43" w:name="_Toc528902914"/>
      <w:bookmarkStart w:id="44" w:name="_Toc529979220"/>
      <w:bookmarkStart w:id="45" w:name="_Toc530993239"/>
      <w:bookmarkStart w:id="46" w:name="_Toc534966416"/>
      <w:bookmarkStart w:id="47" w:name="_Toc535242307"/>
      <w:r>
        <w:lastRenderedPageBreak/>
        <w:t>Attachment A:</w:t>
      </w:r>
      <w:r w:rsidR="005B43EE">
        <w:tab/>
      </w:r>
      <w:r>
        <w:t xml:space="preserve">How to </w:t>
      </w:r>
      <w:r w:rsidRPr="00391500">
        <w:t>make a submission</w:t>
      </w:r>
      <w:bookmarkEnd w:id="42"/>
      <w:r w:rsidR="00521D2E">
        <w:br/>
      </w:r>
      <w:r w:rsidR="00095C99">
        <w:t>or online comment</w:t>
      </w:r>
      <w:bookmarkEnd w:id="43"/>
      <w:bookmarkEnd w:id="44"/>
      <w:bookmarkEnd w:id="45"/>
      <w:bookmarkEnd w:id="46"/>
      <w:bookmarkEnd w:id="47"/>
    </w:p>
    <w:p w:rsidR="00D96622" w:rsidRPr="00E93397" w:rsidRDefault="00B97C22" w:rsidP="00E93397">
      <w:pPr>
        <w:pStyle w:val="BodyText"/>
        <w:spacing w:before="560" w:line="320" w:lineRule="exact"/>
        <w:rPr>
          <w:rFonts w:ascii="Arial" w:hAnsi="Arial"/>
          <w:b/>
          <w:sz w:val="26"/>
        </w:rPr>
      </w:pPr>
      <w:r>
        <w:rPr>
          <w:rFonts w:ascii="Arial" w:hAnsi="Arial"/>
          <w:b/>
          <w:sz w:val="26"/>
        </w:rPr>
        <w:t>What you should and should not include</w:t>
      </w:r>
    </w:p>
    <w:p w:rsidR="00D96622" w:rsidRDefault="00D96622" w:rsidP="00D96622">
      <w:pPr>
        <w:pStyle w:val="BodyText"/>
      </w:pPr>
      <w:r>
        <w:t xml:space="preserve">Submissions may range from a </w:t>
      </w:r>
      <w:r w:rsidR="00095C99">
        <w:t xml:space="preserve">brief comment or </w:t>
      </w:r>
      <w:r>
        <w:t>short letter outlining your views on a particular topic to a much more s</w:t>
      </w:r>
      <w:smartTag w:uri="urn:schemas-microsoft-com:office:smarttags" w:element="PersonName">
        <w:r>
          <w:t>ubs</w:t>
        </w:r>
      </w:smartTag>
      <w:r>
        <w:t>ta</w:t>
      </w:r>
      <w:smartTag w:uri="urn:schemas-microsoft-com:office:smarttags" w:element="PersonName">
        <w:r>
          <w:t>nt</w:t>
        </w:r>
      </w:smartTag>
      <w:r>
        <w:t>ial docume</w:t>
      </w:r>
      <w:smartTag w:uri="urn:schemas-microsoft-com:office:smarttags" w:element="PersonName">
        <w:r>
          <w:t>nt</w:t>
        </w:r>
      </w:smartTag>
      <w:r>
        <w:t xml:space="preserve"> covering a range of issues. Where possible, you should provide evidence, such as releva</w:t>
      </w:r>
      <w:smartTag w:uri="urn:schemas-microsoft-com:office:smarttags" w:element="PersonName">
        <w:r>
          <w:t>nt</w:t>
        </w:r>
      </w:smartTag>
      <w:r>
        <w:t xml:space="preserve"> data and docume</w:t>
      </w:r>
      <w:smartTag w:uri="urn:schemas-microsoft-com:office:smarttags" w:element="PersonName">
        <w:r>
          <w:t>nt</w:t>
        </w:r>
      </w:smartTag>
      <w:r>
        <w:t>ation, to support your views.</w:t>
      </w:r>
    </w:p>
    <w:p w:rsidR="00D96622" w:rsidRDefault="00D96622" w:rsidP="00B97C22">
      <w:pPr>
        <w:pStyle w:val="BodyText"/>
      </w:pPr>
      <w:r>
        <w:t>Each submission</w:t>
      </w:r>
      <w:r w:rsidR="00095C99">
        <w:t xml:space="preserve"> and comment</w:t>
      </w:r>
      <w:r>
        <w:t xml:space="preserve">, except for any attachment supplied in confidence, will be </w:t>
      </w:r>
      <w:r w:rsidR="00095C99">
        <w:t>considered for publication</w:t>
      </w:r>
      <w:r>
        <w:t xml:space="preserve"> on the Commission’s website shortly after receipt, and will</w:t>
      </w:r>
      <w:r w:rsidR="00095C99">
        <w:t>, if published,</w:t>
      </w:r>
      <w:r>
        <w:t xml:space="preserve"> remain there </w:t>
      </w:r>
      <w:r w:rsidRPr="004F7730">
        <w:rPr>
          <w:b/>
        </w:rPr>
        <w:t>indefinitely</w:t>
      </w:r>
      <w:r>
        <w:t xml:space="preserve"> as a public document.</w:t>
      </w:r>
    </w:p>
    <w:p w:rsidR="00B97C22" w:rsidRDefault="00B97C22" w:rsidP="00B97C22">
      <w:pPr>
        <w:pStyle w:val="BodyText"/>
      </w:pPr>
      <w:r>
        <w:t>We reserve the right to not publish material on the Commission’s website that is offensive, potentially defamatory, would be likely to enable the identification of a third party, or is clearly out of scope for the inquiry.</w:t>
      </w:r>
    </w:p>
    <w:p w:rsidR="00D96622" w:rsidRDefault="00D96622" w:rsidP="00095C99">
      <w:pPr>
        <w:pStyle w:val="Heading4"/>
        <w:spacing w:before="240"/>
      </w:pPr>
      <w:r>
        <w:t>Copyright</w:t>
      </w:r>
    </w:p>
    <w:p w:rsidR="00D96622" w:rsidRDefault="00D96622" w:rsidP="00D96622">
      <w:pPr>
        <w:pStyle w:val="ListBullet"/>
      </w:pPr>
      <w:r>
        <w:t xml:space="preserve">Copyright in submissions </w:t>
      </w:r>
      <w:r w:rsidR="00641CCC">
        <w:t xml:space="preserve">and comments </w:t>
      </w:r>
      <w:r>
        <w:t>sent to the Commission resides with the author(s), not with the Commission.</w:t>
      </w:r>
    </w:p>
    <w:p w:rsidR="00D96622" w:rsidRDefault="00D96622" w:rsidP="00D96622">
      <w:pPr>
        <w:pStyle w:val="ListBullet"/>
      </w:pPr>
      <w:r>
        <w:t>Do not send us material for which you are not the copyright owner — such as newspaper articles — you should just reference or link to this material in your submission.</w:t>
      </w:r>
    </w:p>
    <w:p w:rsidR="00D96622" w:rsidRDefault="00D96622" w:rsidP="00095C99">
      <w:pPr>
        <w:pStyle w:val="Heading4"/>
        <w:spacing w:before="240"/>
      </w:pPr>
      <w:r>
        <w:t>In confidence material</w:t>
      </w:r>
    </w:p>
    <w:p w:rsidR="00D96622" w:rsidRDefault="00D96622" w:rsidP="00B97C22">
      <w:pPr>
        <w:pStyle w:val="ListBullet"/>
      </w:pPr>
      <w:r w:rsidRPr="009D6440">
        <w:t xml:space="preserve">This is a public </w:t>
      </w:r>
      <w:r w:rsidR="000258C1">
        <w:t>inquiry</w:t>
      </w:r>
      <w:r w:rsidRPr="009D6440">
        <w:t xml:space="preserve"> and</w:t>
      </w:r>
      <w:r w:rsidR="000258C1">
        <w:t>,</w:t>
      </w:r>
      <w:r w:rsidRPr="009D6440">
        <w:t xml:space="preserve"> </w:t>
      </w:r>
      <w:r w:rsidR="000258C1">
        <w:t xml:space="preserve">as far as possible, </w:t>
      </w:r>
      <w:r w:rsidRPr="009D6440">
        <w:t xml:space="preserve">all submissions </w:t>
      </w:r>
      <w:r w:rsidR="00641CCC">
        <w:t xml:space="preserve">and comments </w:t>
      </w:r>
      <w:r w:rsidRPr="009D6440">
        <w:t>should be provided as public documents that can be placed on the Commission</w:t>
      </w:r>
      <w:r>
        <w:t>’</w:t>
      </w:r>
      <w:r w:rsidRPr="009D6440">
        <w:t>s website for others to read and comment on. However, information which is of a confidential nature or which is submitted in confidence can be treated as such by the Commission, provided the cause for such treatment is shown.</w:t>
      </w:r>
      <w:r w:rsidR="00B97C22">
        <w:t xml:space="preserve"> </w:t>
      </w:r>
      <w:r w:rsidR="000258C1">
        <w:t>We</w:t>
      </w:r>
      <w:r w:rsidRPr="009D6440">
        <w:t xml:space="preserve"> may request a non</w:t>
      </w:r>
      <w:r>
        <w:noBreakHyphen/>
      </w:r>
      <w:r w:rsidRPr="009D6440">
        <w:t xml:space="preserve">confidential summary of </w:t>
      </w:r>
      <w:r w:rsidR="000258C1">
        <w:t>any</w:t>
      </w:r>
      <w:r w:rsidRPr="009D6440">
        <w:t xml:space="preserve"> confidential material </w:t>
      </w:r>
      <w:r w:rsidR="000258C1">
        <w:t>that you provide</w:t>
      </w:r>
      <w:r w:rsidRPr="009D6440">
        <w:t>.</w:t>
      </w:r>
    </w:p>
    <w:p w:rsidR="00D96622" w:rsidRDefault="00D96622" w:rsidP="00D96622">
      <w:pPr>
        <w:pStyle w:val="ListBullet"/>
      </w:pPr>
      <w:r w:rsidRPr="009D6440">
        <w:t xml:space="preserve">Material supplied in confidence should be clearly marked </w:t>
      </w:r>
      <w:r>
        <w:t>‘</w:t>
      </w:r>
      <w:r w:rsidRPr="009D6440">
        <w:t>IN CONFIDENCE</w:t>
      </w:r>
      <w:r>
        <w:t>’</w:t>
      </w:r>
      <w:r w:rsidRPr="009D6440">
        <w:t xml:space="preserve"> and be in a separate attachment to non</w:t>
      </w:r>
      <w:r>
        <w:noBreakHyphen/>
      </w:r>
      <w:r w:rsidRPr="009D6440">
        <w:t>confidential material.</w:t>
      </w:r>
    </w:p>
    <w:p w:rsidR="00D96622" w:rsidRPr="009D6440" w:rsidRDefault="00D96622" w:rsidP="00D96622">
      <w:pPr>
        <w:pStyle w:val="ListBullet"/>
      </w:pPr>
      <w:r w:rsidRPr="009D6440">
        <w:t xml:space="preserve">You are encouraged to contact </w:t>
      </w:r>
      <w:r w:rsidR="000258C1">
        <w:t>us</w:t>
      </w:r>
      <w:r w:rsidRPr="009D6440">
        <w:t xml:space="preserve"> for further information and advice before submitting such material.</w:t>
      </w:r>
    </w:p>
    <w:p w:rsidR="00D96622" w:rsidRDefault="00D96622" w:rsidP="00095C99">
      <w:pPr>
        <w:pStyle w:val="Heading4"/>
        <w:spacing w:before="240"/>
      </w:pPr>
      <w:r>
        <w:t>Privacy</w:t>
      </w:r>
    </w:p>
    <w:p w:rsidR="00D96622" w:rsidRDefault="00D96622" w:rsidP="00D96622">
      <w:pPr>
        <w:pStyle w:val="ListBullet"/>
      </w:pPr>
      <w:r>
        <w:t xml:space="preserve">For privacy reasons, all </w:t>
      </w:r>
      <w:r w:rsidRPr="009D6440">
        <w:rPr>
          <w:b/>
        </w:rPr>
        <w:t>personal</w:t>
      </w:r>
      <w:r>
        <w:t xml:space="preserve"> details (e.g. home and email address, signatures, phone, mobile and fax numbers) will be removed before </w:t>
      </w:r>
      <w:r w:rsidR="004F7730">
        <w:t>your submission or comment is</w:t>
      </w:r>
      <w:r>
        <w:t xml:space="preserve"> published on the </w:t>
      </w:r>
      <w:r w:rsidR="000258C1">
        <w:t>website. Please do not provide</w:t>
      </w:r>
      <w:r>
        <w:t xml:space="preserve"> these details </w:t>
      </w:r>
      <w:r w:rsidR="000258C1">
        <w:t>within the body of the submission</w:t>
      </w:r>
      <w:r w:rsidR="004F7730">
        <w:t xml:space="preserve"> or comment</w:t>
      </w:r>
      <w:r>
        <w:t>.</w:t>
      </w:r>
    </w:p>
    <w:p w:rsidR="00095C99" w:rsidRDefault="00095C99" w:rsidP="00D96622">
      <w:pPr>
        <w:pStyle w:val="ListBullet"/>
      </w:pPr>
      <w:r>
        <w:lastRenderedPageBreak/>
        <w:t xml:space="preserve">While specific examples and evidence included in submissions and comments are particularly useful to the Commission, information that </w:t>
      </w:r>
      <w:r w:rsidR="00641CCC">
        <w:t xml:space="preserve">is not already public that </w:t>
      </w:r>
      <w:r>
        <w:t xml:space="preserve">would be likely to enable the identification of a </w:t>
      </w:r>
      <w:r w:rsidRPr="00641CCC">
        <w:rPr>
          <w:b/>
        </w:rPr>
        <w:t>third party</w:t>
      </w:r>
      <w:r>
        <w:t xml:space="preserve"> </w:t>
      </w:r>
      <w:r w:rsidRPr="00641CCC">
        <w:rPr>
          <w:b/>
        </w:rPr>
        <w:t>individual</w:t>
      </w:r>
      <w:r>
        <w:t xml:space="preserve"> </w:t>
      </w:r>
      <w:r w:rsidR="00641CCC">
        <w:t>should be removed by the submitter</w:t>
      </w:r>
      <w:r>
        <w:t xml:space="preserve">. </w:t>
      </w:r>
    </w:p>
    <w:p w:rsidR="00D96622" w:rsidRDefault="00D96622" w:rsidP="00D96622">
      <w:pPr>
        <w:pStyle w:val="ListBullet"/>
      </w:pPr>
      <w:r>
        <w:t>You may wish to remain anonymous or us</w:t>
      </w:r>
      <w:r w:rsidR="000258C1">
        <w:t>e a pseudonym. Please note that</w:t>
      </w:r>
      <w:r>
        <w:t xml:space="preserve"> if you</w:t>
      </w:r>
      <w:r w:rsidR="000258C1">
        <w:t>r</w:t>
      </w:r>
      <w:r>
        <w:t xml:space="preserve"> </w:t>
      </w:r>
      <w:r w:rsidR="000258C1">
        <w:t>anonymity</w:t>
      </w:r>
      <w:r>
        <w:t xml:space="preserve"> or use </w:t>
      </w:r>
      <w:r w:rsidR="00B97C22">
        <w:t xml:space="preserve">of </w:t>
      </w:r>
      <w:r>
        <w:t>a pseudonym</w:t>
      </w:r>
      <w:r w:rsidR="000258C1">
        <w:t xml:space="preserve"> means that we</w:t>
      </w:r>
      <w:r>
        <w:t xml:space="preserve"> </w:t>
      </w:r>
      <w:r w:rsidR="000258C1">
        <w:t>cannot contact you about material that you have included, then we may place less weight on your submission or comment</w:t>
      </w:r>
      <w:r>
        <w:t>.</w:t>
      </w:r>
    </w:p>
    <w:p w:rsidR="00D96622" w:rsidRDefault="00D96622" w:rsidP="000258C1">
      <w:pPr>
        <w:pStyle w:val="Heading4"/>
        <w:tabs>
          <w:tab w:val="center" w:pos="4394"/>
        </w:tabs>
      </w:pPr>
      <w:r>
        <w:t>Technical tips</w:t>
      </w:r>
    </w:p>
    <w:p w:rsidR="00D96622" w:rsidRPr="009D6440" w:rsidRDefault="00225665" w:rsidP="00D96622">
      <w:pPr>
        <w:pStyle w:val="ListBullet"/>
      </w:pPr>
      <w:r>
        <w:t>We prefer, for accessibility reasons,</w:t>
      </w:r>
      <w:r w:rsidR="00D96622" w:rsidRPr="009D6440">
        <w:t xml:space="preserve"> to receive submissions as a Microsoft Word (.docx) files. PDF files are acceptable if produced from a Word document or similar text based software. You may wish to research the Internet on how to make your documents more accessible or for the more technical, follow advice from Web Content Accessibility Guidelines (WCAG) 2.0</w:t>
      </w:r>
      <w:r w:rsidR="00D96622">
        <w:t>&lt;</w:t>
      </w:r>
      <w:r w:rsidR="00D96622" w:rsidRPr="00C738C7">
        <w:t>http://www.w3.org/TR/WCAG20/</w:t>
      </w:r>
      <w:r w:rsidR="00D96622">
        <w:t>&gt;.</w:t>
      </w:r>
    </w:p>
    <w:p w:rsidR="00D96622" w:rsidRPr="009D6440" w:rsidRDefault="00D96622" w:rsidP="00D96622">
      <w:pPr>
        <w:pStyle w:val="ListBullet"/>
      </w:pPr>
      <w:r w:rsidRPr="009D6440">
        <w:t>Do not send password protected files.</w:t>
      </w:r>
    </w:p>
    <w:p w:rsidR="00D96622" w:rsidRDefault="00D96622" w:rsidP="00B97C22">
      <w:pPr>
        <w:pStyle w:val="ListBullet"/>
      </w:pPr>
      <w:r w:rsidRPr="009D6440">
        <w:t>Track changes, editing marks, hidden text and internal links should be removed from submissions.</w:t>
      </w:r>
      <w:r w:rsidR="004F7730">
        <w:t xml:space="preserve"> Where links are included, please</w:t>
      </w:r>
      <w:r w:rsidRPr="009D6440">
        <w:t xml:space="preserve"> type the full web address (for example, http://www.referred</w:t>
      </w:r>
      <w:r>
        <w:noBreakHyphen/>
      </w:r>
      <w:r w:rsidRPr="009D6440">
        <w:t>website.com/folder/file</w:t>
      </w:r>
      <w:r>
        <w:noBreakHyphen/>
      </w:r>
      <w:r w:rsidR="00B97C22">
        <w:t>name.html)</w:t>
      </w:r>
      <w:r w:rsidR="00B97C22" w:rsidRPr="00B97C22">
        <w:t xml:space="preserve"> </w:t>
      </w:r>
      <w:r w:rsidR="00B97C22">
        <w:t>t</w:t>
      </w:r>
      <w:r w:rsidR="00B97C22" w:rsidRPr="009D6440">
        <w:t>o minimise linking problems</w:t>
      </w:r>
      <w:r w:rsidR="00B97C22">
        <w:t>.</w:t>
      </w:r>
    </w:p>
    <w:p w:rsidR="00D96622" w:rsidRPr="00CE3127" w:rsidRDefault="00D96622" w:rsidP="00CE3127">
      <w:pPr>
        <w:pStyle w:val="BodyText"/>
        <w:spacing w:before="560" w:line="320" w:lineRule="exact"/>
        <w:rPr>
          <w:rFonts w:ascii="Arial" w:hAnsi="Arial"/>
          <w:b/>
          <w:sz w:val="26"/>
        </w:rPr>
      </w:pPr>
      <w:r w:rsidRPr="00CE3127">
        <w:rPr>
          <w:rFonts w:ascii="Arial" w:hAnsi="Arial"/>
          <w:b/>
          <w:sz w:val="26"/>
        </w:rPr>
        <w:t>How to lodge a submission</w:t>
      </w:r>
      <w:r w:rsidR="00641CCC">
        <w:rPr>
          <w:rFonts w:ascii="Arial" w:hAnsi="Arial"/>
          <w:b/>
          <w:sz w:val="26"/>
        </w:rPr>
        <w:t xml:space="preserve"> or online comment</w:t>
      </w:r>
    </w:p>
    <w:p w:rsidR="00D96622" w:rsidRDefault="00D96622" w:rsidP="00D96622">
      <w:pPr>
        <w:pStyle w:val="BodyText"/>
        <w:spacing w:after="240"/>
      </w:pPr>
      <w:r w:rsidRPr="008960C8">
        <w:t xml:space="preserve">Submissions </w:t>
      </w:r>
      <w:r w:rsidR="00641CCC">
        <w:t xml:space="preserve">and online comments </w:t>
      </w:r>
      <w:r w:rsidRPr="008960C8">
        <w:t>should be lodged using the online form on the Commission’s website</w:t>
      </w:r>
      <w:r w:rsidR="00B65BCD">
        <w:t xml:space="preserve"> — this is our preferred way of receiving submissions</w:t>
      </w:r>
      <w:r w:rsidRPr="008960C8">
        <w:t xml:space="preserve">. </w:t>
      </w:r>
      <w:r w:rsidR="000258C1">
        <w:t>If, for some reason you need to</w:t>
      </w:r>
      <w:r w:rsidRPr="008960C8">
        <w:t xml:space="preserve"> lodge </w:t>
      </w:r>
      <w:r w:rsidR="004F7730">
        <w:t xml:space="preserve">a submission </w:t>
      </w:r>
      <w:r w:rsidRPr="008960C8">
        <w:t>by post</w:t>
      </w:r>
      <w:r w:rsidR="004F7730">
        <w:t>, then this</w:t>
      </w:r>
      <w:r w:rsidRPr="008960C8">
        <w:t xml:space="preserve"> should be accompanied by </w:t>
      </w:r>
      <w:r w:rsidR="004F7730">
        <w:t>the</w:t>
      </w:r>
      <w:r w:rsidRPr="008960C8">
        <w:t xml:space="preserve"> submission cover sheet</w:t>
      </w:r>
      <w:r w:rsidR="00B65BCD">
        <w:t xml:space="preserve"> </w:t>
      </w:r>
      <w:r w:rsidR="004F7730">
        <w:t xml:space="preserve">that is </w:t>
      </w:r>
      <w:r w:rsidR="00B65BCD">
        <w:t xml:space="preserve">available on the </w:t>
      </w:r>
      <w:r w:rsidR="004F7730">
        <w:t xml:space="preserve">inquiry </w:t>
      </w:r>
      <w:r w:rsidR="00B65BCD">
        <w:t>website</w:t>
      </w:r>
      <w:r w:rsidRPr="008960C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7421"/>
      </w:tblGrid>
      <w:tr w:rsidR="00D96622" w:rsidTr="00634E20">
        <w:trPr>
          <w:tblHeader/>
        </w:trPr>
        <w:tc>
          <w:tcPr>
            <w:tcW w:w="1384" w:type="dxa"/>
          </w:tcPr>
          <w:p w:rsidR="00D96622" w:rsidRDefault="00D96622" w:rsidP="00634E20">
            <w:pPr>
              <w:pStyle w:val="BodyText"/>
              <w:tabs>
                <w:tab w:val="left" w:pos="1701"/>
              </w:tabs>
              <w:spacing w:before="120"/>
            </w:pPr>
            <w:r>
              <w:t>Online*</w:t>
            </w:r>
          </w:p>
        </w:tc>
        <w:tc>
          <w:tcPr>
            <w:tcW w:w="7621" w:type="dxa"/>
          </w:tcPr>
          <w:p w:rsidR="00D96622" w:rsidRPr="00B65BCD" w:rsidRDefault="00B65BCD" w:rsidP="005B43EE">
            <w:pPr>
              <w:pStyle w:val="BodyText"/>
              <w:tabs>
                <w:tab w:val="left" w:pos="1701"/>
              </w:tabs>
              <w:spacing w:before="120"/>
            </w:pPr>
            <w:r w:rsidRPr="00B65BCD">
              <w:t>www.pc.gov.au/mental-health</w:t>
            </w:r>
          </w:p>
        </w:tc>
      </w:tr>
      <w:tr w:rsidR="00D96622" w:rsidTr="00634E20">
        <w:tc>
          <w:tcPr>
            <w:tcW w:w="1384" w:type="dxa"/>
          </w:tcPr>
          <w:p w:rsidR="00D96622" w:rsidRDefault="00D96622" w:rsidP="00634E20">
            <w:pPr>
              <w:pStyle w:val="BodyText"/>
              <w:tabs>
                <w:tab w:val="left" w:pos="1701"/>
              </w:tabs>
              <w:spacing w:before="120"/>
            </w:pPr>
            <w:r>
              <w:t>Post*</w:t>
            </w:r>
          </w:p>
        </w:tc>
        <w:tc>
          <w:tcPr>
            <w:tcW w:w="7621" w:type="dxa"/>
          </w:tcPr>
          <w:p w:rsidR="009869F5" w:rsidRDefault="009869F5" w:rsidP="009869F5">
            <w:pPr>
              <w:pStyle w:val="BodyText"/>
              <w:tabs>
                <w:tab w:val="left" w:pos="1701"/>
              </w:tabs>
              <w:spacing w:before="120"/>
              <w:jc w:val="left"/>
            </w:pPr>
            <w:r>
              <w:t>Mental Health Inquiry</w:t>
            </w:r>
            <w:r>
              <w:br/>
              <w:t>Productivity Commission</w:t>
            </w:r>
            <w:r>
              <w:br/>
              <w:t>GPO Box 1428</w:t>
            </w:r>
            <w:r>
              <w:br/>
              <w:t>Canberra City ACT 2601</w:t>
            </w:r>
          </w:p>
        </w:tc>
      </w:tr>
    </w:tbl>
    <w:p w:rsidR="00D96622" w:rsidRDefault="00D96622" w:rsidP="00D96622">
      <w:pPr>
        <w:pStyle w:val="BodyText"/>
      </w:pPr>
      <w:r>
        <w:t>*</w:t>
      </w:r>
      <w:r w:rsidRPr="007354B8">
        <w:t xml:space="preserve"> </w:t>
      </w:r>
      <w:r>
        <w:t xml:space="preserve">If you do not receive notification of receipt of your submission to the Commission, please contact </w:t>
      </w:r>
      <w:r w:rsidR="004F7730">
        <w:t>Tracey Horsfall on 02</w:t>
      </w:r>
      <w:r w:rsidR="0067015B">
        <w:t> </w:t>
      </w:r>
      <w:r w:rsidR="004F7730">
        <w:t>6240</w:t>
      </w:r>
      <w:r w:rsidR="0067015B">
        <w:t> </w:t>
      </w:r>
      <w:r w:rsidR="004F7730">
        <w:t>3261</w:t>
      </w:r>
      <w:r>
        <w:t>.</w:t>
      </w:r>
    </w:p>
    <w:p w:rsidR="00D96622" w:rsidRPr="00391500" w:rsidRDefault="00D96622" w:rsidP="00D96622">
      <w:pPr>
        <w:pStyle w:val="Heading4"/>
      </w:pPr>
      <w:r w:rsidRPr="00391500">
        <w:t xml:space="preserve">Due date for </w:t>
      </w:r>
      <w:r w:rsidR="00641CCC">
        <w:t xml:space="preserve">initial </w:t>
      </w:r>
      <w:r w:rsidRPr="00391500">
        <w:t>submissions</w:t>
      </w:r>
    </w:p>
    <w:p w:rsidR="00D434A0" w:rsidRPr="00B65BCD" w:rsidRDefault="00D96622" w:rsidP="00120072">
      <w:pPr>
        <w:pStyle w:val="BodyText"/>
      </w:pPr>
      <w:r>
        <w:t xml:space="preserve">Please send </w:t>
      </w:r>
      <w:r w:rsidRPr="00B65BCD">
        <w:rPr>
          <w:b/>
        </w:rPr>
        <w:t>submissions</w:t>
      </w:r>
      <w:r>
        <w:t xml:space="preserve"> to the Commission by </w:t>
      </w:r>
      <w:r w:rsidR="00B65BCD" w:rsidRPr="00B65BCD">
        <w:t>Friday 5 April 2019</w:t>
      </w:r>
      <w:r w:rsidR="00211C8F" w:rsidRPr="00B65BCD">
        <w:t>.</w:t>
      </w:r>
    </w:p>
    <w:p w:rsidR="00225665" w:rsidRPr="00225665" w:rsidRDefault="00225665" w:rsidP="00120072">
      <w:pPr>
        <w:pStyle w:val="BodyText"/>
      </w:pPr>
      <w:r w:rsidRPr="00B65BCD">
        <w:rPr>
          <w:b/>
        </w:rPr>
        <w:t>Brief online comments</w:t>
      </w:r>
      <w:r w:rsidRPr="00225665">
        <w:t xml:space="preserve"> will be accepted continuously throughout the inquiry but will be published in bulk group</w:t>
      </w:r>
      <w:r>
        <w:t>ings, as and when processed.</w:t>
      </w:r>
    </w:p>
    <w:sectPr w:rsidR="00225665" w:rsidRPr="00225665" w:rsidSect="005207AB">
      <w:headerReference w:type="even" r:id="rId40"/>
      <w:headerReference w:type="default" r:id="rId41"/>
      <w:footerReference w:type="even" r:id="rId42"/>
      <w:footerReference w:type="default" r:id="rId43"/>
      <w:headerReference w:type="first" r:id="rId44"/>
      <w:footerReference w:type="first" r:id="rId45"/>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F45" w:rsidRDefault="00FC0F45">
      <w:r>
        <w:separator/>
      </w:r>
    </w:p>
  </w:endnote>
  <w:endnote w:type="continuationSeparator" w:id="0">
    <w:p w:rsidR="00FC0F45" w:rsidRDefault="00FC0F45">
      <w:r>
        <w:continuationSeparator/>
      </w:r>
    </w:p>
  </w:endnote>
  <w:endnote w:type="continuationNotice" w:id="1">
    <w:p w:rsidR="00FC0F45" w:rsidRDefault="00FC0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altName w:val="MS Gothic"/>
    <w:charset w:val="80"/>
    <w:family w:val="roman"/>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CB" w:rsidRDefault="004B49C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C0F45" w:rsidTr="005F48ED">
      <w:trPr>
        <w:trHeight w:hRule="exact" w:val="567"/>
      </w:trPr>
      <w:tc>
        <w:tcPr>
          <w:tcW w:w="510" w:type="dxa"/>
        </w:tcPr>
        <w:p w:rsidR="00FC0F45" w:rsidRDefault="00FC0F45">
          <w:pPr>
            <w:pStyle w:val="Footer"/>
            <w:ind w:right="360" w:firstLine="360"/>
          </w:pPr>
        </w:p>
      </w:tc>
      <w:tc>
        <w:tcPr>
          <w:tcW w:w="7767" w:type="dxa"/>
        </w:tcPr>
        <w:p w:rsidR="00FC0F45" w:rsidRPr="00BA5B14" w:rsidRDefault="00FC0F45"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1B059B">
            <w:rPr>
              <w:rFonts w:cs="Arial"/>
            </w:rPr>
            <w:t>Issues Paper (Mental Health)</w:t>
          </w:r>
          <w:r w:rsidRPr="00BA5B14">
            <w:rPr>
              <w:rFonts w:cs="Arial"/>
            </w:rPr>
            <w:fldChar w:fldCharType="end"/>
          </w:r>
          <w:bookmarkStart w:id="49" w:name="DraftReportOdd"/>
          <w:bookmarkEnd w:id="49"/>
        </w:p>
      </w:tc>
      <w:tc>
        <w:tcPr>
          <w:tcW w:w="510" w:type="dxa"/>
        </w:tcPr>
        <w:p w:rsidR="00FC0F45" w:rsidRPr="00A24443" w:rsidRDefault="00FC0F4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B49CB">
            <w:rPr>
              <w:rStyle w:val="PageNumber"/>
              <w:caps w:val="0"/>
              <w:noProof/>
            </w:rPr>
            <w:t>47</w:t>
          </w:r>
          <w:r w:rsidRPr="00A24443">
            <w:rPr>
              <w:rStyle w:val="PageNumber"/>
              <w:caps w:val="0"/>
            </w:rPr>
            <w:fldChar w:fldCharType="end"/>
          </w:r>
        </w:p>
      </w:tc>
    </w:tr>
  </w:tbl>
  <w:p w:rsidR="00FC0F45" w:rsidRDefault="00FC0F45">
    <w:pPr>
      <w:pStyle w:val="FooterEnd"/>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45" w:rsidRDefault="00FC0F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C0F45" w:rsidTr="005F48ED">
      <w:trPr>
        <w:trHeight w:hRule="exact" w:val="567"/>
      </w:trPr>
      <w:tc>
        <w:tcPr>
          <w:tcW w:w="510" w:type="dxa"/>
        </w:tcPr>
        <w:p w:rsidR="00FC0F45" w:rsidRDefault="00FC0F45">
          <w:pPr>
            <w:pStyle w:val="Footer"/>
            <w:ind w:right="360" w:firstLine="360"/>
          </w:pPr>
        </w:p>
      </w:tc>
      <w:tc>
        <w:tcPr>
          <w:tcW w:w="7767" w:type="dxa"/>
        </w:tcPr>
        <w:p w:rsidR="00FC0F45" w:rsidRPr="00BA5B14" w:rsidRDefault="00FC0F45"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1B059B">
            <w:rPr>
              <w:rFonts w:cs="Arial"/>
            </w:rPr>
            <w:t>Issues Paper (Mental Health)</w:t>
          </w:r>
          <w:r w:rsidRPr="00BA5B14">
            <w:rPr>
              <w:rFonts w:cs="Arial"/>
            </w:rPr>
            <w:fldChar w:fldCharType="end"/>
          </w:r>
        </w:p>
      </w:tc>
      <w:tc>
        <w:tcPr>
          <w:tcW w:w="510" w:type="dxa"/>
        </w:tcPr>
        <w:p w:rsidR="00FC0F45" w:rsidRPr="00A24443" w:rsidRDefault="00FC0F45">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Pr>
              <w:rStyle w:val="PageNumber"/>
              <w:caps w:val="0"/>
              <w:noProof/>
            </w:rPr>
            <w:t>iii</w:t>
          </w:r>
          <w:r w:rsidRPr="0045783B">
            <w:rPr>
              <w:rStyle w:val="PageNumber"/>
              <w:caps w:val="0"/>
            </w:rPr>
            <w:fldChar w:fldCharType="end"/>
          </w:r>
        </w:p>
      </w:tc>
    </w:tr>
  </w:tbl>
  <w:p w:rsidR="00FC0F45" w:rsidRDefault="00FC0F45">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CB" w:rsidRDefault="004B49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C0F45" w:rsidTr="00634E20">
      <w:trPr>
        <w:trHeight w:hRule="exact" w:val="567"/>
      </w:trPr>
      <w:tc>
        <w:tcPr>
          <w:tcW w:w="510" w:type="dxa"/>
        </w:tcPr>
        <w:p w:rsidR="00FC0F45" w:rsidRPr="00A24443" w:rsidRDefault="00FC0F45" w:rsidP="00634E20">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B49CB">
            <w:rPr>
              <w:rStyle w:val="PageNumber"/>
              <w:caps w:val="0"/>
              <w:noProof/>
            </w:rPr>
            <w:t>iv</w:t>
          </w:r>
          <w:r w:rsidRPr="00A24443">
            <w:rPr>
              <w:rStyle w:val="PageNumber"/>
              <w:caps w:val="0"/>
            </w:rPr>
            <w:fldChar w:fldCharType="end"/>
          </w:r>
        </w:p>
      </w:tc>
      <w:tc>
        <w:tcPr>
          <w:tcW w:w="7767" w:type="dxa"/>
        </w:tcPr>
        <w:p w:rsidR="00FC0F45" w:rsidRPr="0013739A" w:rsidRDefault="00FC0F45" w:rsidP="00634E20">
          <w:pPr>
            <w:pStyle w:val="Footer"/>
            <w:rPr>
              <w:rFonts w:cs="Arial"/>
            </w:rPr>
          </w:pPr>
          <w:r>
            <w:rPr>
              <w:rFonts w:cs="Arial"/>
            </w:rPr>
            <w:t>mental health</w:t>
          </w:r>
        </w:p>
      </w:tc>
      <w:tc>
        <w:tcPr>
          <w:tcW w:w="510" w:type="dxa"/>
        </w:tcPr>
        <w:p w:rsidR="00FC0F45" w:rsidRDefault="00FC0F45" w:rsidP="00634E20">
          <w:pPr>
            <w:pStyle w:val="Footer"/>
          </w:pPr>
        </w:p>
      </w:tc>
    </w:tr>
  </w:tbl>
  <w:p w:rsidR="00FC0F45" w:rsidRDefault="00FC0F45" w:rsidP="00634E20">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C0F45" w:rsidTr="005F48ED">
      <w:trPr>
        <w:trHeight w:hRule="exact" w:val="567"/>
      </w:trPr>
      <w:tc>
        <w:tcPr>
          <w:tcW w:w="510" w:type="dxa"/>
        </w:tcPr>
        <w:p w:rsidR="00FC0F45" w:rsidRDefault="00FC0F45">
          <w:pPr>
            <w:pStyle w:val="Footer"/>
            <w:ind w:right="360" w:firstLine="360"/>
          </w:pPr>
        </w:p>
      </w:tc>
      <w:tc>
        <w:tcPr>
          <w:tcW w:w="7767" w:type="dxa"/>
        </w:tcPr>
        <w:p w:rsidR="00FC0F45" w:rsidRPr="00BA5B14" w:rsidRDefault="00FC0F45" w:rsidP="001673EF">
          <w:pPr>
            <w:pStyle w:val="Footer"/>
            <w:jc w:val="right"/>
            <w:rPr>
              <w:rFonts w:cs="Arial"/>
            </w:rPr>
          </w:pPr>
          <w:r>
            <w:rPr>
              <w:rFonts w:cs="Arial"/>
            </w:rPr>
            <w:t xml:space="preserve">issues paper </w:t>
          </w:r>
        </w:p>
      </w:tc>
      <w:tc>
        <w:tcPr>
          <w:tcW w:w="510" w:type="dxa"/>
        </w:tcPr>
        <w:p w:rsidR="00FC0F45" w:rsidRPr="00A24443" w:rsidRDefault="00FC0F4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B49CB">
            <w:rPr>
              <w:rStyle w:val="PageNumber"/>
              <w:caps w:val="0"/>
              <w:noProof/>
            </w:rPr>
            <w:t>iii</w:t>
          </w:r>
          <w:r w:rsidRPr="00A24443">
            <w:rPr>
              <w:rStyle w:val="PageNumber"/>
              <w:caps w:val="0"/>
            </w:rPr>
            <w:fldChar w:fldCharType="end"/>
          </w:r>
        </w:p>
      </w:tc>
    </w:tr>
  </w:tbl>
  <w:p w:rsidR="00FC0F45" w:rsidRDefault="00FC0F45">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C0F45" w:rsidTr="005F48ED">
      <w:trPr>
        <w:trHeight w:hRule="exact" w:val="567"/>
      </w:trPr>
      <w:tc>
        <w:tcPr>
          <w:tcW w:w="510" w:type="dxa"/>
        </w:tcPr>
        <w:p w:rsidR="00FC0F45" w:rsidRPr="00A24443" w:rsidRDefault="00FC0F45"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B49CB">
            <w:rPr>
              <w:rStyle w:val="PageNumber"/>
              <w:caps w:val="0"/>
              <w:noProof/>
            </w:rPr>
            <w:t>16</w:t>
          </w:r>
          <w:r w:rsidRPr="00A24443">
            <w:rPr>
              <w:rStyle w:val="PageNumber"/>
              <w:caps w:val="0"/>
            </w:rPr>
            <w:fldChar w:fldCharType="end"/>
          </w:r>
        </w:p>
      </w:tc>
      <w:tc>
        <w:tcPr>
          <w:tcW w:w="7767" w:type="dxa"/>
        </w:tcPr>
        <w:p w:rsidR="00FC0F45" w:rsidRPr="0013739A" w:rsidRDefault="00FC0F45" w:rsidP="0013739A">
          <w:pPr>
            <w:pStyle w:val="Footer"/>
            <w:rPr>
              <w:rFonts w:cs="Arial"/>
            </w:rPr>
          </w:pPr>
          <w:r>
            <w:rPr>
              <w:rFonts w:cs="Arial"/>
            </w:rPr>
            <w:t>mental health</w:t>
          </w:r>
        </w:p>
      </w:tc>
      <w:tc>
        <w:tcPr>
          <w:tcW w:w="510" w:type="dxa"/>
        </w:tcPr>
        <w:p w:rsidR="00FC0F45" w:rsidRDefault="00FC0F45" w:rsidP="0019293B">
          <w:pPr>
            <w:pStyle w:val="Footer"/>
          </w:pPr>
        </w:p>
      </w:tc>
    </w:tr>
  </w:tbl>
  <w:p w:rsidR="00FC0F45" w:rsidRDefault="00FC0F45" w:rsidP="0019293B">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C0F45" w:rsidTr="005F48ED">
      <w:trPr>
        <w:trHeight w:hRule="exact" w:val="567"/>
      </w:trPr>
      <w:tc>
        <w:tcPr>
          <w:tcW w:w="510" w:type="dxa"/>
        </w:tcPr>
        <w:p w:rsidR="00FC0F45" w:rsidRDefault="00FC0F45">
          <w:pPr>
            <w:pStyle w:val="Footer"/>
            <w:ind w:right="360" w:firstLine="360"/>
          </w:pPr>
        </w:p>
      </w:tc>
      <w:tc>
        <w:tcPr>
          <w:tcW w:w="7767" w:type="dxa"/>
        </w:tcPr>
        <w:p w:rsidR="00FC0F45" w:rsidRPr="00BA5B14" w:rsidRDefault="00FC0F45" w:rsidP="0013739A">
          <w:pPr>
            <w:pStyle w:val="Footer"/>
            <w:jc w:val="right"/>
            <w:rPr>
              <w:rFonts w:cs="Arial"/>
            </w:rPr>
          </w:pPr>
          <w:r>
            <w:rPr>
              <w:rFonts w:cs="Arial"/>
            </w:rPr>
            <w:t>issues paper</w:t>
          </w:r>
        </w:p>
      </w:tc>
      <w:tc>
        <w:tcPr>
          <w:tcW w:w="510" w:type="dxa"/>
        </w:tcPr>
        <w:p w:rsidR="00FC0F45" w:rsidRPr="00A24443" w:rsidRDefault="00FC0F4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B49CB">
            <w:rPr>
              <w:rStyle w:val="PageNumber"/>
              <w:caps w:val="0"/>
              <w:noProof/>
            </w:rPr>
            <w:t>v</w:t>
          </w:r>
          <w:r w:rsidRPr="00A24443">
            <w:rPr>
              <w:rStyle w:val="PageNumber"/>
              <w:caps w:val="0"/>
            </w:rPr>
            <w:fldChar w:fldCharType="end"/>
          </w:r>
        </w:p>
      </w:tc>
    </w:tr>
  </w:tbl>
  <w:p w:rsidR="00FC0F45" w:rsidRDefault="00FC0F45">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C0F45" w:rsidTr="005F48ED">
      <w:trPr>
        <w:trHeight w:hRule="exact" w:val="567"/>
      </w:trPr>
      <w:tc>
        <w:tcPr>
          <w:tcW w:w="510" w:type="dxa"/>
        </w:tcPr>
        <w:p w:rsidR="00FC0F45" w:rsidRDefault="00FC0F45">
          <w:pPr>
            <w:pStyle w:val="Footer"/>
            <w:ind w:right="360" w:firstLine="360"/>
          </w:pPr>
        </w:p>
      </w:tc>
      <w:tc>
        <w:tcPr>
          <w:tcW w:w="7767" w:type="dxa"/>
        </w:tcPr>
        <w:p w:rsidR="00FC0F45" w:rsidRPr="00BA5B14" w:rsidRDefault="00FC0F45" w:rsidP="0013739A">
          <w:pPr>
            <w:pStyle w:val="Footer"/>
            <w:jc w:val="right"/>
            <w:rPr>
              <w:rFonts w:cs="Arial"/>
            </w:rPr>
          </w:pPr>
          <w:r>
            <w:rPr>
              <w:rFonts w:cs="Arial"/>
            </w:rPr>
            <w:t>issues paper</w:t>
          </w:r>
        </w:p>
      </w:tc>
      <w:tc>
        <w:tcPr>
          <w:tcW w:w="510" w:type="dxa"/>
        </w:tcPr>
        <w:p w:rsidR="00FC0F45" w:rsidRDefault="00FC0F45" w:rsidP="00CB6A36">
          <w:pPr>
            <w:pStyle w:val="Footer"/>
            <w:tabs>
              <w:tab w:val="left" w:pos="333"/>
              <w:tab w:val="right" w:pos="504"/>
            </w:tabs>
            <w:rPr>
              <w:rStyle w:val="PageNumber"/>
              <w:caps w:val="0"/>
            </w:rPr>
          </w:pPr>
          <w:r>
            <w:rPr>
              <w:rStyle w:val="PageNumber"/>
              <w:caps w:val="0"/>
            </w:rPr>
            <w:tab/>
          </w:r>
          <w:r>
            <w:rPr>
              <w:rStyle w:val="PageNumber"/>
              <w:caps w:val="0"/>
            </w:rPr>
            <w:tab/>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B49CB">
            <w:rPr>
              <w:rStyle w:val="PageNumber"/>
              <w:caps w:val="0"/>
              <w:noProof/>
            </w:rPr>
            <w:t>15</w:t>
          </w:r>
          <w:r w:rsidRPr="00A24443">
            <w:rPr>
              <w:rStyle w:val="PageNumber"/>
              <w:caps w:val="0"/>
            </w:rPr>
            <w:fldChar w:fldCharType="end"/>
          </w:r>
        </w:p>
        <w:p w:rsidR="00FC0F45" w:rsidRPr="00A24443" w:rsidRDefault="00FC0F45">
          <w:pPr>
            <w:pStyle w:val="Footer"/>
            <w:jc w:val="right"/>
            <w:rPr>
              <w:caps w:val="0"/>
            </w:rPr>
          </w:pPr>
        </w:p>
      </w:tc>
    </w:tr>
  </w:tbl>
  <w:p w:rsidR="00FC0F45" w:rsidRDefault="00FC0F45">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C0F45" w:rsidTr="005F48ED">
      <w:trPr>
        <w:trHeight w:hRule="exact" w:val="567"/>
      </w:trPr>
      <w:tc>
        <w:tcPr>
          <w:tcW w:w="510" w:type="dxa"/>
        </w:tcPr>
        <w:p w:rsidR="00FC0F45" w:rsidRPr="00A24443" w:rsidRDefault="00FC0F45"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B49CB">
            <w:rPr>
              <w:rStyle w:val="PageNumber"/>
              <w:caps w:val="0"/>
              <w:noProof/>
            </w:rPr>
            <w:t>48</w:t>
          </w:r>
          <w:r w:rsidRPr="00A24443">
            <w:rPr>
              <w:rStyle w:val="PageNumber"/>
              <w:caps w:val="0"/>
            </w:rPr>
            <w:fldChar w:fldCharType="end"/>
          </w:r>
        </w:p>
      </w:tc>
      <w:tc>
        <w:tcPr>
          <w:tcW w:w="7767" w:type="dxa"/>
        </w:tcPr>
        <w:p w:rsidR="00FC0F45" w:rsidRPr="0013739A" w:rsidRDefault="00FC0F45" w:rsidP="0013739A">
          <w:pPr>
            <w:pStyle w:val="Footer"/>
            <w:rPr>
              <w:rFonts w:cs="Arial"/>
            </w:rPr>
          </w:pPr>
          <w:bookmarkStart w:id="48" w:name="DraftReportEven"/>
          <w:bookmarkEnd w:id="48"/>
          <w:r>
            <w:rPr>
              <w:rFonts w:cs="Arial"/>
            </w:rPr>
            <w:t>mental health</w:t>
          </w:r>
        </w:p>
      </w:tc>
      <w:tc>
        <w:tcPr>
          <w:tcW w:w="510" w:type="dxa"/>
        </w:tcPr>
        <w:p w:rsidR="00FC0F45" w:rsidRDefault="00FC0F45" w:rsidP="0019293B">
          <w:pPr>
            <w:pStyle w:val="Footer"/>
          </w:pPr>
        </w:p>
      </w:tc>
    </w:tr>
  </w:tbl>
  <w:p w:rsidR="00FC0F45" w:rsidRDefault="00FC0F45" w:rsidP="0019293B">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F45" w:rsidRDefault="00FC0F45">
      <w:r>
        <w:separator/>
      </w:r>
    </w:p>
  </w:footnote>
  <w:footnote w:type="continuationSeparator" w:id="0">
    <w:p w:rsidR="00FC0F45" w:rsidRDefault="00FC0F45">
      <w:r>
        <w:continuationSeparator/>
      </w:r>
    </w:p>
  </w:footnote>
  <w:footnote w:type="continuationNotice" w:id="1">
    <w:p w:rsidR="00FC0F45" w:rsidRDefault="00FC0F45"/>
  </w:footnote>
  <w:footnote w:id="2">
    <w:p w:rsidR="00FC0F45" w:rsidRPr="00CA2A48" w:rsidRDefault="00FC0F45" w:rsidP="007B278F">
      <w:pPr>
        <w:pStyle w:val="FootnoteText"/>
      </w:pPr>
      <w:r w:rsidRPr="004C2106">
        <w:rPr>
          <w:rStyle w:val="FootnoteReference"/>
        </w:rPr>
        <w:footnoteRef/>
      </w:r>
      <w:r>
        <w:tab/>
      </w:r>
      <w:r w:rsidRPr="003051F1">
        <w:t>Diminic et al. </w:t>
      </w:r>
      <w:r>
        <w:fldChar w:fldCharType="begin"/>
      </w:r>
      <w:r>
        <w:instrText xml:space="preserve"> ADDIN ZOTERO_ITEM CSL_CITATION {"citationID":"KkyRTQdM","properties":{"formattedCitation":"(2017)","plainCitation":"(2017)","noteIndex":1},"citationItems":[{"id":5940,"uris":["http://zotero.org/groups/2194690/items/Z6X7WDC9"],"uri":["http://zotero.org/groups/2194690/items/Z6X7WDC9"],"itemData":{"id":5940,"type":"book","title":"The Economic Value of Informal Mental Health Caring in Australia: Summary Report","publisher":"Mind Australia","publisher-place":"Melbourne","event-place":"Melbourne","author":[{"family":"Diminic","given":"S"},{"family":"Hielscher","given":"E"},{"family":"Lee","given":"Y"},{"family":"Harris","given":"M"},{"family":"Schess","given":"J"},{"family":"Kealton","given":"J"},{"family":"Whiteford","given":"H"}],"issued":{"date-parts":[["2017"]]}},"suppress-author":true}],"schema":"https://github.com/citation-style-language/schema/raw/master/csl-citation.json"} </w:instrText>
      </w:r>
      <w:r>
        <w:fldChar w:fldCharType="separate"/>
      </w:r>
      <w:r w:rsidRPr="00854FF1">
        <w:t>(2017)</w:t>
      </w:r>
      <w:r>
        <w:fldChar w:fldCharType="end"/>
      </w:r>
      <w:r>
        <w:t xml:space="preserve"> estimated that </w:t>
      </w:r>
      <w:r w:rsidRPr="003051F1">
        <w:t xml:space="preserve">240 000 Australians </w:t>
      </w:r>
      <w:r>
        <w:t xml:space="preserve">were </w:t>
      </w:r>
      <w:r w:rsidRPr="003051F1">
        <w:t>informal carers for an adult with mental illness</w:t>
      </w:r>
      <w:r>
        <w:t xml:space="preserve"> in 2015. Of these, 54 000 were a primary carer who provided the most informal assistance.</w:t>
      </w:r>
    </w:p>
  </w:footnote>
  <w:footnote w:id="3">
    <w:p w:rsidR="00FC0F45" w:rsidRDefault="00FC0F45">
      <w:pPr>
        <w:pStyle w:val="FootnoteText"/>
      </w:pPr>
      <w:r w:rsidRPr="004C2106">
        <w:rPr>
          <w:rStyle w:val="FootnoteReference"/>
        </w:rPr>
        <w:footnoteRef/>
      </w:r>
      <w:r>
        <w:tab/>
      </w:r>
      <w:r w:rsidRPr="00ED7EDD">
        <w:t xml:space="preserve">For example, Frijters, Johnston and Shields </w:t>
      </w:r>
      <w:r>
        <w:fldChar w:fldCharType="begin"/>
      </w:r>
      <w:r>
        <w:instrText xml:space="preserve"> ADDIN ZOTERO_ITEM CSL_CITATION {"citationID":"UNLAPttV","properties":{"formattedCitation":"(2014)","plainCitation":"(2014)","noteIndex":2},"citationItems":[{"id":6019,"uris":["http://zotero.org/groups/2194690/items/25FNLGZ7"],"uri":["http://zotero.org/groups/2194690/items/25FNLGZ7"],"itemData":{"id":6019,"type":"article-journal","title":"The effect of mental health on employment: evidence from Australian panel data","container-title":"Health Economics","page":"1058-71","volume":"23","issue":"9","source":"espace.library.uq.edu.au","DOI":"10.1002/hec.3083","ISSN":"1099-1050, 1057-9230","author":[{"family":"Frijters","given":"Paul"},{"family":"Johnston","given":"David W."},{"family":"Shields","given":"Michael A."}],"issued":{"date-parts":[["2014"]]}},"suppress-author":true}],"schema":"https://github.com/citation-style-language/schema/raw/master/csl-citation.json"} </w:instrText>
      </w:r>
      <w:r>
        <w:fldChar w:fldCharType="separate"/>
      </w:r>
      <w:r w:rsidRPr="00854FF1">
        <w:t>(2014)</w:t>
      </w:r>
      <w:r>
        <w:fldChar w:fldCharType="end"/>
      </w:r>
      <w:r>
        <w:t xml:space="preserve"> estimated that t</w:t>
      </w:r>
      <w:r w:rsidRPr="00ED7EDD">
        <w:t>he probability of an Australian adult being employed falls by around 30 percentage points when there is</w:t>
      </w:r>
      <w:r>
        <w:t xml:space="preserve"> a </w:t>
      </w:r>
      <w:r w:rsidRPr="00A86931">
        <w:t xml:space="preserve">one-standard-deviation </w:t>
      </w:r>
      <w:r>
        <w:t>decline in</w:t>
      </w:r>
      <w:r w:rsidRPr="00A86931">
        <w:t xml:space="preserve"> </w:t>
      </w:r>
      <w:r>
        <w:t xml:space="preserve">their </w:t>
      </w:r>
      <w:r w:rsidRPr="00A86931">
        <w:t>mental health</w:t>
      </w:r>
      <w:r>
        <w:t>.</w:t>
      </w:r>
    </w:p>
  </w:footnote>
  <w:footnote w:id="4">
    <w:p w:rsidR="00FC0F45" w:rsidRPr="004E4959" w:rsidRDefault="00FC0F45" w:rsidP="007B278F">
      <w:pPr>
        <w:pStyle w:val="FootnoteText"/>
      </w:pPr>
      <w:r w:rsidRPr="004C2106">
        <w:rPr>
          <w:rStyle w:val="FootnoteReference"/>
        </w:rPr>
        <w:footnoteRef/>
      </w:r>
      <w:r>
        <w:tab/>
      </w:r>
      <w:r w:rsidRPr="00ED7EDD">
        <w:t>Bubonya, Cobb-Clark and Wooden</w:t>
      </w:r>
      <w:r>
        <w:t xml:space="preserve"> </w:t>
      </w:r>
      <w:r w:rsidRPr="00181A20">
        <w:fldChar w:fldCharType="begin"/>
      </w:r>
      <w:r>
        <w:instrText xml:space="preserve"> ADDIN ZOTERO_ITEM CSL_CITATION {"citationID":"yJMhGW55","properties":{"formattedCitation":"(2016)","plainCitation":"(2016)","noteIndex":3},"citationItems":[{"id":6018,"uris":["http://zotero.org/groups/2194690/items/4HSEBGN8"],"uri":["http://zotero.org/groups/2194690/items/4HSEBGN8"],"itemData":{"id":6018,"type":"book","title":"Mental Health and Productivity at Work: Does What You Do Matter?","collection-title":"Working Paper no. 16/16","publisher":"Melbourne Institute of Applied Economic and Social Research","publisher-place":"Melbourne","event-place":"Melbourne","author":[{"family":"Bubonya","given":"M"},{"family":"Cobb-Clark","given":"D"},{"family":"Wooden","given":"M"}],"issued":{"date-parts":[["2016"]]}},"suppress-author":true}],"schema":"https://github.com/citation-style-language/schema/raw/master/csl-citation.json"} </w:instrText>
      </w:r>
      <w:r w:rsidRPr="00181A20">
        <w:fldChar w:fldCharType="separate"/>
      </w:r>
      <w:r w:rsidRPr="00854FF1">
        <w:t>(2016)</w:t>
      </w:r>
      <w:r w:rsidRPr="00181A20">
        <w:fldChar w:fldCharType="end"/>
      </w:r>
      <w:r>
        <w:t xml:space="preserve"> estimated that t</w:t>
      </w:r>
      <w:r w:rsidRPr="00ED7EDD">
        <w:t xml:space="preserve">he </w:t>
      </w:r>
      <w:r>
        <w:t>rate of absences from work is, on average, about five percentage points higher among Australian workers who report being in poor mental health. PWC </w:t>
      </w:r>
      <w:r>
        <w:fldChar w:fldCharType="begin"/>
      </w:r>
      <w:r>
        <w:instrText xml:space="preserve"> ADDIN ZOTERO_ITEM CSL_CITATION {"citationID":"MOG2aeq2","properties":{"formattedCitation":"(2014)","plainCitation":"(2014)","noteIndex":3},"citationItems":[{"id":6041,"uris":["http://zotero.org/groups/2194690/items/6S99TWYL"],"uri":["http://zotero.org/groups/2194690/items/6S99TWYL"],"itemData":{"id":6041,"type":"report","title":"Creating a Mentally Healthy Workplace: Return on Investment Analysis","publisher-place":"Melbourne","event-place":"Melbourne","author":[{"family":"PWC","given":""}],"issued":{"date-parts":[["2014"]]}},"suppress-author":true}],"schema":"https://github.com/citation-style-language/schema/raw/master/csl-citation.json"} </w:instrText>
      </w:r>
      <w:r>
        <w:fldChar w:fldCharType="separate"/>
      </w:r>
      <w:r w:rsidRPr="00854FF1">
        <w:t>(2014)</w:t>
      </w:r>
      <w:r>
        <w:fldChar w:fldCharType="end"/>
      </w:r>
      <w:r>
        <w:t xml:space="preserve"> estimated that absenteeism due to poor mental health costs Australian employers $4.7 billion annually.</w:t>
      </w:r>
    </w:p>
  </w:footnote>
  <w:footnote w:id="5">
    <w:p w:rsidR="00FC0F45" w:rsidRPr="00D00F0E" w:rsidRDefault="00FC0F45" w:rsidP="007B278F">
      <w:pPr>
        <w:pStyle w:val="FootnoteText"/>
      </w:pPr>
      <w:r w:rsidRPr="004C2106">
        <w:rPr>
          <w:rStyle w:val="FootnoteReference"/>
        </w:rPr>
        <w:footnoteRef/>
      </w:r>
      <w:r>
        <w:tab/>
      </w:r>
      <w:r w:rsidRPr="005E0F68">
        <w:t xml:space="preserve">Forbes, Barker and Turner </w:t>
      </w:r>
      <w:r>
        <w:fldChar w:fldCharType="begin"/>
      </w:r>
      <w:r>
        <w:instrText xml:space="preserve"> ADDIN ZOTERO_ITEM CSL_CITATION {"citationID":"cqtP0Oa6","properties":{"formattedCitation":"(2010)","plainCitation":"(2010)","noteIndex":4},"citationItems":[{"id":491,"uris":["http://zotero.org/groups/164861/items/M9EZDK9W"],"uri":["http://zotero.org/groups/164861/items/M9EZDK9W"],"itemData":{"id":491,"type":"report","title":"The Effects of Education and Health on Wages and Productivity","publisher-place":"Canberra","genre":"Productivity Commission Staff Working Paper","event-place":"Canberra","author":[{"family":"Forbes","given":"Matthew"},{"family":"Barker","given":"Andrew"},{"family":"Turner","given":"Stewart"}],"issued":{"date-parts":[["2010"]]}},"suppress-author":true}],"schema":"https://github.com/citation-style-language/schema/raw/master/csl-citation.json"} </w:instrText>
      </w:r>
      <w:r>
        <w:fldChar w:fldCharType="separate"/>
      </w:r>
      <w:r w:rsidRPr="00854FF1">
        <w:t>(2010)</w:t>
      </w:r>
      <w:r>
        <w:fldChar w:fldCharType="end"/>
      </w:r>
      <w:r>
        <w:t xml:space="preserve"> estimated that, in Australia, poor mental health is associated with an average reduction in hourly wages (an indicator of labour productivity) of around 5% for men and 3% for women.</w:t>
      </w:r>
      <w:r w:rsidRPr="00C30290">
        <w:t xml:space="preserve"> </w:t>
      </w:r>
      <w:r>
        <w:t>PWC </w:t>
      </w:r>
      <w:r>
        <w:fldChar w:fldCharType="begin"/>
      </w:r>
      <w:r>
        <w:instrText xml:space="preserve"> ADDIN ZOTERO_ITEM CSL_CITATION {"citationID":"NsZkTqre","properties":{"formattedCitation":"(2014)","plainCitation":"(2014)","noteIndex":4},"citationItems":[{"id":6041,"uris":["http://zotero.org/groups/2194690/items/6S99TWYL"],"uri":["http://zotero.org/groups/2194690/items/6S99TWYL"],"itemData":{"id":6041,"type":"report","title":"Creating a Mentally Healthy Workplace: Return on Investment Analysis","publisher-place":"Melbourne","event-place":"Melbourne","author":[{"family":"PWC","given":""}],"issued":{"date-parts":[["2014"]]}},"suppress-author":true}],"schema":"https://github.com/citation-style-language/schema/raw/master/csl-citation.json"} </w:instrText>
      </w:r>
      <w:r>
        <w:fldChar w:fldCharType="separate"/>
      </w:r>
      <w:r w:rsidRPr="00854FF1">
        <w:t>(2014)</w:t>
      </w:r>
      <w:r>
        <w:fldChar w:fldCharType="end"/>
      </w:r>
      <w:r>
        <w:t xml:space="preserve"> estimated that reduced productivity due to poor mental health costs Australian employers $6.1 billion annually.</w:t>
      </w:r>
    </w:p>
  </w:footnote>
  <w:footnote w:id="6">
    <w:p w:rsidR="00FC0F45" w:rsidRDefault="00FC0F45" w:rsidP="007B278F">
      <w:pPr>
        <w:pStyle w:val="FootnoteText"/>
      </w:pPr>
      <w:r w:rsidRPr="004C2106">
        <w:rPr>
          <w:rStyle w:val="FootnoteReference"/>
        </w:rPr>
        <w:footnoteRef/>
      </w:r>
      <w:r>
        <w:tab/>
        <w:t>Access Economics </w:t>
      </w:r>
      <w:r>
        <w:fldChar w:fldCharType="begin"/>
      </w:r>
      <w:r>
        <w:instrText xml:space="preserve"> ADDIN ZOTERO_ITEM CSL_CITATION {"citationID":"deZkoTiF","properties":{"formattedCitation":"(2009)","plainCitation":"(2009)","noteIndex":5},"citationItems":[{"id":5998,"uris":["http://zotero.org/groups/2194690/items/L6VKUHH5"],"uri":["http://zotero.org/groups/2194690/items/L6VKUHH5"],"itemData":{"id":5998,"type":"book","title":"The Economic Impact of Youth Mental Illness and the Cost Effectiveness of Early Intervention","collection-title":"Report for the Headspace Centre of Excellence in Youth Mental Health","publisher-place":"Canberra","event-place":"Canberra","author":[{"family":"Access Economics","given":""}],"issued":{"date-parts":[["2009"]]}},"suppress-author":true}],"schema":"https://github.com/citation-style-language/schema/raw/master/csl-citation.json"} </w:instrText>
      </w:r>
      <w:r>
        <w:fldChar w:fldCharType="separate"/>
      </w:r>
      <w:r w:rsidRPr="00854FF1">
        <w:t>(2009)</w:t>
      </w:r>
      <w:r>
        <w:fldChar w:fldCharType="end"/>
      </w:r>
      <w:r>
        <w:t xml:space="preserve"> estimated that, in 2009, mental illness among Australians aged 15-25 years led to productivity costs ($7 459 million) which were more than five times greater than health system costs ($1 414 million). Lee et al. </w:t>
      </w:r>
      <w:r>
        <w:fldChar w:fldCharType="begin"/>
      </w:r>
      <w:r>
        <w:instrText xml:space="preserve"> ADDIN ZOTERO_ITEM CSL_CITATION {"citationID":"pBHkh7aP","properties":{"formattedCitation":"(2017)","plainCitation":"(2017)","noteIndex":5},"citationItems":[{"id":5982,"uris":["http://zotero.org/groups/2194690/items/M8SZKMQM"],"uri":["http://zotero.org/groups/2194690/items/M8SZKMQM"],"itemData":{"id":5982,"type":"article-journal","title":"Cost of high prevalence mental disorders: Findings from the 2007 Australian National Survey of Mental Health and Wellbeing","container-title":"Australian and New Zealand Journal of Psychiatry","page":"1198-1211","volume":"51","issue":"12","source":"PubMed","DOI":"10.1177/0004867417710730","ISSN":"1440-1614","note":"PMID: 28565923","author":[{"family":"Lee","given":"Yu-Chen"},{"family":"Chatterton","given":"Mary Lou"},{"family":"Magnus","given":"Anne"},{"family":"Mohebbi","given":"Mohammadreza"},{"family":"Le","given":"Long Khanh-Dao"},{"family":"Mihalopoulos","given":"Cathrine"}],"issued":{"date-parts":[["2017"]]}},"suppress-author":true}],"schema":"https://github.com/citation-style-language/schema/raw/master/csl-citation.json"} </w:instrText>
      </w:r>
      <w:r>
        <w:fldChar w:fldCharType="separate"/>
      </w:r>
      <w:r w:rsidRPr="00854FF1">
        <w:t>(2017)</w:t>
      </w:r>
      <w:r>
        <w:fldChar w:fldCharType="end"/>
      </w:r>
      <w:r>
        <w:t xml:space="preserve"> estimated that, in 2007, </w:t>
      </w:r>
      <w:r w:rsidRPr="00CB5D89">
        <w:t xml:space="preserve">anxiety, affective </w:t>
      </w:r>
      <w:r>
        <w:t>and</w:t>
      </w:r>
      <w:r w:rsidRPr="00CB5D89">
        <w:t xml:space="preserve"> substance use disorder</w:t>
      </w:r>
      <w:r>
        <w:t>s among Australian adults led to productivity costs ($11 800 million</w:t>
      </w:r>
      <w:r w:rsidRPr="00DA461A">
        <w:t xml:space="preserve"> </w:t>
      </w:r>
      <w:r>
        <w:t>in 2013-14 dollars) which were more than twelve times greater than healthcare costs ($974 million).</w:t>
      </w:r>
    </w:p>
  </w:footnote>
  <w:footnote w:id="7">
    <w:p w:rsidR="00FC0F45" w:rsidRDefault="00FC0F45" w:rsidP="006643CF">
      <w:pPr>
        <w:pStyle w:val="FootnoteText"/>
      </w:pPr>
      <w:r w:rsidRPr="004C2106">
        <w:rPr>
          <w:rStyle w:val="FootnoteReference"/>
        </w:rPr>
        <w:footnoteRef/>
      </w:r>
      <w:r>
        <w:tab/>
        <w:t xml:space="preserve">Various quantitative studies in Australia and overseas have estimated that there would be a positive return on investments in mental health for the government or employer that funds them </w:t>
      </w:r>
      <w:r>
        <w:fldChar w:fldCharType="begin"/>
      </w:r>
      <w:r>
        <w:instrText xml:space="preserve"> ADDIN ZOTERO_ITEM CSL_CITATION {"citationID":"SPYoISq5","properties":{"formattedCitation":"(for example, Knapp, McDaid and Parsonage\\uc0\\u160{}2011; KPMG and Mental Health Australia\\uc0\\u160{}2018; PWC\\uc0\\u160{}2014)","plainCitation":"(for example, Knapp, McDaid and Parsonage 2011; KPMG and Mental Health Australia 2018; PWC 2014)","noteIndex":6},"citationItems":[{"id":6052,"uris":["http://zotero.org/groups/2194690/items/BF3SATK4"],"uri":["http://zotero.org/groups/2194690/items/BF3SATK4"],"itemData":{"id":6052,"type":"book","title":"Mental Health Promotion and Mental Illness Prevention: The Economic Case","publisher":"UK Department of Health","publisher-place":"London","event-place":"London","author":[{"family":"Knapp","given":"M"},{"family":"McDaid","given":"D"},{"family":"Parsonage","given":"M"}],"issued":{"date-parts":[["2011"]]}},"label":"volume","prefix":"for example, "},{"id":6051,"uris":["http://zotero.org/groups/2194690/items/RF562WDZ"],"uri":["http://zotero.org/groups/2194690/items/RF562WDZ"],"itemData":{"id":6051,"type":"report","title":"Investing to Save: The Economic Benefits for Australia of Investment in Mental Health Reform","author":[{"literal":"KPMG"},{"literal":"Mental Health Australia"}],"issued":{"date-parts":[["2018"]]}}},{"id":6041,"uris":["http://zotero.org/groups/2194690/items/6S99TWYL"],"uri":["http://zotero.org/groups/2194690/items/6S99TWYL"],"itemData":{"id":6041,"type":"report","title":"Creating a Mentally Healthy Workplace: Return on Investment Analysis","publisher-place":"Melbourne","event-place":"Melbourne","author":[{"family":"PWC","given":""}],"issued":{"date-parts":[["2014"]]}}}],"schema":"https://github.com/citation-style-language/schema/raw/master/csl-citation.json"} </w:instrText>
      </w:r>
      <w:r>
        <w:fldChar w:fldCharType="separate"/>
      </w:r>
      <w:r w:rsidRPr="00A40CC8">
        <w:rPr>
          <w:szCs w:val="24"/>
        </w:rPr>
        <w:t>(for example, Knapp, McDaid and Parsonage 2011; KPMG and Mental Health Australia 2018; PWC 2014)</w:t>
      </w:r>
      <w:r>
        <w:fldChar w:fldCharType="end"/>
      </w:r>
      <w:r>
        <w:t>.</w:t>
      </w:r>
    </w:p>
  </w:footnote>
  <w:footnote w:id="8">
    <w:p w:rsidR="00FC0F45" w:rsidRDefault="00FC0F45" w:rsidP="00AA210C">
      <w:pPr>
        <w:pStyle w:val="FootnoteText"/>
      </w:pPr>
      <w:r w:rsidRPr="004C2106">
        <w:rPr>
          <w:rStyle w:val="FootnoteReference"/>
        </w:rPr>
        <w:footnoteRef/>
      </w:r>
      <w:r>
        <w:tab/>
        <w:t>Psychosocial disabilities are disabilities that may arise from mental illness.</w:t>
      </w:r>
    </w:p>
  </w:footnote>
  <w:footnote w:id="9">
    <w:p w:rsidR="00FC0F45" w:rsidRDefault="00FC0F45" w:rsidP="00961710">
      <w:pPr>
        <w:pStyle w:val="FootnoteText"/>
      </w:pPr>
      <w:r w:rsidRPr="004C2106">
        <w:rPr>
          <w:rStyle w:val="FootnoteReference"/>
        </w:rPr>
        <w:footnoteRef/>
      </w:r>
      <w:r>
        <w:tab/>
        <w:t>To some extent, this reflects a transfer of existing disability support services (figure 9) into the NDIS.</w:t>
      </w:r>
    </w:p>
  </w:footnote>
  <w:footnote w:id="10">
    <w:p w:rsidR="00FC0F45" w:rsidRDefault="00FC0F45" w:rsidP="0050025A">
      <w:pPr>
        <w:pStyle w:val="FootnoteText"/>
      </w:pPr>
      <w:r w:rsidRPr="004C2106">
        <w:rPr>
          <w:rStyle w:val="FootnoteReference"/>
        </w:rPr>
        <w:footnoteRef/>
      </w:r>
      <w:r>
        <w:tab/>
        <w:t>Figure 9 underestimates the Australian Government’s contribution toward Medicare-subsidised mental health services. The estimate of $1.2b captures only items recorded as mental health-specific services, but AIHW </w:t>
      </w:r>
      <w:r>
        <w:fldChar w:fldCharType="begin"/>
      </w:r>
      <w:r>
        <w:instrText xml:space="preserve"> ADDIN ZOTERO_ITEM CSL_CITATION {"citationID":"nhalEDxQ","properties":{"formattedCitation":"(2018f)","plainCitation":"(2018f)","noteIndex":9},"citationItems":[{"id":5807,"uris":["http://zotero.org/groups/2194690/items/JCX8HVUH"],"uri":["http://zotero.org/groups/2194690/items/JCX8HVUH"],"itemData":{"id":5807,"type":"webpage","title":"Mental health services in Australia - Web report","URL":"https://www.aihw.gov.au/reports/mental-health-services/mental-health-services-in-australia/report-contents/summary","author":[{"family":"Australian Institute of Health and Welfare","given":""}],"translator":[{"family":"AIHW","given":""}],"issued":{"date-parts":[["2018",5,3]]},"accessed":{"date-parts":[["2018",6,6]]}},"suppress-author":true}],"schema":"https://github.com/citation-style-language/schema/raw/master/csl-citation.json"} </w:instrText>
      </w:r>
      <w:r>
        <w:fldChar w:fldCharType="separate"/>
      </w:r>
      <w:r w:rsidRPr="00854FF1">
        <w:t>(2018f)</w:t>
      </w:r>
      <w:r>
        <w:fldChar w:fldCharType="end"/>
      </w:r>
      <w:r>
        <w:t xml:space="preserve"> indicate that over 80% of mental health-related GP encounters are not recorded as such. </w:t>
      </w:r>
    </w:p>
  </w:footnote>
  <w:footnote w:id="11">
    <w:p w:rsidR="00FC0F45" w:rsidRDefault="00FC0F45" w:rsidP="0050025A">
      <w:pPr>
        <w:pStyle w:val="FootnoteText"/>
      </w:pPr>
      <w:r w:rsidRPr="004C2106">
        <w:rPr>
          <w:rStyle w:val="FootnoteReference"/>
        </w:rPr>
        <w:footnoteRef/>
      </w:r>
      <w:r>
        <w:tab/>
        <w:t>This is based on data reported for 20 OECD members from the 34 OECD countries included in the World Health Organisation survey of 194 members.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CB" w:rsidRDefault="004B49C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FC0F45">
      <w:tc>
        <w:tcPr>
          <w:tcW w:w="2155" w:type="dxa"/>
          <w:tcBorders>
            <w:top w:val="single" w:sz="24" w:space="0" w:color="auto"/>
          </w:tcBorders>
        </w:tcPr>
        <w:p w:rsidR="00FC0F45" w:rsidRDefault="00FC0F45" w:rsidP="0019293B">
          <w:pPr>
            <w:pStyle w:val="HeaderEven"/>
          </w:pPr>
        </w:p>
      </w:tc>
      <w:tc>
        <w:tcPr>
          <w:tcW w:w="6634" w:type="dxa"/>
          <w:tcBorders>
            <w:top w:val="single" w:sz="6" w:space="0" w:color="auto"/>
          </w:tcBorders>
        </w:tcPr>
        <w:p w:rsidR="00FC0F45" w:rsidRDefault="00FC0F45" w:rsidP="0019293B">
          <w:pPr>
            <w:pStyle w:val="HeaderEven"/>
          </w:pPr>
        </w:p>
      </w:tc>
    </w:tr>
  </w:tbl>
  <w:p w:rsidR="00FC0F45" w:rsidRDefault="00FC0F45" w:rsidP="0019293B">
    <w:pPr>
      <w:pStyle w:val="HeaderEn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C0F45">
      <w:tc>
        <w:tcPr>
          <w:tcW w:w="6634" w:type="dxa"/>
          <w:tcBorders>
            <w:top w:val="single" w:sz="6" w:space="0" w:color="auto"/>
          </w:tcBorders>
        </w:tcPr>
        <w:p w:rsidR="00FC0F45" w:rsidRDefault="00FC0F45" w:rsidP="00E669E2">
          <w:pPr>
            <w:pStyle w:val="HeaderOdd"/>
          </w:pPr>
        </w:p>
      </w:tc>
      <w:tc>
        <w:tcPr>
          <w:tcW w:w="2155" w:type="dxa"/>
          <w:tcBorders>
            <w:top w:val="single" w:sz="24" w:space="0" w:color="auto"/>
          </w:tcBorders>
        </w:tcPr>
        <w:p w:rsidR="00FC0F45" w:rsidRDefault="00FC0F45" w:rsidP="00E669E2">
          <w:pPr>
            <w:pStyle w:val="HeaderOdd"/>
          </w:pPr>
        </w:p>
      </w:tc>
    </w:tr>
  </w:tbl>
  <w:p w:rsidR="00FC0F45" w:rsidRDefault="00FC0F45" w:rsidP="00E669E2">
    <w:pPr>
      <w:pStyle w:val="HeaderEnd"/>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45" w:rsidRDefault="00FC0F4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FC0F45">
      <w:tc>
        <w:tcPr>
          <w:tcW w:w="2155" w:type="dxa"/>
          <w:tcBorders>
            <w:top w:val="single" w:sz="24" w:space="0" w:color="auto"/>
          </w:tcBorders>
        </w:tcPr>
        <w:p w:rsidR="00FC0F45" w:rsidRDefault="00FC0F45" w:rsidP="0019293B">
          <w:pPr>
            <w:pStyle w:val="HeaderEven"/>
          </w:pPr>
        </w:p>
      </w:tc>
      <w:tc>
        <w:tcPr>
          <w:tcW w:w="6634" w:type="dxa"/>
          <w:tcBorders>
            <w:top w:val="single" w:sz="6" w:space="0" w:color="auto"/>
          </w:tcBorders>
        </w:tcPr>
        <w:p w:rsidR="00FC0F45" w:rsidRDefault="00FC0F45" w:rsidP="0019293B">
          <w:pPr>
            <w:pStyle w:val="HeaderEven"/>
          </w:pPr>
        </w:p>
      </w:tc>
    </w:tr>
  </w:tbl>
  <w:p w:rsidR="00FC0F45" w:rsidRDefault="00FC0F45" w:rsidP="0019293B">
    <w:pPr>
      <w:pStyle w:val="HeaderEnd"/>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C0F45">
      <w:tc>
        <w:tcPr>
          <w:tcW w:w="6634" w:type="dxa"/>
          <w:tcBorders>
            <w:top w:val="single" w:sz="6" w:space="0" w:color="auto"/>
          </w:tcBorders>
        </w:tcPr>
        <w:p w:rsidR="00FC0F45" w:rsidRDefault="00FC0F45" w:rsidP="00E669E2">
          <w:pPr>
            <w:pStyle w:val="HeaderOdd"/>
          </w:pPr>
        </w:p>
      </w:tc>
      <w:tc>
        <w:tcPr>
          <w:tcW w:w="2155" w:type="dxa"/>
          <w:tcBorders>
            <w:top w:val="single" w:sz="24" w:space="0" w:color="auto"/>
          </w:tcBorders>
        </w:tcPr>
        <w:p w:rsidR="00FC0F45" w:rsidRDefault="00FC0F45" w:rsidP="00E669E2">
          <w:pPr>
            <w:pStyle w:val="HeaderOdd"/>
          </w:pPr>
        </w:p>
      </w:tc>
    </w:tr>
  </w:tbl>
  <w:p w:rsidR="00FC0F45" w:rsidRDefault="00FC0F45" w:rsidP="00E669E2">
    <w:pPr>
      <w:pStyle w:val="HeaderEnd"/>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45" w:rsidRDefault="00FC0F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C0F45">
      <w:tc>
        <w:tcPr>
          <w:tcW w:w="6634" w:type="dxa"/>
          <w:tcBorders>
            <w:top w:val="single" w:sz="6" w:space="0" w:color="auto"/>
          </w:tcBorders>
        </w:tcPr>
        <w:p w:rsidR="00FC0F45" w:rsidRDefault="00FC0F45" w:rsidP="00E669E2">
          <w:pPr>
            <w:pStyle w:val="HeaderOdd"/>
          </w:pPr>
        </w:p>
      </w:tc>
      <w:tc>
        <w:tcPr>
          <w:tcW w:w="2155" w:type="dxa"/>
          <w:tcBorders>
            <w:top w:val="single" w:sz="24" w:space="0" w:color="auto"/>
          </w:tcBorders>
        </w:tcPr>
        <w:p w:rsidR="00FC0F45" w:rsidRDefault="00FC0F45" w:rsidP="00E669E2">
          <w:pPr>
            <w:pStyle w:val="HeaderOdd"/>
          </w:pPr>
        </w:p>
      </w:tc>
    </w:tr>
  </w:tbl>
  <w:p w:rsidR="00FC0F45" w:rsidRDefault="00FC0F45"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CB" w:rsidRDefault="004B49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FC0F45" w:rsidTr="00634E20">
      <w:tc>
        <w:tcPr>
          <w:tcW w:w="2155" w:type="dxa"/>
          <w:tcBorders>
            <w:top w:val="single" w:sz="24" w:space="0" w:color="auto"/>
          </w:tcBorders>
        </w:tcPr>
        <w:p w:rsidR="00FC0F45" w:rsidRDefault="00FC0F45" w:rsidP="00634E20">
          <w:pPr>
            <w:pStyle w:val="HeaderEven"/>
          </w:pPr>
        </w:p>
      </w:tc>
      <w:tc>
        <w:tcPr>
          <w:tcW w:w="6634" w:type="dxa"/>
          <w:tcBorders>
            <w:top w:val="single" w:sz="6" w:space="0" w:color="auto"/>
          </w:tcBorders>
        </w:tcPr>
        <w:p w:rsidR="00FC0F45" w:rsidRDefault="00FC0F45" w:rsidP="00634E20">
          <w:pPr>
            <w:pStyle w:val="HeaderEven"/>
          </w:pPr>
        </w:p>
      </w:tc>
    </w:tr>
  </w:tbl>
  <w:p w:rsidR="00FC0F45" w:rsidRDefault="00FC0F45" w:rsidP="00634E20">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C0F45">
      <w:tc>
        <w:tcPr>
          <w:tcW w:w="6634" w:type="dxa"/>
          <w:tcBorders>
            <w:top w:val="single" w:sz="6" w:space="0" w:color="auto"/>
          </w:tcBorders>
        </w:tcPr>
        <w:p w:rsidR="00FC0F45" w:rsidRDefault="00FC0F45" w:rsidP="00E669E2">
          <w:pPr>
            <w:pStyle w:val="HeaderOdd"/>
          </w:pPr>
        </w:p>
      </w:tc>
      <w:tc>
        <w:tcPr>
          <w:tcW w:w="2155" w:type="dxa"/>
          <w:tcBorders>
            <w:top w:val="single" w:sz="24" w:space="0" w:color="auto"/>
          </w:tcBorders>
        </w:tcPr>
        <w:p w:rsidR="00FC0F45" w:rsidRDefault="00FC0F45" w:rsidP="00E669E2">
          <w:pPr>
            <w:pStyle w:val="HeaderOdd"/>
          </w:pPr>
        </w:p>
      </w:tc>
    </w:tr>
  </w:tbl>
  <w:p w:rsidR="00FC0F45" w:rsidRDefault="00FC0F45"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45" w:rsidRDefault="00FC0F4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FC0F45">
      <w:tc>
        <w:tcPr>
          <w:tcW w:w="2155" w:type="dxa"/>
          <w:tcBorders>
            <w:top w:val="single" w:sz="24" w:space="0" w:color="auto"/>
          </w:tcBorders>
        </w:tcPr>
        <w:p w:rsidR="00FC0F45" w:rsidRDefault="00FC0F45" w:rsidP="0019293B">
          <w:pPr>
            <w:pStyle w:val="HeaderEven"/>
          </w:pPr>
        </w:p>
      </w:tc>
      <w:tc>
        <w:tcPr>
          <w:tcW w:w="6634" w:type="dxa"/>
          <w:tcBorders>
            <w:top w:val="single" w:sz="6" w:space="0" w:color="auto"/>
          </w:tcBorders>
        </w:tcPr>
        <w:p w:rsidR="00FC0F45" w:rsidRDefault="00FC0F45" w:rsidP="0019293B">
          <w:pPr>
            <w:pStyle w:val="HeaderEven"/>
          </w:pPr>
        </w:p>
      </w:tc>
    </w:tr>
  </w:tbl>
  <w:p w:rsidR="00FC0F45" w:rsidRDefault="00FC0F45" w:rsidP="0019293B">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C0F45">
      <w:tc>
        <w:tcPr>
          <w:tcW w:w="6634" w:type="dxa"/>
          <w:tcBorders>
            <w:top w:val="single" w:sz="6" w:space="0" w:color="auto"/>
          </w:tcBorders>
        </w:tcPr>
        <w:p w:rsidR="00FC0F45" w:rsidRDefault="00FC0F45" w:rsidP="00E669E2">
          <w:pPr>
            <w:pStyle w:val="HeaderOdd"/>
          </w:pPr>
        </w:p>
      </w:tc>
      <w:tc>
        <w:tcPr>
          <w:tcW w:w="2155" w:type="dxa"/>
          <w:tcBorders>
            <w:top w:val="single" w:sz="24" w:space="0" w:color="auto"/>
          </w:tcBorders>
        </w:tcPr>
        <w:p w:rsidR="00FC0F45" w:rsidRDefault="00FC0F45" w:rsidP="00E669E2">
          <w:pPr>
            <w:pStyle w:val="HeaderOdd"/>
          </w:pPr>
        </w:p>
      </w:tc>
    </w:tr>
  </w:tbl>
  <w:p w:rsidR="00FC0F45" w:rsidRDefault="00FC0F45" w:rsidP="00E669E2">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45" w:rsidRDefault="00FC0F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2"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3"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6"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7"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9" w15:restartNumberingAfterBreak="0">
    <w:nsid w:val="31CF1221"/>
    <w:multiLevelType w:val="hybridMultilevel"/>
    <w:tmpl w:val="C2501A2A"/>
    <w:lvl w:ilvl="0" w:tplc="BFDE43A6">
      <w:numFmt w:val="bullet"/>
      <w:lvlText w:val="•"/>
      <w:lvlJc w:val="left"/>
      <w:pPr>
        <w:ind w:left="644" w:hanging="360"/>
      </w:pPr>
      <w:rPr>
        <w:rFonts w:ascii="Goudy Old Style" w:eastAsiaTheme="minorHAnsi" w:hAnsi="Goudy Old Style"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1"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2"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5"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num w:numId="1">
    <w:abstractNumId w:val="8"/>
  </w:num>
  <w:num w:numId="2">
    <w:abstractNumId w:val="0"/>
  </w:num>
  <w:num w:numId="3">
    <w:abstractNumId w:val="10"/>
  </w:num>
  <w:num w:numId="4">
    <w:abstractNumId w:val="1"/>
  </w:num>
  <w:num w:numId="5">
    <w:abstractNumId w:val="14"/>
  </w:num>
  <w:num w:numId="6">
    <w:abstractNumId w:val="11"/>
  </w:num>
  <w:num w:numId="7">
    <w:abstractNumId w:val="5"/>
  </w:num>
  <w:num w:numId="8">
    <w:abstractNumId w:val="4"/>
  </w:num>
  <w:num w:numId="9">
    <w:abstractNumId w:val="3"/>
  </w:num>
  <w:num w:numId="10">
    <w:abstractNumId w:val="6"/>
  </w:num>
  <w:num w:numId="11">
    <w:abstractNumId w:val="7"/>
  </w:num>
  <w:num w:numId="12">
    <w:abstractNumId w:val="2"/>
  </w:num>
  <w:num w:numId="13">
    <w:abstractNumId w:val="12"/>
  </w:num>
  <w:num w:numId="14">
    <w:abstractNumId w:val="15"/>
  </w:num>
  <w:num w:numId="15">
    <w:abstractNumId w:val="13"/>
  </w:num>
  <w:num w:numId="16">
    <w:abstractNumId w:val="9"/>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4E4AC4"/>
    <w:rsid w:val="00000297"/>
    <w:rsid w:val="00000994"/>
    <w:rsid w:val="000009F1"/>
    <w:rsid w:val="00000C23"/>
    <w:rsid w:val="00000D3B"/>
    <w:rsid w:val="0000105A"/>
    <w:rsid w:val="0000139A"/>
    <w:rsid w:val="00001701"/>
    <w:rsid w:val="0000196F"/>
    <w:rsid w:val="000019FB"/>
    <w:rsid w:val="00001C14"/>
    <w:rsid w:val="00001C1B"/>
    <w:rsid w:val="00001D2F"/>
    <w:rsid w:val="00001F35"/>
    <w:rsid w:val="00001FB0"/>
    <w:rsid w:val="000023F6"/>
    <w:rsid w:val="00002C78"/>
    <w:rsid w:val="000031DD"/>
    <w:rsid w:val="00003201"/>
    <w:rsid w:val="00003895"/>
    <w:rsid w:val="000039D8"/>
    <w:rsid w:val="0000451B"/>
    <w:rsid w:val="0000469D"/>
    <w:rsid w:val="0000472C"/>
    <w:rsid w:val="00004966"/>
    <w:rsid w:val="00004A78"/>
    <w:rsid w:val="00004BAF"/>
    <w:rsid w:val="000051BB"/>
    <w:rsid w:val="00005294"/>
    <w:rsid w:val="000052F2"/>
    <w:rsid w:val="00005883"/>
    <w:rsid w:val="00006529"/>
    <w:rsid w:val="000065D1"/>
    <w:rsid w:val="00006B39"/>
    <w:rsid w:val="00006C5C"/>
    <w:rsid w:val="00007006"/>
    <w:rsid w:val="0000719F"/>
    <w:rsid w:val="0000722A"/>
    <w:rsid w:val="00007479"/>
    <w:rsid w:val="00007500"/>
    <w:rsid w:val="00007CFB"/>
    <w:rsid w:val="00010A34"/>
    <w:rsid w:val="00010A6B"/>
    <w:rsid w:val="000113A2"/>
    <w:rsid w:val="000116C3"/>
    <w:rsid w:val="00011B4E"/>
    <w:rsid w:val="00011BCA"/>
    <w:rsid w:val="00011F56"/>
    <w:rsid w:val="0001204D"/>
    <w:rsid w:val="000125E2"/>
    <w:rsid w:val="00012B00"/>
    <w:rsid w:val="00012B3D"/>
    <w:rsid w:val="00012D60"/>
    <w:rsid w:val="0001330E"/>
    <w:rsid w:val="00013DD0"/>
    <w:rsid w:val="00013F31"/>
    <w:rsid w:val="000145C7"/>
    <w:rsid w:val="0001496C"/>
    <w:rsid w:val="0001500D"/>
    <w:rsid w:val="0001661D"/>
    <w:rsid w:val="00016968"/>
    <w:rsid w:val="00016DF0"/>
    <w:rsid w:val="00017380"/>
    <w:rsid w:val="00017576"/>
    <w:rsid w:val="0001770C"/>
    <w:rsid w:val="00017788"/>
    <w:rsid w:val="00020025"/>
    <w:rsid w:val="000201D5"/>
    <w:rsid w:val="000202E2"/>
    <w:rsid w:val="00020394"/>
    <w:rsid w:val="0002087F"/>
    <w:rsid w:val="00020CD9"/>
    <w:rsid w:val="000213DB"/>
    <w:rsid w:val="000214D2"/>
    <w:rsid w:val="00021662"/>
    <w:rsid w:val="0002195C"/>
    <w:rsid w:val="00021AF9"/>
    <w:rsid w:val="00021D9F"/>
    <w:rsid w:val="00021E17"/>
    <w:rsid w:val="00021EBC"/>
    <w:rsid w:val="0002251D"/>
    <w:rsid w:val="000227D5"/>
    <w:rsid w:val="00023A33"/>
    <w:rsid w:val="00023BA4"/>
    <w:rsid w:val="00023C7A"/>
    <w:rsid w:val="00023C9D"/>
    <w:rsid w:val="000241CE"/>
    <w:rsid w:val="000241EA"/>
    <w:rsid w:val="000245AA"/>
    <w:rsid w:val="000247CB"/>
    <w:rsid w:val="00024BAF"/>
    <w:rsid w:val="000251C2"/>
    <w:rsid w:val="0002541F"/>
    <w:rsid w:val="000257DC"/>
    <w:rsid w:val="000258C1"/>
    <w:rsid w:val="0002593B"/>
    <w:rsid w:val="00026927"/>
    <w:rsid w:val="000274CD"/>
    <w:rsid w:val="000277E7"/>
    <w:rsid w:val="00027D2A"/>
    <w:rsid w:val="00027F4E"/>
    <w:rsid w:val="0003079F"/>
    <w:rsid w:val="00030C3B"/>
    <w:rsid w:val="00030E8E"/>
    <w:rsid w:val="000311DF"/>
    <w:rsid w:val="00031636"/>
    <w:rsid w:val="00032116"/>
    <w:rsid w:val="0003217C"/>
    <w:rsid w:val="000325B6"/>
    <w:rsid w:val="00032777"/>
    <w:rsid w:val="000327FA"/>
    <w:rsid w:val="00032C96"/>
    <w:rsid w:val="00032D83"/>
    <w:rsid w:val="000337D0"/>
    <w:rsid w:val="000337E4"/>
    <w:rsid w:val="000338DF"/>
    <w:rsid w:val="00033963"/>
    <w:rsid w:val="00033EAF"/>
    <w:rsid w:val="00034397"/>
    <w:rsid w:val="0003459F"/>
    <w:rsid w:val="00034A17"/>
    <w:rsid w:val="00034AE9"/>
    <w:rsid w:val="00035551"/>
    <w:rsid w:val="000356B3"/>
    <w:rsid w:val="000356CF"/>
    <w:rsid w:val="00035FBE"/>
    <w:rsid w:val="00035FDB"/>
    <w:rsid w:val="0003609A"/>
    <w:rsid w:val="0003664B"/>
    <w:rsid w:val="00036FE2"/>
    <w:rsid w:val="00037393"/>
    <w:rsid w:val="0003780F"/>
    <w:rsid w:val="00037988"/>
    <w:rsid w:val="00037C7F"/>
    <w:rsid w:val="000400E7"/>
    <w:rsid w:val="00040878"/>
    <w:rsid w:val="00040A00"/>
    <w:rsid w:val="00040EC0"/>
    <w:rsid w:val="0004111F"/>
    <w:rsid w:val="000412C8"/>
    <w:rsid w:val="00041303"/>
    <w:rsid w:val="000413E8"/>
    <w:rsid w:val="000418AF"/>
    <w:rsid w:val="00041B98"/>
    <w:rsid w:val="00042329"/>
    <w:rsid w:val="00042343"/>
    <w:rsid w:val="000424CC"/>
    <w:rsid w:val="000426F1"/>
    <w:rsid w:val="000427EF"/>
    <w:rsid w:val="00042A47"/>
    <w:rsid w:val="00042D97"/>
    <w:rsid w:val="000431F6"/>
    <w:rsid w:val="0004361A"/>
    <w:rsid w:val="00043636"/>
    <w:rsid w:val="00043B84"/>
    <w:rsid w:val="00043BCB"/>
    <w:rsid w:val="00043ECC"/>
    <w:rsid w:val="000440F6"/>
    <w:rsid w:val="0004479A"/>
    <w:rsid w:val="0004486E"/>
    <w:rsid w:val="00044999"/>
    <w:rsid w:val="0004535A"/>
    <w:rsid w:val="000453E8"/>
    <w:rsid w:val="0004565B"/>
    <w:rsid w:val="000457E9"/>
    <w:rsid w:val="0004596F"/>
    <w:rsid w:val="00045A21"/>
    <w:rsid w:val="00045D13"/>
    <w:rsid w:val="00045DF0"/>
    <w:rsid w:val="00046036"/>
    <w:rsid w:val="000461E2"/>
    <w:rsid w:val="00046A91"/>
    <w:rsid w:val="00046C44"/>
    <w:rsid w:val="00046CB8"/>
    <w:rsid w:val="00047092"/>
    <w:rsid w:val="000470EC"/>
    <w:rsid w:val="00047875"/>
    <w:rsid w:val="0004788E"/>
    <w:rsid w:val="00047964"/>
    <w:rsid w:val="00047FD1"/>
    <w:rsid w:val="0005053E"/>
    <w:rsid w:val="00050F95"/>
    <w:rsid w:val="000512E5"/>
    <w:rsid w:val="0005182B"/>
    <w:rsid w:val="00051BDF"/>
    <w:rsid w:val="00051EF5"/>
    <w:rsid w:val="00051F18"/>
    <w:rsid w:val="00051F57"/>
    <w:rsid w:val="000523AB"/>
    <w:rsid w:val="000525AE"/>
    <w:rsid w:val="0005297B"/>
    <w:rsid w:val="000529F8"/>
    <w:rsid w:val="00052ADC"/>
    <w:rsid w:val="00052B85"/>
    <w:rsid w:val="0005318D"/>
    <w:rsid w:val="00053323"/>
    <w:rsid w:val="00053546"/>
    <w:rsid w:val="000539D3"/>
    <w:rsid w:val="00053DFA"/>
    <w:rsid w:val="00053FAB"/>
    <w:rsid w:val="0005432D"/>
    <w:rsid w:val="00054738"/>
    <w:rsid w:val="00054C49"/>
    <w:rsid w:val="00054D28"/>
    <w:rsid w:val="0005503A"/>
    <w:rsid w:val="00055077"/>
    <w:rsid w:val="0005510D"/>
    <w:rsid w:val="00055232"/>
    <w:rsid w:val="00055243"/>
    <w:rsid w:val="0005526E"/>
    <w:rsid w:val="00055330"/>
    <w:rsid w:val="000554E2"/>
    <w:rsid w:val="000556D9"/>
    <w:rsid w:val="0005594E"/>
    <w:rsid w:val="00056233"/>
    <w:rsid w:val="0005659D"/>
    <w:rsid w:val="000565B3"/>
    <w:rsid w:val="00056786"/>
    <w:rsid w:val="00056FEF"/>
    <w:rsid w:val="0005745A"/>
    <w:rsid w:val="0005745F"/>
    <w:rsid w:val="000575C7"/>
    <w:rsid w:val="000579CF"/>
    <w:rsid w:val="0006061A"/>
    <w:rsid w:val="000606CE"/>
    <w:rsid w:val="00060BD5"/>
    <w:rsid w:val="00060C05"/>
    <w:rsid w:val="000610AD"/>
    <w:rsid w:val="000613B3"/>
    <w:rsid w:val="0006161F"/>
    <w:rsid w:val="000619E4"/>
    <w:rsid w:val="0006221E"/>
    <w:rsid w:val="000623D9"/>
    <w:rsid w:val="000626B4"/>
    <w:rsid w:val="000626D9"/>
    <w:rsid w:val="00062ACB"/>
    <w:rsid w:val="00062ED5"/>
    <w:rsid w:val="00062FCD"/>
    <w:rsid w:val="00063475"/>
    <w:rsid w:val="000634FE"/>
    <w:rsid w:val="00063543"/>
    <w:rsid w:val="0006393F"/>
    <w:rsid w:val="00063F85"/>
    <w:rsid w:val="00065245"/>
    <w:rsid w:val="000652D1"/>
    <w:rsid w:val="0006584B"/>
    <w:rsid w:val="00065AA2"/>
    <w:rsid w:val="00065CCD"/>
    <w:rsid w:val="00065CFC"/>
    <w:rsid w:val="00065FB3"/>
    <w:rsid w:val="000660A7"/>
    <w:rsid w:val="000662F2"/>
    <w:rsid w:val="00066742"/>
    <w:rsid w:val="00066BC9"/>
    <w:rsid w:val="00067174"/>
    <w:rsid w:val="000676F1"/>
    <w:rsid w:val="00067980"/>
    <w:rsid w:val="00067CC8"/>
    <w:rsid w:val="00070345"/>
    <w:rsid w:val="0007042E"/>
    <w:rsid w:val="000705E9"/>
    <w:rsid w:val="00070A7D"/>
    <w:rsid w:val="0007150B"/>
    <w:rsid w:val="00071597"/>
    <w:rsid w:val="00071FB9"/>
    <w:rsid w:val="00072645"/>
    <w:rsid w:val="00072679"/>
    <w:rsid w:val="00072908"/>
    <w:rsid w:val="00072B60"/>
    <w:rsid w:val="00072C44"/>
    <w:rsid w:val="00072E79"/>
    <w:rsid w:val="00073169"/>
    <w:rsid w:val="000732CE"/>
    <w:rsid w:val="000737AE"/>
    <w:rsid w:val="000739CC"/>
    <w:rsid w:val="00073C69"/>
    <w:rsid w:val="00073E98"/>
    <w:rsid w:val="00073F04"/>
    <w:rsid w:val="0007423F"/>
    <w:rsid w:val="0007426E"/>
    <w:rsid w:val="000744A4"/>
    <w:rsid w:val="0007489B"/>
    <w:rsid w:val="00074AC0"/>
    <w:rsid w:val="00074DEE"/>
    <w:rsid w:val="0007569F"/>
    <w:rsid w:val="00076279"/>
    <w:rsid w:val="0007630C"/>
    <w:rsid w:val="00076B9D"/>
    <w:rsid w:val="00076EA5"/>
    <w:rsid w:val="00077761"/>
    <w:rsid w:val="00077D27"/>
    <w:rsid w:val="000802D1"/>
    <w:rsid w:val="000802F1"/>
    <w:rsid w:val="00080402"/>
    <w:rsid w:val="00080C3F"/>
    <w:rsid w:val="00080DF5"/>
    <w:rsid w:val="000817FA"/>
    <w:rsid w:val="00081BD6"/>
    <w:rsid w:val="00081BE4"/>
    <w:rsid w:val="00081C9D"/>
    <w:rsid w:val="00081F02"/>
    <w:rsid w:val="0008213B"/>
    <w:rsid w:val="00082BBB"/>
    <w:rsid w:val="00082D25"/>
    <w:rsid w:val="00082E63"/>
    <w:rsid w:val="000831CE"/>
    <w:rsid w:val="000831F4"/>
    <w:rsid w:val="0008323B"/>
    <w:rsid w:val="00083504"/>
    <w:rsid w:val="0008377B"/>
    <w:rsid w:val="000837A5"/>
    <w:rsid w:val="000839B4"/>
    <w:rsid w:val="00083B98"/>
    <w:rsid w:val="0008410E"/>
    <w:rsid w:val="0008422E"/>
    <w:rsid w:val="00084275"/>
    <w:rsid w:val="00084280"/>
    <w:rsid w:val="000848FA"/>
    <w:rsid w:val="00084981"/>
    <w:rsid w:val="00084ABC"/>
    <w:rsid w:val="00084C62"/>
    <w:rsid w:val="00084F78"/>
    <w:rsid w:val="00084FE2"/>
    <w:rsid w:val="000856C5"/>
    <w:rsid w:val="00085ABA"/>
    <w:rsid w:val="00085BE2"/>
    <w:rsid w:val="000862F9"/>
    <w:rsid w:val="000866D5"/>
    <w:rsid w:val="0008750E"/>
    <w:rsid w:val="00087B9B"/>
    <w:rsid w:val="00087CBC"/>
    <w:rsid w:val="00090669"/>
    <w:rsid w:val="000907B5"/>
    <w:rsid w:val="000907C6"/>
    <w:rsid w:val="00090A47"/>
    <w:rsid w:val="00090D7E"/>
    <w:rsid w:val="00090F9B"/>
    <w:rsid w:val="0009101B"/>
    <w:rsid w:val="00091895"/>
    <w:rsid w:val="00091963"/>
    <w:rsid w:val="00091DC3"/>
    <w:rsid w:val="00092015"/>
    <w:rsid w:val="00092449"/>
    <w:rsid w:val="000926AF"/>
    <w:rsid w:val="00092DF7"/>
    <w:rsid w:val="00092FEF"/>
    <w:rsid w:val="0009321C"/>
    <w:rsid w:val="00093481"/>
    <w:rsid w:val="000938F5"/>
    <w:rsid w:val="00093911"/>
    <w:rsid w:val="00093958"/>
    <w:rsid w:val="00093E6E"/>
    <w:rsid w:val="0009413B"/>
    <w:rsid w:val="00094217"/>
    <w:rsid w:val="00094304"/>
    <w:rsid w:val="000945F7"/>
    <w:rsid w:val="00094913"/>
    <w:rsid w:val="00095299"/>
    <w:rsid w:val="00095663"/>
    <w:rsid w:val="00095C99"/>
    <w:rsid w:val="00095F82"/>
    <w:rsid w:val="00096040"/>
    <w:rsid w:val="00096437"/>
    <w:rsid w:val="00096B64"/>
    <w:rsid w:val="00096E55"/>
    <w:rsid w:val="0009762A"/>
    <w:rsid w:val="0009783E"/>
    <w:rsid w:val="00097A71"/>
    <w:rsid w:val="00097B61"/>
    <w:rsid w:val="00097CCE"/>
    <w:rsid w:val="00097D3D"/>
    <w:rsid w:val="00097EE2"/>
    <w:rsid w:val="000A03E2"/>
    <w:rsid w:val="000A0599"/>
    <w:rsid w:val="000A0AC2"/>
    <w:rsid w:val="000A0B9E"/>
    <w:rsid w:val="000A0BF0"/>
    <w:rsid w:val="000A1A7F"/>
    <w:rsid w:val="000A1E3C"/>
    <w:rsid w:val="000A22E5"/>
    <w:rsid w:val="000A2591"/>
    <w:rsid w:val="000A2692"/>
    <w:rsid w:val="000A27EF"/>
    <w:rsid w:val="000A2955"/>
    <w:rsid w:val="000A2CE7"/>
    <w:rsid w:val="000A3049"/>
    <w:rsid w:val="000A3272"/>
    <w:rsid w:val="000A35E0"/>
    <w:rsid w:val="000A40D9"/>
    <w:rsid w:val="000A418A"/>
    <w:rsid w:val="000A45FC"/>
    <w:rsid w:val="000A4832"/>
    <w:rsid w:val="000A4992"/>
    <w:rsid w:val="000A4998"/>
    <w:rsid w:val="000A4F20"/>
    <w:rsid w:val="000A5A34"/>
    <w:rsid w:val="000A5B1F"/>
    <w:rsid w:val="000A5DA7"/>
    <w:rsid w:val="000A6399"/>
    <w:rsid w:val="000A65A3"/>
    <w:rsid w:val="000A7310"/>
    <w:rsid w:val="000A7364"/>
    <w:rsid w:val="000A744B"/>
    <w:rsid w:val="000A78D7"/>
    <w:rsid w:val="000A7A06"/>
    <w:rsid w:val="000A7DD5"/>
    <w:rsid w:val="000B0050"/>
    <w:rsid w:val="000B05CC"/>
    <w:rsid w:val="000B0A49"/>
    <w:rsid w:val="000B0B20"/>
    <w:rsid w:val="000B0CE3"/>
    <w:rsid w:val="000B0DE3"/>
    <w:rsid w:val="000B1022"/>
    <w:rsid w:val="000B1375"/>
    <w:rsid w:val="000B1873"/>
    <w:rsid w:val="000B187D"/>
    <w:rsid w:val="000B2777"/>
    <w:rsid w:val="000B28E3"/>
    <w:rsid w:val="000B2E1E"/>
    <w:rsid w:val="000B3318"/>
    <w:rsid w:val="000B451D"/>
    <w:rsid w:val="000B4593"/>
    <w:rsid w:val="000B474B"/>
    <w:rsid w:val="000B47FB"/>
    <w:rsid w:val="000B48EF"/>
    <w:rsid w:val="000B4B78"/>
    <w:rsid w:val="000B5491"/>
    <w:rsid w:val="000B5520"/>
    <w:rsid w:val="000B56F2"/>
    <w:rsid w:val="000B5777"/>
    <w:rsid w:val="000B580C"/>
    <w:rsid w:val="000B5B66"/>
    <w:rsid w:val="000B5E3D"/>
    <w:rsid w:val="000B5EE2"/>
    <w:rsid w:val="000B5EEC"/>
    <w:rsid w:val="000B601B"/>
    <w:rsid w:val="000B6212"/>
    <w:rsid w:val="000B6788"/>
    <w:rsid w:val="000B7C3D"/>
    <w:rsid w:val="000C003A"/>
    <w:rsid w:val="000C0B91"/>
    <w:rsid w:val="000C1BCA"/>
    <w:rsid w:val="000C1C3D"/>
    <w:rsid w:val="000C207E"/>
    <w:rsid w:val="000C2784"/>
    <w:rsid w:val="000C2BE4"/>
    <w:rsid w:val="000C3267"/>
    <w:rsid w:val="000C33B1"/>
    <w:rsid w:val="000C3842"/>
    <w:rsid w:val="000C3AA7"/>
    <w:rsid w:val="000C3AC4"/>
    <w:rsid w:val="000C3BC7"/>
    <w:rsid w:val="000C4089"/>
    <w:rsid w:val="000C40F8"/>
    <w:rsid w:val="000C42A3"/>
    <w:rsid w:val="000C498C"/>
    <w:rsid w:val="000C49DB"/>
    <w:rsid w:val="000C52C1"/>
    <w:rsid w:val="000C559C"/>
    <w:rsid w:val="000C579C"/>
    <w:rsid w:val="000C5ECE"/>
    <w:rsid w:val="000C5F42"/>
    <w:rsid w:val="000C60C1"/>
    <w:rsid w:val="000C655E"/>
    <w:rsid w:val="000C6C2C"/>
    <w:rsid w:val="000C705E"/>
    <w:rsid w:val="000C728F"/>
    <w:rsid w:val="000C744F"/>
    <w:rsid w:val="000C74E6"/>
    <w:rsid w:val="000C771B"/>
    <w:rsid w:val="000C7C42"/>
    <w:rsid w:val="000D08EE"/>
    <w:rsid w:val="000D0C31"/>
    <w:rsid w:val="000D138B"/>
    <w:rsid w:val="000D1495"/>
    <w:rsid w:val="000D17B8"/>
    <w:rsid w:val="000D17F1"/>
    <w:rsid w:val="000D1A67"/>
    <w:rsid w:val="000D279B"/>
    <w:rsid w:val="000D2B3F"/>
    <w:rsid w:val="000D2B80"/>
    <w:rsid w:val="000D2FD4"/>
    <w:rsid w:val="000D319B"/>
    <w:rsid w:val="000D3CB6"/>
    <w:rsid w:val="000D4173"/>
    <w:rsid w:val="000D41E9"/>
    <w:rsid w:val="000D45FA"/>
    <w:rsid w:val="000D47C3"/>
    <w:rsid w:val="000D49B2"/>
    <w:rsid w:val="000D4AA2"/>
    <w:rsid w:val="000D4F64"/>
    <w:rsid w:val="000D5336"/>
    <w:rsid w:val="000D55DF"/>
    <w:rsid w:val="000D5CD9"/>
    <w:rsid w:val="000D627B"/>
    <w:rsid w:val="000D65D5"/>
    <w:rsid w:val="000D675D"/>
    <w:rsid w:val="000D68C4"/>
    <w:rsid w:val="000D704E"/>
    <w:rsid w:val="000D7468"/>
    <w:rsid w:val="000D78FA"/>
    <w:rsid w:val="000D7B67"/>
    <w:rsid w:val="000D7D0A"/>
    <w:rsid w:val="000D7D27"/>
    <w:rsid w:val="000E01EB"/>
    <w:rsid w:val="000E06A8"/>
    <w:rsid w:val="000E07AF"/>
    <w:rsid w:val="000E08C2"/>
    <w:rsid w:val="000E0D22"/>
    <w:rsid w:val="000E0E69"/>
    <w:rsid w:val="000E1113"/>
    <w:rsid w:val="000E1296"/>
    <w:rsid w:val="000E1309"/>
    <w:rsid w:val="000E2444"/>
    <w:rsid w:val="000E2786"/>
    <w:rsid w:val="000E27B1"/>
    <w:rsid w:val="000E29A9"/>
    <w:rsid w:val="000E29C4"/>
    <w:rsid w:val="000E2AA5"/>
    <w:rsid w:val="000E31E9"/>
    <w:rsid w:val="000E3CC8"/>
    <w:rsid w:val="000E4538"/>
    <w:rsid w:val="000E45E7"/>
    <w:rsid w:val="000E4776"/>
    <w:rsid w:val="000E4B74"/>
    <w:rsid w:val="000E4E73"/>
    <w:rsid w:val="000E55D6"/>
    <w:rsid w:val="000E5696"/>
    <w:rsid w:val="000E5A59"/>
    <w:rsid w:val="000E6158"/>
    <w:rsid w:val="000E61F1"/>
    <w:rsid w:val="000E6218"/>
    <w:rsid w:val="000E64BA"/>
    <w:rsid w:val="000E67A2"/>
    <w:rsid w:val="000E6B20"/>
    <w:rsid w:val="000E6F84"/>
    <w:rsid w:val="000E710B"/>
    <w:rsid w:val="000E7800"/>
    <w:rsid w:val="000F0035"/>
    <w:rsid w:val="000F0442"/>
    <w:rsid w:val="000F04E7"/>
    <w:rsid w:val="000F060A"/>
    <w:rsid w:val="000F0764"/>
    <w:rsid w:val="000F0E8E"/>
    <w:rsid w:val="000F1822"/>
    <w:rsid w:val="000F2151"/>
    <w:rsid w:val="000F2618"/>
    <w:rsid w:val="000F26CE"/>
    <w:rsid w:val="000F28D4"/>
    <w:rsid w:val="000F2920"/>
    <w:rsid w:val="000F2FB9"/>
    <w:rsid w:val="000F339F"/>
    <w:rsid w:val="000F387B"/>
    <w:rsid w:val="000F420B"/>
    <w:rsid w:val="000F5007"/>
    <w:rsid w:val="000F50D7"/>
    <w:rsid w:val="000F51C3"/>
    <w:rsid w:val="000F539C"/>
    <w:rsid w:val="000F540D"/>
    <w:rsid w:val="000F54C7"/>
    <w:rsid w:val="000F56A3"/>
    <w:rsid w:val="000F5DC5"/>
    <w:rsid w:val="000F601F"/>
    <w:rsid w:val="000F6092"/>
    <w:rsid w:val="000F6174"/>
    <w:rsid w:val="000F63E0"/>
    <w:rsid w:val="000F6BE9"/>
    <w:rsid w:val="000F6EF3"/>
    <w:rsid w:val="000F721D"/>
    <w:rsid w:val="000F7222"/>
    <w:rsid w:val="000F7343"/>
    <w:rsid w:val="000F7D6B"/>
    <w:rsid w:val="00100369"/>
    <w:rsid w:val="001004DD"/>
    <w:rsid w:val="001006C1"/>
    <w:rsid w:val="001008D2"/>
    <w:rsid w:val="00100A47"/>
    <w:rsid w:val="00100D0F"/>
    <w:rsid w:val="0010157D"/>
    <w:rsid w:val="00101787"/>
    <w:rsid w:val="0010192B"/>
    <w:rsid w:val="00101A9C"/>
    <w:rsid w:val="00101C64"/>
    <w:rsid w:val="00101D4C"/>
    <w:rsid w:val="00101FFE"/>
    <w:rsid w:val="00102622"/>
    <w:rsid w:val="001029F1"/>
    <w:rsid w:val="001031AC"/>
    <w:rsid w:val="00103509"/>
    <w:rsid w:val="001035E9"/>
    <w:rsid w:val="00103C72"/>
    <w:rsid w:val="00103D95"/>
    <w:rsid w:val="00104123"/>
    <w:rsid w:val="00104211"/>
    <w:rsid w:val="00104303"/>
    <w:rsid w:val="001050E3"/>
    <w:rsid w:val="00105400"/>
    <w:rsid w:val="00105B36"/>
    <w:rsid w:val="00105D74"/>
    <w:rsid w:val="001062B9"/>
    <w:rsid w:val="00106669"/>
    <w:rsid w:val="00106AE8"/>
    <w:rsid w:val="00106BCF"/>
    <w:rsid w:val="00106C10"/>
    <w:rsid w:val="001071F5"/>
    <w:rsid w:val="00107557"/>
    <w:rsid w:val="00107891"/>
    <w:rsid w:val="00107F3A"/>
    <w:rsid w:val="00110112"/>
    <w:rsid w:val="00110116"/>
    <w:rsid w:val="0011106E"/>
    <w:rsid w:val="0011118E"/>
    <w:rsid w:val="0011126C"/>
    <w:rsid w:val="00111348"/>
    <w:rsid w:val="00111865"/>
    <w:rsid w:val="00111C11"/>
    <w:rsid w:val="00111D43"/>
    <w:rsid w:val="00112136"/>
    <w:rsid w:val="00112658"/>
    <w:rsid w:val="0011276B"/>
    <w:rsid w:val="00112D77"/>
    <w:rsid w:val="00112F0A"/>
    <w:rsid w:val="001130FB"/>
    <w:rsid w:val="001138A1"/>
    <w:rsid w:val="001139D0"/>
    <w:rsid w:val="00113B52"/>
    <w:rsid w:val="00113E36"/>
    <w:rsid w:val="0011400A"/>
    <w:rsid w:val="0011403A"/>
    <w:rsid w:val="00114079"/>
    <w:rsid w:val="00114321"/>
    <w:rsid w:val="001146B8"/>
    <w:rsid w:val="00114A57"/>
    <w:rsid w:val="00114AA2"/>
    <w:rsid w:val="00114D34"/>
    <w:rsid w:val="00114E2C"/>
    <w:rsid w:val="00115106"/>
    <w:rsid w:val="001156D6"/>
    <w:rsid w:val="001158C1"/>
    <w:rsid w:val="00116682"/>
    <w:rsid w:val="001168AB"/>
    <w:rsid w:val="00116A9D"/>
    <w:rsid w:val="00116CA3"/>
    <w:rsid w:val="001173A0"/>
    <w:rsid w:val="00117692"/>
    <w:rsid w:val="0011770E"/>
    <w:rsid w:val="0011773E"/>
    <w:rsid w:val="001179A2"/>
    <w:rsid w:val="00117A2C"/>
    <w:rsid w:val="00117CF4"/>
    <w:rsid w:val="00120072"/>
    <w:rsid w:val="00120269"/>
    <w:rsid w:val="001205BD"/>
    <w:rsid w:val="00120DAD"/>
    <w:rsid w:val="00120DFB"/>
    <w:rsid w:val="00121130"/>
    <w:rsid w:val="001212F8"/>
    <w:rsid w:val="001213DC"/>
    <w:rsid w:val="001214A7"/>
    <w:rsid w:val="001215BE"/>
    <w:rsid w:val="001215E9"/>
    <w:rsid w:val="00121618"/>
    <w:rsid w:val="0012179D"/>
    <w:rsid w:val="001217D4"/>
    <w:rsid w:val="00121A09"/>
    <w:rsid w:val="00121E7A"/>
    <w:rsid w:val="00122112"/>
    <w:rsid w:val="001222AB"/>
    <w:rsid w:val="001223BC"/>
    <w:rsid w:val="001225C6"/>
    <w:rsid w:val="00122807"/>
    <w:rsid w:val="00122C08"/>
    <w:rsid w:val="00122E29"/>
    <w:rsid w:val="00122EDC"/>
    <w:rsid w:val="0012324E"/>
    <w:rsid w:val="00123611"/>
    <w:rsid w:val="00123738"/>
    <w:rsid w:val="001239DF"/>
    <w:rsid w:val="00123BDB"/>
    <w:rsid w:val="001240E4"/>
    <w:rsid w:val="0012492A"/>
    <w:rsid w:val="001249E8"/>
    <w:rsid w:val="00125148"/>
    <w:rsid w:val="00125B80"/>
    <w:rsid w:val="00125ED0"/>
    <w:rsid w:val="0012639A"/>
    <w:rsid w:val="0012690F"/>
    <w:rsid w:val="00126A50"/>
    <w:rsid w:val="00126D51"/>
    <w:rsid w:val="00126EB8"/>
    <w:rsid w:val="0012719D"/>
    <w:rsid w:val="001271A7"/>
    <w:rsid w:val="001271A8"/>
    <w:rsid w:val="0012726D"/>
    <w:rsid w:val="001274D4"/>
    <w:rsid w:val="001274E2"/>
    <w:rsid w:val="00127B7A"/>
    <w:rsid w:val="00127EA1"/>
    <w:rsid w:val="00127F46"/>
    <w:rsid w:val="0013080E"/>
    <w:rsid w:val="001308EB"/>
    <w:rsid w:val="001310DC"/>
    <w:rsid w:val="00131567"/>
    <w:rsid w:val="00131833"/>
    <w:rsid w:val="00132742"/>
    <w:rsid w:val="001328F5"/>
    <w:rsid w:val="00133876"/>
    <w:rsid w:val="00133D95"/>
    <w:rsid w:val="00133E05"/>
    <w:rsid w:val="001341E2"/>
    <w:rsid w:val="00134724"/>
    <w:rsid w:val="00134891"/>
    <w:rsid w:val="001348C8"/>
    <w:rsid w:val="001349ED"/>
    <w:rsid w:val="00135969"/>
    <w:rsid w:val="00135C06"/>
    <w:rsid w:val="00135D03"/>
    <w:rsid w:val="00135ED4"/>
    <w:rsid w:val="00136104"/>
    <w:rsid w:val="001363AA"/>
    <w:rsid w:val="00136577"/>
    <w:rsid w:val="00136720"/>
    <w:rsid w:val="00136BC1"/>
    <w:rsid w:val="00136C39"/>
    <w:rsid w:val="0013739A"/>
    <w:rsid w:val="001374EE"/>
    <w:rsid w:val="001378DC"/>
    <w:rsid w:val="00137B7E"/>
    <w:rsid w:val="00137FCE"/>
    <w:rsid w:val="001401F2"/>
    <w:rsid w:val="001405A3"/>
    <w:rsid w:val="00140B99"/>
    <w:rsid w:val="00140C88"/>
    <w:rsid w:val="001410E4"/>
    <w:rsid w:val="00141687"/>
    <w:rsid w:val="001417F6"/>
    <w:rsid w:val="00141ED2"/>
    <w:rsid w:val="00141FDE"/>
    <w:rsid w:val="00142165"/>
    <w:rsid w:val="0014248C"/>
    <w:rsid w:val="001426EB"/>
    <w:rsid w:val="001428BF"/>
    <w:rsid w:val="00142D6F"/>
    <w:rsid w:val="0014303B"/>
    <w:rsid w:val="0014344B"/>
    <w:rsid w:val="0014454C"/>
    <w:rsid w:val="00144DF7"/>
    <w:rsid w:val="00144E4F"/>
    <w:rsid w:val="00145228"/>
    <w:rsid w:val="00145356"/>
    <w:rsid w:val="00145530"/>
    <w:rsid w:val="0014564C"/>
    <w:rsid w:val="00145693"/>
    <w:rsid w:val="0014589A"/>
    <w:rsid w:val="00145C2E"/>
    <w:rsid w:val="00145EDC"/>
    <w:rsid w:val="001460CF"/>
    <w:rsid w:val="0014611C"/>
    <w:rsid w:val="001463D3"/>
    <w:rsid w:val="0014662D"/>
    <w:rsid w:val="00146708"/>
    <w:rsid w:val="00146BBE"/>
    <w:rsid w:val="00146C0E"/>
    <w:rsid w:val="0014785C"/>
    <w:rsid w:val="00147917"/>
    <w:rsid w:val="0015041D"/>
    <w:rsid w:val="001504C5"/>
    <w:rsid w:val="00150DD5"/>
    <w:rsid w:val="00150E52"/>
    <w:rsid w:val="00151550"/>
    <w:rsid w:val="0015161B"/>
    <w:rsid w:val="0015183B"/>
    <w:rsid w:val="00151CA6"/>
    <w:rsid w:val="0015277A"/>
    <w:rsid w:val="00152863"/>
    <w:rsid w:val="001528CC"/>
    <w:rsid w:val="00152ABE"/>
    <w:rsid w:val="001530B9"/>
    <w:rsid w:val="0015310F"/>
    <w:rsid w:val="00153500"/>
    <w:rsid w:val="001536A6"/>
    <w:rsid w:val="00153E3D"/>
    <w:rsid w:val="00153E67"/>
    <w:rsid w:val="00154648"/>
    <w:rsid w:val="00154816"/>
    <w:rsid w:val="00154917"/>
    <w:rsid w:val="0015497E"/>
    <w:rsid w:val="00154A6C"/>
    <w:rsid w:val="00154B41"/>
    <w:rsid w:val="00155314"/>
    <w:rsid w:val="001553BE"/>
    <w:rsid w:val="00155521"/>
    <w:rsid w:val="00155556"/>
    <w:rsid w:val="00155A49"/>
    <w:rsid w:val="0015622E"/>
    <w:rsid w:val="00156352"/>
    <w:rsid w:val="00156795"/>
    <w:rsid w:val="00156AFD"/>
    <w:rsid w:val="00156BAD"/>
    <w:rsid w:val="00156EE7"/>
    <w:rsid w:val="0015720F"/>
    <w:rsid w:val="00157A32"/>
    <w:rsid w:val="00157B37"/>
    <w:rsid w:val="00157DC0"/>
    <w:rsid w:val="0016004C"/>
    <w:rsid w:val="00160693"/>
    <w:rsid w:val="001607FA"/>
    <w:rsid w:val="0016118A"/>
    <w:rsid w:val="001612F4"/>
    <w:rsid w:val="0016136A"/>
    <w:rsid w:val="001615B5"/>
    <w:rsid w:val="00161971"/>
    <w:rsid w:val="00161B4F"/>
    <w:rsid w:val="00162434"/>
    <w:rsid w:val="001628E4"/>
    <w:rsid w:val="00162E3E"/>
    <w:rsid w:val="00162EE2"/>
    <w:rsid w:val="0016364C"/>
    <w:rsid w:val="00163B85"/>
    <w:rsid w:val="001647D9"/>
    <w:rsid w:val="001649CE"/>
    <w:rsid w:val="00164A23"/>
    <w:rsid w:val="00164A63"/>
    <w:rsid w:val="00164B41"/>
    <w:rsid w:val="00164EBE"/>
    <w:rsid w:val="0016502F"/>
    <w:rsid w:val="00165F52"/>
    <w:rsid w:val="0016682A"/>
    <w:rsid w:val="00166C90"/>
    <w:rsid w:val="001673EF"/>
    <w:rsid w:val="00167EC1"/>
    <w:rsid w:val="001701F2"/>
    <w:rsid w:val="00170216"/>
    <w:rsid w:val="00170918"/>
    <w:rsid w:val="00170A74"/>
    <w:rsid w:val="00170C47"/>
    <w:rsid w:val="0017107B"/>
    <w:rsid w:val="001710C4"/>
    <w:rsid w:val="0017202A"/>
    <w:rsid w:val="0017271B"/>
    <w:rsid w:val="0017290D"/>
    <w:rsid w:val="001732B7"/>
    <w:rsid w:val="0017344A"/>
    <w:rsid w:val="001734FE"/>
    <w:rsid w:val="00173DC1"/>
    <w:rsid w:val="001740B6"/>
    <w:rsid w:val="0017454A"/>
    <w:rsid w:val="001745E1"/>
    <w:rsid w:val="0017478A"/>
    <w:rsid w:val="00174A81"/>
    <w:rsid w:val="001752BC"/>
    <w:rsid w:val="00175A81"/>
    <w:rsid w:val="00176028"/>
    <w:rsid w:val="00176423"/>
    <w:rsid w:val="00176A0C"/>
    <w:rsid w:val="00176B20"/>
    <w:rsid w:val="00176FAC"/>
    <w:rsid w:val="00177208"/>
    <w:rsid w:val="0017750E"/>
    <w:rsid w:val="001776B1"/>
    <w:rsid w:val="00177B3B"/>
    <w:rsid w:val="0018000B"/>
    <w:rsid w:val="0018050A"/>
    <w:rsid w:val="00180742"/>
    <w:rsid w:val="00180A03"/>
    <w:rsid w:val="00180AE7"/>
    <w:rsid w:val="00180EA6"/>
    <w:rsid w:val="00180EBB"/>
    <w:rsid w:val="0018104E"/>
    <w:rsid w:val="00181172"/>
    <w:rsid w:val="00181679"/>
    <w:rsid w:val="0018196A"/>
    <w:rsid w:val="001819AC"/>
    <w:rsid w:val="00181C9F"/>
    <w:rsid w:val="00181DCA"/>
    <w:rsid w:val="00181E7D"/>
    <w:rsid w:val="00181FEF"/>
    <w:rsid w:val="00182011"/>
    <w:rsid w:val="001820C4"/>
    <w:rsid w:val="00182293"/>
    <w:rsid w:val="0018234F"/>
    <w:rsid w:val="0018240E"/>
    <w:rsid w:val="00182496"/>
    <w:rsid w:val="00182726"/>
    <w:rsid w:val="001827E0"/>
    <w:rsid w:val="001828DB"/>
    <w:rsid w:val="00182B8B"/>
    <w:rsid w:val="00182C95"/>
    <w:rsid w:val="00182CBC"/>
    <w:rsid w:val="00182D87"/>
    <w:rsid w:val="00182DB3"/>
    <w:rsid w:val="00183AC8"/>
    <w:rsid w:val="00183E82"/>
    <w:rsid w:val="0018441D"/>
    <w:rsid w:val="00184DDB"/>
    <w:rsid w:val="00185137"/>
    <w:rsid w:val="00185225"/>
    <w:rsid w:val="00185305"/>
    <w:rsid w:val="0018535E"/>
    <w:rsid w:val="00185D2E"/>
    <w:rsid w:val="00186813"/>
    <w:rsid w:val="00186978"/>
    <w:rsid w:val="00186B02"/>
    <w:rsid w:val="00186B90"/>
    <w:rsid w:val="00186BBB"/>
    <w:rsid w:val="00186C49"/>
    <w:rsid w:val="00186DFD"/>
    <w:rsid w:val="001878BB"/>
    <w:rsid w:val="00187978"/>
    <w:rsid w:val="00187C54"/>
    <w:rsid w:val="00187D44"/>
    <w:rsid w:val="00187DBA"/>
    <w:rsid w:val="00190085"/>
    <w:rsid w:val="00190615"/>
    <w:rsid w:val="00190798"/>
    <w:rsid w:val="00190837"/>
    <w:rsid w:val="00190AC6"/>
    <w:rsid w:val="00190CB7"/>
    <w:rsid w:val="00190FD1"/>
    <w:rsid w:val="001913F6"/>
    <w:rsid w:val="00191828"/>
    <w:rsid w:val="00191945"/>
    <w:rsid w:val="00191AE0"/>
    <w:rsid w:val="001921CA"/>
    <w:rsid w:val="00192315"/>
    <w:rsid w:val="00192596"/>
    <w:rsid w:val="00192603"/>
    <w:rsid w:val="0019285E"/>
    <w:rsid w:val="001928F1"/>
    <w:rsid w:val="0019293B"/>
    <w:rsid w:val="00192A07"/>
    <w:rsid w:val="001930BF"/>
    <w:rsid w:val="001934C1"/>
    <w:rsid w:val="00193546"/>
    <w:rsid w:val="00193583"/>
    <w:rsid w:val="00193844"/>
    <w:rsid w:val="00193DEB"/>
    <w:rsid w:val="0019426B"/>
    <w:rsid w:val="00194529"/>
    <w:rsid w:val="0019469A"/>
    <w:rsid w:val="0019471E"/>
    <w:rsid w:val="0019473B"/>
    <w:rsid w:val="00194D36"/>
    <w:rsid w:val="001954F7"/>
    <w:rsid w:val="00196320"/>
    <w:rsid w:val="0019641B"/>
    <w:rsid w:val="00196EFA"/>
    <w:rsid w:val="00197338"/>
    <w:rsid w:val="0019742A"/>
    <w:rsid w:val="001974DA"/>
    <w:rsid w:val="0019762B"/>
    <w:rsid w:val="00197C27"/>
    <w:rsid w:val="00197C3B"/>
    <w:rsid w:val="001A066E"/>
    <w:rsid w:val="001A083A"/>
    <w:rsid w:val="001A0C1C"/>
    <w:rsid w:val="001A1071"/>
    <w:rsid w:val="001A14FE"/>
    <w:rsid w:val="001A15E3"/>
    <w:rsid w:val="001A1988"/>
    <w:rsid w:val="001A19E4"/>
    <w:rsid w:val="001A1DCD"/>
    <w:rsid w:val="001A29F2"/>
    <w:rsid w:val="001A3090"/>
    <w:rsid w:val="001A3499"/>
    <w:rsid w:val="001A34C3"/>
    <w:rsid w:val="001A358F"/>
    <w:rsid w:val="001A3679"/>
    <w:rsid w:val="001A3D5B"/>
    <w:rsid w:val="001A3E51"/>
    <w:rsid w:val="001A40AE"/>
    <w:rsid w:val="001A466F"/>
    <w:rsid w:val="001A50E8"/>
    <w:rsid w:val="001A518A"/>
    <w:rsid w:val="001A550B"/>
    <w:rsid w:val="001A5B04"/>
    <w:rsid w:val="001A5B17"/>
    <w:rsid w:val="001A6859"/>
    <w:rsid w:val="001A6A4B"/>
    <w:rsid w:val="001A6ACA"/>
    <w:rsid w:val="001A6D3A"/>
    <w:rsid w:val="001A6D85"/>
    <w:rsid w:val="001A71D7"/>
    <w:rsid w:val="001A78EB"/>
    <w:rsid w:val="001A7BE2"/>
    <w:rsid w:val="001A7DC6"/>
    <w:rsid w:val="001B0171"/>
    <w:rsid w:val="001B0592"/>
    <w:rsid w:val="001B059B"/>
    <w:rsid w:val="001B075E"/>
    <w:rsid w:val="001B0992"/>
    <w:rsid w:val="001B0B14"/>
    <w:rsid w:val="001B0FE1"/>
    <w:rsid w:val="001B1C03"/>
    <w:rsid w:val="001B2516"/>
    <w:rsid w:val="001B28D1"/>
    <w:rsid w:val="001B2B90"/>
    <w:rsid w:val="001B2CD8"/>
    <w:rsid w:val="001B31C2"/>
    <w:rsid w:val="001B34FF"/>
    <w:rsid w:val="001B4179"/>
    <w:rsid w:val="001B42B7"/>
    <w:rsid w:val="001B42D3"/>
    <w:rsid w:val="001B4A53"/>
    <w:rsid w:val="001B50C2"/>
    <w:rsid w:val="001B53D7"/>
    <w:rsid w:val="001B5404"/>
    <w:rsid w:val="001B56EF"/>
    <w:rsid w:val="001B5D61"/>
    <w:rsid w:val="001B600A"/>
    <w:rsid w:val="001B6470"/>
    <w:rsid w:val="001B6778"/>
    <w:rsid w:val="001B6814"/>
    <w:rsid w:val="001B6844"/>
    <w:rsid w:val="001B6A1A"/>
    <w:rsid w:val="001B7016"/>
    <w:rsid w:val="001B7376"/>
    <w:rsid w:val="001B7839"/>
    <w:rsid w:val="001B79C8"/>
    <w:rsid w:val="001B7BD9"/>
    <w:rsid w:val="001B7DE8"/>
    <w:rsid w:val="001C0865"/>
    <w:rsid w:val="001C0AED"/>
    <w:rsid w:val="001C0E3F"/>
    <w:rsid w:val="001C0EAE"/>
    <w:rsid w:val="001C0EF9"/>
    <w:rsid w:val="001C1567"/>
    <w:rsid w:val="001C1973"/>
    <w:rsid w:val="001C2255"/>
    <w:rsid w:val="001C2634"/>
    <w:rsid w:val="001C289D"/>
    <w:rsid w:val="001C296F"/>
    <w:rsid w:val="001C2A18"/>
    <w:rsid w:val="001C309F"/>
    <w:rsid w:val="001C36DA"/>
    <w:rsid w:val="001C370A"/>
    <w:rsid w:val="001C3ABA"/>
    <w:rsid w:val="001C4C6D"/>
    <w:rsid w:val="001C508B"/>
    <w:rsid w:val="001C5111"/>
    <w:rsid w:val="001C55E3"/>
    <w:rsid w:val="001C5817"/>
    <w:rsid w:val="001C59B5"/>
    <w:rsid w:val="001C5B05"/>
    <w:rsid w:val="001C5E53"/>
    <w:rsid w:val="001C64C6"/>
    <w:rsid w:val="001C6CCC"/>
    <w:rsid w:val="001C6F1D"/>
    <w:rsid w:val="001C706B"/>
    <w:rsid w:val="001C7143"/>
    <w:rsid w:val="001C718C"/>
    <w:rsid w:val="001D04A4"/>
    <w:rsid w:val="001D07D0"/>
    <w:rsid w:val="001D0880"/>
    <w:rsid w:val="001D0BEB"/>
    <w:rsid w:val="001D1079"/>
    <w:rsid w:val="001D19D9"/>
    <w:rsid w:val="001D1C18"/>
    <w:rsid w:val="001D1EE3"/>
    <w:rsid w:val="001D2D01"/>
    <w:rsid w:val="001D2F58"/>
    <w:rsid w:val="001D32F3"/>
    <w:rsid w:val="001D39D8"/>
    <w:rsid w:val="001D4571"/>
    <w:rsid w:val="001D462F"/>
    <w:rsid w:val="001D46F1"/>
    <w:rsid w:val="001D46FC"/>
    <w:rsid w:val="001D4BAF"/>
    <w:rsid w:val="001D4D54"/>
    <w:rsid w:val="001D552A"/>
    <w:rsid w:val="001D5C01"/>
    <w:rsid w:val="001D6030"/>
    <w:rsid w:val="001D622D"/>
    <w:rsid w:val="001D6CAB"/>
    <w:rsid w:val="001D7303"/>
    <w:rsid w:val="001D7FAE"/>
    <w:rsid w:val="001E016F"/>
    <w:rsid w:val="001E02EE"/>
    <w:rsid w:val="001E04D6"/>
    <w:rsid w:val="001E0893"/>
    <w:rsid w:val="001E0C22"/>
    <w:rsid w:val="001E0DF1"/>
    <w:rsid w:val="001E0EF7"/>
    <w:rsid w:val="001E0F1C"/>
    <w:rsid w:val="001E1627"/>
    <w:rsid w:val="001E1BDA"/>
    <w:rsid w:val="001E1D14"/>
    <w:rsid w:val="001E1D79"/>
    <w:rsid w:val="001E2319"/>
    <w:rsid w:val="001E237E"/>
    <w:rsid w:val="001E26B8"/>
    <w:rsid w:val="001E26E3"/>
    <w:rsid w:val="001E26F6"/>
    <w:rsid w:val="001E2810"/>
    <w:rsid w:val="001E2A66"/>
    <w:rsid w:val="001E2B93"/>
    <w:rsid w:val="001E2D19"/>
    <w:rsid w:val="001E2E32"/>
    <w:rsid w:val="001E2EE9"/>
    <w:rsid w:val="001E3157"/>
    <w:rsid w:val="001E3753"/>
    <w:rsid w:val="001E3E45"/>
    <w:rsid w:val="001E4754"/>
    <w:rsid w:val="001E49EF"/>
    <w:rsid w:val="001E4BF6"/>
    <w:rsid w:val="001E4D52"/>
    <w:rsid w:val="001E4DFF"/>
    <w:rsid w:val="001E4E7A"/>
    <w:rsid w:val="001E4FE1"/>
    <w:rsid w:val="001E55EC"/>
    <w:rsid w:val="001E5DD6"/>
    <w:rsid w:val="001E609D"/>
    <w:rsid w:val="001E63D3"/>
    <w:rsid w:val="001E6E18"/>
    <w:rsid w:val="001E7055"/>
    <w:rsid w:val="001E70A6"/>
    <w:rsid w:val="001E70EE"/>
    <w:rsid w:val="001E7239"/>
    <w:rsid w:val="001E7448"/>
    <w:rsid w:val="001E7A4D"/>
    <w:rsid w:val="001E7BE8"/>
    <w:rsid w:val="001F0248"/>
    <w:rsid w:val="001F040F"/>
    <w:rsid w:val="001F0E2F"/>
    <w:rsid w:val="001F1589"/>
    <w:rsid w:val="001F1E6A"/>
    <w:rsid w:val="001F1E89"/>
    <w:rsid w:val="001F2140"/>
    <w:rsid w:val="001F2330"/>
    <w:rsid w:val="001F264B"/>
    <w:rsid w:val="001F2AA7"/>
    <w:rsid w:val="001F3216"/>
    <w:rsid w:val="001F32B4"/>
    <w:rsid w:val="001F3EB3"/>
    <w:rsid w:val="001F4412"/>
    <w:rsid w:val="001F44A5"/>
    <w:rsid w:val="001F4DB7"/>
    <w:rsid w:val="001F4F12"/>
    <w:rsid w:val="001F4F47"/>
    <w:rsid w:val="001F4F86"/>
    <w:rsid w:val="001F4FB3"/>
    <w:rsid w:val="001F504A"/>
    <w:rsid w:val="001F5D17"/>
    <w:rsid w:val="001F638A"/>
    <w:rsid w:val="001F66A7"/>
    <w:rsid w:val="001F6857"/>
    <w:rsid w:val="001F6FE4"/>
    <w:rsid w:val="001F7368"/>
    <w:rsid w:val="001F746E"/>
    <w:rsid w:val="001F76EF"/>
    <w:rsid w:val="001F7DB8"/>
    <w:rsid w:val="002002BB"/>
    <w:rsid w:val="002005C8"/>
    <w:rsid w:val="00200906"/>
    <w:rsid w:val="00201174"/>
    <w:rsid w:val="00201EB4"/>
    <w:rsid w:val="00201F86"/>
    <w:rsid w:val="0020226D"/>
    <w:rsid w:val="002029F7"/>
    <w:rsid w:val="00202C2C"/>
    <w:rsid w:val="00203050"/>
    <w:rsid w:val="0020335B"/>
    <w:rsid w:val="002038A7"/>
    <w:rsid w:val="00203957"/>
    <w:rsid w:val="00203A24"/>
    <w:rsid w:val="00203C59"/>
    <w:rsid w:val="00203CE8"/>
    <w:rsid w:val="00203FFC"/>
    <w:rsid w:val="002047D7"/>
    <w:rsid w:val="00204A7F"/>
    <w:rsid w:val="00205150"/>
    <w:rsid w:val="00205933"/>
    <w:rsid w:val="00205FDD"/>
    <w:rsid w:val="002060C8"/>
    <w:rsid w:val="00206184"/>
    <w:rsid w:val="00206244"/>
    <w:rsid w:val="002065FE"/>
    <w:rsid w:val="002067C0"/>
    <w:rsid w:val="0020708C"/>
    <w:rsid w:val="002079B4"/>
    <w:rsid w:val="00207DA5"/>
    <w:rsid w:val="00210430"/>
    <w:rsid w:val="00210AB4"/>
    <w:rsid w:val="00211906"/>
    <w:rsid w:val="00211AF5"/>
    <w:rsid w:val="00211C8F"/>
    <w:rsid w:val="00211D88"/>
    <w:rsid w:val="0021216C"/>
    <w:rsid w:val="00212697"/>
    <w:rsid w:val="00212830"/>
    <w:rsid w:val="00212CDF"/>
    <w:rsid w:val="00212F13"/>
    <w:rsid w:val="002134AF"/>
    <w:rsid w:val="002135AB"/>
    <w:rsid w:val="00213AA2"/>
    <w:rsid w:val="002141F3"/>
    <w:rsid w:val="002143CE"/>
    <w:rsid w:val="002144BE"/>
    <w:rsid w:val="00214551"/>
    <w:rsid w:val="002146D1"/>
    <w:rsid w:val="002148C0"/>
    <w:rsid w:val="002152DD"/>
    <w:rsid w:val="00215378"/>
    <w:rsid w:val="002154C4"/>
    <w:rsid w:val="00215597"/>
    <w:rsid w:val="0021570B"/>
    <w:rsid w:val="00215FB0"/>
    <w:rsid w:val="002163A7"/>
    <w:rsid w:val="00216553"/>
    <w:rsid w:val="00216DE2"/>
    <w:rsid w:val="00217C71"/>
    <w:rsid w:val="002205E0"/>
    <w:rsid w:val="002207CD"/>
    <w:rsid w:val="00220B6A"/>
    <w:rsid w:val="00220CC6"/>
    <w:rsid w:val="00221007"/>
    <w:rsid w:val="002213F7"/>
    <w:rsid w:val="0022229E"/>
    <w:rsid w:val="0022237E"/>
    <w:rsid w:val="00222A57"/>
    <w:rsid w:val="00222BA6"/>
    <w:rsid w:val="00223078"/>
    <w:rsid w:val="002231C6"/>
    <w:rsid w:val="00223479"/>
    <w:rsid w:val="00223805"/>
    <w:rsid w:val="00223A74"/>
    <w:rsid w:val="002240D4"/>
    <w:rsid w:val="00224403"/>
    <w:rsid w:val="0022457D"/>
    <w:rsid w:val="002245C5"/>
    <w:rsid w:val="00224746"/>
    <w:rsid w:val="0022477F"/>
    <w:rsid w:val="0022495E"/>
    <w:rsid w:val="00224C0A"/>
    <w:rsid w:val="00225665"/>
    <w:rsid w:val="0022577D"/>
    <w:rsid w:val="00226149"/>
    <w:rsid w:val="00226379"/>
    <w:rsid w:val="002265CE"/>
    <w:rsid w:val="00226ABE"/>
    <w:rsid w:val="00226D09"/>
    <w:rsid w:val="00227958"/>
    <w:rsid w:val="00227CEA"/>
    <w:rsid w:val="0023020C"/>
    <w:rsid w:val="002307DF"/>
    <w:rsid w:val="00230866"/>
    <w:rsid w:val="00230873"/>
    <w:rsid w:val="00231045"/>
    <w:rsid w:val="002320B8"/>
    <w:rsid w:val="002320D0"/>
    <w:rsid w:val="0023246C"/>
    <w:rsid w:val="0023312C"/>
    <w:rsid w:val="00233525"/>
    <w:rsid w:val="00233A5C"/>
    <w:rsid w:val="002341BA"/>
    <w:rsid w:val="002345B2"/>
    <w:rsid w:val="00234665"/>
    <w:rsid w:val="00234852"/>
    <w:rsid w:val="00234855"/>
    <w:rsid w:val="00234856"/>
    <w:rsid w:val="00234F89"/>
    <w:rsid w:val="00235113"/>
    <w:rsid w:val="002358F3"/>
    <w:rsid w:val="00235F0E"/>
    <w:rsid w:val="00236360"/>
    <w:rsid w:val="002366C4"/>
    <w:rsid w:val="0023679C"/>
    <w:rsid w:val="00236D2C"/>
    <w:rsid w:val="00236E77"/>
    <w:rsid w:val="00237353"/>
    <w:rsid w:val="00237968"/>
    <w:rsid w:val="00237A8A"/>
    <w:rsid w:val="00237B6A"/>
    <w:rsid w:val="00237BE1"/>
    <w:rsid w:val="00240451"/>
    <w:rsid w:val="00240A71"/>
    <w:rsid w:val="0024190A"/>
    <w:rsid w:val="00241962"/>
    <w:rsid w:val="002419B5"/>
    <w:rsid w:val="00241A5D"/>
    <w:rsid w:val="00241B57"/>
    <w:rsid w:val="00241C67"/>
    <w:rsid w:val="00241F44"/>
    <w:rsid w:val="00242279"/>
    <w:rsid w:val="00243066"/>
    <w:rsid w:val="002431A3"/>
    <w:rsid w:val="0024327E"/>
    <w:rsid w:val="00243997"/>
    <w:rsid w:val="0024468A"/>
    <w:rsid w:val="00244935"/>
    <w:rsid w:val="00245156"/>
    <w:rsid w:val="0024516C"/>
    <w:rsid w:val="00245ACE"/>
    <w:rsid w:val="00245C82"/>
    <w:rsid w:val="00246060"/>
    <w:rsid w:val="0024630D"/>
    <w:rsid w:val="00246476"/>
    <w:rsid w:val="0024668B"/>
    <w:rsid w:val="00246EEF"/>
    <w:rsid w:val="00246FF1"/>
    <w:rsid w:val="002475AF"/>
    <w:rsid w:val="00247A9D"/>
    <w:rsid w:val="00247BEF"/>
    <w:rsid w:val="00247E91"/>
    <w:rsid w:val="002500EB"/>
    <w:rsid w:val="00250518"/>
    <w:rsid w:val="00250DF1"/>
    <w:rsid w:val="0025136A"/>
    <w:rsid w:val="002513A3"/>
    <w:rsid w:val="0025173D"/>
    <w:rsid w:val="00251EDA"/>
    <w:rsid w:val="00251F16"/>
    <w:rsid w:val="00251FDD"/>
    <w:rsid w:val="002521C1"/>
    <w:rsid w:val="0025237D"/>
    <w:rsid w:val="00252505"/>
    <w:rsid w:val="0025254D"/>
    <w:rsid w:val="00253372"/>
    <w:rsid w:val="002535DB"/>
    <w:rsid w:val="002536BB"/>
    <w:rsid w:val="00253760"/>
    <w:rsid w:val="00253A8E"/>
    <w:rsid w:val="00253AAB"/>
    <w:rsid w:val="00253D31"/>
    <w:rsid w:val="00253D8A"/>
    <w:rsid w:val="00253E1D"/>
    <w:rsid w:val="00254150"/>
    <w:rsid w:val="00254472"/>
    <w:rsid w:val="002545B0"/>
    <w:rsid w:val="00254E91"/>
    <w:rsid w:val="002552A2"/>
    <w:rsid w:val="0025569C"/>
    <w:rsid w:val="002557E3"/>
    <w:rsid w:val="00255A92"/>
    <w:rsid w:val="00255D9D"/>
    <w:rsid w:val="00256039"/>
    <w:rsid w:val="0025631D"/>
    <w:rsid w:val="00256CD5"/>
    <w:rsid w:val="00257961"/>
    <w:rsid w:val="0025798A"/>
    <w:rsid w:val="00257A78"/>
    <w:rsid w:val="00257FF0"/>
    <w:rsid w:val="00260219"/>
    <w:rsid w:val="00260D87"/>
    <w:rsid w:val="00260EF1"/>
    <w:rsid w:val="00261335"/>
    <w:rsid w:val="0026189B"/>
    <w:rsid w:val="00261A78"/>
    <w:rsid w:val="00261C35"/>
    <w:rsid w:val="00262417"/>
    <w:rsid w:val="00262C72"/>
    <w:rsid w:val="002630CF"/>
    <w:rsid w:val="00263623"/>
    <w:rsid w:val="0026376C"/>
    <w:rsid w:val="00263BB7"/>
    <w:rsid w:val="00263DEE"/>
    <w:rsid w:val="00264DDF"/>
    <w:rsid w:val="0026591C"/>
    <w:rsid w:val="00265928"/>
    <w:rsid w:val="00265B91"/>
    <w:rsid w:val="00265D2E"/>
    <w:rsid w:val="00266553"/>
    <w:rsid w:val="0026680D"/>
    <w:rsid w:val="00266988"/>
    <w:rsid w:val="00266A94"/>
    <w:rsid w:val="00266BB5"/>
    <w:rsid w:val="00267157"/>
    <w:rsid w:val="002671B5"/>
    <w:rsid w:val="002672B3"/>
    <w:rsid w:val="0026793D"/>
    <w:rsid w:val="002679D1"/>
    <w:rsid w:val="00267AC0"/>
    <w:rsid w:val="00267D4D"/>
    <w:rsid w:val="002702E7"/>
    <w:rsid w:val="002709C6"/>
    <w:rsid w:val="00271A21"/>
    <w:rsid w:val="00271E35"/>
    <w:rsid w:val="002724BA"/>
    <w:rsid w:val="002726AF"/>
    <w:rsid w:val="00272B8A"/>
    <w:rsid w:val="00272EB5"/>
    <w:rsid w:val="00273730"/>
    <w:rsid w:val="002741C1"/>
    <w:rsid w:val="0027457C"/>
    <w:rsid w:val="0027458E"/>
    <w:rsid w:val="0027479C"/>
    <w:rsid w:val="002748F3"/>
    <w:rsid w:val="00274D4C"/>
    <w:rsid w:val="00275177"/>
    <w:rsid w:val="0027596D"/>
    <w:rsid w:val="00275B4D"/>
    <w:rsid w:val="00275C7E"/>
    <w:rsid w:val="00275E0F"/>
    <w:rsid w:val="002762AC"/>
    <w:rsid w:val="00276559"/>
    <w:rsid w:val="002767F3"/>
    <w:rsid w:val="00276A74"/>
    <w:rsid w:val="00277C77"/>
    <w:rsid w:val="00277D90"/>
    <w:rsid w:val="0028012A"/>
    <w:rsid w:val="00280291"/>
    <w:rsid w:val="002802B0"/>
    <w:rsid w:val="002807AC"/>
    <w:rsid w:val="002813EA"/>
    <w:rsid w:val="00281AF2"/>
    <w:rsid w:val="00281BE3"/>
    <w:rsid w:val="00282504"/>
    <w:rsid w:val="0028279C"/>
    <w:rsid w:val="002827B7"/>
    <w:rsid w:val="00282960"/>
    <w:rsid w:val="00282BC2"/>
    <w:rsid w:val="00282C18"/>
    <w:rsid w:val="002831A9"/>
    <w:rsid w:val="00283325"/>
    <w:rsid w:val="002835F2"/>
    <w:rsid w:val="00283EA7"/>
    <w:rsid w:val="002841E8"/>
    <w:rsid w:val="002847F1"/>
    <w:rsid w:val="00284831"/>
    <w:rsid w:val="00284B4B"/>
    <w:rsid w:val="00284CC8"/>
    <w:rsid w:val="00284FCC"/>
    <w:rsid w:val="002857F3"/>
    <w:rsid w:val="00285850"/>
    <w:rsid w:val="00285906"/>
    <w:rsid w:val="0028600E"/>
    <w:rsid w:val="0028606B"/>
    <w:rsid w:val="00286897"/>
    <w:rsid w:val="00286A9F"/>
    <w:rsid w:val="00286BF2"/>
    <w:rsid w:val="00287249"/>
    <w:rsid w:val="0028767A"/>
    <w:rsid w:val="00287B53"/>
    <w:rsid w:val="00287ED2"/>
    <w:rsid w:val="00290455"/>
    <w:rsid w:val="00290D1C"/>
    <w:rsid w:val="00291353"/>
    <w:rsid w:val="00291389"/>
    <w:rsid w:val="002917EA"/>
    <w:rsid w:val="00291918"/>
    <w:rsid w:val="00291A7B"/>
    <w:rsid w:val="00291A90"/>
    <w:rsid w:val="00291B40"/>
    <w:rsid w:val="00291CA0"/>
    <w:rsid w:val="002923A1"/>
    <w:rsid w:val="002925B4"/>
    <w:rsid w:val="0029283A"/>
    <w:rsid w:val="00292EAE"/>
    <w:rsid w:val="00293304"/>
    <w:rsid w:val="002934D6"/>
    <w:rsid w:val="00293747"/>
    <w:rsid w:val="00293852"/>
    <w:rsid w:val="00294090"/>
    <w:rsid w:val="002942A2"/>
    <w:rsid w:val="00294D4A"/>
    <w:rsid w:val="00294F75"/>
    <w:rsid w:val="00295623"/>
    <w:rsid w:val="00295A82"/>
    <w:rsid w:val="00295F3F"/>
    <w:rsid w:val="002960DA"/>
    <w:rsid w:val="00296262"/>
    <w:rsid w:val="002962CC"/>
    <w:rsid w:val="00296383"/>
    <w:rsid w:val="0029643A"/>
    <w:rsid w:val="00296753"/>
    <w:rsid w:val="002967ED"/>
    <w:rsid w:val="00296885"/>
    <w:rsid w:val="00296AC2"/>
    <w:rsid w:val="002970B9"/>
    <w:rsid w:val="0029710F"/>
    <w:rsid w:val="00297155"/>
    <w:rsid w:val="00297197"/>
    <w:rsid w:val="00297249"/>
    <w:rsid w:val="00297435"/>
    <w:rsid w:val="00297590"/>
    <w:rsid w:val="0029788E"/>
    <w:rsid w:val="002A0028"/>
    <w:rsid w:val="002A0236"/>
    <w:rsid w:val="002A0429"/>
    <w:rsid w:val="002A0559"/>
    <w:rsid w:val="002A06D1"/>
    <w:rsid w:val="002A09A2"/>
    <w:rsid w:val="002A0AFF"/>
    <w:rsid w:val="002A1626"/>
    <w:rsid w:val="002A1BB8"/>
    <w:rsid w:val="002A1DB2"/>
    <w:rsid w:val="002A26B2"/>
    <w:rsid w:val="002A26E0"/>
    <w:rsid w:val="002A26F5"/>
    <w:rsid w:val="002A2847"/>
    <w:rsid w:val="002A2FBA"/>
    <w:rsid w:val="002A3169"/>
    <w:rsid w:val="002A31AC"/>
    <w:rsid w:val="002A35B0"/>
    <w:rsid w:val="002A36C2"/>
    <w:rsid w:val="002A3A26"/>
    <w:rsid w:val="002A3FA5"/>
    <w:rsid w:val="002A3FEA"/>
    <w:rsid w:val="002A46B6"/>
    <w:rsid w:val="002A4764"/>
    <w:rsid w:val="002A4C70"/>
    <w:rsid w:val="002A4C98"/>
    <w:rsid w:val="002A5009"/>
    <w:rsid w:val="002A51FA"/>
    <w:rsid w:val="002A5309"/>
    <w:rsid w:val="002A633B"/>
    <w:rsid w:val="002A6484"/>
    <w:rsid w:val="002A67BC"/>
    <w:rsid w:val="002A68E1"/>
    <w:rsid w:val="002A6EE7"/>
    <w:rsid w:val="002A7261"/>
    <w:rsid w:val="002A78DA"/>
    <w:rsid w:val="002A7A27"/>
    <w:rsid w:val="002A7A80"/>
    <w:rsid w:val="002A7B84"/>
    <w:rsid w:val="002A7D9B"/>
    <w:rsid w:val="002B072C"/>
    <w:rsid w:val="002B0BD0"/>
    <w:rsid w:val="002B0BDB"/>
    <w:rsid w:val="002B0F11"/>
    <w:rsid w:val="002B10A8"/>
    <w:rsid w:val="002B15DD"/>
    <w:rsid w:val="002B1D56"/>
    <w:rsid w:val="002B1D72"/>
    <w:rsid w:val="002B1E2C"/>
    <w:rsid w:val="002B1EDC"/>
    <w:rsid w:val="002B203F"/>
    <w:rsid w:val="002B224A"/>
    <w:rsid w:val="002B2887"/>
    <w:rsid w:val="002B29B7"/>
    <w:rsid w:val="002B2B24"/>
    <w:rsid w:val="002B2BB4"/>
    <w:rsid w:val="002B2C2C"/>
    <w:rsid w:val="002B2D72"/>
    <w:rsid w:val="002B30FE"/>
    <w:rsid w:val="002B3252"/>
    <w:rsid w:val="002B3598"/>
    <w:rsid w:val="002B36DA"/>
    <w:rsid w:val="002B37C2"/>
    <w:rsid w:val="002B3CB1"/>
    <w:rsid w:val="002B3E72"/>
    <w:rsid w:val="002B4008"/>
    <w:rsid w:val="002B425C"/>
    <w:rsid w:val="002B43F0"/>
    <w:rsid w:val="002B4468"/>
    <w:rsid w:val="002B4BB7"/>
    <w:rsid w:val="002B4E97"/>
    <w:rsid w:val="002B51B2"/>
    <w:rsid w:val="002B57AC"/>
    <w:rsid w:val="002B5D38"/>
    <w:rsid w:val="002B5D87"/>
    <w:rsid w:val="002B5E5E"/>
    <w:rsid w:val="002B62DC"/>
    <w:rsid w:val="002B6991"/>
    <w:rsid w:val="002B6C39"/>
    <w:rsid w:val="002B7751"/>
    <w:rsid w:val="002B7D35"/>
    <w:rsid w:val="002C025C"/>
    <w:rsid w:val="002C0DD5"/>
    <w:rsid w:val="002C0EC2"/>
    <w:rsid w:val="002C11B5"/>
    <w:rsid w:val="002C1395"/>
    <w:rsid w:val="002C155C"/>
    <w:rsid w:val="002C1571"/>
    <w:rsid w:val="002C163D"/>
    <w:rsid w:val="002C1746"/>
    <w:rsid w:val="002C1A01"/>
    <w:rsid w:val="002C1A88"/>
    <w:rsid w:val="002C1B70"/>
    <w:rsid w:val="002C1C5A"/>
    <w:rsid w:val="002C1DDF"/>
    <w:rsid w:val="002C215E"/>
    <w:rsid w:val="002C2364"/>
    <w:rsid w:val="002C26EA"/>
    <w:rsid w:val="002C278B"/>
    <w:rsid w:val="002C3172"/>
    <w:rsid w:val="002C336C"/>
    <w:rsid w:val="002C33A9"/>
    <w:rsid w:val="002C433A"/>
    <w:rsid w:val="002C439F"/>
    <w:rsid w:val="002C43A6"/>
    <w:rsid w:val="002C452D"/>
    <w:rsid w:val="002C4579"/>
    <w:rsid w:val="002C47A3"/>
    <w:rsid w:val="002C49AF"/>
    <w:rsid w:val="002C4B0A"/>
    <w:rsid w:val="002C4D3F"/>
    <w:rsid w:val="002C4EDE"/>
    <w:rsid w:val="002C53AF"/>
    <w:rsid w:val="002C53E4"/>
    <w:rsid w:val="002C5598"/>
    <w:rsid w:val="002C596E"/>
    <w:rsid w:val="002C5A8C"/>
    <w:rsid w:val="002C5A98"/>
    <w:rsid w:val="002C5CB0"/>
    <w:rsid w:val="002C6080"/>
    <w:rsid w:val="002C63E8"/>
    <w:rsid w:val="002C673A"/>
    <w:rsid w:val="002C6A01"/>
    <w:rsid w:val="002C6BBC"/>
    <w:rsid w:val="002C6CE2"/>
    <w:rsid w:val="002C6F5A"/>
    <w:rsid w:val="002C7967"/>
    <w:rsid w:val="002C79DE"/>
    <w:rsid w:val="002C7E1A"/>
    <w:rsid w:val="002D08AC"/>
    <w:rsid w:val="002D0C42"/>
    <w:rsid w:val="002D0C45"/>
    <w:rsid w:val="002D0E8E"/>
    <w:rsid w:val="002D0FFE"/>
    <w:rsid w:val="002D125D"/>
    <w:rsid w:val="002D15F6"/>
    <w:rsid w:val="002D1C08"/>
    <w:rsid w:val="002D1DB3"/>
    <w:rsid w:val="002D1DEE"/>
    <w:rsid w:val="002D1EC4"/>
    <w:rsid w:val="002D269F"/>
    <w:rsid w:val="002D2715"/>
    <w:rsid w:val="002D2FD8"/>
    <w:rsid w:val="002D2FE8"/>
    <w:rsid w:val="002D39F3"/>
    <w:rsid w:val="002D3B12"/>
    <w:rsid w:val="002D3E32"/>
    <w:rsid w:val="002D4204"/>
    <w:rsid w:val="002D4D7E"/>
    <w:rsid w:val="002D4E22"/>
    <w:rsid w:val="002D50F0"/>
    <w:rsid w:val="002D585C"/>
    <w:rsid w:val="002D58C4"/>
    <w:rsid w:val="002D5933"/>
    <w:rsid w:val="002D6007"/>
    <w:rsid w:val="002D6056"/>
    <w:rsid w:val="002D6516"/>
    <w:rsid w:val="002D669D"/>
    <w:rsid w:val="002D6865"/>
    <w:rsid w:val="002D695A"/>
    <w:rsid w:val="002D6A0B"/>
    <w:rsid w:val="002D6E02"/>
    <w:rsid w:val="002D7049"/>
    <w:rsid w:val="002D757F"/>
    <w:rsid w:val="002E00F3"/>
    <w:rsid w:val="002E0405"/>
    <w:rsid w:val="002E0979"/>
    <w:rsid w:val="002E0AC9"/>
    <w:rsid w:val="002E0E69"/>
    <w:rsid w:val="002E0F99"/>
    <w:rsid w:val="002E152E"/>
    <w:rsid w:val="002E169E"/>
    <w:rsid w:val="002E1B67"/>
    <w:rsid w:val="002E2002"/>
    <w:rsid w:val="002E2026"/>
    <w:rsid w:val="002E20C5"/>
    <w:rsid w:val="002E224F"/>
    <w:rsid w:val="002E23DB"/>
    <w:rsid w:val="002E24F7"/>
    <w:rsid w:val="002E2701"/>
    <w:rsid w:val="002E3527"/>
    <w:rsid w:val="002E37C1"/>
    <w:rsid w:val="002E3A34"/>
    <w:rsid w:val="002E3D74"/>
    <w:rsid w:val="002E446F"/>
    <w:rsid w:val="002E4A06"/>
    <w:rsid w:val="002E4C5D"/>
    <w:rsid w:val="002E4E1F"/>
    <w:rsid w:val="002E5C87"/>
    <w:rsid w:val="002E5D59"/>
    <w:rsid w:val="002E5F69"/>
    <w:rsid w:val="002E6900"/>
    <w:rsid w:val="002E70BE"/>
    <w:rsid w:val="002E731B"/>
    <w:rsid w:val="002F1888"/>
    <w:rsid w:val="002F18D2"/>
    <w:rsid w:val="002F1BAE"/>
    <w:rsid w:val="002F1E9A"/>
    <w:rsid w:val="002F1FF5"/>
    <w:rsid w:val="002F247C"/>
    <w:rsid w:val="002F2801"/>
    <w:rsid w:val="002F29E1"/>
    <w:rsid w:val="002F2D0B"/>
    <w:rsid w:val="002F2E31"/>
    <w:rsid w:val="002F2FED"/>
    <w:rsid w:val="002F3AE6"/>
    <w:rsid w:val="002F40C9"/>
    <w:rsid w:val="002F42AB"/>
    <w:rsid w:val="002F4474"/>
    <w:rsid w:val="002F47E4"/>
    <w:rsid w:val="002F4A1C"/>
    <w:rsid w:val="002F573C"/>
    <w:rsid w:val="002F581A"/>
    <w:rsid w:val="002F5A96"/>
    <w:rsid w:val="002F68EE"/>
    <w:rsid w:val="002F69A7"/>
    <w:rsid w:val="002F6A11"/>
    <w:rsid w:val="002F74AA"/>
    <w:rsid w:val="002F75CA"/>
    <w:rsid w:val="002F75D9"/>
    <w:rsid w:val="002F79C0"/>
    <w:rsid w:val="003000A6"/>
    <w:rsid w:val="0030016F"/>
    <w:rsid w:val="00300281"/>
    <w:rsid w:val="0030079A"/>
    <w:rsid w:val="00300F87"/>
    <w:rsid w:val="00301043"/>
    <w:rsid w:val="00301189"/>
    <w:rsid w:val="003015D2"/>
    <w:rsid w:val="00301E4A"/>
    <w:rsid w:val="00302294"/>
    <w:rsid w:val="00302541"/>
    <w:rsid w:val="00302619"/>
    <w:rsid w:val="00302661"/>
    <w:rsid w:val="0030270A"/>
    <w:rsid w:val="003029B6"/>
    <w:rsid w:val="003029EE"/>
    <w:rsid w:val="0030304C"/>
    <w:rsid w:val="003035EC"/>
    <w:rsid w:val="00303DC5"/>
    <w:rsid w:val="003040D8"/>
    <w:rsid w:val="00304264"/>
    <w:rsid w:val="00304527"/>
    <w:rsid w:val="003049CB"/>
    <w:rsid w:val="00305231"/>
    <w:rsid w:val="003056A4"/>
    <w:rsid w:val="0030590A"/>
    <w:rsid w:val="00305E80"/>
    <w:rsid w:val="00306A65"/>
    <w:rsid w:val="00306C09"/>
    <w:rsid w:val="00306C8D"/>
    <w:rsid w:val="00306F76"/>
    <w:rsid w:val="00306FB4"/>
    <w:rsid w:val="00307582"/>
    <w:rsid w:val="00307F74"/>
    <w:rsid w:val="003103B9"/>
    <w:rsid w:val="00310414"/>
    <w:rsid w:val="00310635"/>
    <w:rsid w:val="0031066E"/>
    <w:rsid w:val="00310FF2"/>
    <w:rsid w:val="00311022"/>
    <w:rsid w:val="003110F8"/>
    <w:rsid w:val="003113BE"/>
    <w:rsid w:val="00311B0A"/>
    <w:rsid w:val="00311C2F"/>
    <w:rsid w:val="00311FC6"/>
    <w:rsid w:val="0031202A"/>
    <w:rsid w:val="00312158"/>
    <w:rsid w:val="003122B8"/>
    <w:rsid w:val="00312630"/>
    <w:rsid w:val="0031266A"/>
    <w:rsid w:val="0031276D"/>
    <w:rsid w:val="003127B4"/>
    <w:rsid w:val="003129BA"/>
    <w:rsid w:val="00312D12"/>
    <w:rsid w:val="00312FB7"/>
    <w:rsid w:val="003132EA"/>
    <w:rsid w:val="0031335D"/>
    <w:rsid w:val="003133E7"/>
    <w:rsid w:val="00313440"/>
    <w:rsid w:val="00313748"/>
    <w:rsid w:val="0031392A"/>
    <w:rsid w:val="00313CF5"/>
    <w:rsid w:val="00314304"/>
    <w:rsid w:val="003143C1"/>
    <w:rsid w:val="00314894"/>
    <w:rsid w:val="00314A2E"/>
    <w:rsid w:val="00314AA6"/>
    <w:rsid w:val="00314D87"/>
    <w:rsid w:val="00314FBE"/>
    <w:rsid w:val="0031516C"/>
    <w:rsid w:val="0031525B"/>
    <w:rsid w:val="003152A8"/>
    <w:rsid w:val="003153FD"/>
    <w:rsid w:val="0031563E"/>
    <w:rsid w:val="00315CC3"/>
    <w:rsid w:val="00315ECA"/>
    <w:rsid w:val="003164A5"/>
    <w:rsid w:val="00316523"/>
    <w:rsid w:val="003166E7"/>
    <w:rsid w:val="003168B8"/>
    <w:rsid w:val="00316C3B"/>
    <w:rsid w:val="00317116"/>
    <w:rsid w:val="0031737E"/>
    <w:rsid w:val="0031743D"/>
    <w:rsid w:val="003174B9"/>
    <w:rsid w:val="00317ED8"/>
    <w:rsid w:val="00317F66"/>
    <w:rsid w:val="0032017D"/>
    <w:rsid w:val="003211A1"/>
    <w:rsid w:val="003213F4"/>
    <w:rsid w:val="00321987"/>
    <w:rsid w:val="00321A5A"/>
    <w:rsid w:val="00321B96"/>
    <w:rsid w:val="00321DE7"/>
    <w:rsid w:val="00321E32"/>
    <w:rsid w:val="0032223D"/>
    <w:rsid w:val="003225FD"/>
    <w:rsid w:val="00322723"/>
    <w:rsid w:val="00322C42"/>
    <w:rsid w:val="00322D64"/>
    <w:rsid w:val="00322EAA"/>
    <w:rsid w:val="0032311B"/>
    <w:rsid w:val="00323186"/>
    <w:rsid w:val="003234E5"/>
    <w:rsid w:val="00323569"/>
    <w:rsid w:val="00323829"/>
    <w:rsid w:val="00323B91"/>
    <w:rsid w:val="00323DA7"/>
    <w:rsid w:val="00323E09"/>
    <w:rsid w:val="00324163"/>
    <w:rsid w:val="00324308"/>
    <w:rsid w:val="0032526F"/>
    <w:rsid w:val="00325379"/>
    <w:rsid w:val="003263D2"/>
    <w:rsid w:val="0032674D"/>
    <w:rsid w:val="00326BF1"/>
    <w:rsid w:val="00327019"/>
    <w:rsid w:val="003270E1"/>
    <w:rsid w:val="00327C84"/>
    <w:rsid w:val="00330552"/>
    <w:rsid w:val="003306C2"/>
    <w:rsid w:val="00330B33"/>
    <w:rsid w:val="00330C42"/>
    <w:rsid w:val="00330DD8"/>
    <w:rsid w:val="00330E60"/>
    <w:rsid w:val="0033174F"/>
    <w:rsid w:val="003318FF"/>
    <w:rsid w:val="00331B4F"/>
    <w:rsid w:val="00331DC1"/>
    <w:rsid w:val="00332540"/>
    <w:rsid w:val="003326F5"/>
    <w:rsid w:val="00332F69"/>
    <w:rsid w:val="003330C1"/>
    <w:rsid w:val="00333535"/>
    <w:rsid w:val="00333932"/>
    <w:rsid w:val="00333C23"/>
    <w:rsid w:val="003341D2"/>
    <w:rsid w:val="00334540"/>
    <w:rsid w:val="00334A0D"/>
    <w:rsid w:val="00334A19"/>
    <w:rsid w:val="00334CB0"/>
    <w:rsid w:val="0033528D"/>
    <w:rsid w:val="003352A0"/>
    <w:rsid w:val="003353CE"/>
    <w:rsid w:val="00335509"/>
    <w:rsid w:val="00335970"/>
    <w:rsid w:val="00335ED3"/>
    <w:rsid w:val="003361B9"/>
    <w:rsid w:val="003362CC"/>
    <w:rsid w:val="003363A9"/>
    <w:rsid w:val="0033662F"/>
    <w:rsid w:val="00336BEC"/>
    <w:rsid w:val="00336D7C"/>
    <w:rsid w:val="0033731A"/>
    <w:rsid w:val="003375A1"/>
    <w:rsid w:val="00337D4C"/>
    <w:rsid w:val="00337FC9"/>
    <w:rsid w:val="00340049"/>
    <w:rsid w:val="0034053B"/>
    <w:rsid w:val="003405F5"/>
    <w:rsid w:val="003406FF"/>
    <w:rsid w:val="0034072E"/>
    <w:rsid w:val="0034096F"/>
    <w:rsid w:val="00340B2A"/>
    <w:rsid w:val="00340C93"/>
    <w:rsid w:val="00340E81"/>
    <w:rsid w:val="00340E98"/>
    <w:rsid w:val="00341863"/>
    <w:rsid w:val="0034189B"/>
    <w:rsid w:val="00342C4C"/>
    <w:rsid w:val="00342EBA"/>
    <w:rsid w:val="003436C1"/>
    <w:rsid w:val="00343A22"/>
    <w:rsid w:val="00343C06"/>
    <w:rsid w:val="00343C3F"/>
    <w:rsid w:val="00343EC2"/>
    <w:rsid w:val="00343F8B"/>
    <w:rsid w:val="003441B0"/>
    <w:rsid w:val="0034443D"/>
    <w:rsid w:val="0034454E"/>
    <w:rsid w:val="00344A73"/>
    <w:rsid w:val="00344CEF"/>
    <w:rsid w:val="00344DFD"/>
    <w:rsid w:val="00344E04"/>
    <w:rsid w:val="00344E3C"/>
    <w:rsid w:val="00344F18"/>
    <w:rsid w:val="003452D2"/>
    <w:rsid w:val="0034530A"/>
    <w:rsid w:val="00345506"/>
    <w:rsid w:val="00345818"/>
    <w:rsid w:val="0034593C"/>
    <w:rsid w:val="00345CB2"/>
    <w:rsid w:val="00345DE6"/>
    <w:rsid w:val="00345ED1"/>
    <w:rsid w:val="003461A4"/>
    <w:rsid w:val="003462B7"/>
    <w:rsid w:val="003462F2"/>
    <w:rsid w:val="003463E7"/>
    <w:rsid w:val="00346430"/>
    <w:rsid w:val="003466F1"/>
    <w:rsid w:val="00346BC8"/>
    <w:rsid w:val="003472E3"/>
    <w:rsid w:val="003473C4"/>
    <w:rsid w:val="003473FA"/>
    <w:rsid w:val="0034756C"/>
    <w:rsid w:val="00347715"/>
    <w:rsid w:val="00347716"/>
    <w:rsid w:val="003477B6"/>
    <w:rsid w:val="00347AAB"/>
    <w:rsid w:val="00347DD5"/>
    <w:rsid w:val="00350169"/>
    <w:rsid w:val="003510B0"/>
    <w:rsid w:val="0035128F"/>
    <w:rsid w:val="003512DE"/>
    <w:rsid w:val="00351497"/>
    <w:rsid w:val="003518AA"/>
    <w:rsid w:val="00351EB3"/>
    <w:rsid w:val="00352165"/>
    <w:rsid w:val="0035245D"/>
    <w:rsid w:val="003529FB"/>
    <w:rsid w:val="00352C57"/>
    <w:rsid w:val="00352CD0"/>
    <w:rsid w:val="00353047"/>
    <w:rsid w:val="00353182"/>
    <w:rsid w:val="0035344C"/>
    <w:rsid w:val="003538F1"/>
    <w:rsid w:val="00353BD3"/>
    <w:rsid w:val="00353C89"/>
    <w:rsid w:val="00353E9A"/>
    <w:rsid w:val="00354176"/>
    <w:rsid w:val="0035437A"/>
    <w:rsid w:val="00354765"/>
    <w:rsid w:val="0035476D"/>
    <w:rsid w:val="003548FA"/>
    <w:rsid w:val="00355287"/>
    <w:rsid w:val="0035545C"/>
    <w:rsid w:val="0035559A"/>
    <w:rsid w:val="003555C8"/>
    <w:rsid w:val="003559C7"/>
    <w:rsid w:val="00355D78"/>
    <w:rsid w:val="00356514"/>
    <w:rsid w:val="003565D9"/>
    <w:rsid w:val="00356686"/>
    <w:rsid w:val="00356B4F"/>
    <w:rsid w:val="00356D5E"/>
    <w:rsid w:val="0035701B"/>
    <w:rsid w:val="00357118"/>
    <w:rsid w:val="00357242"/>
    <w:rsid w:val="003572BE"/>
    <w:rsid w:val="003575D7"/>
    <w:rsid w:val="003578A9"/>
    <w:rsid w:val="00357C64"/>
    <w:rsid w:val="0036000E"/>
    <w:rsid w:val="00360245"/>
    <w:rsid w:val="003602E1"/>
    <w:rsid w:val="003608B9"/>
    <w:rsid w:val="00361582"/>
    <w:rsid w:val="0036160C"/>
    <w:rsid w:val="003616A9"/>
    <w:rsid w:val="0036199B"/>
    <w:rsid w:val="00361D27"/>
    <w:rsid w:val="00361E20"/>
    <w:rsid w:val="003620EF"/>
    <w:rsid w:val="00362221"/>
    <w:rsid w:val="00362237"/>
    <w:rsid w:val="00362982"/>
    <w:rsid w:val="00362AB6"/>
    <w:rsid w:val="00362B5E"/>
    <w:rsid w:val="00362B77"/>
    <w:rsid w:val="00362DA6"/>
    <w:rsid w:val="00362FCC"/>
    <w:rsid w:val="00362FD4"/>
    <w:rsid w:val="0036319F"/>
    <w:rsid w:val="003631A3"/>
    <w:rsid w:val="00363277"/>
    <w:rsid w:val="003632F3"/>
    <w:rsid w:val="00363600"/>
    <w:rsid w:val="003636D7"/>
    <w:rsid w:val="00363982"/>
    <w:rsid w:val="00363C99"/>
    <w:rsid w:val="003640DD"/>
    <w:rsid w:val="0036432F"/>
    <w:rsid w:val="003645AA"/>
    <w:rsid w:val="00364862"/>
    <w:rsid w:val="003648E9"/>
    <w:rsid w:val="00364962"/>
    <w:rsid w:val="00364FC3"/>
    <w:rsid w:val="003655DC"/>
    <w:rsid w:val="003657A0"/>
    <w:rsid w:val="00365D66"/>
    <w:rsid w:val="00365D79"/>
    <w:rsid w:val="003662BE"/>
    <w:rsid w:val="0036655D"/>
    <w:rsid w:val="0036760A"/>
    <w:rsid w:val="00367629"/>
    <w:rsid w:val="00367668"/>
    <w:rsid w:val="00367D09"/>
    <w:rsid w:val="0037026F"/>
    <w:rsid w:val="00370307"/>
    <w:rsid w:val="00370733"/>
    <w:rsid w:val="003707A7"/>
    <w:rsid w:val="00370923"/>
    <w:rsid w:val="00371240"/>
    <w:rsid w:val="0037124E"/>
    <w:rsid w:val="0037155B"/>
    <w:rsid w:val="00371637"/>
    <w:rsid w:val="003717C4"/>
    <w:rsid w:val="00371A87"/>
    <w:rsid w:val="00372AEA"/>
    <w:rsid w:val="00372D85"/>
    <w:rsid w:val="00372E03"/>
    <w:rsid w:val="00372F0A"/>
    <w:rsid w:val="003731E0"/>
    <w:rsid w:val="0037374F"/>
    <w:rsid w:val="00373895"/>
    <w:rsid w:val="00373B0F"/>
    <w:rsid w:val="00373E51"/>
    <w:rsid w:val="00374331"/>
    <w:rsid w:val="00374731"/>
    <w:rsid w:val="00374B6A"/>
    <w:rsid w:val="00375058"/>
    <w:rsid w:val="00375591"/>
    <w:rsid w:val="003756BA"/>
    <w:rsid w:val="00375B64"/>
    <w:rsid w:val="00375C22"/>
    <w:rsid w:val="00376568"/>
    <w:rsid w:val="003766A5"/>
    <w:rsid w:val="00376E59"/>
    <w:rsid w:val="003770EA"/>
    <w:rsid w:val="003772D5"/>
    <w:rsid w:val="003773B4"/>
    <w:rsid w:val="00377824"/>
    <w:rsid w:val="0037791B"/>
    <w:rsid w:val="00377EC1"/>
    <w:rsid w:val="00380012"/>
    <w:rsid w:val="003801D5"/>
    <w:rsid w:val="003802FC"/>
    <w:rsid w:val="00380340"/>
    <w:rsid w:val="00380513"/>
    <w:rsid w:val="00380BF7"/>
    <w:rsid w:val="00381136"/>
    <w:rsid w:val="00382146"/>
    <w:rsid w:val="003823F4"/>
    <w:rsid w:val="0038253E"/>
    <w:rsid w:val="0038299C"/>
    <w:rsid w:val="003830AB"/>
    <w:rsid w:val="0038324D"/>
    <w:rsid w:val="00383621"/>
    <w:rsid w:val="003839B3"/>
    <w:rsid w:val="0038406F"/>
    <w:rsid w:val="003842F4"/>
    <w:rsid w:val="00384F54"/>
    <w:rsid w:val="003852E4"/>
    <w:rsid w:val="003853B4"/>
    <w:rsid w:val="00385BEF"/>
    <w:rsid w:val="00386593"/>
    <w:rsid w:val="00386714"/>
    <w:rsid w:val="003868B0"/>
    <w:rsid w:val="00386A2E"/>
    <w:rsid w:val="00386E06"/>
    <w:rsid w:val="00386E84"/>
    <w:rsid w:val="0038718C"/>
    <w:rsid w:val="00387EAC"/>
    <w:rsid w:val="00390227"/>
    <w:rsid w:val="00390463"/>
    <w:rsid w:val="00390FC9"/>
    <w:rsid w:val="0039151E"/>
    <w:rsid w:val="0039160C"/>
    <w:rsid w:val="0039193B"/>
    <w:rsid w:val="003919F9"/>
    <w:rsid w:val="00391DA0"/>
    <w:rsid w:val="00391ED9"/>
    <w:rsid w:val="00391FD7"/>
    <w:rsid w:val="003920CF"/>
    <w:rsid w:val="003927B8"/>
    <w:rsid w:val="00392811"/>
    <w:rsid w:val="00392D78"/>
    <w:rsid w:val="00392E7C"/>
    <w:rsid w:val="00393213"/>
    <w:rsid w:val="0039368F"/>
    <w:rsid w:val="00394031"/>
    <w:rsid w:val="0039433F"/>
    <w:rsid w:val="0039471A"/>
    <w:rsid w:val="00394819"/>
    <w:rsid w:val="00394A67"/>
    <w:rsid w:val="00395A84"/>
    <w:rsid w:val="00395B68"/>
    <w:rsid w:val="003961DE"/>
    <w:rsid w:val="003962A6"/>
    <w:rsid w:val="003963F8"/>
    <w:rsid w:val="00396473"/>
    <w:rsid w:val="003969BF"/>
    <w:rsid w:val="00396DB1"/>
    <w:rsid w:val="00396E36"/>
    <w:rsid w:val="00396EF3"/>
    <w:rsid w:val="0039775C"/>
    <w:rsid w:val="00397782"/>
    <w:rsid w:val="003978D6"/>
    <w:rsid w:val="00397B01"/>
    <w:rsid w:val="00397DC2"/>
    <w:rsid w:val="003A010D"/>
    <w:rsid w:val="003A0112"/>
    <w:rsid w:val="003A0182"/>
    <w:rsid w:val="003A0226"/>
    <w:rsid w:val="003A0C56"/>
    <w:rsid w:val="003A1212"/>
    <w:rsid w:val="003A169D"/>
    <w:rsid w:val="003A1FB9"/>
    <w:rsid w:val="003A24F4"/>
    <w:rsid w:val="003A2937"/>
    <w:rsid w:val="003A3718"/>
    <w:rsid w:val="003A3967"/>
    <w:rsid w:val="003A3A5D"/>
    <w:rsid w:val="003A3B0B"/>
    <w:rsid w:val="003A3B69"/>
    <w:rsid w:val="003A3DB0"/>
    <w:rsid w:val="003A4035"/>
    <w:rsid w:val="003A429A"/>
    <w:rsid w:val="003A4654"/>
    <w:rsid w:val="003A48C8"/>
    <w:rsid w:val="003A4C0E"/>
    <w:rsid w:val="003A4D70"/>
    <w:rsid w:val="003A5042"/>
    <w:rsid w:val="003A5194"/>
    <w:rsid w:val="003A5911"/>
    <w:rsid w:val="003A5957"/>
    <w:rsid w:val="003A5E8E"/>
    <w:rsid w:val="003A64CA"/>
    <w:rsid w:val="003A6764"/>
    <w:rsid w:val="003A6979"/>
    <w:rsid w:val="003A6988"/>
    <w:rsid w:val="003A7268"/>
    <w:rsid w:val="003A750E"/>
    <w:rsid w:val="003A7B88"/>
    <w:rsid w:val="003A7BB2"/>
    <w:rsid w:val="003B0ECA"/>
    <w:rsid w:val="003B1397"/>
    <w:rsid w:val="003B1837"/>
    <w:rsid w:val="003B183A"/>
    <w:rsid w:val="003B1A11"/>
    <w:rsid w:val="003B1BD1"/>
    <w:rsid w:val="003B23C2"/>
    <w:rsid w:val="003B2575"/>
    <w:rsid w:val="003B2D9F"/>
    <w:rsid w:val="003B31EC"/>
    <w:rsid w:val="003B34C8"/>
    <w:rsid w:val="003B373B"/>
    <w:rsid w:val="003B38D1"/>
    <w:rsid w:val="003B5516"/>
    <w:rsid w:val="003B58E9"/>
    <w:rsid w:val="003B5A89"/>
    <w:rsid w:val="003B601B"/>
    <w:rsid w:val="003B62DD"/>
    <w:rsid w:val="003B6E1A"/>
    <w:rsid w:val="003B71E7"/>
    <w:rsid w:val="003B731E"/>
    <w:rsid w:val="003B7506"/>
    <w:rsid w:val="003C001B"/>
    <w:rsid w:val="003C01D3"/>
    <w:rsid w:val="003C033B"/>
    <w:rsid w:val="003C062B"/>
    <w:rsid w:val="003C0ADF"/>
    <w:rsid w:val="003C0E48"/>
    <w:rsid w:val="003C0EF7"/>
    <w:rsid w:val="003C1324"/>
    <w:rsid w:val="003C173F"/>
    <w:rsid w:val="003C18E0"/>
    <w:rsid w:val="003C2214"/>
    <w:rsid w:val="003C258D"/>
    <w:rsid w:val="003C25D1"/>
    <w:rsid w:val="003C2710"/>
    <w:rsid w:val="003C2985"/>
    <w:rsid w:val="003C3144"/>
    <w:rsid w:val="003C3768"/>
    <w:rsid w:val="003C38B5"/>
    <w:rsid w:val="003C3AE6"/>
    <w:rsid w:val="003C3EC0"/>
    <w:rsid w:val="003C409B"/>
    <w:rsid w:val="003C42F9"/>
    <w:rsid w:val="003C4E1B"/>
    <w:rsid w:val="003C50A0"/>
    <w:rsid w:val="003C5D99"/>
    <w:rsid w:val="003C6045"/>
    <w:rsid w:val="003C6420"/>
    <w:rsid w:val="003C648C"/>
    <w:rsid w:val="003C7CA5"/>
    <w:rsid w:val="003D00A5"/>
    <w:rsid w:val="003D0862"/>
    <w:rsid w:val="003D0C5B"/>
    <w:rsid w:val="003D0CE2"/>
    <w:rsid w:val="003D0DE9"/>
    <w:rsid w:val="003D0F26"/>
    <w:rsid w:val="003D1087"/>
    <w:rsid w:val="003D19D8"/>
    <w:rsid w:val="003D1C66"/>
    <w:rsid w:val="003D1E30"/>
    <w:rsid w:val="003D2371"/>
    <w:rsid w:val="003D279D"/>
    <w:rsid w:val="003D29CC"/>
    <w:rsid w:val="003D2D8C"/>
    <w:rsid w:val="003D2F97"/>
    <w:rsid w:val="003D345C"/>
    <w:rsid w:val="003D3840"/>
    <w:rsid w:val="003D3A72"/>
    <w:rsid w:val="003D4223"/>
    <w:rsid w:val="003D4286"/>
    <w:rsid w:val="003D48EF"/>
    <w:rsid w:val="003D4F1C"/>
    <w:rsid w:val="003D55EC"/>
    <w:rsid w:val="003D569C"/>
    <w:rsid w:val="003D56F6"/>
    <w:rsid w:val="003D5AAD"/>
    <w:rsid w:val="003D5CCB"/>
    <w:rsid w:val="003D6817"/>
    <w:rsid w:val="003D6873"/>
    <w:rsid w:val="003D6DC5"/>
    <w:rsid w:val="003D6FF7"/>
    <w:rsid w:val="003D75FE"/>
    <w:rsid w:val="003D7901"/>
    <w:rsid w:val="003E04F3"/>
    <w:rsid w:val="003E0553"/>
    <w:rsid w:val="003E065A"/>
    <w:rsid w:val="003E0A7A"/>
    <w:rsid w:val="003E0DC2"/>
    <w:rsid w:val="003E1082"/>
    <w:rsid w:val="003E173C"/>
    <w:rsid w:val="003E1972"/>
    <w:rsid w:val="003E1C9F"/>
    <w:rsid w:val="003E25D0"/>
    <w:rsid w:val="003E2F32"/>
    <w:rsid w:val="003E2F59"/>
    <w:rsid w:val="003E345B"/>
    <w:rsid w:val="003E351F"/>
    <w:rsid w:val="003E35ED"/>
    <w:rsid w:val="003E3C79"/>
    <w:rsid w:val="003E43C4"/>
    <w:rsid w:val="003E4D80"/>
    <w:rsid w:val="003E5033"/>
    <w:rsid w:val="003E5377"/>
    <w:rsid w:val="003E554E"/>
    <w:rsid w:val="003E55BB"/>
    <w:rsid w:val="003E5743"/>
    <w:rsid w:val="003E59E8"/>
    <w:rsid w:val="003E5B2D"/>
    <w:rsid w:val="003E5BEF"/>
    <w:rsid w:val="003E5C22"/>
    <w:rsid w:val="003E5E82"/>
    <w:rsid w:val="003E63C3"/>
    <w:rsid w:val="003E64B9"/>
    <w:rsid w:val="003E657F"/>
    <w:rsid w:val="003E687E"/>
    <w:rsid w:val="003E6968"/>
    <w:rsid w:val="003E746B"/>
    <w:rsid w:val="003E75ED"/>
    <w:rsid w:val="003E793F"/>
    <w:rsid w:val="003E7ACC"/>
    <w:rsid w:val="003F03AE"/>
    <w:rsid w:val="003F0789"/>
    <w:rsid w:val="003F0BE2"/>
    <w:rsid w:val="003F0C3F"/>
    <w:rsid w:val="003F0E47"/>
    <w:rsid w:val="003F1287"/>
    <w:rsid w:val="003F1904"/>
    <w:rsid w:val="003F1C4C"/>
    <w:rsid w:val="003F1CDE"/>
    <w:rsid w:val="003F1F80"/>
    <w:rsid w:val="003F2067"/>
    <w:rsid w:val="003F2519"/>
    <w:rsid w:val="003F268B"/>
    <w:rsid w:val="003F2CF4"/>
    <w:rsid w:val="003F2FF2"/>
    <w:rsid w:val="003F33E2"/>
    <w:rsid w:val="003F4000"/>
    <w:rsid w:val="003F4106"/>
    <w:rsid w:val="003F43C6"/>
    <w:rsid w:val="003F47EF"/>
    <w:rsid w:val="003F4BEE"/>
    <w:rsid w:val="003F4CD8"/>
    <w:rsid w:val="003F4DC8"/>
    <w:rsid w:val="003F4E53"/>
    <w:rsid w:val="003F4E9C"/>
    <w:rsid w:val="003F60CB"/>
    <w:rsid w:val="003F6A64"/>
    <w:rsid w:val="003F6AF2"/>
    <w:rsid w:val="003F6BCA"/>
    <w:rsid w:val="003F6D18"/>
    <w:rsid w:val="003F79F8"/>
    <w:rsid w:val="003F7A8C"/>
    <w:rsid w:val="003F7B83"/>
    <w:rsid w:val="003F7C29"/>
    <w:rsid w:val="003F7CBA"/>
    <w:rsid w:val="003F7DAE"/>
    <w:rsid w:val="00400260"/>
    <w:rsid w:val="00400411"/>
    <w:rsid w:val="00400901"/>
    <w:rsid w:val="00400ABB"/>
    <w:rsid w:val="00400D72"/>
    <w:rsid w:val="00401587"/>
    <w:rsid w:val="0040167E"/>
    <w:rsid w:val="00401882"/>
    <w:rsid w:val="00401975"/>
    <w:rsid w:val="00401BD5"/>
    <w:rsid w:val="00401DB9"/>
    <w:rsid w:val="004024FA"/>
    <w:rsid w:val="0040295B"/>
    <w:rsid w:val="004031D9"/>
    <w:rsid w:val="004033EF"/>
    <w:rsid w:val="00403A7E"/>
    <w:rsid w:val="00403C20"/>
    <w:rsid w:val="00404104"/>
    <w:rsid w:val="004044A7"/>
    <w:rsid w:val="00404713"/>
    <w:rsid w:val="004048CE"/>
    <w:rsid w:val="00404D4B"/>
    <w:rsid w:val="00404E73"/>
    <w:rsid w:val="00404F3D"/>
    <w:rsid w:val="0040509B"/>
    <w:rsid w:val="004054C3"/>
    <w:rsid w:val="00405586"/>
    <w:rsid w:val="004060D1"/>
    <w:rsid w:val="00406184"/>
    <w:rsid w:val="00406227"/>
    <w:rsid w:val="00406466"/>
    <w:rsid w:val="00406C65"/>
    <w:rsid w:val="00407D66"/>
    <w:rsid w:val="00407F1C"/>
    <w:rsid w:val="004100C8"/>
    <w:rsid w:val="00410BB7"/>
    <w:rsid w:val="00410BF8"/>
    <w:rsid w:val="00410F0E"/>
    <w:rsid w:val="004116DC"/>
    <w:rsid w:val="0041178E"/>
    <w:rsid w:val="00411834"/>
    <w:rsid w:val="00411DBD"/>
    <w:rsid w:val="00412047"/>
    <w:rsid w:val="00412068"/>
    <w:rsid w:val="00412451"/>
    <w:rsid w:val="0041279A"/>
    <w:rsid w:val="00412ACE"/>
    <w:rsid w:val="00412B2C"/>
    <w:rsid w:val="00412C3F"/>
    <w:rsid w:val="004132CA"/>
    <w:rsid w:val="0041353B"/>
    <w:rsid w:val="0041373D"/>
    <w:rsid w:val="004138F6"/>
    <w:rsid w:val="00413BA7"/>
    <w:rsid w:val="00413BED"/>
    <w:rsid w:val="00413E94"/>
    <w:rsid w:val="00413F1D"/>
    <w:rsid w:val="004141B1"/>
    <w:rsid w:val="004145D2"/>
    <w:rsid w:val="00414D69"/>
    <w:rsid w:val="00414F6B"/>
    <w:rsid w:val="004150C6"/>
    <w:rsid w:val="00415292"/>
    <w:rsid w:val="00415349"/>
    <w:rsid w:val="0041547F"/>
    <w:rsid w:val="00415D99"/>
    <w:rsid w:val="004166DA"/>
    <w:rsid w:val="00416939"/>
    <w:rsid w:val="004169B7"/>
    <w:rsid w:val="00417026"/>
    <w:rsid w:val="00417BEF"/>
    <w:rsid w:val="0042003D"/>
    <w:rsid w:val="0042038D"/>
    <w:rsid w:val="0042066F"/>
    <w:rsid w:val="004207A3"/>
    <w:rsid w:val="00420967"/>
    <w:rsid w:val="00420B63"/>
    <w:rsid w:val="00420CB6"/>
    <w:rsid w:val="00420F38"/>
    <w:rsid w:val="00421695"/>
    <w:rsid w:val="00421A2E"/>
    <w:rsid w:val="00421AB6"/>
    <w:rsid w:val="00421B5B"/>
    <w:rsid w:val="00422131"/>
    <w:rsid w:val="0042239D"/>
    <w:rsid w:val="00422C7A"/>
    <w:rsid w:val="00422CC8"/>
    <w:rsid w:val="00422D0C"/>
    <w:rsid w:val="00423674"/>
    <w:rsid w:val="00423932"/>
    <w:rsid w:val="00423C32"/>
    <w:rsid w:val="00424BAA"/>
    <w:rsid w:val="00424F9D"/>
    <w:rsid w:val="00425128"/>
    <w:rsid w:val="0042518B"/>
    <w:rsid w:val="004256CC"/>
    <w:rsid w:val="00425F1E"/>
    <w:rsid w:val="00425FA6"/>
    <w:rsid w:val="00425FBD"/>
    <w:rsid w:val="00426000"/>
    <w:rsid w:val="0042605E"/>
    <w:rsid w:val="0042630C"/>
    <w:rsid w:val="00426AF4"/>
    <w:rsid w:val="00426CB4"/>
    <w:rsid w:val="004270CC"/>
    <w:rsid w:val="004272F0"/>
    <w:rsid w:val="004273AB"/>
    <w:rsid w:val="00427A2B"/>
    <w:rsid w:val="00427C75"/>
    <w:rsid w:val="004302B3"/>
    <w:rsid w:val="0043120F"/>
    <w:rsid w:val="00431249"/>
    <w:rsid w:val="00431384"/>
    <w:rsid w:val="00431658"/>
    <w:rsid w:val="00431843"/>
    <w:rsid w:val="00431E46"/>
    <w:rsid w:val="004322DD"/>
    <w:rsid w:val="00432BCA"/>
    <w:rsid w:val="00432C91"/>
    <w:rsid w:val="004331C8"/>
    <w:rsid w:val="0043368E"/>
    <w:rsid w:val="0043385E"/>
    <w:rsid w:val="00433A4F"/>
    <w:rsid w:val="00433ACA"/>
    <w:rsid w:val="00433BA6"/>
    <w:rsid w:val="00433FCE"/>
    <w:rsid w:val="00434C19"/>
    <w:rsid w:val="00434E04"/>
    <w:rsid w:val="00434EDE"/>
    <w:rsid w:val="004355EA"/>
    <w:rsid w:val="00435758"/>
    <w:rsid w:val="00435AD8"/>
    <w:rsid w:val="00435B82"/>
    <w:rsid w:val="00435C6B"/>
    <w:rsid w:val="00435C88"/>
    <w:rsid w:val="00435DDF"/>
    <w:rsid w:val="004362B1"/>
    <w:rsid w:val="00436380"/>
    <w:rsid w:val="0043670F"/>
    <w:rsid w:val="004367C9"/>
    <w:rsid w:val="00436880"/>
    <w:rsid w:val="00436FAF"/>
    <w:rsid w:val="00436FEC"/>
    <w:rsid w:val="00437BF7"/>
    <w:rsid w:val="004404C8"/>
    <w:rsid w:val="0044066C"/>
    <w:rsid w:val="004407E8"/>
    <w:rsid w:val="004409DE"/>
    <w:rsid w:val="00440C50"/>
    <w:rsid w:val="00440D86"/>
    <w:rsid w:val="0044112B"/>
    <w:rsid w:val="0044119F"/>
    <w:rsid w:val="00441688"/>
    <w:rsid w:val="00441A5D"/>
    <w:rsid w:val="00441CC6"/>
    <w:rsid w:val="00441CFD"/>
    <w:rsid w:val="00441E89"/>
    <w:rsid w:val="0044220D"/>
    <w:rsid w:val="004422D1"/>
    <w:rsid w:val="0044262A"/>
    <w:rsid w:val="004426F3"/>
    <w:rsid w:val="00442F51"/>
    <w:rsid w:val="00443144"/>
    <w:rsid w:val="00443225"/>
    <w:rsid w:val="0044375E"/>
    <w:rsid w:val="00443A3D"/>
    <w:rsid w:val="0044452E"/>
    <w:rsid w:val="004447C5"/>
    <w:rsid w:val="00444D61"/>
    <w:rsid w:val="00444ED2"/>
    <w:rsid w:val="0044522D"/>
    <w:rsid w:val="004456DB"/>
    <w:rsid w:val="00445D9E"/>
    <w:rsid w:val="0044622A"/>
    <w:rsid w:val="00446693"/>
    <w:rsid w:val="0044680F"/>
    <w:rsid w:val="00446B47"/>
    <w:rsid w:val="00446BA5"/>
    <w:rsid w:val="00446D21"/>
    <w:rsid w:val="00447054"/>
    <w:rsid w:val="00447078"/>
    <w:rsid w:val="00447946"/>
    <w:rsid w:val="00447E15"/>
    <w:rsid w:val="0045038E"/>
    <w:rsid w:val="00450731"/>
    <w:rsid w:val="00450810"/>
    <w:rsid w:val="004508D0"/>
    <w:rsid w:val="00450940"/>
    <w:rsid w:val="00451083"/>
    <w:rsid w:val="004511B3"/>
    <w:rsid w:val="004516DD"/>
    <w:rsid w:val="0045207C"/>
    <w:rsid w:val="00452389"/>
    <w:rsid w:val="00452435"/>
    <w:rsid w:val="00452D1D"/>
    <w:rsid w:val="00452DBA"/>
    <w:rsid w:val="00452F34"/>
    <w:rsid w:val="0045328D"/>
    <w:rsid w:val="004534E1"/>
    <w:rsid w:val="004536C4"/>
    <w:rsid w:val="00453979"/>
    <w:rsid w:val="00453BE0"/>
    <w:rsid w:val="00453DE1"/>
    <w:rsid w:val="004540CD"/>
    <w:rsid w:val="00454837"/>
    <w:rsid w:val="00454863"/>
    <w:rsid w:val="00454FFB"/>
    <w:rsid w:val="0045582F"/>
    <w:rsid w:val="00455E16"/>
    <w:rsid w:val="004562DF"/>
    <w:rsid w:val="00456730"/>
    <w:rsid w:val="00456887"/>
    <w:rsid w:val="00456FAE"/>
    <w:rsid w:val="0045744A"/>
    <w:rsid w:val="00457F20"/>
    <w:rsid w:val="00460390"/>
    <w:rsid w:val="0046040B"/>
    <w:rsid w:val="0046085B"/>
    <w:rsid w:val="004608BD"/>
    <w:rsid w:val="0046096D"/>
    <w:rsid w:val="00460CF7"/>
    <w:rsid w:val="00460F20"/>
    <w:rsid w:val="0046101C"/>
    <w:rsid w:val="004615ED"/>
    <w:rsid w:val="004615EE"/>
    <w:rsid w:val="00461F12"/>
    <w:rsid w:val="004622DF"/>
    <w:rsid w:val="004623AF"/>
    <w:rsid w:val="00462431"/>
    <w:rsid w:val="00462496"/>
    <w:rsid w:val="004626E3"/>
    <w:rsid w:val="004629F2"/>
    <w:rsid w:val="00462A59"/>
    <w:rsid w:val="00462A81"/>
    <w:rsid w:val="00462BFB"/>
    <w:rsid w:val="00462C06"/>
    <w:rsid w:val="00462C59"/>
    <w:rsid w:val="00462ECC"/>
    <w:rsid w:val="00462F7B"/>
    <w:rsid w:val="00463058"/>
    <w:rsid w:val="00463A05"/>
    <w:rsid w:val="00463B9D"/>
    <w:rsid w:val="00463C47"/>
    <w:rsid w:val="00463CD0"/>
    <w:rsid w:val="00464182"/>
    <w:rsid w:val="0046434F"/>
    <w:rsid w:val="004645E2"/>
    <w:rsid w:val="00465191"/>
    <w:rsid w:val="0046519A"/>
    <w:rsid w:val="004652A0"/>
    <w:rsid w:val="004652B2"/>
    <w:rsid w:val="0046531D"/>
    <w:rsid w:val="00465546"/>
    <w:rsid w:val="0046569C"/>
    <w:rsid w:val="00465842"/>
    <w:rsid w:val="004660FF"/>
    <w:rsid w:val="00466668"/>
    <w:rsid w:val="004666BB"/>
    <w:rsid w:val="0046673A"/>
    <w:rsid w:val="0046685E"/>
    <w:rsid w:val="004669AD"/>
    <w:rsid w:val="00466D1E"/>
    <w:rsid w:val="00466E26"/>
    <w:rsid w:val="00467422"/>
    <w:rsid w:val="004675E2"/>
    <w:rsid w:val="004675EA"/>
    <w:rsid w:val="0046780B"/>
    <w:rsid w:val="00467A1A"/>
    <w:rsid w:val="00467A67"/>
    <w:rsid w:val="00470737"/>
    <w:rsid w:val="004709AD"/>
    <w:rsid w:val="00470B4A"/>
    <w:rsid w:val="00470B61"/>
    <w:rsid w:val="00470B75"/>
    <w:rsid w:val="00470D44"/>
    <w:rsid w:val="0047137D"/>
    <w:rsid w:val="004714C7"/>
    <w:rsid w:val="004717AD"/>
    <w:rsid w:val="00471E81"/>
    <w:rsid w:val="004722B1"/>
    <w:rsid w:val="00472852"/>
    <w:rsid w:val="00472B5B"/>
    <w:rsid w:val="00473600"/>
    <w:rsid w:val="004743D9"/>
    <w:rsid w:val="004744DB"/>
    <w:rsid w:val="00474680"/>
    <w:rsid w:val="00474E5B"/>
    <w:rsid w:val="0047595B"/>
    <w:rsid w:val="00475C8B"/>
    <w:rsid w:val="00475E24"/>
    <w:rsid w:val="00475FC6"/>
    <w:rsid w:val="00476D5A"/>
    <w:rsid w:val="00476EBA"/>
    <w:rsid w:val="00477144"/>
    <w:rsid w:val="004771C2"/>
    <w:rsid w:val="0047781B"/>
    <w:rsid w:val="004778FD"/>
    <w:rsid w:val="00477A46"/>
    <w:rsid w:val="00480072"/>
    <w:rsid w:val="00480594"/>
    <w:rsid w:val="004810E2"/>
    <w:rsid w:val="00481885"/>
    <w:rsid w:val="00481F89"/>
    <w:rsid w:val="004822B4"/>
    <w:rsid w:val="0048231A"/>
    <w:rsid w:val="00482823"/>
    <w:rsid w:val="00482BB8"/>
    <w:rsid w:val="00482C40"/>
    <w:rsid w:val="0048314F"/>
    <w:rsid w:val="0048333F"/>
    <w:rsid w:val="004833F4"/>
    <w:rsid w:val="00483A56"/>
    <w:rsid w:val="00483BEA"/>
    <w:rsid w:val="00484007"/>
    <w:rsid w:val="00484050"/>
    <w:rsid w:val="00484201"/>
    <w:rsid w:val="004845C2"/>
    <w:rsid w:val="0048580F"/>
    <w:rsid w:val="00485DEF"/>
    <w:rsid w:val="004860F9"/>
    <w:rsid w:val="0048664C"/>
    <w:rsid w:val="00487254"/>
    <w:rsid w:val="0048738E"/>
    <w:rsid w:val="00487519"/>
    <w:rsid w:val="00487A42"/>
    <w:rsid w:val="00487BB8"/>
    <w:rsid w:val="00487BC4"/>
    <w:rsid w:val="00487F37"/>
    <w:rsid w:val="00487F98"/>
    <w:rsid w:val="004900A4"/>
    <w:rsid w:val="004908B7"/>
    <w:rsid w:val="00490B40"/>
    <w:rsid w:val="0049124D"/>
    <w:rsid w:val="00491380"/>
    <w:rsid w:val="00491775"/>
    <w:rsid w:val="00491790"/>
    <w:rsid w:val="00491ADD"/>
    <w:rsid w:val="00492098"/>
    <w:rsid w:val="004929A6"/>
    <w:rsid w:val="00492B78"/>
    <w:rsid w:val="00492CDA"/>
    <w:rsid w:val="00492DF8"/>
    <w:rsid w:val="00493573"/>
    <w:rsid w:val="0049459F"/>
    <w:rsid w:val="004949C1"/>
    <w:rsid w:val="00494B4D"/>
    <w:rsid w:val="00495160"/>
    <w:rsid w:val="004951DE"/>
    <w:rsid w:val="00495471"/>
    <w:rsid w:val="004957CD"/>
    <w:rsid w:val="00495C8C"/>
    <w:rsid w:val="00495E7E"/>
    <w:rsid w:val="0049674D"/>
    <w:rsid w:val="00496CE0"/>
    <w:rsid w:val="00496D9D"/>
    <w:rsid w:val="00497F93"/>
    <w:rsid w:val="00497FA2"/>
    <w:rsid w:val="004A04C3"/>
    <w:rsid w:val="004A0898"/>
    <w:rsid w:val="004A0DD9"/>
    <w:rsid w:val="004A0FF2"/>
    <w:rsid w:val="004A1B46"/>
    <w:rsid w:val="004A21E3"/>
    <w:rsid w:val="004A28E1"/>
    <w:rsid w:val="004A2C4E"/>
    <w:rsid w:val="004A315E"/>
    <w:rsid w:val="004A38DD"/>
    <w:rsid w:val="004A3D5E"/>
    <w:rsid w:val="004A3E94"/>
    <w:rsid w:val="004A48A1"/>
    <w:rsid w:val="004A4C55"/>
    <w:rsid w:val="004A4D30"/>
    <w:rsid w:val="004A5137"/>
    <w:rsid w:val="004A53A5"/>
    <w:rsid w:val="004A56A6"/>
    <w:rsid w:val="004A637E"/>
    <w:rsid w:val="004A663C"/>
    <w:rsid w:val="004A7803"/>
    <w:rsid w:val="004A7912"/>
    <w:rsid w:val="004A792A"/>
    <w:rsid w:val="004A7B6E"/>
    <w:rsid w:val="004B010D"/>
    <w:rsid w:val="004B0228"/>
    <w:rsid w:val="004B0262"/>
    <w:rsid w:val="004B0340"/>
    <w:rsid w:val="004B0434"/>
    <w:rsid w:val="004B0842"/>
    <w:rsid w:val="004B0F40"/>
    <w:rsid w:val="004B0F8D"/>
    <w:rsid w:val="004B125A"/>
    <w:rsid w:val="004B13AD"/>
    <w:rsid w:val="004B1600"/>
    <w:rsid w:val="004B1CEB"/>
    <w:rsid w:val="004B2626"/>
    <w:rsid w:val="004B2803"/>
    <w:rsid w:val="004B2B97"/>
    <w:rsid w:val="004B2DEF"/>
    <w:rsid w:val="004B2E78"/>
    <w:rsid w:val="004B2F59"/>
    <w:rsid w:val="004B3522"/>
    <w:rsid w:val="004B379F"/>
    <w:rsid w:val="004B3A7D"/>
    <w:rsid w:val="004B3AA8"/>
    <w:rsid w:val="004B3C45"/>
    <w:rsid w:val="004B3DB1"/>
    <w:rsid w:val="004B3FFB"/>
    <w:rsid w:val="004B43AE"/>
    <w:rsid w:val="004B4896"/>
    <w:rsid w:val="004B4927"/>
    <w:rsid w:val="004B49CB"/>
    <w:rsid w:val="004B4C89"/>
    <w:rsid w:val="004B4EC6"/>
    <w:rsid w:val="004B540C"/>
    <w:rsid w:val="004B5414"/>
    <w:rsid w:val="004B542E"/>
    <w:rsid w:val="004B5624"/>
    <w:rsid w:val="004B5824"/>
    <w:rsid w:val="004B5983"/>
    <w:rsid w:val="004B59FD"/>
    <w:rsid w:val="004B607D"/>
    <w:rsid w:val="004B60A0"/>
    <w:rsid w:val="004B6122"/>
    <w:rsid w:val="004B65B3"/>
    <w:rsid w:val="004B6634"/>
    <w:rsid w:val="004B68D8"/>
    <w:rsid w:val="004B72C9"/>
    <w:rsid w:val="004B7AAE"/>
    <w:rsid w:val="004C00FC"/>
    <w:rsid w:val="004C07F2"/>
    <w:rsid w:val="004C09A9"/>
    <w:rsid w:val="004C0ABD"/>
    <w:rsid w:val="004C0BC1"/>
    <w:rsid w:val="004C0EE8"/>
    <w:rsid w:val="004C0FC6"/>
    <w:rsid w:val="004C1775"/>
    <w:rsid w:val="004C18CC"/>
    <w:rsid w:val="004C19FC"/>
    <w:rsid w:val="004C1E63"/>
    <w:rsid w:val="004C2089"/>
    <w:rsid w:val="004C2106"/>
    <w:rsid w:val="004C2161"/>
    <w:rsid w:val="004C217B"/>
    <w:rsid w:val="004C21F4"/>
    <w:rsid w:val="004C2564"/>
    <w:rsid w:val="004C26F9"/>
    <w:rsid w:val="004C27F8"/>
    <w:rsid w:val="004C287D"/>
    <w:rsid w:val="004C2A0D"/>
    <w:rsid w:val="004C2B21"/>
    <w:rsid w:val="004C2CA7"/>
    <w:rsid w:val="004C30ED"/>
    <w:rsid w:val="004C3833"/>
    <w:rsid w:val="004C38ED"/>
    <w:rsid w:val="004C414D"/>
    <w:rsid w:val="004C4846"/>
    <w:rsid w:val="004C50E8"/>
    <w:rsid w:val="004C5378"/>
    <w:rsid w:val="004C5711"/>
    <w:rsid w:val="004C5927"/>
    <w:rsid w:val="004C5931"/>
    <w:rsid w:val="004C5C27"/>
    <w:rsid w:val="004C655C"/>
    <w:rsid w:val="004C69D9"/>
    <w:rsid w:val="004C7106"/>
    <w:rsid w:val="004C7910"/>
    <w:rsid w:val="004C7D98"/>
    <w:rsid w:val="004D033B"/>
    <w:rsid w:val="004D0637"/>
    <w:rsid w:val="004D0EC6"/>
    <w:rsid w:val="004D1194"/>
    <w:rsid w:val="004D12C1"/>
    <w:rsid w:val="004D1563"/>
    <w:rsid w:val="004D186E"/>
    <w:rsid w:val="004D1AC1"/>
    <w:rsid w:val="004D1D5C"/>
    <w:rsid w:val="004D2069"/>
    <w:rsid w:val="004D282C"/>
    <w:rsid w:val="004D299B"/>
    <w:rsid w:val="004D29FF"/>
    <w:rsid w:val="004D3124"/>
    <w:rsid w:val="004D42B6"/>
    <w:rsid w:val="004D43CB"/>
    <w:rsid w:val="004D4622"/>
    <w:rsid w:val="004D499F"/>
    <w:rsid w:val="004D4B67"/>
    <w:rsid w:val="004D5675"/>
    <w:rsid w:val="004D571E"/>
    <w:rsid w:val="004D57F7"/>
    <w:rsid w:val="004D58BC"/>
    <w:rsid w:val="004D5E03"/>
    <w:rsid w:val="004D5EB1"/>
    <w:rsid w:val="004D653F"/>
    <w:rsid w:val="004D6B98"/>
    <w:rsid w:val="004D72B1"/>
    <w:rsid w:val="004D7383"/>
    <w:rsid w:val="004D746D"/>
    <w:rsid w:val="004D76C7"/>
    <w:rsid w:val="004D795F"/>
    <w:rsid w:val="004D7CBA"/>
    <w:rsid w:val="004D7DE6"/>
    <w:rsid w:val="004D7E66"/>
    <w:rsid w:val="004E0675"/>
    <w:rsid w:val="004E0D5A"/>
    <w:rsid w:val="004E1BB3"/>
    <w:rsid w:val="004E1E28"/>
    <w:rsid w:val="004E22EF"/>
    <w:rsid w:val="004E2661"/>
    <w:rsid w:val="004E2709"/>
    <w:rsid w:val="004E27F7"/>
    <w:rsid w:val="004E2A78"/>
    <w:rsid w:val="004E2B8C"/>
    <w:rsid w:val="004E2EE8"/>
    <w:rsid w:val="004E35CE"/>
    <w:rsid w:val="004E3B11"/>
    <w:rsid w:val="004E4264"/>
    <w:rsid w:val="004E4369"/>
    <w:rsid w:val="004E44AA"/>
    <w:rsid w:val="004E4738"/>
    <w:rsid w:val="004E4924"/>
    <w:rsid w:val="004E4AC4"/>
    <w:rsid w:val="004E5364"/>
    <w:rsid w:val="004E580D"/>
    <w:rsid w:val="004E5D85"/>
    <w:rsid w:val="004E5F20"/>
    <w:rsid w:val="004E65D9"/>
    <w:rsid w:val="004E667B"/>
    <w:rsid w:val="004E66E4"/>
    <w:rsid w:val="004E6EE9"/>
    <w:rsid w:val="004E6F5D"/>
    <w:rsid w:val="004E7477"/>
    <w:rsid w:val="004E74D7"/>
    <w:rsid w:val="004E7729"/>
    <w:rsid w:val="004E776C"/>
    <w:rsid w:val="004E7921"/>
    <w:rsid w:val="004E796E"/>
    <w:rsid w:val="004E7D2E"/>
    <w:rsid w:val="004E7D85"/>
    <w:rsid w:val="004F00BA"/>
    <w:rsid w:val="004F0280"/>
    <w:rsid w:val="004F0906"/>
    <w:rsid w:val="004F0967"/>
    <w:rsid w:val="004F0986"/>
    <w:rsid w:val="004F09CF"/>
    <w:rsid w:val="004F0B1F"/>
    <w:rsid w:val="004F10B6"/>
    <w:rsid w:val="004F1403"/>
    <w:rsid w:val="004F164B"/>
    <w:rsid w:val="004F1901"/>
    <w:rsid w:val="004F2513"/>
    <w:rsid w:val="004F26B2"/>
    <w:rsid w:val="004F2715"/>
    <w:rsid w:val="004F2B3D"/>
    <w:rsid w:val="004F2D3A"/>
    <w:rsid w:val="004F2FBA"/>
    <w:rsid w:val="004F3127"/>
    <w:rsid w:val="004F37EE"/>
    <w:rsid w:val="004F4624"/>
    <w:rsid w:val="004F46EA"/>
    <w:rsid w:val="004F472A"/>
    <w:rsid w:val="004F4787"/>
    <w:rsid w:val="004F47C5"/>
    <w:rsid w:val="004F4CE7"/>
    <w:rsid w:val="004F4DD8"/>
    <w:rsid w:val="004F50AF"/>
    <w:rsid w:val="004F51F1"/>
    <w:rsid w:val="004F52F9"/>
    <w:rsid w:val="004F5832"/>
    <w:rsid w:val="004F5B02"/>
    <w:rsid w:val="004F5B36"/>
    <w:rsid w:val="004F5C04"/>
    <w:rsid w:val="004F611A"/>
    <w:rsid w:val="004F62E4"/>
    <w:rsid w:val="004F6620"/>
    <w:rsid w:val="004F6B23"/>
    <w:rsid w:val="004F6CEE"/>
    <w:rsid w:val="004F719D"/>
    <w:rsid w:val="004F7730"/>
    <w:rsid w:val="004F77F6"/>
    <w:rsid w:val="004F7CD9"/>
    <w:rsid w:val="004F7CF9"/>
    <w:rsid w:val="004F7DF1"/>
    <w:rsid w:val="00500165"/>
    <w:rsid w:val="0050025A"/>
    <w:rsid w:val="00500963"/>
    <w:rsid w:val="00500A7D"/>
    <w:rsid w:val="00500E4F"/>
    <w:rsid w:val="005011C3"/>
    <w:rsid w:val="005013C2"/>
    <w:rsid w:val="00502504"/>
    <w:rsid w:val="005027C4"/>
    <w:rsid w:val="00502FD5"/>
    <w:rsid w:val="0050302A"/>
    <w:rsid w:val="0050354C"/>
    <w:rsid w:val="00503798"/>
    <w:rsid w:val="005039A1"/>
    <w:rsid w:val="00503A2B"/>
    <w:rsid w:val="00503B9B"/>
    <w:rsid w:val="00504064"/>
    <w:rsid w:val="005044A8"/>
    <w:rsid w:val="00504F38"/>
    <w:rsid w:val="00504FE5"/>
    <w:rsid w:val="005050B8"/>
    <w:rsid w:val="00505838"/>
    <w:rsid w:val="00505BC0"/>
    <w:rsid w:val="00505C68"/>
    <w:rsid w:val="0050625E"/>
    <w:rsid w:val="00506529"/>
    <w:rsid w:val="00506D76"/>
    <w:rsid w:val="00507025"/>
    <w:rsid w:val="005072E1"/>
    <w:rsid w:val="0050792F"/>
    <w:rsid w:val="00507B60"/>
    <w:rsid w:val="00507F04"/>
    <w:rsid w:val="005100AC"/>
    <w:rsid w:val="00510250"/>
    <w:rsid w:val="005102FA"/>
    <w:rsid w:val="005104C1"/>
    <w:rsid w:val="00510600"/>
    <w:rsid w:val="00510740"/>
    <w:rsid w:val="0051083F"/>
    <w:rsid w:val="00510D6E"/>
    <w:rsid w:val="00511C9A"/>
    <w:rsid w:val="00511D65"/>
    <w:rsid w:val="00511D87"/>
    <w:rsid w:val="00512899"/>
    <w:rsid w:val="00512E95"/>
    <w:rsid w:val="0051306E"/>
    <w:rsid w:val="005131FB"/>
    <w:rsid w:val="005134E7"/>
    <w:rsid w:val="005136B0"/>
    <w:rsid w:val="00513F3F"/>
    <w:rsid w:val="0051403B"/>
    <w:rsid w:val="005140D3"/>
    <w:rsid w:val="005145FF"/>
    <w:rsid w:val="00514809"/>
    <w:rsid w:val="0051536A"/>
    <w:rsid w:val="00515676"/>
    <w:rsid w:val="005159D1"/>
    <w:rsid w:val="00515BA2"/>
    <w:rsid w:val="00515E38"/>
    <w:rsid w:val="00515EC6"/>
    <w:rsid w:val="005162FA"/>
    <w:rsid w:val="00516CD1"/>
    <w:rsid w:val="0051726E"/>
    <w:rsid w:val="005172C8"/>
    <w:rsid w:val="00517635"/>
    <w:rsid w:val="00517795"/>
    <w:rsid w:val="00517F64"/>
    <w:rsid w:val="0052033A"/>
    <w:rsid w:val="0052047F"/>
    <w:rsid w:val="005207AB"/>
    <w:rsid w:val="005208C0"/>
    <w:rsid w:val="00520E53"/>
    <w:rsid w:val="00521259"/>
    <w:rsid w:val="0052161A"/>
    <w:rsid w:val="00521B2F"/>
    <w:rsid w:val="00521D2E"/>
    <w:rsid w:val="00521EE2"/>
    <w:rsid w:val="0052233C"/>
    <w:rsid w:val="00522828"/>
    <w:rsid w:val="00522EF7"/>
    <w:rsid w:val="00522F89"/>
    <w:rsid w:val="00522F8A"/>
    <w:rsid w:val="005230D0"/>
    <w:rsid w:val="00523369"/>
    <w:rsid w:val="00523639"/>
    <w:rsid w:val="00523643"/>
    <w:rsid w:val="00523FF9"/>
    <w:rsid w:val="00524115"/>
    <w:rsid w:val="0052426C"/>
    <w:rsid w:val="00524316"/>
    <w:rsid w:val="005248CF"/>
    <w:rsid w:val="00524A4E"/>
    <w:rsid w:val="00524FE2"/>
    <w:rsid w:val="005251D0"/>
    <w:rsid w:val="0052534A"/>
    <w:rsid w:val="0052541B"/>
    <w:rsid w:val="005255D4"/>
    <w:rsid w:val="00525AA4"/>
    <w:rsid w:val="0052615A"/>
    <w:rsid w:val="0052621F"/>
    <w:rsid w:val="00526251"/>
    <w:rsid w:val="005263B1"/>
    <w:rsid w:val="00526AB2"/>
    <w:rsid w:val="00526CB7"/>
    <w:rsid w:val="005273E0"/>
    <w:rsid w:val="005277FE"/>
    <w:rsid w:val="00527A3E"/>
    <w:rsid w:val="00527B85"/>
    <w:rsid w:val="00527EF5"/>
    <w:rsid w:val="00530369"/>
    <w:rsid w:val="005304F1"/>
    <w:rsid w:val="0053098C"/>
    <w:rsid w:val="00530B25"/>
    <w:rsid w:val="005310F5"/>
    <w:rsid w:val="00531FE5"/>
    <w:rsid w:val="005324CC"/>
    <w:rsid w:val="005325E9"/>
    <w:rsid w:val="00532996"/>
    <w:rsid w:val="00532A70"/>
    <w:rsid w:val="00533127"/>
    <w:rsid w:val="0053356E"/>
    <w:rsid w:val="00533FE0"/>
    <w:rsid w:val="00534F30"/>
    <w:rsid w:val="005351C7"/>
    <w:rsid w:val="00535326"/>
    <w:rsid w:val="00535661"/>
    <w:rsid w:val="00535B1D"/>
    <w:rsid w:val="00536768"/>
    <w:rsid w:val="00536783"/>
    <w:rsid w:val="00536818"/>
    <w:rsid w:val="00536853"/>
    <w:rsid w:val="005369F1"/>
    <w:rsid w:val="00537A52"/>
    <w:rsid w:val="005402FA"/>
    <w:rsid w:val="00540823"/>
    <w:rsid w:val="00541671"/>
    <w:rsid w:val="00541D45"/>
    <w:rsid w:val="00541E1A"/>
    <w:rsid w:val="00541EF5"/>
    <w:rsid w:val="00542FE5"/>
    <w:rsid w:val="00543244"/>
    <w:rsid w:val="0054349E"/>
    <w:rsid w:val="00543967"/>
    <w:rsid w:val="00543CEF"/>
    <w:rsid w:val="0054420B"/>
    <w:rsid w:val="005442FF"/>
    <w:rsid w:val="005446DB"/>
    <w:rsid w:val="00545BFD"/>
    <w:rsid w:val="00545FBE"/>
    <w:rsid w:val="005465C0"/>
    <w:rsid w:val="00546EA4"/>
    <w:rsid w:val="005470CC"/>
    <w:rsid w:val="005478F5"/>
    <w:rsid w:val="00550198"/>
    <w:rsid w:val="005503C9"/>
    <w:rsid w:val="00550C4D"/>
    <w:rsid w:val="00550CBC"/>
    <w:rsid w:val="0055153E"/>
    <w:rsid w:val="0055346D"/>
    <w:rsid w:val="0055372C"/>
    <w:rsid w:val="005538B7"/>
    <w:rsid w:val="00553A2E"/>
    <w:rsid w:val="00553C7D"/>
    <w:rsid w:val="00553DC7"/>
    <w:rsid w:val="0055472C"/>
    <w:rsid w:val="00554BA2"/>
    <w:rsid w:val="00554C7C"/>
    <w:rsid w:val="00554FF3"/>
    <w:rsid w:val="00556885"/>
    <w:rsid w:val="00556A8C"/>
    <w:rsid w:val="0055702B"/>
    <w:rsid w:val="005571AB"/>
    <w:rsid w:val="00557792"/>
    <w:rsid w:val="005577F4"/>
    <w:rsid w:val="00557800"/>
    <w:rsid w:val="00557AB9"/>
    <w:rsid w:val="00560013"/>
    <w:rsid w:val="005602C7"/>
    <w:rsid w:val="005602D3"/>
    <w:rsid w:val="00560307"/>
    <w:rsid w:val="005603DC"/>
    <w:rsid w:val="00560647"/>
    <w:rsid w:val="0056077A"/>
    <w:rsid w:val="00560907"/>
    <w:rsid w:val="00560C8A"/>
    <w:rsid w:val="005612DF"/>
    <w:rsid w:val="005615F8"/>
    <w:rsid w:val="0056167A"/>
    <w:rsid w:val="0056169D"/>
    <w:rsid w:val="00561ECB"/>
    <w:rsid w:val="00561F6B"/>
    <w:rsid w:val="005620EE"/>
    <w:rsid w:val="00562191"/>
    <w:rsid w:val="00562203"/>
    <w:rsid w:val="0056242D"/>
    <w:rsid w:val="005627D5"/>
    <w:rsid w:val="00562E90"/>
    <w:rsid w:val="005632B1"/>
    <w:rsid w:val="00563335"/>
    <w:rsid w:val="005633BD"/>
    <w:rsid w:val="00563B54"/>
    <w:rsid w:val="0056437D"/>
    <w:rsid w:val="00564545"/>
    <w:rsid w:val="00564755"/>
    <w:rsid w:val="005647FE"/>
    <w:rsid w:val="00564A82"/>
    <w:rsid w:val="00564C06"/>
    <w:rsid w:val="00564EA9"/>
    <w:rsid w:val="00564F89"/>
    <w:rsid w:val="005655A5"/>
    <w:rsid w:val="00565C6E"/>
    <w:rsid w:val="00565C98"/>
    <w:rsid w:val="00565E9C"/>
    <w:rsid w:val="00566151"/>
    <w:rsid w:val="00566CC8"/>
    <w:rsid w:val="00566F9E"/>
    <w:rsid w:val="005670FD"/>
    <w:rsid w:val="00567130"/>
    <w:rsid w:val="00567254"/>
    <w:rsid w:val="0056775B"/>
    <w:rsid w:val="00567DDE"/>
    <w:rsid w:val="00567F56"/>
    <w:rsid w:val="00570426"/>
    <w:rsid w:val="005705D2"/>
    <w:rsid w:val="00570BC7"/>
    <w:rsid w:val="00570E38"/>
    <w:rsid w:val="00570E7E"/>
    <w:rsid w:val="00571047"/>
    <w:rsid w:val="005715DD"/>
    <w:rsid w:val="00571DA7"/>
    <w:rsid w:val="00571E93"/>
    <w:rsid w:val="005720A5"/>
    <w:rsid w:val="005729BD"/>
    <w:rsid w:val="00572D5F"/>
    <w:rsid w:val="00572E38"/>
    <w:rsid w:val="00573094"/>
    <w:rsid w:val="00573298"/>
    <w:rsid w:val="005732E3"/>
    <w:rsid w:val="00573437"/>
    <w:rsid w:val="00573BE3"/>
    <w:rsid w:val="005740B3"/>
    <w:rsid w:val="00574149"/>
    <w:rsid w:val="00574271"/>
    <w:rsid w:val="00574E37"/>
    <w:rsid w:val="00575604"/>
    <w:rsid w:val="00575671"/>
    <w:rsid w:val="00575CA3"/>
    <w:rsid w:val="00576016"/>
    <w:rsid w:val="005767EE"/>
    <w:rsid w:val="00576925"/>
    <w:rsid w:val="00576B1D"/>
    <w:rsid w:val="00576C86"/>
    <w:rsid w:val="005771EE"/>
    <w:rsid w:val="005774CD"/>
    <w:rsid w:val="0057773F"/>
    <w:rsid w:val="0057779F"/>
    <w:rsid w:val="005777F4"/>
    <w:rsid w:val="00577A36"/>
    <w:rsid w:val="00577CC3"/>
    <w:rsid w:val="00577D8E"/>
    <w:rsid w:val="00580154"/>
    <w:rsid w:val="005803EC"/>
    <w:rsid w:val="0058064F"/>
    <w:rsid w:val="00580F7F"/>
    <w:rsid w:val="0058135C"/>
    <w:rsid w:val="0058145E"/>
    <w:rsid w:val="005819F0"/>
    <w:rsid w:val="005822C8"/>
    <w:rsid w:val="00582547"/>
    <w:rsid w:val="005826A1"/>
    <w:rsid w:val="0058326F"/>
    <w:rsid w:val="00583400"/>
    <w:rsid w:val="005834AF"/>
    <w:rsid w:val="005839D3"/>
    <w:rsid w:val="00583C39"/>
    <w:rsid w:val="00583CC0"/>
    <w:rsid w:val="00583EED"/>
    <w:rsid w:val="00583F18"/>
    <w:rsid w:val="0058432D"/>
    <w:rsid w:val="005844E6"/>
    <w:rsid w:val="00584880"/>
    <w:rsid w:val="005848BB"/>
    <w:rsid w:val="00584D5A"/>
    <w:rsid w:val="0058555F"/>
    <w:rsid w:val="00585A41"/>
    <w:rsid w:val="00585BC7"/>
    <w:rsid w:val="00586012"/>
    <w:rsid w:val="005867C6"/>
    <w:rsid w:val="00586A90"/>
    <w:rsid w:val="00586B4D"/>
    <w:rsid w:val="005870C9"/>
    <w:rsid w:val="0058714A"/>
    <w:rsid w:val="0058726E"/>
    <w:rsid w:val="005872F4"/>
    <w:rsid w:val="00587B8D"/>
    <w:rsid w:val="00587C7C"/>
    <w:rsid w:val="00587CBE"/>
    <w:rsid w:val="00587F28"/>
    <w:rsid w:val="005905B0"/>
    <w:rsid w:val="005909CF"/>
    <w:rsid w:val="005909F6"/>
    <w:rsid w:val="00590D24"/>
    <w:rsid w:val="00590D82"/>
    <w:rsid w:val="00591E71"/>
    <w:rsid w:val="00592136"/>
    <w:rsid w:val="00592406"/>
    <w:rsid w:val="005927CD"/>
    <w:rsid w:val="005928DF"/>
    <w:rsid w:val="00593022"/>
    <w:rsid w:val="0059319E"/>
    <w:rsid w:val="00593F05"/>
    <w:rsid w:val="00594202"/>
    <w:rsid w:val="0059500F"/>
    <w:rsid w:val="0059511E"/>
    <w:rsid w:val="005952D3"/>
    <w:rsid w:val="0059533B"/>
    <w:rsid w:val="0059542B"/>
    <w:rsid w:val="005955AA"/>
    <w:rsid w:val="00595794"/>
    <w:rsid w:val="005959BE"/>
    <w:rsid w:val="00595BAB"/>
    <w:rsid w:val="005961BA"/>
    <w:rsid w:val="005965AF"/>
    <w:rsid w:val="005967E9"/>
    <w:rsid w:val="005969C6"/>
    <w:rsid w:val="00596E7E"/>
    <w:rsid w:val="005975EE"/>
    <w:rsid w:val="00597B41"/>
    <w:rsid w:val="00597BA8"/>
    <w:rsid w:val="005A0448"/>
    <w:rsid w:val="005A06A6"/>
    <w:rsid w:val="005A087D"/>
    <w:rsid w:val="005A0AEF"/>
    <w:rsid w:val="005A0C59"/>
    <w:rsid w:val="005A0D41"/>
    <w:rsid w:val="005A108C"/>
    <w:rsid w:val="005A10D9"/>
    <w:rsid w:val="005A11CB"/>
    <w:rsid w:val="005A1546"/>
    <w:rsid w:val="005A1B55"/>
    <w:rsid w:val="005A20A2"/>
    <w:rsid w:val="005A21F7"/>
    <w:rsid w:val="005A2C7B"/>
    <w:rsid w:val="005A2D5B"/>
    <w:rsid w:val="005A3007"/>
    <w:rsid w:val="005A3242"/>
    <w:rsid w:val="005A3321"/>
    <w:rsid w:val="005A3389"/>
    <w:rsid w:val="005A39FC"/>
    <w:rsid w:val="005A3E2D"/>
    <w:rsid w:val="005A4485"/>
    <w:rsid w:val="005A5223"/>
    <w:rsid w:val="005A548A"/>
    <w:rsid w:val="005A56D2"/>
    <w:rsid w:val="005A5A23"/>
    <w:rsid w:val="005A5A24"/>
    <w:rsid w:val="005A5D66"/>
    <w:rsid w:val="005A6013"/>
    <w:rsid w:val="005A650D"/>
    <w:rsid w:val="005A664A"/>
    <w:rsid w:val="005A6CBF"/>
    <w:rsid w:val="005A756F"/>
    <w:rsid w:val="005A79A6"/>
    <w:rsid w:val="005A7A48"/>
    <w:rsid w:val="005B020D"/>
    <w:rsid w:val="005B0214"/>
    <w:rsid w:val="005B0B3C"/>
    <w:rsid w:val="005B0E12"/>
    <w:rsid w:val="005B118A"/>
    <w:rsid w:val="005B1510"/>
    <w:rsid w:val="005B1B6D"/>
    <w:rsid w:val="005B238D"/>
    <w:rsid w:val="005B2644"/>
    <w:rsid w:val="005B2CB7"/>
    <w:rsid w:val="005B3725"/>
    <w:rsid w:val="005B4027"/>
    <w:rsid w:val="005B43EE"/>
    <w:rsid w:val="005B507B"/>
    <w:rsid w:val="005B53D7"/>
    <w:rsid w:val="005B57B7"/>
    <w:rsid w:val="005B6087"/>
    <w:rsid w:val="005B63BA"/>
    <w:rsid w:val="005B6458"/>
    <w:rsid w:val="005B6591"/>
    <w:rsid w:val="005B680C"/>
    <w:rsid w:val="005B6B90"/>
    <w:rsid w:val="005B6D16"/>
    <w:rsid w:val="005B6DC6"/>
    <w:rsid w:val="005B6E35"/>
    <w:rsid w:val="005B6FE5"/>
    <w:rsid w:val="005B70AA"/>
    <w:rsid w:val="005B785C"/>
    <w:rsid w:val="005B7B7B"/>
    <w:rsid w:val="005B7CA3"/>
    <w:rsid w:val="005B7D6D"/>
    <w:rsid w:val="005B7FAF"/>
    <w:rsid w:val="005C0008"/>
    <w:rsid w:val="005C0565"/>
    <w:rsid w:val="005C0C2A"/>
    <w:rsid w:val="005C0EA4"/>
    <w:rsid w:val="005C1739"/>
    <w:rsid w:val="005C17FE"/>
    <w:rsid w:val="005C2169"/>
    <w:rsid w:val="005C263D"/>
    <w:rsid w:val="005C26F6"/>
    <w:rsid w:val="005C2EC2"/>
    <w:rsid w:val="005C3339"/>
    <w:rsid w:val="005C37BF"/>
    <w:rsid w:val="005C38F1"/>
    <w:rsid w:val="005C45A6"/>
    <w:rsid w:val="005C49BB"/>
    <w:rsid w:val="005C4D81"/>
    <w:rsid w:val="005C5189"/>
    <w:rsid w:val="005C5D7D"/>
    <w:rsid w:val="005C62EA"/>
    <w:rsid w:val="005C6CE3"/>
    <w:rsid w:val="005C71CE"/>
    <w:rsid w:val="005C7212"/>
    <w:rsid w:val="005D0230"/>
    <w:rsid w:val="005D06A0"/>
    <w:rsid w:val="005D0B7E"/>
    <w:rsid w:val="005D0CF4"/>
    <w:rsid w:val="005D192F"/>
    <w:rsid w:val="005D1B39"/>
    <w:rsid w:val="005D1D04"/>
    <w:rsid w:val="005D2216"/>
    <w:rsid w:val="005D284D"/>
    <w:rsid w:val="005D2A62"/>
    <w:rsid w:val="005D329F"/>
    <w:rsid w:val="005D3736"/>
    <w:rsid w:val="005D38D7"/>
    <w:rsid w:val="005D39CB"/>
    <w:rsid w:val="005D42FD"/>
    <w:rsid w:val="005D474C"/>
    <w:rsid w:val="005D4C76"/>
    <w:rsid w:val="005D58B9"/>
    <w:rsid w:val="005D5943"/>
    <w:rsid w:val="005D63C7"/>
    <w:rsid w:val="005D667B"/>
    <w:rsid w:val="005D74BE"/>
    <w:rsid w:val="005D77E1"/>
    <w:rsid w:val="005D7B06"/>
    <w:rsid w:val="005D7D7D"/>
    <w:rsid w:val="005D7DBB"/>
    <w:rsid w:val="005E06B9"/>
    <w:rsid w:val="005E0837"/>
    <w:rsid w:val="005E0E95"/>
    <w:rsid w:val="005E0F68"/>
    <w:rsid w:val="005E1027"/>
    <w:rsid w:val="005E141E"/>
    <w:rsid w:val="005E18D6"/>
    <w:rsid w:val="005E1D43"/>
    <w:rsid w:val="005E1FCF"/>
    <w:rsid w:val="005E2EF7"/>
    <w:rsid w:val="005E2FEE"/>
    <w:rsid w:val="005E300B"/>
    <w:rsid w:val="005E3015"/>
    <w:rsid w:val="005E311D"/>
    <w:rsid w:val="005E31F9"/>
    <w:rsid w:val="005E32F8"/>
    <w:rsid w:val="005E374C"/>
    <w:rsid w:val="005E37B0"/>
    <w:rsid w:val="005E42B9"/>
    <w:rsid w:val="005E4788"/>
    <w:rsid w:val="005E47F1"/>
    <w:rsid w:val="005E48BF"/>
    <w:rsid w:val="005E4A8A"/>
    <w:rsid w:val="005E4E69"/>
    <w:rsid w:val="005E4EB1"/>
    <w:rsid w:val="005E5CC2"/>
    <w:rsid w:val="005E5DB6"/>
    <w:rsid w:val="005E609C"/>
    <w:rsid w:val="005E6182"/>
    <w:rsid w:val="005E61EC"/>
    <w:rsid w:val="005E6251"/>
    <w:rsid w:val="005E6532"/>
    <w:rsid w:val="005E6583"/>
    <w:rsid w:val="005E6A8B"/>
    <w:rsid w:val="005E7799"/>
    <w:rsid w:val="005E7CE5"/>
    <w:rsid w:val="005E7E96"/>
    <w:rsid w:val="005F04FD"/>
    <w:rsid w:val="005F1284"/>
    <w:rsid w:val="005F141C"/>
    <w:rsid w:val="005F15DE"/>
    <w:rsid w:val="005F1B02"/>
    <w:rsid w:val="005F2174"/>
    <w:rsid w:val="005F228B"/>
    <w:rsid w:val="005F2626"/>
    <w:rsid w:val="005F2BFE"/>
    <w:rsid w:val="005F30AF"/>
    <w:rsid w:val="005F327C"/>
    <w:rsid w:val="005F33EE"/>
    <w:rsid w:val="005F376E"/>
    <w:rsid w:val="005F37D4"/>
    <w:rsid w:val="005F39D7"/>
    <w:rsid w:val="005F40B4"/>
    <w:rsid w:val="005F4591"/>
    <w:rsid w:val="005F4607"/>
    <w:rsid w:val="005F48ED"/>
    <w:rsid w:val="005F4A1E"/>
    <w:rsid w:val="005F4CE8"/>
    <w:rsid w:val="005F5293"/>
    <w:rsid w:val="005F58EE"/>
    <w:rsid w:val="005F5A66"/>
    <w:rsid w:val="005F5DC6"/>
    <w:rsid w:val="005F5E4D"/>
    <w:rsid w:val="005F61C3"/>
    <w:rsid w:val="005F65FC"/>
    <w:rsid w:val="005F672C"/>
    <w:rsid w:val="005F6C6E"/>
    <w:rsid w:val="005F6CBB"/>
    <w:rsid w:val="005F6CFE"/>
    <w:rsid w:val="005F6DF4"/>
    <w:rsid w:val="005F707B"/>
    <w:rsid w:val="00600052"/>
    <w:rsid w:val="0060005B"/>
    <w:rsid w:val="00600A5F"/>
    <w:rsid w:val="006016D8"/>
    <w:rsid w:val="00601CD8"/>
    <w:rsid w:val="00601EF4"/>
    <w:rsid w:val="006021D8"/>
    <w:rsid w:val="00602672"/>
    <w:rsid w:val="006026AA"/>
    <w:rsid w:val="0060275F"/>
    <w:rsid w:val="00602F52"/>
    <w:rsid w:val="0060310D"/>
    <w:rsid w:val="00603140"/>
    <w:rsid w:val="00603228"/>
    <w:rsid w:val="00603B3F"/>
    <w:rsid w:val="00603DC1"/>
    <w:rsid w:val="00603E6E"/>
    <w:rsid w:val="00603E70"/>
    <w:rsid w:val="006043A1"/>
    <w:rsid w:val="00604CBE"/>
    <w:rsid w:val="0060531A"/>
    <w:rsid w:val="00605381"/>
    <w:rsid w:val="0060589E"/>
    <w:rsid w:val="00605B4F"/>
    <w:rsid w:val="00605D27"/>
    <w:rsid w:val="006063E1"/>
    <w:rsid w:val="00606698"/>
    <w:rsid w:val="00606B53"/>
    <w:rsid w:val="00606BF5"/>
    <w:rsid w:val="00606E78"/>
    <w:rsid w:val="00606EED"/>
    <w:rsid w:val="006075EC"/>
    <w:rsid w:val="00607BF1"/>
    <w:rsid w:val="00607E17"/>
    <w:rsid w:val="00607E25"/>
    <w:rsid w:val="00610134"/>
    <w:rsid w:val="006103CE"/>
    <w:rsid w:val="006104C0"/>
    <w:rsid w:val="0061091F"/>
    <w:rsid w:val="006109A9"/>
    <w:rsid w:val="006109B7"/>
    <w:rsid w:val="006109E7"/>
    <w:rsid w:val="00611058"/>
    <w:rsid w:val="00611657"/>
    <w:rsid w:val="0061197D"/>
    <w:rsid w:val="00611A1B"/>
    <w:rsid w:val="00611ECD"/>
    <w:rsid w:val="006120C2"/>
    <w:rsid w:val="006125BE"/>
    <w:rsid w:val="006125D6"/>
    <w:rsid w:val="0061275A"/>
    <w:rsid w:val="00612F28"/>
    <w:rsid w:val="0061300E"/>
    <w:rsid w:val="00613092"/>
    <w:rsid w:val="00613196"/>
    <w:rsid w:val="0061348B"/>
    <w:rsid w:val="006139FC"/>
    <w:rsid w:val="00613C0A"/>
    <w:rsid w:val="00613C98"/>
    <w:rsid w:val="00614411"/>
    <w:rsid w:val="0061442D"/>
    <w:rsid w:val="00614ABB"/>
    <w:rsid w:val="00615AEE"/>
    <w:rsid w:val="0061603B"/>
    <w:rsid w:val="006160FF"/>
    <w:rsid w:val="006168AB"/>
    <w:rsid w:val="00616EA0"/>
    <w:rsid w:val="00616FF4"/>
    <w:rsid w:val="006170A3"/>
    <w:rsid w:val="00617498"/>
    <w:rsid w:val="006174C4"/>
    <w:rsid w:val="006175F0"/>
    <w:rsid w:val="00617721"/>
    <w:rsid w:val="00617CB9"/>
    <w:rsid w:val="00617DB9"/>
    <w:rsid w:val="00620280"/>
    <w:rsid w:val="006202CF"/>
    <w:rsid w:val="00620505"/>
    <w:rsid w:val="0062059E"/>
    <w:rsid w:val="006206E2"/>
    <w:rsid w:val="00620837"/>
    <w:rsid w:val="00620B96"/>
    <w:rsid w:val="00620FBF"/>
    <w:rsid w:val="00621224"/>
    <w:rsid w:val="00622088"/>
    <w:rsid w:val="0062276F"/>
    <w:rsid w:val="006227FA"/>
    <w:rsid w:val="00622CD8"/>
    <w:rsid w:val="00623026"/>
    <w:rsid w:val="006234C8"/>
    <w:rsid w:val="00623D85"/>
    <w:rsid w:val="006240B1"/>
    <w:rsid w:val="006245DF"/>
    <w:rsid w:val="00624813"/>
    <w:rsid w:val="0062490A"/>
    <w:rsid w:val="00624C22"/>
    <w:rsid w:val="00624C6C"/>
    <w:rsid w:val="0062528E"/>
    <w:rsid w:val="006254F4"/>
    <w:rsid w:val="006259F4"/>
    <w:rsid w:val="00625A37"/>
    <w:rsid w:val="0062611C"/>
    <w:rsid w:val="006261E0"/>
    <w:rsid w:val="0062635B"/>
    <w:rsid w:val="00626504"/>
    <w:rsid w:val="0062682D"/>
    <w:rsid w:val="00626F6D"/>
    <w:rsid w:val="0062737B"/>
    <w:rsid w:val="0062786C"/>
    <w:rsid w:val="00627CA3"/>
    <w:rsid w:val="00630569"/>
    <w:rsid w:val="00630661"/>
    <w:rsid w:val="006309C0"/>
    <w:rsid w:val="00630A78"/>
    <w:rsid w:val="00630AC1"/>
    <w:rsid w:val="00630D4D"/>
    <w:rsid w:val="00630D81"/>
    <w:rsid w:val="00630E6F"/>
    <w:rsid w:val="00630ECA"/>
    <w:rsid w:val="00631683"/>
    <w:rsid w:val="00631691"/>
    <w:rsid w:val="00631ADF"/>
    <w:rsid w:val="00631FC5"/>
    <w:rsid w:val="00632162"/>
    <w:rsid w:val="006321C0"/>
    <w:rsid w:val="00632547"/>
    <w:rsid w:val="00632A74"/>
    <w:rsid w:val="00632B2D"/>
    <w:rsid w:val="00632C89"/>
    <w:rsid w:val="006330AD"/>
    <w:rsid w:val="00633B70"/>
    <w:rsid w:val="00633B7E"/>
    <w:rsid w:val="00633DDC"/>
    <w:rsid w:val="00634089"/>
    <w:rsid w:val="006341F6"/>
    <w:rsid w:val="00634374"/>
    <w:rsid w:val="00634CC9"/>
    <w:rsid w:val="00634E20"/>
    <w:rsid w:val="00634E24"/>
    <w:rsid w:val="006351F8"/>
    <w:rsid w:val="0063591A"/>
    <w:rsid w:val="00635EE3"/>
    <w:rsid w:val="00636ED0"/>
    <w:rsid w:val="0063738A"/>
    <w:rsid w:val="00637C79"/>
    <w:rsid w:val="00637D39"/>
    <w:rsid w:val="00640A35"/>
    <w:rsid w:val="006412F1"/>
    <w:rsid w:val="00641C0E"/>
    <w:rsid w:val="00641CCC"/>
    <w:rsid w:val="00642129"/>
    <w:rsid w:val="0064257B"/>
    <w:rsid w:val="00642C7D"/>
    <w:rsid w:val="006430D6"/>
    <w:rsid w:val="006438F9"/>
    <w:rsid w:val="00643A38"/>
    <w:rsid w:val="00643BD8"/>
    <w:rsid w:val="0064401F"/>
    <w:rsid w:val="006442A9"/>
    <w:rsid w:val="006442BE"/>
    <w:rsid w:val="0064449F"/>
    <w:rsid w:val="00644706"/>
    <w:rsid w:val="006447F4"/>
    <w:rsid w:val="00644A60"/>
    <w:rsid w:val="00644EE6"/>
    <w:rsid w:val="0064536D"/>
    <w:rsid w:val="006456B4"/>
    <w:rsid w:val="00645841"/>
    <w:rsid w:val="0064593D"/>
    <w:rsid w:val="00645A79"/>
    <w:rsid w:val="00645B2E"/>
    <w:rsid w:val="0064607A"/>
    <w:rsid w:val="0064687A"/>
    <w:rsid w:val="0064689A"/>
    <w:rsid w:val="0064727C"/>
    <w:rsid w:val="006479E1"/>
    <w:rsid w:val="0065061D"/>
    <w:rsid w:val="00650784"/>
    <w:rsid w:val="00650E83"/>
    <w:rsid w:val="0065133B"/>
    <w:rsid w:val="006513D9"/>
    <w:rsid w:val="00651541"/>
    <w:rsid w:val="00651748"/>
    <w:rsid w:val="006518E0"/>
    <w:rsid w:val="00651A47"/>
    <w:rsid w:val="00651D51"/>
    <w:rsid w:val="00651DFA"/>
    <w:rsid w:val="00651ED0"/>
    <w:rsid w:val="00652232"/>
    <w:rsid w:val="00652357"/>
    <w:rsid w:val="0065236E"/>
    <w:rsid w:val="006529D1"/>
    <w:rsid w:val="00653276"/>
    <w:rsid w:val="0065395B"/>
    <w:rsid w:val="00653AFF"/>
    <w:rsid w:val="00653DB5"/>
    <w:rsid w:val="00653E25"/>
    <w:rsid w:val="006541EC"/>
    <w:rsid w:val="006544C7"/>
    <w:rsid w:val="00654A33"/>
    <w:rsid w:val="00654D42"/>
    <w:rsid w:val="0065517B"/>
    <w:rsid w:val="006553BC"/>
    <w:rsid w:val="00655746"/>
    <w:rsid w:val="00655F29"/>
    <w:rsid w:val="006562B4"/>
    <w:rsid w:val="006569F0"/>
    <w:rsid w:val="0065765A"/>
    <w:rsid w:val="00657E92"/>
    <w:rsid w:val="0066017C"/>
    <w:rsid w:val="0066068C"/>
    <w:rsid w:val="0066079B"/>
    <w:rsid w:val="00660879"/>
    <w:rsid w:val="00660C35"/>
    <w:rsid w:val="00660D77"/>
    <w:rsid w:val="00661502"/>
    <w:rsid w:val="006616F8"/>
    <w:rsid w:val="00661EF2"/>
    <w:rsid w:val="006621AA"/>
    <w:rsid w:val="006621E4"/>
    <w:rsid w:val="00662501"/>
    <w:rsid w:val="00662FDD"/>
    <w:rsid w:val="00663B44"/>
    <w:rsid w:val="006640DD"/>
    <w:rsid w:val="006643CF"/>
    <w:rsid w:val="006644F3"/>
    <w:rsid w:val="006645ED"/>
    <w:rsid w:val="00664842"/>
    <w:rsid w:val="00664910"/>
    <w:rsid w:val="006649A4"/>
    <w:rsid w:val="00664E71"/>
    <w:rsid w:val="00665014"/>
    <w:rsid w:val="00665213"/>
    <w:rsid w:val="00665566"/>
    <w:rsid w:val="0066569B"/>
    <w:rsid w:val="0066577B"/>
    <w:rsid w:val="006657BD"/>
    <w:rsid w:val="00665989"/>
    <w:rsid w:val="00665FAA"/>
    <w:rsid w:val="00666053"/>
    <w:rsid w:val="0066620E"/>
    <w:rsid w:val="006663D5"/>
    <w:rsid w:val="00666483"/>
    <w:rsid w:val="006669CD"/>
    <w:rsid w:val="00666B10"/>
    <w:rsid w:val="00666E02"/>
    <w:rsid w:val="0066700D"/>
    <w:rsid w:val="00667421"/>
    <w:rsid w:val="00667608"/>
    <w:rsid w:val="00667729"/>
    <w:rsid w:val="00667A1C"/>
    <w:rsid w:val="0067015B"/>
    <w:rsid w:val="00670193"/>
    <w:rsid w:val="0067046F"/>
    <w:rsid w:val="00670B74"/>
    <w:rsid w:val="00670FC3"/>
    <w:rsid w:val="00671420"/>
    <w:rsid w:val="006714B2"/>
    <w:rsid w:val="006718BF"/>
    <w:rsid w:val="00671997"/>
    <w:rsid w:val="00671CD3"/>
    <w:rsid w:val="00672221"/>
    <w:rsid w:val="0067317A"/>
    <w:rsid w:val="006734C8"/>
    <w:rsid w:val="0067422D"/>
    <w:rsid w:val="006745FE"/>
    <w:rsid w:val="00674ABD"/>
    <w:rsid w:val="0067568A"/>
    <w:rsid w:val="00675739"/>
    <w:rsid w:val="00675A26"/>
    <w:rsid w:val="00675E59"/>
    <w:rsid w:val="00675E71"/>
    <w:rsid w:val="00675F11"/>
    <w:rsid w:val="00676415"/>
    <w:rsid w:val="006764FD"/>
    <w:rsid w:val="0067651A"/>
    <w:rsid w:val="0067669C"/>
    <w:rsid w:val="006769D7"/>
    <w:rsid w:val="00676C69"/>
    <w:rsid w:val="00676D5A"/>
    <w:rsid w:val="00677C5B"/>
    <w:rsid w:val="00677DE6"/>
    <w:rsid w:val="0068060C"/>
    <w:rsid w:val="00680861"/>
    <w:rsid w:val="00681285"/>
    <w:rsid w:val="006812D0"/>
    <w:rsid w:val="00681C7C"/>
    <w:rsid w:val="00681F1A"/>
    <w:rsid w:val="00682434"/>
    <w:rsid w:val="00682455"/>
    <w:rsid w:val="0068279C"/>
    <w:rsid w:val="0068318F"/>
    <w:rsid w:val="00683520"/>
    <w:rsid w:val="006835A7"/>
    <w:rsid w:val="00683943"/>
    <w:rsid w:val="00685335"/>
    <w:rsid w:val="00685463"/>
    <w:rsid w:val="00685C41"/>
    <w:rsid w:val="006860BD"/>
    <w:rsid w:val="006860FC"/>
    <w:rsid w:val="00686A79"/>
    <w:rsid w:val="0068712E"/>
    <w:rsid w:val="00687F26"/>
    <w:rsid w:val="0069037D"/>
    <w:rsid w:val="006903E6"/>
    <w:rsid w:val="0069097F"/>
    <w:rsid w:val="00690B5A"/>
    <w:rsid w:val="00690C71"/>
    <w:rsid w:val="006911AC"/>
    <w:rsid w:val="006929ED"/>
    <w:rsid w:val="0069379E"/>
    <w:rsid w:val="00693B35"/>
    <w:rsid w:val="00693D3F"/>
    <w:rsid w:val="00693E3D"/>
    <w:rsid w:val="00693F31"/>
    <w:rsid w:val="0069432C"/>
    <w:rsid w:val="00694E98"/>
    <w:rsid w:val="00695151"/>
    <w:rsid w:val="00695161"/>
    <w:rsid w:val="00695C6F"/>
    <w:rsid w:val="00696245"/>
    <w:rsid w:val="006963C1"/>
    <w:rsid w:val="00696494"/>
    <w:rsid w:val="006972AD"/>
    <w:rsid w:val="00697527"/>
    <w:rsid w:val="0069752F"/>
    <w:rsid w:val="00697773"/>
    <w:rsid w:val="006978AC"/>
    <w:rsid w:val="00697B69"/>
    <w:rsid w:val="006A0379"/>
    <w:rsid w:val="006A0588"/>
    <w:rsid w:val="006A05A2"/>
    <w:rsid w:val="006A0B93"/>
    <w:rsid w:val="006A10B5"/>
    <w:rsid w:val="006A10F9"/>
    <w:rsid w:val="006A12DB"/>
    <w:rsid w:val="006A1693"/>
    <w:rsid w:val="006A220F"/>
    <w:rsid w:val="006A23C2"/>
    <w:rsid w:val="006A2531"/>
    <w:rsid w:val="006A254C"/>
    <w:rsid w:val="006A28DA"/>
    <w:rsid w:val="006A2A82"/>
    <w:rsid w:val="006A2ACC"/>
    <w:rsid w:val="006A32CC"/>
    <w:rsid w:val="006A3C79"/>
    <w:rsid w:val="006A3F0B"/>
    <w:rsid w:val="006A3F2A"/>
    <w:rsid w:val="006A4655"/>
    <w:rsid w:val="006A4811"/>
    <w:rsid w:val="006A4A22"/>
    <w:rsid w:val="006A4E51"/>
    <w:rsid w:val="006A509A"/>
    <w:rsid w:val="006A50FE"/>
    <w:rsid w:val="006A5151"/>
    <w:rsid w:val="006A52B8"/>
    <w:rsid w:val="006A547D"/>
    <w:rsid w:val="006A613F"/>
    <w:rsid w:val="006A6299"/>
    <w:rsid w:val="006A65B9"/>
    <w:rsid w:val="006A6DEE"/>
    <w:rsid w:val="006A712A"/>
    <w:rsid w:val="006A77BC"/>
    <w:rsid w:val="006A786C"/>
    <w:rsid w:val="006A79E7"/>
    <w:rsid w:val="006B03A5"/>
    <w:rsid w:val="006B0B2D"/>
    <w:rsid w:val="006B0FAD"/>
    <w:rsid w:val="006B15A4"/>
    <w:rsid w:val="006B1AF9"/>
    <w:rsid w:val="006B2B3C"/>
    <w:rsid w:val="006B2C13"/>
    <w:rsid w:val="006B310E"/>
    <w:rsid w:val="006B312F"/>
    <w:rsid w:val="006B31B3"/>
    <w:rsid w:val="006B3451"/>
    <w:rsid w:val="006B385B"/>
    <w:rsid w:val="006B39E3"/>
    <w:rsid w:val="006B3D2D"/>
    <w:rsid w:val="006B3D6F"/>
    <w:rsid w:val="006B3EA1"/>
    <w:rsid w:val="006B3ED9"/>
    <w:rsid w:val="006B4291"/>
    <w:rsid w:val="006B43BB"/>
    <w:rsid w:val="006B5009"/>
    <w:rsid w:val="006B535C"/>
    <w:rsid w:val="006B54D5"/>
    <w:rsid w:val="006B5A2B"/>
    <w:rsid w:val="006B6216"/>
    <w:rsid w:val="006B6B9D"/>
    <w:rsid w:val="006B6CDA"/>
    <w:rsid w:val="006B719B"/>
    <w:rsid w:val="006B723D"/>
    <w:rsid w:val="006B7409"/>
    <w:rsid w:val="006B75F9"/>
    <w:rsid w:val="006B7665"/>
    <w:rsid w:val="006B77D2"/>
    <w:rsid w:val="006B793D"/>
    <w:rsid w:val="006B7A33"/>
    <w:rsid w:val="006C036D"/>
    <w:rsid w:val="006C08F3"/>
    <w:rsid w:val="006C0B88"/>
    <w:rsid w:val="006C0F70"/>
    <w:rsid w:val="006C144B"/>
    <w:rsid w:val="006C1467"/>
    <w:rsid w:val="006C15D9"/>
    <w:rsid w:val="006C1A73"/>
    <w:rsid w:val="006C1D81"/>
    <w:rsid w:val="006C2580"/>
    <w:rsid w:val="006C2779"/>
    <w:rsid w:val="006C2988"/>
    <w:rsid w:val="006C2E09"/>
    <w:rsid w:val="006C2F0B"/>
    <w:rsid w:val="006C3010"/>
    <w:rsid w:val="006C33AB"/>
    <w:rsid w:val="006C34A2"/>
    <w:rsid w:val="006C3B39"/>
    <w:rsid w:val="006C3B7E"/>
    <w:rsid w:val="006C3F4C"/>
    <w:rsid w:val="006C4046"/>
    <w:rsid w:val="006C4522"/>
    <w:rsid w:val="006C4676"/>
    <w:rsid w:val="006C49DF"/>
    <w:rsid w:val="006C4CC7"/>
    <w:rsid w:val="006C4CDA"/>
    <w:rsid w:val="006C55C5"/>
    <w:rsid w:val="006C57CC"/>
    <w:rsid w:val="006C5940"/>
    <w:rsid w:val="006C5BAB"/>
    <w:rsid w:val="006C5D83"/>
    <w:rsid w:val="006C622A"/>
    <w:rsid w:val="006C6248"/>
    <w:rsid w:val="006C64ED"/>
    <w:rsid w:val="006C6C1A"/>
    <w:rsid w:val="006C7038"/>
    <w:rsid w:val="006C7081"/>
    <w:rsid w:val="006C719B"/>
    <w:rsid w:val="006C77A3"/>
    <w:rsid w:val="006C7A95"/>
    <w:rsid w:val="006C7BCE"/>
    <w:rsid w:val="006C7CE4"/>
    <w:rsid w:val="006C7E7B"/>
    <w:rsid w:val="006C7EF4"/>
    <w:rsid w:val="006D03C3"/>
    <w:rsid w:val="006D057E"/>
    <w:rsid w:val="006D0E06"/>
    <w:rsid w:val="006D10CE"/>
    <w:rsid w:val="006D1153"/>
    <w:rsid w:val="006D164F"/>
    <w:rsid w:val="006D1C0C"/>
    <w:rsid w:val="006D1E75"/>
    <w:rsid w:val="006D1F0D"/>
    <w:rsid w:val="006D2007"/>
    <w:rsid w:val="006D20DB"/>
    <w:rsid w:val="006D2367"/>
    <w:rsid w:val="006D2496"/>
    <w:rsid w:val="006D35D5"/>
    <w:rsid w:val="006D4309"/>
    <w:rsid w:val="006D454A"/>
    <w:rsid w:val="006D459F"/>
    <w:rsid w:val="006D4AE6"/>
    <w:rsid w:val="006D4CD2"/>
    <w:rsid w:val="006D51EA"/>
    <w:rsid w:val="006D5366"/>
    <w:rsid w:val="006D5AD2"/>
    <w:rsid w:val="006D5CDE"/>
    <w:rsid w:val="006D60D6"/>
    <w:rsid w:val="006D60E8"/>
    <w:rsid w:val="006D618B"/>
    <w:rsid w:val="006D673F"/>
    <w:rsid w:val="006D698A"/>
    <w:rsid w:val="006D6B51"/>
    <w:rsid w:val="006D7602"/>
    <w:rsid w:val="006D773F"/>
    <w:rsid w:val="006E0283"/>
    <w:rsid w:val="006E05AD"/>
    <w:rsid w:val="006E0876"/>
    <w:rsid w:val="006E0DB0"/>
    <w:rsid w:val="006E1005"/>
    <w:rsid w:val="006E1621"/>
    <w:rsid w:val="006E17E1"/>
    <w:rsid w:val="006E198B"/>
    <w:rsid w:val="006E1DBB"/>
    <w:rsid w:val="006E1F4B"/>
    <w:rsid w:val="006E2019"/>
    <w:rsid w:val="006E26AB"/>
    <w:rsid w:val="006E26C7"/>
    <w:rsid w:val="006E277E"/>
    <w:rsid w:val="006E2BAC"/>
    <w:rsid w:val="006E32ED"/>
    <w:rsid w:val="006E38A6"/>
    <w:rsid w:val="006E3E5A"/>
    <w:rsid w:val="006E3E5D"/>
    <w:rsid w:val="006E3F34"/>
    <w:rsid w:val="006E4009"/>
    <w:rsid w:val="006E45EC"/>
    <w:rsid w:val="006E49D0"/>
    <w:rsid w:val="006E4F6F"/>
    <w:rsid w:val="006E54F4"/>
    <w:rsid w:val="006E56A0"/>
    <w:rsid w:val="006E59AC"/>
    <w:rsid w:val="006E5A39"/>
    <w:rsid w:val="006E5D71"/>
    <w:rsid w:val="006E6420"/>
    <w:rsid w:val="006E65FA"/>
    <w:rsid w:val="006E66F0"/>
    <w:rsid w:val="006E678F"/>
    <w:rsid w:val="006E6952"/>
    <w:rsid w:val="006E6C4A"/>
    <w:rsid w:val="006E73EF"/>
    <w:rsid w:val="006E7405"/>
    <w:rsid w:val="006E794B"/>
    <w:rsid w:val="006E7CC5"/>
    <w:rsid w:val="006F048F"/>
    <w:rsid w:val="006F063B"/>
    <w:rsid w:val="006F0AD9"/>
    <w:rsid w:val="006F0D3A"/>
    <w:rsid w:val="006F0FDD"/>
    <w:rsid w:val="006F16AD"/>
    <w:rsid w:val="006F1BD5"/>
    <w:rsid w:val="006F275A"/>
    <w:rsid w:val="006F27FD"/>
    <w:rsid w:val="006F2A9F"/>
    <w:rsid w:val="006F33B9"/>
    <w:rsid w:val="006F35CC"/>
    <w:rsid w:val="006F39FD"/>
    <w:rsid w:val="006F3CE3"/>
    <w:rsid w:val="006F4087"/>
    <w:rsid w:val="006F4792"/>
    <w:rsid w:val="006F492A"/>
    <w:rsid w:val="006F49A7"/>
    <w:rsid w:val="006F4FB9"/>
    <w:rsid w:val="006F5896"/>
    <w:rsid w:val="006F5B2F"/>
    <w:rsid w:val="006F5CEE"/>
    <w:rsid w:val="006F5E2B"/>
    <w:rsid w:val="006F5EEB"/>
    <w:rsid w:val="006F5FF6"/>
    <w:rsid w:val="006F62EB"/>
    <w:rsid w:val="006F66EF"/>
    <w:rsid w:val="006F6CD6"/>
    <w:rsid w:val="006F6D3B"/>
    <w:rsid w:val="006F7052"/>
    <w:rsid w:val="006F7434"/>
    <w:rsid w:val="006F74C4"/>
    <w:rsid w:val="006F75DC"/>
    <w:rsid w:val="006F778B"/>
    <w:rsid w:val="006F79AC"/>
    <w:rsid w:val="006F7E3E"/>
    <w:rsid w:val="007001B3"/>
    <w:rsid w:val="00700310"/>
    <w:rsid w:val="00701BBB"/>
    <w:rsid w:val="00702083"/>
    <w:rsid w:val="0070261D"/>
    <w:rsid w:val="007026AB"/>
    <w:rsid w:val="0070271A"/>
    <w:rsid w:val="00702D21"/>
    <w:rsid w:val="00702DE3"/>
    <w:rsid w:val="00702ECC"/>
    <w:rsid w:val="00703022"/>
    <w:rsid w:val="00703159"/>
    <w:rsid w:val="00703A2C"/>
    <w:rsid w:val="00703A3F"/>
    <w:rsid w:val="00703AC3"/>
    <w:rsid w:val="00703BB3"/>
    <w:rsid w:val="00703CEA"/>
    <w:rsid w:val="007041E5"/>
    <w:rsid w:val="00704397"/>
    <w:rsid w:val="00704659"/>
    <w:rsid w:val="007046B3"/>
    <w:rsid w:val="0070550B"/>
    <w:rsid w:val="007058AA"/>
    <w:rsid w:val="00705A28"/>
    <w:rsid w:val="00705A32"/>
    <w:rsid w:val="00705DF1"/>
    <w:rsid w:val="0070646E"/>
    <w:rsid w:val="00706600"/>
    <w:rsid w:val="0070668E"/>
    <w:rsid w:val="0070692C"/>
    <w:rsid w:val="00706995"/>
    <w:rsid w:val="00706FAB"/>
    <w:rsid w:val="007079C9"/>
    <w:rsid w:val="00707BA4"/>
    <w:rsid w:val="00707C03"/>
    <w:rsid w:val="00707FEF"/>
    <w:rsid w:val="00710314"/>
    <w:rsid w:val="007103A0"/>
    <w:rsid w:val="0071053D"/>
    <w:rsid w:val="00711074"/>
    <w:rsid w:val="007111CD"/>
    <w:rsid w:val="00711897"/>
    <w:rsid w:val="00711C3F"/>
    <w:rsid w:val="00711D37"/>
    <w:rsid w:val="0071247B"/>
    <w:rsid w:val="007127E6"/>
    <w:rsid w:val="00712976"/>
    <w:rsid w:val="00712F8E"/>
    <w:rsid w:val="00713057"/>
    <w:rsid w:val="0071315D"/>
    <w:rsid w:val="007134AE"/>
    <w:rsid w:val="00713D94"/>
    <w:rsid w:val="00714702"/>
    <w:rsid w:val="00714B85"/>
    <w:rsid w:val="00714BCB"/>
    <w:rsid w:val="00714CDB"/>
    <w:rsid w:val="00714D4D"/>
    <w:rsid w:val="007151FD"/>
    <w:rsid w:val="007158A2"/>
    <w:rsid w:val="00715AAA"/>
    <w:rsid w:val="00715D28"/>
    <w:rsid w:val="00715FF3"/>
    <w:rsid w:val="007163C4"/>
    <w:rsid w:val="007164F1"/>
    <w:rsid w:val="007167A1"/>
    <w:rsid w:val="00716C6A"/>
    <w:rsid w:val="00716F9F"/>
    <w:rsid w:val="00717282"/>
    <w:rsid w:val="007173BD"/>
    <w:rsid w:val="007173DF"/>
    <w:rsid w:val="0071751F"/>
    <w:rsid w:val="00717833"/>
    <w:rsid w:val="00717990"/>
    <w:rsid w:val="007202FF"/>
    <w:rsid w:val="0072077A"/>
    <w:rsid w:val="00720A67"/>
    <w:rsid w:val="00720E6B"/>
    <w:rsid w:val="0072112C"/>
    <w:rsid w:val="00721519"/>
    <w:rsid w:val="00721558"/>
    <w:rsid w:val="00721CDF"/>
    <w:rsid w:val="00721F3C"/>
    <w:rsid w:val="0072202D"/>
    <w:rsid w:val="007225A8"/>
    <w:rsid w:val="007225CC"/>
    <w:rsid w:val="00722727"/>
    <w:rsid w:val="007228E6"/>
    <w:rsid w:val="00722DCE"/>
    <w:rsid w:val="0072304D"/>
    <w:rsid w:val="007235D6"/>
    <w:rsid w:val="00723667"/>
    <w:rsid w:val="00723ED3"/>
    <w:rsid w:val="00724110"/>
    <w:rsid w:val="00724303"/>
    <w:rsid w:val="007244B6"/>
    <w:rsid w:val="00724521"/>
    <w:rsid w:val="00724808"/>
    <w:rsid w:val="00724B9C"/>
    <w:rsid w:val="00724E31"/>
    <w:rsid w:val="00725078"/>
    <w:rsid w:val="0072581D"/>
    <w:rsid w:val="0072582C"/>
    <w:rsid w:val="007259E1"/>
    <w:rsid w:val="00725A53"/>
    <w:rsid w:val="007266D3"/>
    <w:rsid w:val="00726773"/>
    <w:rsid w:val="00726796"/>
    <w:rsid w:val="00726D4A"/>
    <w:rsid w:val="00726F90"/>
    <w:rsid w:val="0072719A"/>
    <w:rsid w:val="007273D0"/>
    <w:rsid w:val="00730187"/>
    <w:rsid w:val="007302C3"/>
    <w:rsid w:val="0073048A"/>
    <w:rsid w:val="00730579"/>
    <w:rsid w:val="007309E6"/>
    <w:rsid w:val="007311C7"/>
    <w:rsid w:val="0073199D"/>
    <w:rsid w:val="007319DE"/>
    <w:rsid w:val="00731E65"/>
    <w:rsid w:val="00732029"/>
    <w:rsid w:val="007327E3"/>
    <w:rsid w:val="0073297E"/>
    <w:rsid w:val="00732A09"/>
    <w:rsid w:val="00732C2A"/>
    <w:rsid w:val="00732C67"/>
    <w:rsid w:val="00732E99"/>
    <w:rsid w:val="00732F4E"/>
    <w:rsid w:val="007330C5"/>
    <w:rsid w:val="007331CF"/>
    <w:rsid w:val="0073330F"/>
    <w:rsid w:val="00733400"/>
    <w:rsid w:val="0073360E"/>
    <w:rsid w:val="0073380C"/>
    <w:rsid w:val="007338CE"/>
    <w:rsid w:val="007339C9"/>
    <w:rsid w:val="007339F7"/>
    <w:rsid w:val="00733A5E"/>
    <w:rsid w:val="00733D6F"/>
    <w:rsid w:val="0073461C"/>
    <w:rsid w:val="007347CD"/>
    <w:rsid w:val="00734873"/>
    <w:rsid w:val="00734F2C"/>
    <w:rsid w:val="007358A7"/>
    <w:rsid w:val="00735B1C"/>
    <w:rsid w:val="00735BC3"/>
    <w:rsid w:val="007362EC"/>
    <w:rsid w:val="00736351"/>
    <w:rsid w:val="007366F4"/>
    <w:rsid w:val="00736D9E"/>
    <w:rsid w:val="007372AE"/>
    <w:rsid w:val="00737431"/>
    <w:rsid w:val="007374DC"/>
    <w:rsid w:val="0073793F"/>
    <w:rsid w:val="00737EDD"/>
    <w:rsid w:val="00740785"/>
    <w:rsid w:val="0074094E"/>
    <w:rsid w:val="00740A8D"/>
    <w:rsid w:val="00740AF8"/>
    <w:rsid w:val="0074159D"/>
    <w:rsid w:val="007419FE"/>
    <w:rsid w:val="00741B84"/>
    <w:rsid w:val="00742322"/>
    <w:rsid w:val="007425C4"/>
    <w:rsid w:val="00743044"/>
    <w:rsid w:val="007437EF"/>
    <w:rsid w:val="007439FF"/>
    <w:rsid w:val="00743B28"/>
    <w:rsid w:val="00744194"/>
    <w:rsid w:val="0074435D"/>
    <w:rsid w:val="007444B3"/>
    <w:rsid w:val="007447EC"/>
    <w:rsid w:val="007448E7"/>
    <w:rsid w:val="00744C5B"/>
    <w:rsid w:val="00744CDD"/>
    <w:rsid w:val="0074521B"/>
    <w:rsid w:val="00745A6B"/>
    <w:rsid w:val="00745BA4"/>
    <w:rsid w:val="00745D56"/>
    <w:rsid w:val="00746245"/>
    <w:rsid w:val="0074630E"/>
    <w:rsid w:val="00746493"/>
    <w:rsid w:val="0074691B"/>
    <w:rsid w:val="00746AA0"/>
    <w:rsid w:val="00746AAE"/>
    <w:rsid w:val="00746B2A"/>
    <w:rsid w:val="00746C22"/>
    <w:rsid w:val="00746DA4"/>
    <w:rsid w:val="00746E1F"/>
    <w:rsid w:val="007472F8"/>
    <w:rsid w:val="007476E4"/>
    <w:rsid w:val="00747767"/>
    <w:rsid w:val="0074776C"/>
    <w:rsid w:val="0074795D"/>
    <w:rsid w:val="00747A64"/>
    <w:rsid w:val="00750025"/>
    <w:rsid w:val="00750458"/>
    <w:rsid w:val="0075083C"/>
    <w:rsid w:val="00750A33"/>
    <w:rsid w:val="00750AEC"/>
    <w:rsid w:val="00750D81"/>
    <w:rsid w:val="00750E3E"/>
    <w:rsid w:val="0075142E"/>
    <w:rsid w:val="00751B1B"/>
    <w:rsid w:val="00751DB0"/>
    <w:rsid w:val="0075260B"/>
    <w:rsid w:val="0075262E"/>
    <w:rsid w:val="00752986"/>
    <w:rsid w:val="007529A1"/>
    <w:rsid w:val="00752D69"/>
    <w:rsid w:val="007530DC"/>
    <w:rsid w:val="00753697"/>
    <w:rsid w:val="0075430F"/>
    <w:rsid w:val="00754499"/>
    <w:rsid w:val="007544B5"/>
    <w:rsid w:val="0075470E"/>
    <w:rsid w:val="007547DD"/>
    <w:rsid w:val="00754A24"/>
    <w:rsid w:val="00754A60"/>
    <w:rsid w:val="00754AF2"/>
    <w:rsid w:val="00755106"/>
    <w:rsid w:val="00755865"/>
    <w:rsid w:val="00755E8B"/>
    <w:rsid w:val="00755FD8"/>
    <w:rsid w:val="00756320"/>
    <w:rsid w:val="0075633C"/>
    <w:rsid w:val="00756E5D"/>
    <w:rsid w:val="00756EC1"/>
    <w:rsid w:val="00757842"/>
    <w:rsid w:val="00757883"/>
    <w:rsid w:val="00757BAC"/>
    <w:rsid w:val="00757DDE"/>
    <w:rsid w:val="00757F71"/>
    <w:rsid w:val="00757FFD"/>
    <w:rsid w:val="007602AC"/>
    <w:rsid w:val="00760345"/>
    <w:rsid w:val="007604BB"/>
    <w:rsid w:val="007605CD"/>
    <w:rsid w:val="00760A27"/>
    <w:rsid w:val="00760A85"/>
    <w:rsid w:val="00760B38"/>
    <w:rsid w:val="00760C24"/>
    <w:rsid w:val="00760EEF"/>
    <w:rsid w:val="00761104"/>
    <w:rsid w:val="00761585"/>
    <w:rsid w:val="007617E9"/>
    <w:rsid w:val="00761ACF"/>
    <w:rsid w:val="00761BC7"/>
    <w:rsid w:val="00761E12"/>
    <w:rsid w:val="007622C3"/>
    <w:rsid w:val="00762651"/>
    <w:rsid w:val="00762991"/>
    <w:rsid w:val="007630F5"/>
    <w:rsid w:val="00763627"/>
    <w:rsid w:val="00763670"/>
    <w:rsid w:val="00763A48"/>
    <w:rsid w:val="00763E60"/>
    <w:rsid w:val="00764526"/>
    <w:rsid w:val="00764906"/>
    <w:rsid w:val="00764D64"/>
    <w:rsid w:val="00764E77"/>
    <w:rsid w:val="00764EC7"/>
    <w:rsid w:val="00765C92"/>
    <w:rsid w:val="00766794"/>
    <w:rsid w:val="0076697F"/>
    <w:rsid w:val="00766E5C"/>
    <w:rsid w:val="007673AB"/>
    <w:rsid w:val="007674FA"/>
    <w:rsid w:val="007678A7"/>
    <w:rsid w:val="007679CC"/>
    <w:rsid w:val="00767C98"/>
    <w:rsid w:val="00767F9E"/>
    <w:rsid w:val="00770156"/>
    <w:rsid w:val="007708D5"/>
    <w:rsid w:val="007710DC"/>
    <w:rsid w:val="00771A24"/>
    <w:rsid w:val="00771DE6"/>
    <w:rsid w:val="00771E13"/>
    <w:rsid w:val="00771F36"/>
    <w:rsid w:val="007722C5"/>
    <w:rsid w:val="0077258B"/>
    <w:rsid w:val="0077281F"/>
    <w:rsid w:val="00772909"/>
    <w:rsid w:val="00772AB8"/>
    <w:rsid w:val="00773040"/>
    <w:rsid w:val="0077339E"/>
    <w:rsid w:val="00773A28"/>
    <w:rsid w:val="00773AA9"/>
    <w:rsid w:val="007742F2"/>
    <w:rsid w:val="007749EE"/>
    <w:rsid w:val="00774F4C"/>
    <w:rsid w:val="0077513D"/>
    <w:rsid w:val="00775161"/>
    <w:rsid w:val="007756D7"/>
    <w:rsid w:val="007760D4"/>
    <w:rsid w:val="00776182"/>
    <w:rsid w:val="0077652A"/>
    <w:rsid w:val="00776EBC"/>
    <w:rsid w:val="00777316"/>
    <w:rsid w:val="0077768D"/>
    <w:rsid w:val="0078012E"/>
    <w:rsid w:val="007801F8"/>
    <w:rsid w:val="007806F7"/>
    <w:rsid w:val="00780DCD"/>
    <w:rsid w:val="00781728"/>
    <w:rsid w:val="00781FD0"/>
    <w:rsid w:val="007820A1"/>
    <w:rsid w:val="007823DC"/>
    <w:rsid w:val="00782521"/>
    <w:rsid w:val="00782C79"/>
    <w:rsid w:val="00782DBA"/>
    <w:rsid w:val="00783421"/>
    <w:rsid w:val="0078349B"/>
    <w:rsid w:val="007840EE"/>
    <w:rsid w:val="00784445"/>
    <w:rsid w:val="0078462B"/>
    <w:rsid w:val="007850D7"/>
    <w:rsid w:val="00785232"/>
    <w:rsid w:val="00785268"/>
    <w:rsid w:val="007853CE"/>
    <w:rsid w:val="00786097"/>
    <w:rsid w:val="0078609A"/>
    <w:rsid w:val="0078610B"/>
    <w:rsid w:val="007861AA"/>
    <w:rsid w:val="0078634A"/>
    <w:rsid w:val="007868B7"/>
    <w:rsid w:val="00786CF2"/>
    <w:rsid w:val="00786EA0"/>
    <w:rsid w:val="007870DA"/>
    <w:rsid w:val="0078715D"/>
    <w:rsid w:val="00787308"/>
    <w:rsid w:val="007875FD"/>
    <w:rsid w:val="00787AA9"/>
    <w:rsid w:val="00787B41"/>
    <w:rsid w:val="00787D97"/>
    <w:rsid w:val="007904D6"/>
    <w:rsid w:val="00790B78"/>
    <w:rsid w:val="00791753"/>
    <w:rsid w:val="00791921"/>
    <w:rsid w:val="00791CB0"/>
    <w:rsid w:val="00792102"/>
    <w:rsid w:val="007930B3"/>
    <w:rsid w:val="00793142"/>
    <w:rsid w:val="007933AF"/>
    <w:rsid w:val="00793620"/>
    <w:rsid w:val="00793963"/>
    <w:rsid w:val="00793AB7"/>
    <w:rsid w:val="00793CA2"/>
    <w:rsid w:val="00793D54"/>
    <w:rsid w:val="00793D74"/>
    <w:rsid w:val="00793E04"/>
    <w:rsid w:val="00793FB4"/>
    <w:rsid w:val="00794024"/>
    <w:rsid w:val="00794399"/>
    <w:rsid w:val="00794616"/>
    <w:rsid w:val="007946F8"/>
    <w:rsid w:val="007952E0"/>
    <w:rsid w:val="00795CCF"/>
    <w:rsid w:val="00795D89"/>
    <w:rsid w:val="00795E7B"/>
    <w:rsid w:val="00795F78"/>
    <w:rsid w:val="00795F9A"/>
    <w:rsid w:val="00796129"/>
    <w:rsid w:val="00796BAE"/>
    <w:rsid w:val="00796C9C"/>
    <w:rsid w:val="0079701E"/>
    <w:rsid w:val="007971D2"/>
    <w:rsid w:val="007973CD"/>
    <w:rsid w:val="00797469"/>
    <w:rsid w:val="00797AB3"/>
    <w:rsid w:val="00797C66"/>
    <w:rsid w:val="00797E5B"/>
    <w:rsid w:val="007A114E"/>
    <w:rsid w:val="007A13D0"/>
    <w:rsid w:val="007A21EB"/>
    <w:rsid w:val="007A2363"/>
    <w:rsid w:val="007A2392"/>
    <w:rsid w:val="007A2509"/>
    <w:rsid w:val="007A2528"/>
    <w:rsid w:val="007A2699"/>
    <w:rsid w:val="007A2B67"/>
    <w:rsid w:val="007A2EEA"/>
    <w:rsid w:val="007A3604"/>
    <w:rsid w:val="007A37E7"/>
    <w:rsid w:val="007A41BA"/>
    <w:rsid w:val="007A4A34"/>
    <w:rsid w:val="007A4C7C"/>
    <w:rsid w:val="007A54BF"/>
    <w:rsid w:val="007A6342"/>
    <w:rsid w:val="007A643B"/>
    <w:rsid w:val="007A671B"/>
    <w:rsid w:val="007A6AAA"/>
    <w:rsid w:val="007A72AF"/>
    <w:rsid w:val="007A76BB"/>
    <w:rsid w:val="007A7C2E"/>
    <w:rsid w:val="007A7FF4"/>
    <w:rsid w:val="007B056A"/>
    <w:rsid w:val="007B0635"/>
    <w:rsid w:val="007B06F4"/>
    <w:rsid w:val="007B07A4"/>
    <w:rsid w:val="007B0F54"/>
    <w:rsid w:val="007B1265"/>
    <w:rsid w:val="007B1782"/>
    <w:rsid w:val="007B1A93"/>
    <w:rsid w:val="007B1C96"/>
    <w:rsid w:val="007B20CD"/>
    <w:rsid w:val="007B278F"/>
    <w:rsid w:val="007B2877"/>
    <w:rsid w:val="007B2A2F"/>
    <w:rsid w:val="007B2BFA"/>
    <w:rsid w:val="007B2F07"/>
    <w:rsid w:val="007B2F91"/>
    <w:rsid w:val="007B33CB"/>
    <w:rsid w:val="007B3786"/>
    <w:rsid w:val="007B3DA8"/>
    <w:rsid w:val="007B3F52"/>
    <w:rsid w:val="007B4A7B"/>
    <w:rsid w:val="007B5064"/>
    <w:rsid w:val="007B50C5"/>
    <w:rsid w:val="007B53E2"/>
    <w:rsid w:val="007B598E"/>
    <w:rsid w:val="007B5E9E"/>
    <w:rsid w:val="007B6523"/>
    <w:rsid w:val="007B65F3"/>
    <w:rsid w:val="007B6A07"/>
    <w:rsid w:val="007B6F80"/>
    <w:rsid w:val="007B73E5"/>
    <w:rsid w:val="007B75A8"/>
    <w:rsid w:val="007B75DF"/>
    <w:rsid w:val="007B775D"/>
    <w:rsid w:val="007B77B0"/>
    <w:rsid w:val="007B7DFB"/>
    <w:rsid w:val="007C0913"/>
    <w:rsid w:val="007C0A84"/>
    <w:rsid w:val="007C0AF7"/>
    <w:rsid w:val="007C0F7B"/>
    <w:rsid w:val="007C16A7"/>
    <w:rsid w:val="007C16DC"/>
    <w:rsid w:val="007C1BCF"/>
    <w:rsid w:val="007C2257"/>
    <w:rsid w:val="007C28A5"/>
    <w:rsid w:val="007C2FEF"/>
    <w:rsid w:val="007C31A8"/>
    <w:rsid w:val="007C32E9"/>
    <w:rsid w:val="007C3342"/>
    <w:rsid w:val="007C36C9"/>
    <w:rsid w:val="007C388D"/>
    <w:rsid w:val="007C3D14"/>
    <w:rsid w:val="007C3F7F"/>
    <w:rsid w:val="007C4094"/>
    <w:rsid w:val="007C413E"/>
    <w:rsid w:val="007C43E0"/>
    <w:rsid w:val="007C44F9"/>
    <w:rsid w:val="007C49BE"/>
    <w:rsid w:val="007C4B4F"/>
    <w:rsid w:val="007C4E63"/>
    <w:rsid w:val="007C4E87"/>
    <w:rsid w:val="007C4F4A"/>
    <w:rsid w:val="007C52A4"/>
    <w:rsid w:val="007C65C3"/>
    <w:rsid w:val="007C662E"/>
    <w:rsid w:val="007C679F"/>
    <w:rsid w:val="007C696F"/>
    <w:rsid w:val="007C6DE8"/>
    <w:rsid w:val="007C7759"/>
    <w:rsid w:val="007C7913"/>
    <w:rsid w:val="007C7F0E"/>
    <w:rsid w:val="007D0129"/>
    <w:rsid w:val="007D07D5"/>
    <w:rsid w:val="007D08FD"/>
    <w:rsid w:val="007D0999"/>
    <w:rsid w:val="007D09A7"/>
    <w:rsid w:val="007D0BBD"/>
    <w:rsid w:val="007D1CE7"/>
    <w:rsid w:val="007D26F1"/>
    <w:rsid w:val="007D2EA3"/>
    <w:rsid w:val="007D3704"/>
    <w:rsid w:val="007D3A6D"/>
    <w:rsid w:val="007D4264"/>
    <w:rsid w:val="007D475F"/>
    <w:rsid w:val="007D4861"/>
    <w:rsid w:val="007D4E4D"/>
    <w:rsid w:val="007D5446"/>
    <w:rsid w:val="007D544B"/>
    <w:rsid w:val="007D5582"/>
    <w:rsid w:val="007D5EA1"/>
    <w:rsid w:val="007D6401"/>
    <w:rsid w:val="007D6751"/>
    <w:rsid w:val="007D680C"/>
    <w:rsid w:val="007D75B1"/>
    <w:rsid w:val="007D7674"/>
    <w:rsid w:val="007D7C33"/>
    <w:rsid w:val="007D7DF2"/>
    <w:rsid w:val="007D7E5C"/>
    <w:rsid w:val="007E01E4"/>
    <w:rsid w:val="007E0388"/>
    <w:rsid w:val="007E0596"/>
    <w:rsid w:val="007E0705"/>
    <w:rsid w:val="007E1151"/>
    <w:rsid w:val="007E1759"/>
    <w:rsid w:val="007E1781"/>
    <w:rsid w:val="007E2278"/>
    <w:rsid w:val="007E249F"/>
    <w:rsid w:val="007E2724"/>
    <w:rsid w:val="007E290A"/>
    <w:rsid w:val="007E2D35"/>
    <w:rsid w:val="007E346D"/>
    <w:rsid w:val="007E369C"/>
    <w:rsid w:val="007E38DC"/>
    <w:rsid w:val="007E3A77"/>
    <w:rsid w:val="007E3AAC"/>
    <w:rsid w:val="007E3DC2"/>
    <w:rsid w:val="007E43D2"/>
    <w:rsid w:val="007E458A"/>
    <w:rsid w:val="007E4853"/>
    <w:rsid w:val="007E4A69"/>
    <w:rsid w:val="007E501A"/>
    <w:rsid w:val="007E5930"/>
    <w:rsid w:val="007E5C42"/>
    <w:rsid w:val="007E5DDE"/>
    <w:rsid w:val="007E6E29"/>
    <w:rsid w:val="007E6F38"/>
    <w:rsid w:val="007E6F5E"/>
    <w:rsid w:val="007E7916"/>
    <w:rsid w:val="007E79F7"/>
    <w:rsid w:val="007E7A12"/>
    <w:rsid w:val="007E7E33"/>
    <w:rsid w:val="007F0173"/>
    <w:rsid w:val="007F0D4D"/>
    <w:rsid w:val="007F0D57"/>
    <w:rsid w:val="007F1111"/>
    <w:rsid w:val="007F12A5"/>
    <w:rsid w:val="007F1362"/>
    <w:rsid w:val="007F1467"/>
    <w:rsid w:val="007F1576"/>
    <w:rsid w:val="007F18B8"/>
    <w:rsid w:val="007F18D1"/>
    <w:rsid w:val="007F1D69"/>
    <w:rsid w:val="007F1FDA"/>
    <w:rsid w:val="007F2970"/>
    <w:rsid w:val="007F2A1B"/>
    <w:rsid w:val="007F2A39"/>
    <w:rsid w:val="007F2DCE"/>
    <w:rsid w:val="007F2F9E"/>
    <w:rsid w:val="007F3DAC"/>
    <w:rsid w:val="007F3F5F"/>
    <w:rsid w:val="007F3F8C"/>
    <w:rsid w:val="007F3FB0"/>
    <w:rsid w:val="007F4149"/>
    <w:rsid w:val="007F42E8"/>
    <w:rsid w:val="007F4583"/>
    <w:rsid w:val="007F48AB"/>
    <w:rsid w:val="007F5B1D"/>
    <w:rsid w:val="007F5E14"/>
    <w:rsid w:val="007F5FA7"/>
    <w:rsid w:val="007F6054"/>
    <w:rsid w:val="007F7107"/>
    <w:rsid w:val="007F7BFB"/>
    <w:rsid w:val="008000AA"/>
    <w:rsid w:val="00800177"/>
    <w:rsid w:val="008009C4"/>
    <w:rsid w:val="008009E2"/>
    <w:rsid w:val="00800CC6"/>
    <w:rsid w:val="00800D4C"/>
    <w:rsid w:val="00800EAA"/>
    <w:rsid w:val="0080171B"/>
    <w:rsid w:val="0080171D"/>
    <w:rsid w:val="00801B7C"/>
    <w:rsid w:val="00801DE0"/>
    <w:rsid w:val="00802418"/>
    <w:rsid w:val="008024B5"/>
    <w:rsid w:val="008025A6"/>
    <w:rsid w:val="00802834"/>
    <w:rsid w:val="00802C7E"/>
    <w:rsid w:val="008031C4"/>
    <w:rsid w:val="008031D0"/>
    <w:rsid w:val="008032E8"/>
    <w:rsid w:val="00803D9D"/>
    <w:rsid w:val="008042EE"/>
    <w:rsid w:val="008047BB"/>
    <w:rsid w:val="008047C0"/>
    <w:rsid w:val="00804D28"/>
    <w:rsid w:val="00805E13"/>
    <w:rsid w:val="008060CA"/>
    <w:rsid w:val="0080637F"/>
    <w:rsid w:val="008064B9"/>
    <w:rsid w:val="0080677C"/>
    <w:rsid w:val="00806B83"/>
    <w:rsid w:val="00806CFF"/>
    <w:rsid w:val="00806D8C"/>
    <w:rsid w:val="00807188"/>
    <w:rsid w:val="008072D0"/>
    <w:rsid w:val="00807858"/>
    <w:rsid w:val="00807FE7"/>
    <w:rsid w:val="00810046"/>
    <w:rsid w:val="0081030F"/>
    <w:rsid w:val="0081040A"/>
    <w:rsid w:val="00810B7C"/>
    <w:rsid w:val="00810C90"/>
    <w:rsid w:val="00810E6E"/>
    <w:rsid w:val="00810F7B"/>
    <w:rsid w:val="00811CEE"/>
    <w:rsid w:val="00812BBA"/>
    <w:rsid w:val="00812C63"/>
    <w:rsid w:val="00812F4A"/>
    <w:rsid w:val="00813A6D"/>
    <w:rsid w:val="00813D65"/>
    <w:rsid w:val="00814580"/>
    <w:rsid w:val="008146F4"/>
    <w:rsid w:val="00814FDD"/>
    <w:rsid w:val="0081522C"/>
    <w:rsid w:val="0081532A"/>
    <w:rsid w:val="00815495"/>
    <w:rsid w:val="00815C42"/>
    <w:rsid w:val="00815EC4"/>
    <w:rsid w:val="00815EDF"/>
    <w:rsid w:val="00815F95"/>
    <w:rsid w:val="008168D8"/>
    <w:rsid w:val="00816E42"/>
    <w:rsid w:val="008177C2"/>
    <w:rsid w:val="00817941"/>
    <w:rsid w:val="008179DC"/>
    <w:rsid w:val="00817A12"/>
    <w:rsid w:val="00817FF3"/>
    <w:rsid w:val="008206B5"/>
    <w:rsid w:val="0082087D"/>
    <w:rsid w:val="00820A30"/>
    <w:rsid w:val="008211D0"/>
    <w:rsid w:val="008212FE"/>
    <w:rsid w:val="0082148A"/>
    <w:rsid w:val="008214BF"/>
    <w:rsid w:val="00821BBD"/>
    <w:rsid w:val="00821D36"/>
    <w:rsid w:val="00821D7B"/>
    <w:rsid w:val="008220DE"/>
    <w:rsid w:val="008222DA"/>
    <w:rsid w:val="008228B5"/>
    <w:rsid w:val="00822A1E"/>
    <w:rsid w:val="00822DAF"/>
    <w:rsid w:val="00822DC5"/>
    <w:rsid w:val="008234EC"/>
    <w:rsid w:val="0082350F"/>
    <w:rsid w:val="008235E5"/>
    <w:rsid w:val="008236AD"/>
    <w:rsid w:val="00823C77"/>
    <w:rsid w:val="00823DA7"/>
    <w:rsid w:val="008245D1"/>
    <w:rsid w:val="00824C02"/>
    <w:rsid w:val="00824DF5"/>
    <w:rsid w:val="00825408"/>
    <w:rsid w:val="00825A7E"/>
    <w:rsid w:val="00826959"/>
    <w:rsid w:val="00826DA5"/>
    <w:rsid w:val="00827280"/>
    <w:rsid w:val="0082759A"/>
    <w:rsid w:val="008277F6"/>
    <w:rsid w:val="00827EBA"/>
    <w:rsid w:val="00827F13"/>
    <w:rsid w:val="008300E7"/>
    <w:rsid w:val="00830387"/>
    <w:rsid w:val="0083046F"/>
    <w:rsid w:val="008306CF"/>
    <w:rsid w:val="00830B3B"/>
    <w:rsid w:val="0083167B"/>
    <w:rsid w:val="00831789"/>
    <w:rsid w:val="008318EB"/>
    <w:rsid w:val="0083191D"/>
    <w:rsid w:val="00831DA4"/>
    <w:rsid w:val="00831EB8"/>
    <w:rsid w:val="00832213"/>
    <w:rsid w:val="008323D8"/>
    <w:rsid w:val="00832F58"/>
    <w:rsid w:val="008335C0"/>
    <w:rsid w:val="008345BE"/>
    <w:rsid w:val="0083486E"/>
    <w:rsid w:val="00834993"/>
    <w:rsid w:val="00834A9B"/>
    <w:rsid w:val="00835771"/>
    <w:rsid w:val="00835EF0"/>
    <w:rsid w:val="00835FD2"/>
    <w:rsid w:val="008364C8"/>
    <w:rsid w:val="00836779"/>
    <w:rsid w:val="008379E9"/>
    <w:rsid w:val="00837C69"/>
    <w:rsid w:val="00837E58"/>
    <w:rsid w:val="0084002D"/>
    <w:rsid w:val="00840474"/>
    <w:rsid w:val="00840476"/>
    <w:rsid w:val="008407CE"/>
    <w:rsid w:val="008409F0"/>
    <w:rsid w:val="00840E7C"/>
    <w:rsid w:val="0084135D"/>
    <w:rsid w:val="008413C3"/>
    <w:rsid w:val="008419F8"/>
    <w:rsid w:val="00841D7B"/>
    <w:rsid w:val="00841EAA"/>
    <w:rsid w:val="00841FA0"/>
    <w:rsid w:val="00841FCB"/>
    <w:rsid w:val="00841FDC"/>
    <w:rsid w:val="00842159"/>
    <w:rsid w:val="0084215B"/>
    <w:rsid w:val="008425E1"/>
    <w:rsid w:val="00842933"/>
    <w:rsid w:val="00842FC5"/>
    <w:rsid w:val="0084347B"/>
    <w:rsid w:val="00843E3B"/>
    <w:rsid w:val="00843F45"/>
    <w:rsid w:val="008440CE"/>
    <w:rsid w:val="008441B2"/>
    <w:rsid w:val="008444BA"/>
    <w:rsid w:val="00844A5B"/>
    <w:rsid w:val="00844D73"/>
    <w:rsid w:val="008451A3"/>
    <w:rsid w:val="008451D9"/>
    <w:rsid w:val="008452E6"/>
    <w:rsid w:val="008454B0"/>
    <w:rsid w:val="0084557A"/>
    <w:rsid w:val="0084575B"/>
    <w:rsid w:val="00845E9D"/>
    <w:rsid w:val="00845EA4"/>
    <w:rsid w:val="00846355"/>
    <w:rsid w:val="00846D88"/>
    <w:rsid w:val="00846FD9"/>
    <w:rsid w:val="00847DBD"/>
    <w:rsid w:val="0085059E"/>
    <w:rsid w:val="00850749"/>
    <w:rsid w:val="00850B09"/>
    <w:rsid w:val="00850D12"/>
    <w:rsid w:val="00850FAC"/>
    <w:rsid w:val="00851279"/>
    <w:rsid w:val="008512F8"/>
    <w:rsid w:val="008514E6"/>
    <w:rsid w:val="00851A41"/>
    <w:rsid w:val="008522C0"/>
    <w:rsid w:val="00852734"/>
    <w:rsid w:val="00852957"/>
    <w:rsid w:val="00852A1D"/>
    <w:rsid w:val="00852ED7"/>
    <w:rsid w:val="0085318A"/>
    <w:rsid w:val="00853552"/>
    <w:rsid w:val="00853690"/>
    <w:rsid w:val="008536B1"/>
    <w:rsid w:val="008537AC"/>
    <w:rsid w:val="00853949"/>
    <w:rsid w:val="008539CC"/>
    <w:rsid w:val="00854743"/>
    <w:rsid w:val="00854966"/>
    <w:rsid w:val="0085499C"/>
    <w:rsid w:val="00854FF1"/>
    <w:rsid w:val="00855947"/>
    <w:rsid w:val="0085610B"/>
    <w:rsid w:val="008565D3"/>
    <w:rsid w:val="00856944"/>
    <w:rsid w:val="00856D01"/>
    <w:rsid w:val="00856F2C"/>
    <w:rsid w:val="008576F6"/>
    <w:rsid w:val="00857C15"/>
    <w:rsid w:val="00857CD9"/>
    <w:rsid w:val="0086082C"/>
    <w:rsid w:val="00860972"/>
    <w:rsid w:val="00860AF0"/>
    <w:rsid w:val="00861581"/>
    <w:rsid w:val="008618C4"/>
    <w:rsid w:val="00861AA5"/>
    <w:rsid w:val="00861C12"/>
    <w:rsid w:val="0086218A"/>
    <w:rsid w:val="008621CB"/>
    <w:rsid w:val="008621DE"/>
    <w:rsid w:val="00862676"/>
    <w:rsid w:val="00862D76"/>
    <w:rsid w:val="008630CE"/>
    <w:rsid w:val="00863938"/>
    <w:rsid w:val="008641B4"/>
    <w:rsid w:val="0086440D"/>
    <w:rsid w:val="00864ADC"/>
    <w:rsid w:val="00864C6E"/>
    <w:rsid w:val="00864D59"/>
    <w:rsid w:val="00864EFF"/>
    <w:rsid w:val="00865284"/>
    <w:rsid w:val="0086598A"/>
    <w:rsid w:val="00866699"/>
    <w:rsid w:val="00866928"/>
    <w:rsid w:val="00866A6F"/>
    <w:rsid w:val="00866ACB"/>
    <w:rsid w:val="00866BC9"/>
    <w:rsid w:val="00866C2E"/>
    <w:rsid w:val="008672A6"/>
    <w:rsid w:val="00867376"/>
    <w:rsid w:val="0087011A"/>
    <w:rsid w:val="00870268"/>
    <w:rsid w:val="008706C5"/>
    <w:rsid w:val="008707E9"/>
    <w:rsid w:val="0087092E"/>
    <w:rsid w:val="008709A2"/>
    <w:rsid w:val="00870BA4"/>
    <w:rsid w:val="00871AC2"/>
    <w:rsid w:val="00871E85"/>
    <w:rsid w:val="00871FBE"/>
    <w:rsid w:val="008727C6"/>
    <w:rsid w:val="008727E3"/>
    <w:rsid w:val="00873120"/>
    <w:rsid w:val="008736F7"/>
    <w:rsid w:val="00873819"/>
    <w:rsid w:val="0087396B"/>
    <w:rsid w:val="00873C58"/>
    <w:rsid w:val="00873C7E"/>
    <w:rsid w:val="00873CB0"/>
    <w:rsid w:val="008742CE"/>
    <w:rsid w:val="00874ACF"/>
    <w:rsid w:val="00874EBF"/>
    <w:rsid w:val="00874FA4"/>
    <w:rsid w:val="00875183"/>
    <w:rsid w:val="0087519E"/>
    <w:rsid w:val="00875373"/>
    <w:rsid w:val="008753B9"/>
    <w:rsid w:val="00875798"/>
    <w:rsid w:val="00875B4A"/>
    <w:rsid w:val="00875B64"/>
    <w:rsid w:val="008773FF"/>
    <w:rsid w:val="0087752B"/>
    <w:rsid w:val="008776D2"/>
    <w:rsid w:val="00877B69"/>
    <w:rsid w:val="00880153"/>
    <w:rsid w:val="008804D1"/>
    <w:rsid w:val="008809E6"/>
    <w:rsid w:val="00880F97"/>
    <w:rsid w:val="00881001"/>
    <w:rsid w:val="0088133A"/>
    <w:rsid w:val="00881CCC"/>
    <w:rsid w:val="00882A2E"/>
    <w:rsid w:val="00882B03"/>
    <w:rsid w:val="00882BCD"/>
    <w:rsid w:val="00883017"/>
    <w:rsid w:val="008837EB"/>
    <w:rsid w:val="00883A00"/>
    <w:rsid w:val="00883E5C"/>
    <w:rsid w:val="00883FBA"/>
    <w:rsid w:val="00884404"/>
    <w:rsid w:val="0088446A"/>
    <w:rsid w:val="00884DCD"/>
    <w:rsid w:val="00884F11"/>
    <w:rsid w:val="00885374"/>
    <w:rsid w:val="0088585B"/>
    <w:rsid w:val="00885B81"/>
    <w:rsid w:val="00885F91"/>
    <w:rsid w:val="008860BA"/>
    <w:rsid w:val="00886145"/>
    <w:rsid w:val="008861F0"/>
    <w:rsid w:val="0088663D"/>
    <w:rsid w:val="00886A17"/>
    <w:rsid w:val="00886C5B"/>
    <w:rsid w:val="00886E34"/>
    <w:rsid w:val="008871FC"/>
    <w:rsid w:val="00887508"/>
    <w:rsid w:val="00887792"/>
    <w:rsid w:val="008877EE"/>
    <w:rsid w:val="00887D34"/>
    <w:rsid w:val="00887DBD"/>
    <w:rsid w:val="00887E89"/>
    <w:rsid w:val="008902CA"/>
    <w:rsid w:val="0089084F"/>
    <w:rsid w:val="00890ADC"/>
    <w:rsid w:val="00890B5C"/>
    <w:rsid w:val="00890B71"/>
    <w:rsid w:val="00890D56"/>
    <w:rsid w:val="008912D5"/>
    <w:rsid w:val="00891360"/>
    <w:rsid w:val="00892049"/>
    <w:rsid w:val="0089208A"/>
    <w:rsid w:val="00892409"/>
    <w:rsid w:val="00892617"/>
    <w:rsid w:val="008927E0"/>
    <w:rsid w:val="0089285E"/>
    <w:rsid w:val="008929C9"/>
    <w:rsid w:val="008929E7"/>
    <w:rsid w:val="00893340"/>
    <w:rsid w:val="0089357C"/>
    <w:rsid w:val="008939E6"/>
    <w:rsid w:val="00893FE9"/>
    <w:rsid w:val="0089436C"/>
    <w:rsid w:val="0089442B"/>
    <w:rsid w:val="00894945"/>
    <w:rsid w:val="008951E8"/>
    <w:rsid w:val="00895A92"/>
    <w:rsid w:val="00896316"/>
    <w:rsid w:val="00896546"/>
    <w:rsid w:val="00896614"/>
    <w:rsid w:val="00897AF1"/>
    <w:rsid w:val="00897D5A"/>
    <w:rsid w:val="00897FB0"/>
    <w:rsid w:val="008A08B5"/>
    <w:rsid w:val="008A0F99"/>
    <w:rsid w:val="008A1D45"/>
    <w:rsid w:val="008A20A3"/>
    <w:rsid w:val="008A23F9"/>
    <w:rsid w:val="008A24F9"/>
    <w:rsid w:val="008A2581"/>
    <w:rsid w:val="008A25D7"/>
    <w:rsid w:val="008A264A"/>
    <w:rsid w:val="008A27FB"/>
    <w:rsid w:val="008A334A"/>
    <w:rsid w:val="008A3527"/>
    <w:rsid w:val="008A3542"/>
    <w:rsid w:val="008A4044"/>
    <w:rsid w:val="008A4546"/>
    <w:rsid w:val="008A4668"/>
    <w:rsid w:val="008A46ED"/>
    <w:rsid w:val="008A483D"/>
    <w:rsid w:val="008A514A"/>
    <w:rsid w:val="008A5267"/>
    <w:rsid w:val="008A57F3"/>
    <w:rsid w:val="008A589A"/>
    <w:rsid w:val="008A5AE9"/>
    <w:rsid w:val="008A65EF"/>
    <w:rsid w:val="008A6991"/>
    <w:rsid w:val="008A6BEA"/>
    <w:rsid w:val="008A6F68"/>
    <w:rsid w:val="008A7303"/>
    <w:rsid w:val="008A7C4F"/>
    <w:rsid w:val="008A7DC1"/>
    <w:rsid w:val="008A7E38"/>
    <w:rsid w:val="008A7F1A"/>
    <w:rsid w:val="008B0065"/>
    <w:rsid w:val="008B00A3"/>
    <w:rsid w:val="008B0D5D"/>
    <w:rsid w:val="008B18B1"/>
    <w:rsid w:val="008B1C53"/>
    <w:rsid w:val="008B1E24"/>
    <w:rsid w:val="008B256E"/>
    <w:rsid w:val="008B25F2"/>
    <w:rsid w:val="008B2A56"/>
    <w:rsid w:val="008B2CC1"/>
    <w:rsid w:val="008B304E"/>
    <w:rsid w:val="008B30CA"/>
    <w:rsid w:val="008B3261"/>
    <w:rsid w:val="008B3476"/>
    <w:rsid w:val="008B3580"/>
    <w:rsid w:val="008B3591"/>
    <w:rsid w:val="008B39F4"/>
    <w:rsid w:val="008B3D78"/>
    <w:rsid w:val="008B3FEE"/>
    <w:rsid w:val="008B4116"/>
    <w:rsid w:val="008B4374"/>
    <w:rsid w:val="008B4534"/>
    <w:rsid w:val="008B489B"/>
    <w:rsid w:val="008B4BE1"/>
    <w:rsid w:val="008B4CDD"/>
    <w:rsid w:val="008B4DCA"/>
    <w:rsid w:val="008B4E4A"/>
    <w:rsid w:val="008B54CD"/>
    <w:rsid w:val="008B5BF7"/>
    <w:rsid w:val="008B5C61"/>
    <w:rsid w:val="008B6726"/>
    <w:rsid w:val="008B723E"/>
    <w:rsid w:val="008B75EA"/>
    <w:rsid w:val="008B7913"/>
    <w:rsid w:val="008B7AC1"/>
    <w:rsid w:val="008C0243"/>
    <w:rsid w:val="008C0336"/>
    <w:rsid w:val="008C0866"/>
    <w:rsid w:val="008C0E54"/>
    <w:rsid w:val="008C0F07"/>
    <w:rsid w:val="008C1090"/>
    <w:rsid w:val="008C19B3"/>
    <w:rsid w:val="008C1B86"/>
    <w:rsid w:val="008C23C3"/>
    <w:rsid w:val="008C2476"/>
    <w:rsid w:val="008C2490"/>
    <w:rsid w:val="008C283A"/>
    <w:rsid w:val="008C2921"/>
    <w:rsid w:val="008C2DF2"/>
    <w:rsid w:val="008C2E53"/>
    <w:rsid w:val="008C3580"/>
    <w:rsid w:val="008C370E"/>
    <w:rsid w:val="008C383E"/>
    <w:rsid w:val="008C3E32"/>
    <w:rsid w:val="008C4A03"/>
    <w:rsid w:val="008C4B7D"/>
    <w:rsid w:val="008C5162"/>
    <w:rsid w:val="008C52EA"/>
    <w:rsid w:val="008C56E7"/>
    <w:rsid w:val="008C5C4B"/>
    <w:rsid w:val="008C5F04"/>
    <w:rsid w:val="008C5FD3"/>
    <w:rsid w:val="008C60EB"/>
    <w:rsid w:val="008C65AE"/>
    <w:rsid w:val="008C6B31"/>
    <w:rsid w:val="008C6C7C"/>
    <w:rsid w:val="008C6D4F"/>
    <w:rsid w:val="008C736A"/>
    <w:rsid w:val="008C7413"/>
    <w:rsid w:val="008C7676"/>
    <w:rsid w:val="008D026B"/>
    <w:rsid w:val="008D08BC"/>
    <w:rsid w:val="008D0983"/>
    <w:rsid w:val="008D0CF9"/>
    <w:rsid w:val="008D0EF6"/>
    <w:rsid w:val="008D1358"/>
    <w:rsid w:val="008D144D"/>
    <w:rsid w:val="008D16EC"/>
    <w:rsid w:val="008D193C"/>
    <w:rsid w:val="008D1945"/>
    <w:rsid w:val="008D19C8"/>
    <w:rsid w:val="008D222F"/>
    <w:rsid w:val="008D236C"/>
    <w:rsid w:val="008D24DD"/>
    <w:rsid w:val="008D2723"/>
    <w:rsid w:val="008D2E59"/>
    <w:rsid w:val="008D2EAE"/>
    <w:rsid w:val="008D2F57"/>
    <w:rsid w:val="008D3193"/>
    <w:rsid w:val="008D365C"/>
    <w:rsid w:val="008D3840"/>
    <w:rsid w:val="008D3BB6"/>
    <w:rsid w:val="008D3C74"/>
    <w:rsid w:val="008D3FB9"/>
    <w:rsid w:val="008D40CE"/>
    <w:rsid w:val="008D4144"/>
    <w:rsid w:val="008D487F"/>
    <w:rsid w:val="008D4A2D"/>
    <w:rsid w:val="008D4E59"/>
    <w:rsid w:val="008D559A"/>
    <w:rsid w:val="008D5B72"/>
    <w:rsid w:val="008D5BBF"/>
    <w:rsid w:val="008D5C42"/>
    <w:rsid w:val="008D5E86"/>
    <w:rsid w:val="008D637F"/>
    <w:rsid w:val="008D63B4"/>
    <w:rsid w:val="008D6440"/>
    <w:rsid w:val="008D6AB1"/>
    <w:rsid w:val="008D70D1"/>
    <w:rsid w:val="008D7619"/>
    <w:rsid w:val="008D7622"/>
    <w:rsid w:val="008E009A"/>
    <w:rsid w:val="008E0752"/>
    <w:rsid w:val="008E0B1A"/>
    <w:rsid w:val="008E15F4"/>
    <w:rsid w:val="008E1AE4"/>
    <w:rsid w:val="008E252E"/>
    <w:rsid w:val="008E3152"/>
    <w:rsid w:val="008E328E"/>
    <w:rsid w:val="008E372B"/>
    <w:rsid w:val="008E3932"/>
    <w:rsid w:val="008E3998"/>
    <w:rsid w:val="008E47F0"/>
    <w:rsid w:val="008E4970"/>
    <w:rsid w:val="008E4BA4"/>
    <w:rsid w:val="008E4C14"/>
    <w:rsid w:val="008E4F05"/>
    <w:rsid w:val="008E508D"/>
    <w:rsid w:val="008E5106"/>
    <w:rsid w:val="008E5610"/>
    <w:rsid w:val="008E5A07"/>
    <w:rsid w:val="008E5C46"/>
    <w:rsid w:val="008E5DA0"/>
    <w:rsid w:val="008E60B0"/>
    <w:rsid w:val="008E694C"/>
    <w:rsid w:val="008E6A7A"/>
    <w:rsid w:val="008E6BAE"/>
    <w:rsid w:val="008E6CB8"/>
    <w:rsid w:val="008E7765"/>
    <w:rsid w:val="008E778F"/>
    <w:rsid w:val="008E7818"/>
    <w:rsid w:val="008E784C"/>
    <w:rsid w:val="008F02E6"/>
    <w:rsid w:val="008F124D"/>
    <w:rsid w:val="008F146E"/>
    <w:rsid w:val="008F16C0"/>
    <w:rsid w:val="008F1946"/>
    <w:rsid w:val="008F1CAF"/>
    <w:rsid w:val="008F1D59"/>
    <w:rsid w:val="008F1DF2"/>
    <w:rsid w:val="008F1E1C"/>
    <w:rsid w:val="008F1F01"/>
    <w:rsid w:val="008F2094"/>
    <w:rsid w:val="008F2187"/>
    <w:rsid w:val="008F2321"/>
    <w:rsid w:val="008F24FA"/>
    <w:rsid w:val="008F2557"/>
    <w:rsid w:val="008F2635"/>
    <w:rsid w:val="008F2E69"/>
    <w:rsid w:val="008F2F0C"/>
    <w:rsid w:val="008F336C"/>
    <w:rsid w:val="008F395E"/>
    <w:rsid w:val="008F3FEA"/>
    <w:rsid w:val="008F4486"/>
    <w:rsid w:val="008F469F"/>
    <w:rsid w:val="008F4C92"/>
    <w:rsid w:val="008F4D37"/>
    <w:rsid w:val="008F4DB4"/>
    <w:rsid w:val="008F5788"/>
    <w:rsid w:val="008F5960"/>
    <w:rsid w:val="008F5C03"/>
    <w:rsid w:val="008F5D16"/>
    <w:rsid w:val="008F5D20"/>
    <w:rsid w:val="008F6053"/>
    <w:rsid w:val="008F67DB"/>
    <w:rsid w:val="008F68E4"/>
    <w:rsid w:val="008F6ADB"/>
    <w:rsid w:val="008F6B78"/>
    <w:rsid w:val="008F6CD3"/>
    <w:rsid w:val="008F6D8E"/>
    <w:rsid w:val="008F6FD7"/>
    <w:rsid w:val="008F730F"/>
    <w:rsid w:val="008F78E3"/>
    <w:rsid w:val="008F7926"/>
    <w:rsid w:val="008F79DF"/>
    <w:rsid w:val="008F7AA6"/>
    <w:rsid w:val="008F7C5D"/>
    <w:rsid w:val="0090054B"/>
    <w:rsid w:val="00900893"/>
    <w:rsid w:val="00900B25"/>
    <w:rsid w:val="00900C8D"/>
    <w:rsid w:val="00900D7D"/>
    <w:rsid w:val="009012EB"/>
    <w:rsid w:val="009014F0"/>
    <w:rsid w:val="0090191C"/>
    <w:rsid w:val="009021A6"/>
    <w:rsid w:val="00902925"/>
    <w:rsid w:val="00902953"/>
    <w:rsid w:val="00902CE0"/>
    <w:rsid w:val="00902FD3"/>
    <w:rsid w:val="009030BF"/>
    <w:rsid w:val="009032AC"/>
    <w:rsid w:val="00903552"/>
    <w:rsid w:val="00903B52"/>
    <w:rsid w:val="00903DEB"/>
    <w:rsid w:val="00903E54"/>
    <w:rsid w:val="00903FF4"/>
    <w:rsid w:val="009042A4"/>
    <w:rsid w:val="00904391"/>
    <w:rsid w:val="0090447B"/>
    <w:rsid w:val="009045CA"/>
    <w:rsid w:val="009047A9"/>
    <w:rsid w:val="00904B8B"/>
    <w:rsid w:val="00904C46"/>
    <w:rsid w:val="009051EB"/>
    <w:rsid w:val="009052DF"/>
    <w:rsid w:val="00905554"/>
    <w:rsid w:val="00905607"/>
    <w:rsid w:val="00905A0B"/>
    <w:rsid w:val="0090613E"/>
    <w:rsid w:val="00906467"/>
    <w:rsid w:val="00907026"/>
    <w:rsid w:val="009075C7"/>
    <w:rsid w:val="00907751"/>
    <w:rsid w:val="00907825"/>
    <w:rsid w:val="009078A8"/>
    <w:rsid w:val="00907C3F"/>
    <w:rsid w:val="00910102"/>
    <w:rsid w:val="0091026D"/>
    <w:rsid w:val="0091032F"/>
    <w:rsid w:val="00910775"/>
    <w:rsid w:val="009108BD"/>
    <w:rsid w:val="00911087"/>
    <w:rsid w:val="00911276"/>
    <w:rsid w:val="009117BE"/>
    <w:rsid w:val="009118F2"/>
    <w:rsid w:val="00911BA7"/>
    <w:rsid w:val="00912043"/>
    <w:rsid w:val="009120FA"/>
    <w:rsid w:val="0091227F"/>
    <w:rsid w:val="0091260F"/>
    <w:rsid w:val="00912989"/>
    <w:rsid w:val="00913713"/>
    <w:rsid w:val="009138C4"/>
    <w:rsid w:val="00914084"/>
    <w:rsid w:val="0091414E"/>
    <w:rsid w:val="00914368"/>
    <w:rsid w:val="009145E6"/>
    <w:rsid w:val="00914714"/>
    <w:rsid w:val="00914876"/>
    <w:rsid w:val="00914ADC"/>
    <w:rsid w:val="00915114"/>
    <w:rsid w:val="0091578C"/>
    <w:rsid w:val="00915936"/>
    <w:rsid w:val="009159F7"/>
    <w:rsid w:val="00916177"/>
    <w:rsid w:val="00916B9B"/>
    <w:rsid w:val="0091703B"/>
    <w:rsid w:val="009178B7"/>
    <w:rsid w:val="00917C1C"/>
    <w:rsid w:val="0092058C"/>
    <w:rsid w:val="009207EC"/>
    <w:rsid w:val="009208AB"/>
    <w:rsid w:val="00920A67"/>
    <w:rsid w:val="00920EC5"/>
    <w:rsid w:val="00920FCC"/>
    <w:rsid w:val="00921323"/>
    <w:rsid w:val="009213B1"/>
    <w:rsid w:val="009219A2"/>
    <w:rsid w:val="00921CA9"/>
    <w:rsid w:val="00922082"/>
    <w:rsid w:val="009228DF"/>
    <w:rsid w:val="00922A1A"/>
    <w:rsid w:val="00922BC6"/>
    <w:rsid w:val="00922F8F"/>
    <w:rsid w:val="00923198"/>
    <w:rsid w:val="009231D6"/>
    <w:rsid w:val="009239B7"/>
    <w:rsid w:val="00923B24"/>
    <w:rsid w:val="00923B25"/>
    <w:rsid w:val="00923B8A"/>
    <w:rsid w:val="00923E44"/>
    <w:rsid w:val="00924165"/>
    <w:rsid w:val="00924313"/>
    <w:rsid w:val="009249C4"/>
    <w:rsid w:val="00924D07"/>
    <w:rsid w:val="009250BF"/>
    <w:rsid w:val="009254C2"/>
    <w:rsid w:val="00925DBD"/>
    <w:rsid w:val="009260BA"/>
    <w:rsid w:val="0092622F"/>
    <w:rsid w:val="00926D23"/>
    <w:rsid w:val="00926EAE"/>
    <w:rsid w:val="00927B33"/>
    <w:rsid w:val="00927DDC"/>
    <w:rsid w:val="00930555"/>
    <w:rsid w:val="00930FD8"/>
    <w:rsid w:val="00931038"/>
    <w:rsid w:val="00931076"/>
    <w:rsid w:val="0093149D"/>
    <w:rsid w:val="00931608"/>
    <w:rsid w:val="009318BA"/>
    <w:rsid w:val="00932238"/>
    <w:rsid w:val="009327EC"/>
    <w:rsid w:val="00932F8B"/>
    <w:rsid w:val="0093365D"/>
    <w:rsid w:val="009339C5"/>
    <w:rsid w:val="00933B62"/>
    <w:rsid w:val="00933B98"/>
    <w:rsid w:val="00933E6A"/>
    <w:rsid w:val="009342EF"/>
    <w:rsid w:val="00934475"/>
    <w:rsid w:val="009345D9"/>
    <w:rsid w:val="00934B15"/>
    <w:rsid w:val="00934B8E"/>
    <w:rsid w:val="00934D0B"/>
    <w:rsid w:val="00935C24"/>
    <w:rsid w:val="009360A8"/>
    <w:rsid w:val="009363FB"/>
    <w:rsid w:val="00936633"/>
    <w:rsid w:val="009366B5"/>
    <w:rsid w:val="00937356"/>
    <w:rsid w:val="00937B3D"/>
    <w:rsid w:val="00937B5F"/>
    <w:rsid w:val="00937B69"/>
    <w:rsid w:val="00940040"/>
    <w:rsid w:val="00940C87"/>
    <w:rsid w:val="009411A7"/>
    <w:rsid w:val="00941762"/>
    <w:rsid w:val="009417FE"/>
    <w:rsid w:val="0094193E"/>
    <w:rsid w:val="00941ED3"/>
    <w:rsid w:val="00942070"/>
    <w:rsid w:val="0094253E"/>
    <w:rsid w:val="00942B62"/>
    <w:rsid w:val="00942FC4"/>
    <w:rsid w:val="00943092"/>
    <w:rsid w:val="0094309B"/>
    <w:rsid w:val="009436F8"/>
    <w:rsid w:val="009439B7"/>
    <w:rsid w:val="00943D0A"/>
    <w:rsid w:val="00943E72"/>
    <w:rsid w:val="009440D1"/>
    <w:rsid w:val="009444DF"/>
    <w:rsid w:val="009444EA"/>
    <w:rsid w:val="0094462E"/>
    <w:rsid w:val="00944705"/>
    <w:rsid w:val="00944BC9"/>
    <w:rsid w:val="00944FE9"/>
    <w:rsid w:val="0094553A"/>
    <w:rsid w:val="0094574A"/>
    <w:rsid w:val="00945D04"/>
    <w:rsid w:val="00945E39"/>
    <w:rsid w:val="009470A1"/>
    <w:rsid w:val="009471B5"/>
    <w:rsid w:val="009471D1"/>
    <w:rsid w:val="00947A32"/>
    <w:rsid w:val="00947B96"/>
    <w:rsid w:val="00947E0A"/>
    <w:rsid w:val="009500EE"/>
    <w:rsid w:val="0095083B"/>
    <w:rsid w:val="00950ABC"/>
    <w:rsid w:val="00950E2B"/>
    <w:rsid w:val="00950FF3"/>
    <w:rsid w:val="0095135D"/>
    <w:rsid w:val="0095143F"/>
    <w:rsid w:val="0095147D"/>
    <w:rsid w:val="009516FB"/>
    <w:rsid w:val="009519AE"/>
    <w:rsid w:val="0095230A"/>
    <w:rsid w:val="009524EA"/>
    <w:rsid w:val="00952657"/>
    <w:rsid w:val="00952C0C"/>
    <w:rsid w:val="00952D8F"/>
    <w:rsid w:val="0095304A"/>
    <w:rsid w:val="0095323B"/>
    <w:rsid w:val="00953456"/>
    <w:rsid w:val="009538ED"/>
    <w:rsid w:val="00953A67"/>
    <w:rsid w:val="00953C1D"/>
    <w:rsid w:val="00953EB5"/>
    <w:rsid w:val="00954318"/>
    <w:rsid w:val="00954A62"/>
    <w:rsid w:val="0095501A"/>
    <w:rsid w:val="00955A73"/>
    <w:rsid w:val="00955E04"/>
    <w:rsid w:val="009560A9"/>
    <w:rsid w:val="009561C2"/>
    <w:rsid w:val="00956A0C"/>
    <w:rsid w:val="00956BD9"/>
    <w:rsid w:val="00956CC3"/>
    <w:rsid w:val="00957541"/>
    <w:rsid w:val="00957747"/>
    <w:rsid w:val="0095790B"/>
    <w:rsid w:val="00957A0D"/>
    <w:rsid w:val="00957A62"/>
    <w:rsid w:val="00957BF7"/>
    <w:rsid w:val="00957DA4"/>
    <w:rsid w:val="009600D9"/>
    <w:rsid w:val="009604A3"/>
    <w:rsid w:val="0096131F"/>
    <w:rsid w:val="00961710"/>
    <w:rsid w:val="00961BFD"/>
    <w:rsid w:val="00961ECE"/>
    <w:rsid w:val="009622F7"/>
    <w:rsid w:val="00962489"/>
    <w:rsid w:val="009629B2"/>
    <w:rsid w:val="009631FA"/>
    <w:rsid w:val="0096321A"/>
    <w:rsid w:val="00963262"/>
    <w:rsid w:val="00963772"/>
    <w:rsid w:val="009639CC"/>
    <w:rsid w:val="00963B76"/>
    <w:rsid w:val="00963B7B"/>
    <w:rsid w:val="00963C17"/>
    <w:rsid w:val="00963C47"/>
    <w:rsid w:val="0096402A"/>
    <w:rsid w:val="00964086"/>
    <w:rsid w:val="009641C6"/>
    <w:rsid w:val="00964D90"/>
    <w:rsid w:val="00965B7D"/>
    <w:rsid w:val="0096606C"/>
    <w:rsid w:val="0096613A"/>
    <w:rsid w:val="009667CA"/>
    <w:rsid w:val="009668BD"/>
    <w:rsid w:val="0096747D"/>
    <w:rsid w:val="00967587"/>
    <w:rsid w:val="00967616"/>
    <w:rsid w:val="009676CF"/>
    <w:rsid w:val="00967CD3"/>
    <w:rsid w:val="00970162"/>
    <w:rsid w:val="009702DF"/>
    <w:rsid w:val="0097053F"/>
    <w:rsid w:val="00970A8D"/>
    <w:rsid w:val="009713A8"/>
    <w:rsid w:val="009717CC"/>
    <w:rsid w:val="00971ED7"/>
    <w:rsid w:val="00972187"/>
    <w:rsid w:val="00972A09"/>
    <w:rsid w:val="00972A30"/>
    <w:rsid w:val="00972BAC"/>
    <w:rsid w:val="00972EB7"/>
    <w:rsid w:val="0097339E"/>
    <w:rsid w:val="009736A0"/>
    <w:rsid w:val="00973C60"/>
    <w:rsid w:val="00973E2F"/>
    <w:rsid w:val="00973F86"/>
    <w:rsid w:val="009741CB"/>
    <w:rsid w:val="0097420E"/>
    <w:rsid w:val="00974ED4"/>
    <w:rsid w:val="00974FA9"/>
    <w:rsid w:val="009752C8"/>
    <w:rsid w:val="009753CE"/>
    <w:rsid w:val="0097558C"/>
    <w:rsid w:val="0097577F"/>
    <w:rsid w:val="009758C5"/>
    <w:rsid w:val="00975D93"/>
    <w:rsid w:val="00975F13"/>
    <w:rsid w:val="00976171"/>
    <w:rsid w:val="009764C7"/>
    <w:rsid w:val="009766BB"/>
    <w:rsid w:val="0097686F"/>
    <w:rsid w:val="00976A40"/>
    <w:rsid w:val="00976A9F"/>
    <w:rsid w:val="00976B2F"/>
    <w:rsid w:val="009772F9"/>
    <w:rsid w:val="009773FF"/>
    <w:rsid w:val="0097741A"/>
    <w:rsid w:val="0097768E"/>
    <w:rsid w:val="00977925"/>
    <w:rsid w:val="00977D4F"/>
    <w:rsid w:val="00977E9F"/>
    <w:rsid w:val="00977EB1"/>
    <w:rsid w:val="00977F63"/>
    <w:rsid w:val="00980074"/>
    <w:rsid w:val="009805C5"/>
    <w:rsid w:val="00980D59"/>
    <w:rsid w:val="00980E8F"/>
    <w:rsid w:val="00980F72"/>
    <w:rsid w:val="009814F2"/>
    <w:rsid w:val="00982106"/>
    <w:rsid w:val="00982470"/>
    <w:rsid w:val="0098251A"/>
    <w:rsid w:val="0098296F"/>
    <w:rsid w:val="009829D2"/>
    <w:rsid w:val="00982A1E"/>
    <w:rsid w:val="00982E80"/>
    <w:rsid w:val="009831CB"/>
    <w:rsid w:val="00983569"/>
    <w:rsid w:val="0098367D"/>
    <w:rsid w:val="009838A7"/>
    <w:rsid w:val="00983B04"/>
    <w:rsid w:val="00984084"/>
    <w:rsid w:val="0098428F"/>
    <w:rsid w:val="009848CF"/>
    <w:rsid w:val="0098511A"/>
    <w:rsid w:val="009856A2"/>
    <w:rsid w:val="009859D7"/>
    <w:rsid w:val="00985F8D"/>
    <w:rsid w:val="009863F5"/>
    <w:rsid w:val="009869F5"/>
    <w:rsid w:val="00986A0B"/>
    <w:rsid w:val="00986B4D"/>
    <w:rsid w:val="00986B9F"/>
    <w:rsid w:val="00987022"/>
    <w:rsid w:val="00987217"/>
    <w:rsid w:val="009872A6"/>
    <w:rsid w:val="0098751F"/>
    <w:rsid w:val="0098763B"/>
    <w:rsid w:val="009877FB"/>
    <w:rsid w:val="00987A0F"/>
    <w:rsid w:val="00987A48"/>
    <w:rsid w:val="00987C50"/>
    <w:rsid w:val="00987D8C"/>
    <w:rsid w:val="00990037"/>
    <w:rsid w:val="009903CE"/>
    <w:rsid w:val="00990627"/>
    <w:rsid w:val="009908F5"/>
    <w:rsid w:val="00990997"/>
    <w:rsid w:val="00990A3D"/>
    <w:rsid w:val="00990C2C"/>
    <w:rsid w:val="00990C37"/>
    <w:rsid w:val="00990EF3"/>
    <w:rsid w:val="009910FF"/>
    <w:rsid w:val="009913EB"/>
    <w:rsid w:val="009914B3"/>
    <w:rsid w:val="00991A8B"/>
    <w:rsid w:val="00991AA9"/>
    <w:rsid w:val="00991CA3"/>
    <w:rsid w:val="009924AE"/>
    <w:rsid w:val="00992FFD"/>
    <w:rsid w:val="0099327C"/>
    <w:rsid w:val="00994851"/>
    <w:rsid w:val="009948B5"/>
    <w:rsid w:val="00994933"/>
    <w:rsid w:val="00994D15"/>
    <w:rsid w:val="009951C5"/>
    <w:rsid w:val="00995409"/>
    <w:rsid w:val="00995B3B"/>
    <w:rsid w:val="00996053"/>
    <w:rsid w:val="00996E30"/>
    <w:rsid w:val="0099733C"/>
    <w:rsid w:val="0099746F"/>
    <w:rsid w:val="00997DBF"/>
    <w:rsid w:val="009A0010"/>
    <w:rsid w:val="009A0104"/>
    <w:rsid w:val="009A16D6"/>
    <w:rsid w:val="009A1D8F"/>
    <w:rsid w:val="009A1E2F"/>
    <w:rsid w:val="009A2403"/>
    <w:rsid w:val="009A2A4F"/>
    <w:rsid w:val="009A2D19"/>
    <w:rsid w:val="009A31B9"/>
    <w:rsid w:val="009A360F"/>
    <w:rsid w:val="009A39C1"/>
    <w:rsid w:val="009A3F7E"/>
    <w:rsid w:val="009A433E"/>
    <w:rsid w:val="009A4637"/>
    <w:rsid w:val="009A4A91"/>
    <w:rsid w:val="009A4B8C"/>
    <w:rsid w:val="009A4C2A"/>
    <w:rsid w:val="009A4DA9"/>
    <w:rsid w:val="009A4E0E"/>
    <w:rsid w:val="009A4ED0"/>
    <w:rsid w:val="009A5171"/>
    <w:rsid w:val="009A53AF"/>
    <w:rsid w:val="009A56A5"/>
    <w:rsid w:val="009A58DC"/>
    <w:rsid w:val="009A58E8"/>
    <w:rsid w:val="009A5B34"/>
    <w:rsid w:val="009A5D91"/>
    <w:rsid w:val="009A5F35"/>
    <w:rsid w:val="009A5FB3"/>
    <w:rsid w:val="009A60B6"/>
    <w:rsid w:val="009A66F3"/>
    <w:rsid w:val="009A68D7"/>
    <w:rsid w:val="009A696B"/>
    <w:rsid w:val="009A7616"/>
    <w:rsid w:val="009A7C4E"/>
    <w:rsid w:val="009B0250"/>
    <w:rsid w:val="009B0690"/>
    <w:rsid w:val="009B0C53"/>
    <w:rsid w:val="009B1506"/>
    <w:rsid w:val="009B1CDE"/>
    <w:rsid w:val="009B2122"/>
    <w:rsid w:val="009B2278"/>
    <w:rsid w:val="009B2470"/>
    <w:rsid w:val="009B2EE8"/>
    <w:rsid w:val="009B2FA6"/>
    <w:rsid w:val="009B301A"/>
    <w:rsid w:val="009B3631"/>
    <w:rsid w:val="009B363F"/>
    <w:rsid w:val="009B3ED5"/>
    <w:rsid w:val="009B42B8"/>
    <w:rsid w:val="009B456C"/>
    <w:rsid w:val="009B478D"/>
    <w:rsid w:val="009B4E16"/>
    <w:rsid w:val="009B52C0"/>
    <w:rsid w:val="009B581F"/>
    <w:rsid w:val="009B5912"/>
    <w:rsid w:val="009B72BC"/>
    <w:rsid w:val="009B7432"/>
    <w:rsid w:val="009B7538"/>
    <w:rsid w:val="009B7ACE"/>
    <w:rsid w:val="009B7AE3"/>
    <w:rsid w:val="009C00DD"/>
    <w:rsid w:val="009C015A"/>
    <w:rsid w:val="009C03A8"/>
    <w:rsid w:val="009C0576"/>
    <w:rsid w:val="009C1D68"/>
    <w:rsid w:val="009C20F1"/>
    <w:rsid w:val="009C275C"/>
    <w:rsid w:val="009C2BE0"/>
    <w:rsid w:val="009C2D07"/>
    <w:rsid w:val="009C2DE6"/>
    <w:rsid w:val="009C2F4D"/>
    <w:rsid w:val="009C322F"/>
    <w:rsid w:val="009C36FF"/>
    <w:rsid w:val="009C3B3C"/>
    <w:rsid w:val="009C3C21"/>
    <w:rsid w:val="009C3C30"/>
    <w:rsid w:val="009C4730"/>
    <w:rsid w:val="009C4796"/>
    <w:rsid w:val="009C4988"/>
    <w:rsid w:val="009C510E"/>
    <w:rsid w:val="009C5739"/>
    <w:rsid w:val="009C578C"/>
    <w:rsid w:val="009C5AAE"/>
    <w:rsid w:val="009C5C0B"/>
    <w:rsid w:val="009C6404"/>
    <w:rsid w:val="009C6538"/>
    <w:rsid w:val="009C6837"/>
    <w:rsid w:val="009C69D9"/>
    <w:rsid w:val="009C70D3"/>
    <w:rsid w:val="009C754D"/>
    <w:rsid w:val="009C7A73"/>
    <w:rsid w:val="009C7CF6"/>
    <w:rsid w:val="009C7DF1"/>
    <w:rsid w:val="009D03C5"/>
    <w:rsid w:val="009D070D"/>
    <w:rsid w:val="009D09FB"/>
    <w:rsid w:val="009D0AB2"/>
    <w:rsid w:val="009D0CC3"/>
    <w:rsid w:val="009D0E8A"/>
    <w:rsid w:val="009D1321"/>
    <w:rsid w:val="009D1441"/>
    <w:rsid w:val="009D18A1"/>
    <w:rsid w:val="009D19FE"/>
    <w:rsid w:val="009D1D7F"/>
    <w:rsid w:val="009D21A4"/>
    <w:rsid w:val="009D26D1"/>
    <w:rsid w:val="009D2F3A"/>
    <w:rsid w:val="009D30AA"/>
    <w:rsid w:val="009D31CA"/>
    <w:rsid w:val="009D40A0"/>
    <w:rsid w:val="009D42C9"/>
    <w:rsid w:val="009D4416"/>
    <w:rsid w:val="009D52B6"/>
    <w:rsid w:val="009D5485"/>
    <w:rsid w:val="009D54C7"/>
    <w:rsid w:val="009D66FB"/>
    <w:rsid w:val="009D6761"/>
    <w:rsid w:val="009D6A0F"/>
    <w:rsid w:val="009D6ABE"/>
    <w:rsid w:val="009D6C8D"/>
    <w:rsid w:val="009D7692"/>
    <w:rsid w:val="009D7875"/>
    <w:rsid w:val="009D7885"/>
    <w:rsid w:val="009D79B3"/>
    <w:rsid w:val="009D7CE1"/>
    <w:rsid w:val="009D7F36"/>
    <w:rsid w:val="009E00B1"/>
    <w:rsid w:val="009E0918"/>
    <w:rsid w:val="009E0D82"/>
    <w:rsid w:val="009E127C"/>
    <w:rsid w:val="009E13FB"/>
    <w:rsid w:val="009E1819"/>
    <w:rsid w:val="009E1844"/>
    <w:rsid w:val="009E18E8"/>
    <w:rsid w:val="009E1BBC"/>
    <w:rsid w:val="009E1E59"/>
    <w:rsid w:val="009E240E"/>
    <w:rsid w:val="009E242B"/>
    <w:rsid w:val="009E2B9D"/>
    <w:rsid w:val="009E2EFD"/>
    <w:rsid w:val="009E39AC"/>
    <w:rsid w:val="009E3C6F"/>
    <w:rsid w:val="009E47EF"/>
    <w:rsid w:val="009E4BDC"/>
    <w:rsid w:val="009E5B99"/>
    <w:rsid w:val="009E5BCA"/>
    <w:rsid w:val="009E61C2"/>
    <w:rsid w:val="009E6271"/>
    <w:rsid w:val="009E65CD"/>
    <w:rsid w:val="009E687A"/>
    <w:rsid w:val="009E6AED"/>
    <w:rsid w:val="009E6BDB"/>
    <w:rsid w:val="009E71EA"/>
    <w:rsid w:val="009E733A"/>
    <w:rsid w:val="009E777C"/>
    <w:rsid w:val="009E7EBE"/>
    <w:rsid w:val="009F0232"/>
    <w:rsid w:val="009F0405"/>
    <w:rsid w:val="009F04DB"/>
    <w:rsid w:val="009F06CB"/>
    <w:rsid w:val="009F08BD"/>
    <w:rsid w:val="009F09E8"/>
    <w:rsid w:val="009F0A89"/>
    <w:rsid w:val="009F0C29"/>
    <w:rsid w:val="009F0D1B"/>
    <w:rsid w:val="009F17D5"/>
    <w:rsid w:val="009F1865"/>
    <w:rsid w:val="009F2096"/>
    <w:rsid w:val="009F24F7"/>
    <w:rsid w:val="009F26F6"/>
    <w:rsid w:val="009F28BF"/>
    <w:rsid w:val="009F29AF"/>
    <w:rsid w:val="009F2C88"/>
    <w:rsid w:val="009F2C8A"/>
    <w:rsid w:val="009F3782"/>
    <w:rsid w:val="009F3F60"/>
    <w:rsid w:val="009F412B"/>
    <w:rsid w:val="009F524B"/>
    <w:rsid w:val="009F5393"/>
    <w:rsid w:val="009F53DD"/>
    <w:rsid w:val="009F572D"/>
    <w:rsid w:val="009F593D"/>
    <w:rsid w:val="009F5B4D"/>
    <w:rsid w:val="009F5B86"/>
    <w:rsid w:val="009F5BBD"/>
    <w:rsid w:val="009F5E04"/>
    <w:rsid w:val="009F5EA4"/>
    <w:rsid w:val="009F6036"/>
    <w:rsid w:val="009F60A1"/>
    <w:rsid w:val="009F66D2"/>
    <w:rsid w:val="009F6882"/>
    <w:rsid w:val="009F692D"/>
    <w:rsid w:val="009F696D"/>
    <w:rsid w:val="009F6BC6"/>
    <w:rsid w:val="009F6C36"/>
    <w:rsid w:val="009F6CE5"/>
    <w:rsid w:val="009F6FCC"/>
    <w:rsid w:val="009F731D"/>
    <w:rsid w:val="009F74EF"/>
    <w:rsid w:val="009F7568"/>
    <w:rsid w:val="009F7A3A"/>
    <w:rsid w:val="009F7E10"/>
    <w:rsid w:val="00A00A0A"/>
    <w:rsid w:val="00A00CB7"/>
    <w:rsid w:val="00A00D61"/>
    <w:rsid w:val="00A00DF6"/>
    <w:rsid w:val="00A01167"/>
    <w:rsid w:val="00A01202"/>
    <w:rsid w:val="00A01449"/>
    <w:rsid w:val="00A015F8"/>
    <w:rsid w:val="00A017F7"/>
    <w:rsid w:val="00A0244F"/>
    <w:rsid w:val="00A0254A"/>
    <w:rsid w:val="00A02826"/>
    <w:rsid w:val="00A0287F"/>
    <w:rsid w:val="00A02C54"/>
    <w:rsid w:val="00A02ED1"/>
    <w:rsid w:val="00A03523"/>
    <w:rsid w:val="00A03624"/>
    <w:rsid w:val="00A04548"/>
    <w:rsid w:val="00A047F4"/>
    <w:rsid w:val="00A048AD"/>
    <w:rsid w:val="00A04938"/>
    <w:rsid w:val="00A0518F"/>
    <w:rsid w:val="00A05478"/>
    <w:rsid w:val="00A05727"/>
    <w:rsid w:val="00A05B3A"/>
    <w:rsid w:val="00A05C17"/>
    <w:rsid w:val="00A060BF"/>
    <w:rsid w:val="00A06A36"/>
    <w:rsid w:val="00A06AAB"/>
    <w:rsid w:val="00A06BA6"/>
    <w:rsid w:val="00A0712E"/>
    <w:rsid w:val="00A071D4"/>
    <w:rsid w:val="00A10030"/>
    <w:rsid w:val="00A10674"/>
    <w:rsid w:val="00A10F8F"/>
    <w:rsid w:val="00A1134E"/>
    <w:rsid w:val="00A11855"/>
    <w:rsid w:val="00A11983"/>
    <w:rsid w:val="00A123DB"/>
    <w:rsid w:val="00A12421"/>
    <w:rsid w:val="00A12829"/>
    <w:rsid w:val="00A12E40"/>
    <w:rsid w:val="00A137BA"/>
    <w:rsid w:val="00A13F34"/>
    <w:rsid w:val="00A13F9A"/>
    <w:rsid w:val="00A13FF0"/>
    <w:rsid w:val="00A141EB"/>
    <w:rsid w:val="00A1448C"/>
    <w:rsid w:val="00A1495C"/>
    <w:rsid w:val="00A14C10"/>
    <w:rsid w:val="00A14C36"/>
    <w:rsid w:val="00A14C98"/>
    <w:rsid w:val="00A14F25"/>
    <w:rsid w:val="00A1528F"/>
    <w:rsid w:val="00A1546F"/>
    <w:rsid w:val="00A155A4"/>
    <w:rsid w:val="00A15ABE"/>
    <w:rsid w:val="00A15D5A"/>
    <w:rsid w:val="00A15D89"/>
    <w:rsid w:val="00A16530"/>
    <w:rsid w:val="00A1689A"/>
    <w:rsid w:val="00A16A39"/>
    <w:rsid w:val="00A16D02"/>
    <w:rsid w:val="00A170B2"/>
    <w:rsid w:val="00A17328"/>
    <w:rsid w:val="00A17418"/>
    <w:rsid w:val="00A17624"/>
    <w:rsid w:val="00A200B8"/>
    <w:rsid w:val="00A2036F"/>
    <w:rsid w:val="00A20A1B"/>
    <w:rsid w:val="00A21133"/>
    <w:rsid w:val="00A21146"/>
    <w:rsid w:val="00A2115B"/>
    <w:rsid w:val="00A2118C"/>
    <w:rsid w:val="00A21413"/>
    <w:rsid w:val="00A215F4"/>
    <w:rsid w:val="00A21F0E"/>
    <w:rsid w:val="00A21F49"/>
    <w:rsid w:val="00A22149"/>
    <w:rsid w:val="00A232C4"/>
    <w:rsid w:val="00A232F3"/>
    <w:rsid w:val="00A23A20"/>
    <w:rsid w:val="00A24443"/>
    <w:rsid w:val="00A24B69"/>
    <w:rsid w:val="00A25338"/>
    <w:rsid w:val="00A258DE"/>
    <w:rsid w:val="00A2602E"/>
    <w:rsid w:val="00A26108"/>
    <w:rsid w:val="00A264EB"/>
    <w:rsid w:val="00A265E5"/>
    <w:rsid w:val="00A268B9"/>
    <w:rsid w:val="00A26EDF"/>
    <w:rsid w:val="00A26F56"/>
    <w:rsid w:val="00A26FF5"/>
    <w:rsid w:val="00A2703A"/>
    <w:rsid w:val="00A278D0"/>
    <w:rsid w:val="00A278D9"/>
    <w:rsid w:val="00A27C96"/>
    <w:rsid w:val="00A27E64"/>
    <w:rsid w:val="00A3074D"/>
    <w:rsid w:val="00A3085D"/>
    <w:rsid w:val="00A309A8"/>
    <w:rsid w:val="00A30BC5"/>
    <w:rsid w:val="00A30E6E"/>
    <w:rsid w:val="00A3202E"/>
    <w:rsid w:val="00A324DF"/>
    <w:rsid w:val="00A3287E"/>
    <w:rsid w:val="00A32A84"/>
    <w:rsid w:val="00A32B96"/>
    <w:rsid w:val="00A32BB0"/>
    <w:rsid w:val="00A3302A"/>
    <w:rsid w:val="00A33104"/>
    <w:rsid w:val="00A33390"/>
    <w:rsid w:val="00A33AEB"/>
    <w:rsid w:val="00A33DFF"/>
    <w:rsid w:val="00A34045"/>
    <w:rsid w:val="00A34544"/>
    <w:rsid w:val="00A34656"/>
    <w:rsid w:val="00A34B81"/>
    <w:rsid w:val="00A35115"/>
    <w:rsid w:val="00A351A1"/>
    <w:rsid w:val="00A352C8"/>
    <w:rsid w:val="00A35329"/>
    <w:rsid w:val="00A3562A"/>
    <w:rsid w:val="00A359EB"/>
    <w:rsid w:val="00A35DC4"/>
    <w:rsid w:val="00A361A8"/>
    <w:rsid w:val="00A363F3"/>
    <w:rsid w:val="00A365BE"/>
    <w:rsid w:val="00A36CEA"/>
    <w:rsid w:val="00A36D9A"/>
    <w:rsid w:val="00A3709D"/>
    <w:rsid w:val="00A37109"/>
    <w:rsid w:val="00A371EA"/>
    <w:rsid w:val="00A3726D"/>
    <w:rsid w:val="00A37FC4"/>
    <w:rsid w:val="00A403FD"/>
    <w:rsid w:val="00A40F1E"/>
    <w:rsid w:val="00A41590"/>
    <w:rsid w:val="00A41D7F"/>
    <w:rsid w:val="00A4243A"/>
    <w:rsid w:val="00A42466"/>
    <w:rsid w:val="00A42482"/>
    <w:rsid w:val="00A428F9"/>
    <w:rsid w:val="00A42F4A"/>
    <w:rsid w:val="00A43050"/>
    <w:rsid w:val="00A433BE"/>
    <w:rsid w:val="00A439D0"/>
    <w:rsid w:val="00A43CB5"/>
    <w:rsid w:val="00A448EF"/>
    <w:rsid w:val="00A44E97"/>
    <w:rsid w:val="00A4505A"/>
    <w:rsid w:val="00A451DC"/>
    <w:rsid w:val="00A45450"/>
    <w:rsid w:val="00A45B8F"/>
    <w:rsid w:val="00A460E9"/>
    <w:rsid w:val="00A46938"/>
    <w:rsid w:val="00A46BE6"/>
    <w:rsid w:val="00A46CAF"/>
    <w:rsid w:val="00A47078"/>
    <w:rsid w:val="00A4724F"/>
    <w:rsid w:val="00A47439"/>
    <w:rsid w:val="00A47AFB"/>
    <w:rsid w:val="00A47F42"/>
    <w:rsid w:val="00A50062"/>
    <w:rsid w:val="00A502F8"/>
    <w:rsid w:val="00A50517"/>
    <w:rsid w:val="00A5056D"/>
    <w:rsid w:val="00A50786"/>
    <w:rsid w:val="00A50F99"/>
    <w:rsid w:val="00A50FF3"/>
    <w:rsid w:val="00A512FA"/>
    <w:rsid w:val="00A51943"/>
    <w:rsid w:val="00A51E80"/>
    <w:rsid w:val="00A51F9B"/>
    <w:rsid w:val="00A520CF"/>
    <w:rsid w:val="00A523AD"/>
    <w:rsid w:val="00A52727"/>
    <w:rsid w:val="00A527AA"/>
    <w:rsid w:val="00A52D3D"/>
    <w:rsid w:val="00A5328E"/>
    <w:rsid w:val="00A5369B"/>
    <w:rsid w:val="00A53B76"/>
    <w:rsid w:val="00A543E3"/>
    <w:rsid w:val="00A54BCA"/>
    <w:rsid w:val="00A54F5F"/>
    <w:rsid w:val="00A554AB"/>
    <w:rsid w:val="00A556A9"/>
    <w:rsid w:val="00A559BA"/>
    <w:rsid w:val="00A55A54"/>
    <w:rsid w:val="00A55F0D"/>
    <w:rsid w:val="00A560B0"/>
    <w:rsid w:val="00A561A5"/>
    <w:rsid w:val="00A5621B"/>
    <w:rsid w:val="00A56C70"/>
    <w:rsid w:val="00A57062"/>
    <w:rsid w:val="00A578B9"/>
    <w:rsid w:val="00A57BFC"/>
    <w:rsid w:val="00A57EB5"/>
    <w:rsid w:val="00A57F5E"/>
    <w:rsid w:val="00A60092"/>
    <w:rsid w:val="00A60218"/>
    <w:rsid w:val="00A60355"/>
    <w:rsid w:val="00A6086E"/>
    <w:rsid w:val="00A608AF"/>
    <w:rsid w:val="00A60946"/>
    <w:rsid w:val="00A60A33"/>
    <w:rsid w:val="00A60B39"/>
    <w:rsid w:val="00A60BCE"/>
    <w:rsid w:val="00A60E43"/>
    <w:rsid w:val="00A6116B"/>
    <w:rsid w:val="00A6161B"/>
    <w:rsid w:val="00A61A88"/>
    <w:rsid w:val="00A61AFA"/>
    <w:rsid w:val="00A621E9"/>
    <w:rsid w:val="00A622BA"/>
    <w:rsid w:val="00A6237D"/>
    <w:rsid w:val="00A631E2"/>
    <w:rsid w:val="00A63E7C"/>
    <w:rsid w:val="00A63F1F"/>
    <w:rsid w:val="00A63FFD"/>
    <w:rsid w:val="00A64228"/>
    <w:rsid w:val="00A64280"/>
    <w:rsid w:val="00A64542"/>
    <w:rsid w:val="00A64571"/>
    <w:rsid w:val="00A64CD1"/>
    <w:rsid w:val="00A64D02"/>
    <w:rsid w:val="00A655AB"/>
    <w:rsid w:val="00A65891"/>
    <w:rsid w:val="00A6591A"/>
    <w:rsid w:val="00A66838"/>
    <w:rsid w:val="00A66B1F"/>
    <w:rsid w:val="00A66C32"/>
    <w:rsid w:val="00A66E7A"/>
    <w:rsid w:val="00A66EA0"/>
    <w:rsid w:val="00A672B2"/>
    <w:rsid w:val="00A67414"/>
    <w:rsid w:val="00A67633"/>
    <w:rsid w:val="00A67781"/>
    <w:rsid w:val="00A677C8"/>
    <w:rsid w:val="00A67C22"/>
    <w:rsid w:val="00A67F96"/>
    <w:rsid w:val="00A70D02"/>
    <w:rsid w:val="00A7100F"/>
    <w:rsid w:val="00A71132"/>
    <w:rsid w:val="00A7140A"/>
    <w:rsid w:val="00A71438"/>
    <w:rsid w:val="00A71A7B"/>
    <w:rsid w:val="00A71CC5"/>
    <w:rsid w:val="00A7200A"/>
    <w:rsid w:val="00A722F8"/>
    <w:rsid w:val="00A7241A"/>
    <w:rsid w:val="00A72549"/>
    <w:rsid w:val="00A72C32"/>
    <w:rsid w:val="00A72C51"/>
    <w:rsid w:val="00A73730"/>
    <w:rsid w:val="00A73957"/>
    <w:rsid w:val="00A7463C"/>
    <w:rsid w:val="00A74A2F"/>
    <w:rsid w:val="00A74DBF"/>
    <w:rsid w:val="00A75297"/>
    <w:rsid w:val="00A755CB"/>
    <w:rsid w:val="00A7586F"/>
    <w:rsid w:val="00A75FDA"/>
    <w:rsid w:val="00A761F9"/>
    <w:rsid w:val="00A76C54"/>
    <w:rsid w:val="00A772B7"/>
    <w:rsid w:val="00A77F79"/>
    <w:rsid w:val="00A804BE"/>
    <w:rsid w:val="00A810FA"/>
    <w:rsid w:val="00A8119A"/>
    <w:rsid w:val="00A822DF"/>
    <w:rsid w:val="00A822EB"/>
    <w:rsid w:val="00A8266F"/>
    <w:rsid w:val="00A82E74"/>
    <w:rsid w:val="00A833E3"/>
    <w:rsid w:val="00A839D5"/>
    <w:rsid w:val="00A83B32"/>
    <w:rsid w:val="00A83EDD"/>
    <w:rsid w:val="00A84041"/>
    <w:rsid w:val="00A8423F"/>
    <w:rsid w:val="00A842D0"/>
    <w:rsid w:val="00A8470B"/>
    <w:rsid w:val="00A84A61"/>
    <w:rsid w:val="00A8529C"/>
    <w:rsid w:val="00A8593A"/>
    <w:rsid w:val="00A85D61"/>
    <w:rsid w:val="00A860F5"/>
    <w:rsid w:val="00A860F9"/>
    <w:rsid w:val="00A86140"/>
    <w:rsid w:val="00A86153"/>
    <w:rsid w:val="00A86370"/>
    <w:rsid w:val="00A8687C"/>
    <w:rsid w:val="00A86E66"/>
    <w:rsid w:val="00A8796D"/>
    <w:rsid w:val="00A87B69"/>
    <w:rsid w:val="00A901D0"/>
    <w:rsid w:val="00A901FB"/>
    <w:rsid w:val="00A90383"/>
    <w:rsid w:val="00A90A25"/>
    <w:rsid w:val="00A90AB0"/>
    <w:rsid w:val="00A90EDD"/>
    <w:rsid w:val="00A9136B"/>
    <w:rsid w:val="00A9144E"/>
    <w:rsid w:val="00A91747"/>
    <w:rsid w:val="00A919BB"/>
    <w:rsid w:val="00A91C57"/>
    <w:rsid w:val="00A91EAB"/>
    <w:rsid w:val="00A9214F"/>
    <w:rsid w:val="00A92B53"/>
    <w:rsid w:val="00A93267"/>
    <w:rsid w:val="00A93358"/>
    <w:rsid w:val="00A93611"/>
    <w:rsid w:val="00A93C50"/>
    <w:rsid w:val="00A94160"/>
    <w:rsid w:val="00A94169"/>
    <w:rsid w:val="00A94418"/>
    <w:rsid w:val="00A94732"/>
    <w:rsid w:val="00A94B8E"/>
    <w:rsid w:val="00A94C32"/>
    <w:rsid w:val="00A94F83"/>
    <w:rsid w:val="00A94FA6"/>
    <w:rsid w:val="00A952DE"/>
    <w:rsid w:val="00A95642"/>
    <w:rsid w:val="00A95956"/>
    <w:rsid w:val="00A95C28"/>
    <w:rsid w:val="00A95C64"/>
    <w:rsid w:val="00A95D9F"/>
    <w:rsid w:val="00A95FE9"/>
    <w:rsid w:val="00A96043"/>
    <w:rsid w:val="00A960B9"/>
    <w:rsid w:val="00A96256"/>
    <w:rsid w:val="00A96414"/>
    <w:rsid w:val="00A964E8"/>
    <w:rsid w:val="00A966F1"/>
    <w:rsid w:val="00A9740D"/>
    <w:rsid w:val="00A9756B"/>
    <w:rsid w:val="00A976B4"/>
    <w:rsid w:val="00A97957"/>
    <w:rsid w:val="00A97D93"/>
    <w:rsid w:val="00A97E8C"/>
    <w:rsid w:val="00A97EC5"/>
    <w:rsid w:val="00AA0162"/>
    <w:rsid w:val="00AA0258"/>
    <w:rsid w:val="00AA03FC"/>
    <w:rsid w:val="00AA04AE"/>
    <w:rsid w:val="00AA1140"/>
    <w:rsid w:val="00AA1302"/>
    <w:rsid w:val="00AA1399"/>
    <w:rsid w:val="00AA1FB2"/>
    <w:rsid w:val="00AA210C"/>
    <w:rsid w:val="00AA2245"/>
    <w:rsid w:val="00AA28F0"/>
    <w:rsid w:val="00AA29A4"/>
    <w:rsid w:val="00AA2A9E"/>
    <w:rsid w:val="00AA318F"/>
    <w:rsid w:val="00AA38B4"/>
    <w:rsid w:val="00AA44F4"/>
    <w:rsid w:val="00AA463E"/>
    <w:rsid w:val="00AA49A0"/>
    <w:rsid w:val="00AA4CDC"/>
    <w:rsid w:val="00AA4E7B"/>
    <w:rsid w:val="00AA5ABF"/>
    <w:rsid w:val="00AA5D7F"/>
    <w:rsid w:val="00AA5FF3"/>
    <w:rsid w:val="00AA622B"/>
    <w:rsid w:val="00AA646E"/>
    <w:rsid w:val="00AA6710"/>
    <w:rsid w:val="00AA67EF"/>
    <w:rsid w:val="00AA692A"/>
    <w:rsid w:val="00AA6A9A"/>
    <w:rsid w:val="00AA6ED0"/>
    <w:rsid w:val="00AA72F0"/>
    <w:rsid w:val="00AA72F6"/>
    <w:rsid w:val="00AA7552"/>
    <w:rsid w:val="00AA75F2"/>
    <w:rsid w:val="00AA77F6"/>
    <w:rsid w:val="00AA7B92"/>
    <w:rsid w:val="00AA7BF4"/>
    <w:rsid w:val="00AA7FFA"/>
    <w:rsid w:val="00AB0681"/>
    <w:rsid w:val="00AB087D"/>
    <w:rsid w:val="00AB0D84"/>
    <w:rsid w:val="00AB1506"/>
    <w:rsid w:val="00AB1617"/>
    <w:rsid w:val="00AB197E"/>
    <w:rsid w:val="00AB1CDB"/>
    <w:rsid w:val="00AB2297"/>
    <w:rsid w:val="00AB23A2"/>
    <w:rsid w:val="00AB25A1"/>
    <w:rsid w:val="00AB274E"/>
    <w:rsid w:val="00AB2837"/>
    <w:rsid w:val="00AB2925"/>
    <w:rsid w:val="00AB2AAE"/>
    <w:rsid w:val="00AB2E49"/>
    <w:rsid w:val="00AB3438"/>
    <w:rsid w:val="00AB378F"/>
    <w:rsid w:val="00AB3ABC"/>
    <w:rsid w:val="00AB3AE0"/>
    <w:rsid w:val="00AB3BD4"/>
    <w:rsid w:val="00AB3BF1"/>
    <w:rsid w:val="00AB3D44"/>
    <w:rsid w:val="00AB3DEA"/>
    <w:rsid w:val="00AB4C66"/>
    <w:rsid w:val="00AB4F86"/>
    <w:rsid w:val="00AB5BDF"/>
    <w:rsid w:val="00AB7625"/>
    <w:rsid w:val="00AB7650"/>
    <w:rsid w:val="00AB7795"/>
    <w:rsid w:val="00AB78C0"/>
    <w:rsid w:val="00AB7B2F"/>
    <w:rsid w:val="00AB7BF6"/>
    <w:rsid w:val="00AB7C91"/>
    <w:rsid w:val="00AB7F5C"/>
    <w:rsid w:val="00AC01ED"/>
    <w:rsid w:val="00AC0A6D"/>
    <w:rsid w:val="00AC0B9D"/>
    <w:rsid w:val="00AC0F64"/>
    <w:rsid w:val="00AC10B0"/>
    <w:rsid w:val="00AC14D0"/>
    <w:rsid w:val="00AC179F"/>
    <w:rsid w:val="00AC17A8"/>
    <w:rsid w:val="00AC18C6"/>
    <w:rsid w:val="00AC1C5B"/>
    <w:rsid w:val="00AC2550"/>
    <w:rsid w:val="00AC257E"/>
    <w:rsid w:val="00AC27E3"/>
    <w:rsid w:val="00AC2A27"/>
    <w:rsid w:val="00AC2C5E"/>
    <w:rsid w:val="00AC2DA0"/>
    <w:rsid w:val="00AC38F9"/>
    <w:rsid w:val="00AC3A15"/>
    <w:rsid w:val="00AC3C7E"/>
    <w:rsid w:val="00AC4093"/>
    <w:rsid w:val="00AC47B0"/>
    <w:rsid w:val="00AC4877"/>
    <w:rsid w:val="00AC4AE7"/>
    <w:rsid w:val="00AC4B6C"/>
    <w:rsid w:val="00AC4E76"/>
    <w:rsid w:val="00AC596D"/>
    <w:rsid w:val="00AC5E3D"/>
    <w:rsid w:val="00AC5ED7"/>
    <w:rsid w:val="00AC62C2"/>
    <w:rsid w:val="00AC6334"/>
    <w:rsid w:val="00AC6909"/>
    <w:rsid w:val="00AC6E09"/>
    <w:rsid w:val="00AC6E59"/>
    <w:rsid w:val="00AC6FA2"/>
    <w:rsid w:val="00AC71BE"/>
    <w:rsid w:val="00AD0025"/>
    <w:rsid w:val="00AD016C"/>
    <w:rsid w:val="00AD0171"/>
    <w:rsid w:val="00AD0187"/>
    <w:rsid w:val="00AD17DA"/>
    <w:rsid w:val="00AD1BED"/>
    <w:rsid w:val="00AD1F48"/>
    <w:rsid w:val="00AD2048"/>
    <w:rsid w:val="00AD225D"/>
    <w:rsid w:val="00AD2297"/>
    <w:rsid w:val="00AD2611"/>
    <w:rsid w:val="00AD2A01"/>
    <w:rsid w:val="00AD2FB7"/>
    <w:rsid w:val="00AD320A"/>
    <w:rsid w:val="00AD32E3"/>
    <w:rsid w:val="00AD3388"/>
    <w:rsid w:val="00AD3795"/>
    <w:rsid w:val="00AD38BF"/>
    <w:rsid w:val="00AD3D5F"/>
    <w:rsid w:val="00AD42AA"/>
    <w:rsid w:val="00AD4B8A"/>
    <w:rsid w:val="00AD4D13"/>
    <w:rsid w:val="00AD4D16"/>
    <w:rsid w:val="00AD5083"/>
    <w:rsid w:val="00AD520B"/>
    <w:rsid w:val="00AD5764"/>
    <w:rsid w:val="00AD5DFE"/>
    <w:rsid w:val="00AD5E78"/>
    <w:rsid w:val="00AD6135"/>
    <w:rsid w:val="00AD6155"/>
    <w:rsid w:val="00AD6417"/>
    <w:rsid w:val="00AD729D"/>
    <w:rsid w:val="00AD7824"/>
    <w:rsid w:val="00AE00E0"/>
    <w:rsid w:val="00AE00F6"/>
    <w:rsid w:val="00AE089C"/>
    <w:rsid w:val="00AE0904"/>
    <w:rsid w:val="00AE0EF4"/>
    <w:rsid w:val="00AE1315"/>
    <w:rsid w:val="00AE176D"/>
    <w:rsid w:val="00AE1B48"/>
    <w:rsid w:val="00AE1E94"/>
    <w:rsid w:val="00AE2139"/>
    <w:rsid w:val="00AE27D7"/>
    <w:rsid w:val="00AE2D42"/>
    <w:rsid w:val="00AE2D96"/>
    <w:rsid w:val="00AE34CE"/>
    <w:rsid w:val="00AE3920"/>
    <w:rsid w:val="00AE39D8"/>
    <w:rsid w:val="00AE3BCC"/>
    <w:rsid w:val="00AE3EA2"/>
    <w:rsid w:val="00AE4096"/>
    <w:rsid w:val="00AE4164"/>
    <w:rsid w:val="00AE461B"/>
    <w:rsid w:val="00AE489B"/>
    <w:rsid w:val="00AE4BCB"/>
    <w:rsid w:val="00AE4C79"/>
    <w:rsid w:val="00AE4E21"/>
    <w:rsid w:val="00AE5253"/>
    <w:rsid w:val="00AE5667"/>
    <w:rsid w:val="00AE6302"/>
    <w:rsid w:val="00AE68CF"/>
    <w:rsid w:val="00AE78E6"/>
    <w:rsid w:val="00AE7EF4"/>
    <w:rsid w:val="00AE7FFD"/>
    <w:rsid w:val="00AF0390"/>
    <w:rsid w:val="00AF0484"/>
    <w:rsid w:val="00AF0AC0"/>
    <w:rsid w:val="00AF0C09"/>
    <w:rsid w:val="00AF0C8B"/>
    <w:rsid w:val="00AF1168"/>
    <w:rsid w:val="00AF15A4"/>
    <w:rsid w:val="00AF16F7"/>
    <w:rsid w:val="00AF192E"/>
    <w:rsid w:val="00AF1947"/>
    <w:rsid w:val="00AF24D4"/>
    <w:rsid w:val="00AF26BD"/>
    <w:rsid w:val="00AF2F5A"/>
    <w:rsid w:val="00AF393C"/>
    <w:rsid w:val="00AF3AAA"/>
    <w:rsid w:val="00AF4235"/>
    <w:rsid w:val="00AF435D"/>
    <w:rsid w:val="00AF466A"/>
    <w:rsid w:val="00AF527E"/>
    <w:rsid w:val="00AF5C33"/>
    <w:rsid w:val="00AF5F11"/>
    <w:rsid w:val="00AF5F72"/>
    <w:rsid w:val="00AF6A55"/>
    <w:rsid w:val="00AF7757"/>
    <w:rsid w:val="00B0004B"/>
    <w:rsid w:val="00B0066A"/>
    <w:rsid w:val="00B01421"/>
    <w:rsid w:val="00B0259A"/>
    <w:rsid w:val="00B02D78"/>
    <w:rsid w:val="00B02EB9"/>
    <w:rsid w:val="00B02F5E"/>
    <w:rsid w:val="00B03DE6"/>
    <w:rsid w:val="00B03E56"/>
    <w:rsid w:val="00B0456E"/>
    <w:rsid w:val="00B04817"/>
    <w:rsid w:val="00B048A3"/>
    <w:rsid w:val="00B0493E"/>
    <w:rsid w:val="00B04BDC"/>
    <w:rsid w:val="00B04F95"/>
    <w:rsid w:val="00B054F4"/>
    <w:rsid w:val="00B05A8B"/>
    <w:rsid w:val="00B05DFB"/>
    <w:rsid w:val="00B06022"/>
    <w:rsid w:val="00B063DE"/>
    <w:rsid w:val="00B0656F"/>
    <w:rsid w:val="00B066F9"/>
    <w:rsid w:val="00B067AF"/>
    <w:rsid w:val="00B06AA9"/>
    <w:rsid w:val="00B07120"/>
    <w:rsid w:val="00B078CA"/>
    <w:rsid w:val="00B07C25"/>
    <w:rsid w:val="00B07CB6"/>
    <w:rsid w:val="00B10256"/>
    <w:rsid w:val="00B10351"/>
    <w:rsid w:val="00B10561"/>
    <w:rsid w:val="00B109AE"/>
    <w:rsid w:val="00B11096"/>
    <w:rsid w:val="00B1117F"/>
    <w:rsid w:val="00B115E9"/>
    <w:rsid w:val="00B11C6E"/>
    <w:rsid w:val="00B121C0"/>
    <w:rsid w:val="00B122C2"/>
    <w:rsid w:val="00B12811"/>
    <w:rsid w:val="00B12D41"/>
    <w:rsid w:val="00B12D53"/>
    <w:rsid w:val="00B12E92"/>
    <w:rsid w:val="00B12F77"/>
    <w:rsid w:val="00B1326D"/>
    <w:rsid w:val="00B132F5"/>
    <w:rsid w:val="00B1388C"/>
    <w:rsid w:val="00B14662"/>
    <w:rsid w:val="00B14706"/>
    <w:rsid w:val="00B14793"/>
    <w:rsid w:val="00B14F46"/>
    <w:rsid w:val="00B155AB"/>
    <w:rsid w:val="00B15DAA"/>
    <w:rsid w:val="00B15ED2"/>
    <w:rsid w:val="00B16514"/>
    <w:rsid w:val="00B168A5"/>
    <w:rsid w:val="00B16AF0"/>
    <w:rsid w:val="00B16B1D"/>
    <w:rsid w:val="00B16CB8"/>
    <w:rsid w:val="00B16DCC"/>
    <w:rsid w:val="00B20146"/>
    <w:rsid w:val="00B204B2"/>
    <w:rsid w:val="00B205DD"/>
    <w:rsid w:val="00B20D82"/>
    <w:rsid w:val="00B20E1C"/>
    <w:rsid w:val="00B21168"/>
    <w:rsid w:val="00B219EE"/>
    <w:rsid w:val="00B21DDA"/>
    <w:rsid w:val="00B21E2A"/>
    <w:rsid w:val="00B22093"/>
    <w:rsid w:val="00B22193"/>
    <w:rsid w:val="00B2296A"/>
    <w:rsid w:val="00B23231"/>
    <w:rsid w:val="00B23290"/>
    <w:rsid w:val="00B235D5"/>
    <w:rsid w:val="00B237B2"/>
    <w:rsid w:val="00B23875"/>
    <w:rsid w:val="00B238F3"/>
    <w:rsid w:val="00B23D87"/>
    <w:rsid w:val="00B23DB2"/>
    <w:rsid w:val="00B23DB6"/>
    <w:rsid w:val="00B23E82"/>
    <w:rsid w:val="00B246CB"/>
    <w:rsid w:val="00B24E8D"/>
    <w:rsid w:val="00B25372"/>
    <w:rsid w:val="00B25667"/>
    <w:rsid w:val="00B25A3C"/>
    <w:rsid w:val="00B25E24"/>
    <w:rsid w:val="00B2619E"/>
    <w:rsid w:val="00B263DA"/>
    <w:rsid w:val="00B2662D"/>
    <w:rsid w:val="00B2664D"/>
    <w:rsid w:val="00B2671D"/>
    <w:rsid w:val="00B26758"/>
    <w:rsid w:val="00B26E24"/>
    <w:rsid w:val="00B270E2"/>
    <w:rsid w:val="00B272F2"/>
    <w:rsid w:val="00B272F6"/>
    <w:rsid w:val="00B276E0"/>
    <w:rsid w:val="00B27C54"/>
    <w:rsid w:val="00B301AA"/>
    <w:rsid w:val="00B3033F"/>
    <w:rsid w:val="00B31172"/>
    <w:rsid w:val="00B31440"/>
    <w:rsid w:val="00B3148D"/>
    <w:rsid w:val="00B31695"/>
    <w:rsid w:val="00B32326"/>
    <w:rsid w:val="00B328A1"/>
    <w:rsid w:val="00B32B8F"/>
    <w:rsid w:val="00B33507"/>
    <w:rsid w:val="00B33B90"/>
    <w:rsid w:val="00B3410A"/>
    <w:rsid w:val="00B34590"/>
    <w:rsid w:val="00B3463B"/>
    <w:rsid w:val="00B34E50"/>
    <w:rsid w:val="00B3539A"/>
    <w:rsid w:val="00B356DF"/>
    <w:rsid w:val="00B360DD"/>
    <w:rsid w:val="00B36124"/>
    <w:rsid w:val="00B36300"/>
    <w:rsid w:val="00B3641D"/>
    <w:rsid w:val="00B37D16"/>
    <w:rsid w:val="00B37DDA"/>
    <w:rsid w:val="00B37DFB"/>
    <w:rsid w:val="00B37F1B"/>
    <w:rsid w:val="00B403F4"/>
    <w:rsid w:val="00B406BE"/>
    <w:rsid w:val="00B407A5"/>
    <w:rsid w:val="00B40A37"/>
    <w:rsid w:val="00B40BF3"/>
    <w:rsid w:val="00B40EBF"/>
    <w:rsid w:val="00B411A5"/>
    <w:rsid w:val="00B41201"/>
    <w:rsid w:val="00B4156F"/>
    <w:rsid w:val="00B41917"/>
    <w:rsid w:val="00B41A34"/>
    <w:rsid w:val="00B41AE2"/>
    <w:rsid w:val="00B41B4E"/>
    <w:rsid w:val="00B41E1D"/>
    <w:rsid w:val="00B41FAD"/>
    <w:rsid w:val="00B424CE"/>
    <w:rsid w:val="00B425C3"/>
    <w:rsid w:val="00B42738"/>
    <w:rsid w:val="00B42DC6"/>
    <w:rsid w:val="00B42E7C"/>
    <w:rsid w:val="00B42FB3"/>
    <w:rsid w:val="00B430D8"/>
    <w:rsid w:val="00B432E3"/>
    <w:rsid w:val="00B434C0"/>
    <w:rsid w:val="00B4373D"/>
    <w:rsid w:val="00B43D8A"/>
    <w:rsid w:val="00B43F69"/>
    <w:rsid w:val="00B440AD"/>
    <w:rsid w:val="00B44D08"/>
    <w:rsid w:val="00B44F0F"/>
    <w:rsid w:val="00B452B5"/>
    <w:rsid w:val="00B45C35"/>
    <w:rsid w:val="00B46701"/>
    <w:rsid w:val="00B46962"/>
    <w:rsid w:val="00B46B33"/>
    <w:rsid w:val="00B46F56"/>
    <w:rsid w:val="00B47281"/>
    <w:rsid w:val="00B473C1"/>
    <w:rsid w:val="00B476F2"/>
    <w:rsid w:val="00B4781C"/>
    <w:rsid w:val="00B479BB"/>
    <w:rsid w:val="00B47B91"/>
    <w:rsid w:val="00B47E56"/>
    <w:rsid w:val="00B47FBB"/>
    <w:rsid w:val="00B502E7"/>
    <w:rsid w:val="00B50322"/>
    <w:rsid w:val="00B507D4"/>
    <w:rsid w:val="00B509F0"/>
    <w:rsid w:val="00B50FDD"/>
    <w:rsid w:val="00B517BB"/>
    <w:rsid w:val="00B51BCF"/>
    <w:rsid w:val="00B52103"/>
    <w:rsid w:val="00B523E9"/>
    <w:rsid w:val="00B526B8"/>
    <w:rsid w:val="00B526EC"/>
    <w:rsid w:val="00B528B0"/>
    <w:rsid w:val="00B52D6D"/>
    <w:rsid w:val="00B53148"/>
    <w:rsid w:val="00B53214"/>
    <w:rsid w:val="00B5351C"/>
    <w:rsid w:val="00B53AE9"/>
    <w:rsid w:val="00B53E32"/>
    <w:rsid w:val="00B53E7E"/>
    <w:rsid w:val="00B54040"/>
    <w:rsid w:val="00B5475F"/>
    <w:rsid w:val="00B54917"/>
    <w:rsid w:val="00B5532F"/>
    <w:rsid w:val="00B55458"/>
    <w:rsid w:val="00B56100"/>
    <w:rsid w:val="00B56862"/>
    <w:rsid w:val="00B577A8"/>
    <w:rsid w:val="00B57820"/>
    <w:rsid w:val="00B57F39"/>
    <w:rsid w:val="00B57F46"/>
    <w:rsid w:val="00B604D3"/>
    <w:rsid w:val="00B609D0"/>
    <w:rsid w:val="00B6165B"/>
    <w:rsid w:val="00B6170E"/>
    <w:rsid w:val="00B61733"/>
    <w:rsid w:val="00B61B61"/>
    <w:rsid w:val="00B62347"/>
    <w:rsid w:val="00B629FC"/>
    <w:rsid w:val="00B62FB5"/>
    <w:rsid w:val="00B6342E"/>
    <w:rsid w:val="00B6352B"/>
    <w:rsid w:val="00B63E61"/>
    <w:rsid w:val="00B64136"/>
    <w:rsid w:val="00B6441B"/>
    <w:rsid w:val="00B64BEC"/>
    <w:rsid w:val="00B65350"/>
    <w:rsid w:val="00B65758"/>
    <w:rsid w:val="00B65BCD"/>
    <w:rsid w:val="00B65DA2"/>
    <w:rsid w:val="00B65EB0"/>
    <w:rsid w:val="00B66068"/>
    <w:rsid w:val="00B663CA"/>
    <w:rsid w:val="00B6692F"/>
    <w:rsid w:val="00B66CD3"/>
    <w:rsid w:val="00B670F1"/>
    <w:rsid w:val="00B672D9"/>
    <w:rsid w:val="00B6789C"/>
    <w:rsid w:val="00B67957"/>
    <w:rsid w:val="00B67E0F"/>
    <w:rsid w:val="00B67E5E"/>
    <w:rsid w:val="00B705CC"/>
    <w:rsid w:val="00B707C1"/>
    <w:rsid w:val="00B7081D"/>
    <w:rsid w:val="00B7113F"/>
    <w:rsid w:val="00B71151"/>
    <w:rsid w:val="00B718D6"/>
    <w:rsid w:val="00B71BA9"/>
    <w:rsid w:val="00B71CC3"/>
    <w:rsid w:val="00B72A53"/>
    <w:rsid w:val="00B72A73"/>
    <w:rsid w:val="00B730FA"/>
    <w:rsid w:val="00B734C3"/>
    <w:rsid w:val="00B736F5"/>
    <w:rsid w:val="00B73BBE"/>
    <w:rsid w:val="00B73F43"/>
    <w:rsid w:val="00B73F82"/>
    <w:rsid w:val="00B7440D"/>
    <w:rsid w:val="00B74453"/>
    <w:rsid w:val="00B745AA"/>
    <w:rsid w:val="00B74952"/>
    <w:rsid w:val="00B75157"/>
    <w:rsid w:val="00B7520A"/>
    <w:rsid w:val="00B75567"/>
    <w:rsid w:val="00B755F9"/>
    <w:rsid w:val="00B7564E"/>
    <w:rsid w:val="00B756BC"/>
    <w:rsid w:val="00B758BF"/>
    <w:rsid w:val="00B75999"/>
    <w:rsid w:val="00B75B7B"/>
    <w:rsid w:val="00B76599"/>
    <w:rsid w:val="00B76F93"/>
    <w:rsid w:val="00B770E2"/>
    <w:rsid w:val="00B77CB8"/>
    <w:rsid w:val="00B8001A"/>
    <w:rsid w:val="00B80199"/>
    <w:rsid w:val="00B804A5"/>
    <w:rsid w:val="00B8053B"/>
    <w:rsid w:val="00B806AC"/>
    <w:rsid w:val="00B806EE"/>
    <w:rsid w:val="00B80715"/>
    <w:rsid w:val="00B80BC9"/>
    <w:rsid w:val="00B80D85"/>
    <w:rsid w:val="00B80E59"/>
    <w:rsid w:val="00B8119C"/>
    <w:rsid w:val="00B81793"/>
    <w:rsid w:val="00B818EA"/>
    <w:rsid w:val="00B82457"/>
    <w:rsid w:val="00B82579"/>
    <w:rsid w:val="00B82615"/>
    <w:rsid w:val="00B83389"/>
    <w:rsid w:val="00B83744"/>
    <w:rsid w:val="00B83A37"/>
    <w:rsid w:val="00B84414"/>
    <w:rsid w:val="00B84834"/>
    <w:rsid w:val="00B84887"/>
    <w:rsid w:val="00B84E55"/>
    <w:rsid w:val="00B84FDC"/>
    <w:rsid w:val="00B851FD"/>
    <w:rsid w:val="00B858B2"/>
    <w:rsid w:val="00B85B85"/>
    <w:rsid w:val="00B85CF1"/>
    <w:rsid w:val="00B8615B"/>
    <w:rsid w:val="00B863B2"/>
    <w:rsid w:val="00B8655E"/>
    <w:rsid w:val="00B86685"/>
    <w:rsid w:val="00B866C3"/>
    <w:rsid w:val="00B86776"/>
    <w:rsid w:val="00B869E6"/>
    <w:rsid w:val="00B86B8F"/>
    <w:rsid w:val="00B86C2D"/>
    <w:rsid w:val="00B86F38"/>
    <w:rsid w:val="00B87386"/>
    <w:rsid w:val="00B8784D"/>
    <w:rsid w:val="00B87C2A"/>
    <w:rsid w:val="00B90157"/>
    <w:rsid w:val="00B901FF"/>
    <w:rsid w:val="00B903AA"/>
    <w:rsid w:val="00B9059D"/>
    <w:rsid w:val="00B90645"/>
    <w:rsid w:val="00B91122"/>
    <w:rsid w:val="00B91542"/>
    <w:rsid w:val="00B916B9"/>
    <w:rsid w:val="00B92DDD"/>
    <w:rsid w:val="00B941BD"/>
    <w:rsid w:val="00B942D9"/>
    <w:rsid w:val="00B9439E"/>
    <w:rsid w:val="00B9450C"/>
    <w:rsid w:val="00B9508D"/>
    <w:rsid w:val="00B95823"/>
    <w:rsid w:val="00B960DF"/>
    <w:rsid w:val="00B96285"/>
    <w:rsid w:val="00B96CC4"/>
    <w:rsid w:val="00B97035"/>
    <w:rsid w:val="00B97421"/>
    <w:rsid w:val="00B97A19"/>
    <w:rsid w:val="00B97A83"/>
    <w:rsid w:val="00B97C22"/>
    <w:rsid w:val="00BA0297"/>
    <w:rsid w:val="00BA0713"/>
    <w:rsid w:val="00BA0A46"/>
    <w:rsid w:val="00BA0B37"/>
    <w:rsid w:val="00BA0D1B"/>
    <w:rsid w:val="00BA0D93"/>
    <w:rsid w:val="00BA124A"/>
    <w:rsid w:val="00BA150A"/>
    <w:rsid w:val="00BA1601"/>
    <w:rsid w:val="00BA1AD8"/>
    <w:rsid w:val="00BA1B07"/>
    <w:rsid w:val="00BA2046"/>
    <w:rsid w:val="00BA205C"/>
    <w:rsid w:val="00BA2BCF"/>
    <w:rsid w:val="00BA2D6A"/>
    <w:rsid w:val="00BA2E33"/>
    <w:rsid w:val="00BA2E93"/>
    <w:rsid w:val="00BA3181"/>
    <w:rsid w:val="00BA3371"/>
    <w:rsid w:val="00BA4106"/>
    <w:rsid w:val="00BA497B"/>
    <w:rsid w:val="00BA499B"/>
    <w:rsid w:val="00BA5A56"/>
    <w:rsid w:val="00BA5AE9"/>
    <w:rsid w:val="00BA5B14"/>
    <w:rsid w:val="00BA5B7E"/>
    <w:rsid w:val="00BA5D4E"/>
    <w:rsid w:val="00BA5DA1"/>
    <w:rsid w:val="00BA620B"/>
    <w:rsid w:val="00BA62D3"/>
    <w:rsid w:val="00BA64F3"/>
    <w:rsid w:val="00BA6839"/>
    <w:rsid w:val="00BA691E"/>
    <w:rsid w:val="00BA6CC8"/>
    <w:rsid w:val="00BA6D14"/>
    <w:rsid w:val="00BA73B6"/>
    <w:rsid w:val="00BA74D6"/>
    <w:rsid w:val="00BA7875"/>
    <w:rsid w:val="00BA7BEF"/>
    <w:rsid w:val="00BA7C03"/>
    <w:rsid w:val="00BA7E27"/>
    <w:rsid w:val="00BB08A8"/>
    <w:rsid w:val="00BB096E"/>
    <w:rsid w:val="00BB0B87"/>
    <w:rsid w:val="00BB127A"/>
    <w:rsid w:val="00BB155D"/>
    <w:rsid w:val="00BB15E3"/>
    <w:rsid w:val="00BB1A03"/>
    <w:rsid w:val="00BB1F2E"/>
    <w:rsid w:val="00BB2603"/>
    <w:rsid w:val="00BB2725"/>
    <w:rsid w:val="00BB31FC"/>
    <w:rsid w:val="00BB32C2"/>
    <w:rsid w:val="00BB3498"/>
    <w:rsid w:val="00BB3578"/>
    <w:rsid w:val="00BB3B46"/>
    <w:rsid w:val="00BB4FCD"/>
    <w:rsid w:val="00BB508C"/>
    <w:rsid w:val="00BB5B47"/>
    <w:rsid w:val="00BB5DD3"/>
    <w:rsid w:val="00BB60F6"/>
    <w:rsid w:val="00BB64CD"/>
    <w:rsid w:val="00BB6671"/>
    <w:rsid w:val="00BB6AE9"/>
    <w:rsid w:val="00BB6D6E"/>
    <w:rsid w:val="00BB7078"/>
    <w:rsid w:val="00BB727E"/>
    <w:rsid w:val="00BB7CFE"/>
    <w:rsid w:val="00BC0292"/>
    <w:rsid w:val="00BC0457"/>
    <w:rsid w:val="00BC04E9"/>
    <w:rsid w:val="00BC086D"/>
    <w:rsid w:val="00BC0B2E"/>
    <w:rsid w:val="00BC0C0D"/>
    <w:rsid w:val="00BC0E84"/>
    <w:rsid w:val="00BC105A"/>
    <w:rsid w:val="00BC1353"/>
    <w:rsid w:val="00BC1801"/>
    <w:rsid w:val="00BC1A4E"/>
    <w:rsid w:val="00BC1B13"/>
    <w:rsid w:val="00BC2659"/>
    <w:rsid w:val="00BC292D"/>
    <w:rsid w:val="00BC2AC8"/>
    <w:rsid w:val="00BC309F"/>
    <w:rsid w:val="00BC33BC"/>
    <w:rsid w:val="00BC3973"/>
    <w:rsid w:val="00BC3F7F"/>
    <w:rsid w:val="00BC4553"/>
    <w:rsid w:val="00BC45E3"/>
    <w:rsid w:val="00BC46E1"/>
    <w:rsid w:val="00BC4B62"/>
    <w:rsid w:val="00BC4FAB"/>
    <w:rsid w:val="00BC53BD"/>
    <w:rsid w:val="00BC5AA1"/>
    <w:rsid w:val="00BC5CA5"/>
    <w:rsid w:val="00BC630F"/>
    <w:rsid w:val="00BC6664"/>
    <w:rsid w:val="00BC68BB"/>
    <w:rsid w:val="00BC6B22"/>
    <w:rsid w:val="00BC71B8"/>
    <w:rsid w:val="00BC73C2"/>
    <w:rsid w:val="00BC7D7E"/>
    <w:rsid w:val="00BD01FC"/>
    <w:rsid w:val="00BD0395"/>
    <w:rsid w:val="00BD10DB"/>
    <w:rsid w:val="00BD13EA"/>
    <w:rsid w:val="00BD167B"/>
    <w:rsid w:val="00BD172E"/>
    <w:rsid w:val="00BD1769"/>
    <w:rsid w:val="00BD1B4D"/>
    <w:rsid w:val="00BD261E"/>
    <w:rsid w:val="00BD33EF"/>
    <w:rsid w:val="00BD35E2"/>
    <w:rsid w:val="00BD378F"/>
    <w:rsid w:val="00BD3D27"/>
    <w:rsid w:val="00BD3E36"/>
    <w:rsid w:val="00BD485B"/>
    <w:rsid w:val="00BD4A70"/>
    <w:rsid w:val="00BD525E"/>
    <w:rsid w:val="00BD5290"/>
    <w:rsid w:val="00BD575F"/>
    <w:rsid w:val="00BD5CC3"/>
    <w:rsid w:val="00BD5D19"/>
    <w:rsid w:val="00BD5FCD"/>
    <w:rsid w:val="00BD62F8"/>
    <w:rsid w:val="00BD6392"/>
    <w:rsid w:val="00BD6542"/>
    <w:rsid w:val="00BD67A5"/>
    <w:rsid w:val="00BD6E57"/>
    <w:rsid w:val="00BD6F77"/>
    <w:rsid w:val="00BD71DC"/>
    <w:rsid w:val="00BD7417"/>
    <w:rsid w:val="00BD74A3"/>
    <w:rsid w:val="00BD7572"/>
    <w:rsid w:val="00BD7C36"/>
    <w:rsid w:val="00BE0412"/>
    <w:rsid w:val="00BE077F"/>
    <w:rsid w:val="00BE10F3"/>
    <w:rsid w:val="00BE144A"/>
    <w:rsid w:val="00BE20A8"/>
    <w:rsid w:val="00BE22F9"/>
    <w:rsid w:val="00BE2851"/>
    <w:rsid w:val="00BE2A03"/>
    <w:rsid w:val="00BE2C2A"/>
    <w:rsid w:val="00BE2E4E"/>
    <w:rsid w:val="00BE35B0"/>
    <w:rsid w:val="00BE3808"/>
    <w:rsid w:val="00BE3FBB"/>
    <w:rsid w:val="00BE4024"/>
    <w:rsid w:val="00BE40CB"/>
    <w:rsid w:val="00BE4700"/>
    <w:rsid w:val="00BE488D"/>
    <w:rsid w:val="00BE48D2"/>
    <w:rsid w:val="00BE4B12"/>
    <w:rsid w:val="00BE4C59"/>
    <w:rsid w:val="00BE4D5F"/>
    <w:rsid w:val="00BE5083"/>
    <w:rsid w:val="00BE5238"/>
    <w:rsid w:val="00BE5505"/>
    <w:rsid w:val="00BE62B2"/>
    <w:rsid w:val="00BE6465"/>
    <w:rsid w:val="00BE6509"/>
    <w:rsid w:val="00BE6775"/>
    <w:rsid w:val="00BE67CD"/>
    <w:rsid w:val="00BE6D5B"/>
    <w:rsid w:val="00BE7109"/>
    <w:rsid w:val="00BE76BD"/>
    <w:rsid w:val="00BE77C2"/>
    <w:rsid w:val="00BE78A2"/>
    <w:rsid w:val="00BF0776"/>
    <w:rsid w:val="00BF0830"/>
    <w:rsid w:val="00BF0C74"/>
    <w:rsid w:val="00BF0D5E"/>
    <w:rsid w:val="00BF12B5"/>
    <w:rsid w:val="00BF1991"/>
    <w:rsid w:val="00BF19B8"/>
    <w:rsid w:val="00BF1A8A"/>
    <w:rsid w:val="00BF1AF3"/>
    <w:rsid w:val="00BF1B2D"/>
    <w:rsid w:val="00BF23F2"/>
    <w:rsid w:val="00BF2675"/>
    <w:rsid w:val="00BF2E9D"/>
    <w:rsid w:val="00BF316A"/>
    <w:rsid w:val="00BF320C"/>
    <w:rsid w:val="00BF322C"/>
    <w:rsid w:val="00BF3503"/>
    <w:rsid w:val="00BF3AC7"/>
    <w:rsid w:val="00BF3B49"/>
    <w:rsid w:val="00BF3B8B"/>
    <w:rsid w:val="00BF3B95"/>
    <w:rsid w:val="00BF3E0E"/>
    <w:rsid w:val="00BF40EF"/>
    <w:rsid w:val="00BF44EC"/>
    <w:rsid w:val="00BF45C1"/>
    <w:rsid w:val="00BF4685"/>
    <w:rsid w:val="00BF47F3"/>
    <w:rsid w:val="00BF4A47"/>
    <w:rsid w:val="00BF4AC1"/>
    <w:rsid w:val="00BF4D0F"/>
    <w:rsid w:val="00BF6538"/>
    <w:rsid w:val="00BF6A3B"/>
    <w:rsid w:val="00BF702A"/>
    <w:rsid w:val="00BF7249"/>
    <w:rsid w:val="00BF72AF"/>
    <w:rsid w:val="00BF73D4"/>
    <w:rsid w:val="00BF741B"/>
    <w:rsid w:val="00C001FF"/>
    <w:rsid w:val="00C00287"/>
    <w:rsid w:val="00C002BC"/>
    <w:rsid w:val="00C002F6"/>
    <w:rsid w:val="00C00322"/>
    <w:rsid w:val="00C0035D"/>
    <w:rsid w:val="00C00992"/>
    <w:rsid w:val="00C0138E"/>
    <w:rsid w:val="00C01A5D"/>
    <w:rsid w:val="00C01D38"/>
    <w:rsid w:val="00C02030"/>
    <w:rsid w:val="00C0251C"/>
    <w:rsid w:val="00C03301"/>
    <w:rsid w:val="00C03AF1"/>
    <w:rsid w:val="00C03B88"/>
    <w:rsid w:val="00C03CA6"/>
    <w:rsid w:val="00C03EF9"/>
    <w:rsid w:val="00C041AC"/>
    <w:rsid w:val="00C04300"/>
    <w:rsid w:val="00C04301"/>
    <w:rsid w:val="00C04655"/>
    <w:rsid w:val="00C0470E"/>
    <w:rsid w:val="00C0487B"/>
    <w:rsid w:val="00C04A9F"/>
    <w:rsid w:val="00C04E6F"/>
    <w:rsid w:val="00C061C0"/>
    <w:rsid w:val="00C062E9"/>
    <w:rsid w:val="00C06656"/>
    <w:rsid w:val="00C066A1"/>
    <w:rsid w:val="00C069AA"/>
    <w:rsid w:val="00C06B44"/>
    <w:rsid w:val="00C06C14"/>
    <w:rsid w:val="00C07B64"/>
    <w:rsid w:val="00C07C41"/>
    <w:rsid w:val="00C07DEA"/>
    <w:rsid w:val="00C07E25"/>
    <w:rsid w:val="00C07F08"/>
    <w:rsid w:val="00C102F4"/>
    <w:rsid w:val="00C1039F"/>
    <w:rsid w:val="00C10411"/>
    <w:rsid w:val="00C1076B"/>
    <w:rsid w:val="00C10A19"/>
    <w:rsid w:val="00C10A22"/>
    <w:rsid w:val="00C10BA6"/>
    <w:rsid w:val="00C1116A"/>
    <w:rsid w:val="00C11367"/>
    <w:rsid w:val="00C11441"/>
    <w:rsid w:val="00C11B25"/>
    <w:rsid w:val="00C11C0D"/>
    <w:rsid w:val="00C11D29"/>
    <w:rsid w:val="00C124AC"/>
    <w:rsid w:val="00C125B9"/>
    <w:rsid w:val="00C12FAF"/>
    <w:rsid w:val="00C12FE0"/>
    <w:rsid w:val="00C131C7"/>
    <w:rsid w:val="00C134D4"/>
    <w:rsid w:val="00C134DB"/>
    <w:rsid w:val="00C13721"/>
    <w:rsid w:val="00C142E3"/>
    <w:rsid w:val="00C14309"/>
    <w:rsid w:val="00C1468C"/>
    <w:rsid w:val="00C14875"/>
    <w:rsid w:val="00C1492F"/>
    <w:rsid w:val="00C14C81"/>
    <w:rsid w:val="00C14FE4"/>
    <w:rsid w:val="00C155B3"/>
    <w:rsid w:val="00C15B5A"/>
    <w:rsid w:val="00C15D46"/>
    <w:rsid w:val="00C16670"/>
    <w:rsid w:val="00C16696"/>
    <w:rsid w:val="00C1674A"/>
    <w:rsid w:val="00C16D26"/>
    <w:rsid w:val="00C170DC"/>
    <w:rsid w:val="00C171E0"/>
    <w:rsid w:val="00C17272"/>
    <w:rsid w:val="00C202FC"/>
    <w:rsid w:val="00C20709"/>
    <w:rsid w:val="00C207E1"/>
    <w:rsid w:val="00C20924"/>
    <w:rsid w:val="00C212A1"/>
    <w:rsid w:val="00C22062"/>
    <w:rsid w:val="00C220A1"/>
    <w:rsid w:val="00C22206"/>
    <w:rsid w:val="00C222BA"/>
    <w:rsid w:val="00C2233D"/>
    <w:rsid w:val="00C22AD4"/>
    <w:rsid w:val="00C22CBD"/>
    <w:rsid w:val="00C22D62"/>
    <w:rsid w:val="00C23035"/>
    <w:rsid w:val="00C231F9"/>
    <w:rsid w:val="00C2337E"/>
    <w:rsid w:val="00C23F73"/>
    <w:rsid w:val="00C24047"/>
    <w:rsid w:val="00C24FD5"/>
    <w:rsid w:val="00C253A3"/>
    <w:rsid w:val="00C259ED"/>
    <w:rsid w:val="00C25ABF"/>
    <w:rsid w:val="00C25E99"/>
    <w:rsid w:val="00C2616C"/>
    <w:rsid w:val="00C264F7"/>
    <w:rsid w:val="00C26AAA"/>
    <w:rsid w:val="00C272F9"/>
    <w:rsid w:val="00C276F0"/>
    <w:rsid w:val="00C30390"/>
    <w:rsid w:val="00C304A9"/>
    <w:rsid w:val="00C304B8"/>
    <w:rsid w:val="00C3066D"/>
    <w:rsid w:val="00C30CE8"/>
    <w:rsid w:val="00C30E9B"/>
    <w:rsid w:val="00C31488"/>
    <w:rsid w:val="00C31660"/>
    <w:rsid w:val="00C318A7"/>
    <w:rsid w:val="00C31AF8"/>
    <w:rsid w:val="00C31CED"/>
    <w:rsid w:val="00C31FBF"/>
    <w:rsid w:val="00C3204B"/>
    <w:rsid w:val="00C3245E"/>
    <w:rsid w:val="00C32BDE"/>
    <w:rsid w:val="00C32E48"/>
    <w:rsid w:val="00C33976"/>
    <w:rsid w:val="00C354AC"/>
    <w:rsid w:val="00C35588"/>
    <w:rsid w:val="00C360F5"/>
    <w:rsid w:val="00C36199"/>
    <w:rsid w:val="00C364CD"/>
    <w:rsid w:val="00C367EA"/>
    <w:rsid w:val="00C368CA"/>
    <w:rsid w:val="00C36E8F"/>
    <w:rsid w:val="00C37799"/>
    <w:rsid w:val="00C3782A"/>
    <w:rsid w:val="00C37EBB"/>
    <w:rsid w:val="00C40097"/>
    <w:rsid w:val="00C4046D"/>
    <w:rsid w:val="00C40934"/>
    <w:rsid w:val="00C409B0"/>
    <w:rsid w:val="00C40D2F"/>
    <w:rsid w:val="00C4149B"/>
    <w:rsid w:val="00C41974"/>
    <w:rsid w:val="00C42534"/>
    <w:rsid w:val="00C4256C"/>
    <w:rsid w:val="00C42B88"/>
    <w:rsid w:val="00C42C8E"/>
    <w:rsid w:val="00C42D0D"/>
    <w:rsid w:val="00C43197"/>
    <w:rsid w:val="00C432DC"/>
    <w:rsid w:val="00C43676"/>
    <w:rsid w:val="00C43949"/>
    <w:rsid w:val="00C43B5F"/>
    <w:rsid w:val="00C4418A"/>
    <w:rsid w:val="00C44518"/>
    <w:rsid w:val="00C44526"/>
    <w:rsid w:val="00C4475C"/>
    <w:rsid w:val="00C44837"/>
    <w:rsid w:val="00C4565E"/>
    <w:rsid w:val="00C456C1"/>
    <w:rsid w:val="00C456C7"/>
    <w:rsid w:val="00C45A5F"/>
    <w:rsid w:val="00C45FA1"/>
    <w:rsid w:val="00C46106"/>
    <w:rsid w:val="00C4626F"/>
    <w:rsid w:val="00C46525"/>
    <w:rsid w:val="00C46950"/>
    <w:rsid w:val="00C46A73"/>
    <w:rsid w:val="00C46C6A"/>
    <w:rsid w:val="00C46CD9"/>
    <w:rsid w:val="00C46EE1"/>
    <w:rsid w:val="00C4727C"/>
    <w:rsid w:val="00C4755D"/>
    <w:rsid w:val="00C47693"/>
    <w:rsid w:val="00C5034E"/>
    <w:rsid w:val="00C50569"/>
    <w:rsid w:val="00C5096D"/>
    <w:rsid w:val="00C509CC"/>
    <w:rsid w:val="00C50AD9"/>
    <w:rsid w:val="00C50C05"/>
    <w:rsid w:val="00C50DC0"/>
    <w:rsid w:val="00C512F0"/>
    <w:rsid w:val="00C522D0"/>
    <w:rsid w:val="00C52416"/>
    <w:rsid w:val="00C52533"/>
    <w:rsid w:val="00C52B60"/>
    <w:rsid w:val="00C52F45"/>
    <w:rsid w:val="00C53790"/>
    <w:rsid w:val="00C5379D"/>
    <w:rsid w:val="00C5384B"/>
    <w:rsid w:val="00C53A1D"/>
    <w:rsid w:val="00C53BB1"/>
    <w:rsid w:val="00C53E83"/>
    <w:rsid w:val="00C542F0"/>
    <w:rsid w:val="00C54355"/>
    <w:rsid w:val="00C543F4"/>
    <w:rsid w:val="00C54666"/>
    <w:rsid w:val="00C54961"/>
    <w:rsid w:val="00C54F10"/>
    <w:rsid w:val="00C554BF"/>
    <w:rsid w:val="00C5579B"/>
    <w:rsid w:val="00C559C4"/>
    <w:rsid w:val="00C55A79"/>
    <w:rsid w:val="00C563C6"/>
    <w:rsid w:val="00C56408"/>
    <w:rsid w:val="00C57053"/>
    <w:rsid w:val="00C572E4"/>
    <w:rsid w:val="00C608E1"/>
    <w:rsid w:val="00C60AFE"/>
    <w:rsid w:val="00C60B96"/>
    <w:rsid w:val="00C610E8"/>
    <w:rsid w:val="00C61323"/>
    <w:rsid w:val="00C61324"/>
    <w:rsid w:val="00C613C6"/>
    <w:rsid w:val="00C61481"/>
    <w:rsid w:val="00C61647"/>
    <w:rsid w:val="00C61746"/>
    <w:rsid w:val="00C62017"/>
    <w:rsid w:val="00C6236D"/>
    <w:rsid w:val="00C623EE"/>
    <w:rsid w:val="00C62538"/>
    <w:rsid w:val="00C6291C"/>
    <w:rsid w:val="00C62A76"/>
    <w:rsid w:val="00C62D98"/>
    <w:rsid w:val="00C62E71"/>
    <w:rsid w:val="00C632A1"/>
    <w:rsid w:val="00C633CB"/>
    <w:rsid w:val="00C6399E"/>
    <w:rsid w:val="00C63F83"/>
    <w:rsid w:val="00C65136"/>
    <w:rsid w:val="00C656F6"/>
    <w:rsid w:val="00C658F3"/>
    <w:rsid w:val="00C65B29"/>
    <w:rsid w:val="00C66053"/>
    <w:rsid w:val="00C6624A"/>
    <w:rsid w:val="00C66445"/>
    <w:rsid w:val="00C664CD"/>
    <w:rsid w:val="00C66CA3"/>
    <w:rsid w:val="00C671AD"/>
    <w:rsid w:val="00C67492"/>
    <w:rsid w:val="00C70042"/>
    <w:rsid w:val="00C70111"/>
    <w:rsid w:val="00C70638"/>
    <w:rsid w:val="00C70918"/>
    <w:rsid w:val="00C709BB"/>
    <w:rsid w:val="00C70A30"/>
    <w:rsid w:val="00C70BFE"/>
    <w:rsid w:val="00C7174F"/>
    <w:rsid w:val="00C719BE"/>
    <w:rsid w:val="00C71DFA"/>
    <w:rsid w:val="00C736B7"/>
    <w:rsid w:val="00C7432E"/>
    <w:rsid w:val="00C743E6"/>
    <w:rsid w:val="00C74466"/>
    <w:rsid w:val="00C74C80"/>
    <w:rsid w:val="00C758E4"/>
    <w:rsid w:val="00C758FC"/>
    <w:rsid w:val="00C75915"/>
    <w:rsid w:val="00C75B97"/>
    <w:rsid w:val="00C762EA"/>
    <w:rsid w:val="00C767D3"/>
    <w:rsid w:val="00C76A57"/>
    <w:rsid w:val="00C775DD"/>
    <w:rsid w:val="00C77913"/>
    <w:rsid w:val="00C77C1B"/>
    <w:rsid w:val="00C805FD"/>
    <w:rsid w:val="00C808EE"/>
    <w:rsid w:val="00C818FC"/>
    <w:rsid w:val="00C819DA"/>
    <w:rsid w:val="00C81D4A"/>
    <w:rsid w:val="00C81E3E"/>
    <w:rsid w:val="00C8241E"/>
    <w:rsid w:val="00C82A33"/>
    <w:rsid w:val="00C82B49"/>
    <w:rsid w:val="00C82CA2"/>
    <w:rsid w:val="00C82DA8"/>
    <w:rsid w:val="00C82F0E"/>
    <w:rsid w:val="00C83110"/>
    <w:rsid w:val="00C8316C"/>
    <w:rsid w:val="00C83387"/>
    <w:rsid w:val="00C83E40"/>
    <w:rsid w:val="00C841E0"/>
    <w:rsid w:val="00C8425B"/>
    <w:rsid w:val="00C848E9"/>
    <w:rsid w:val="00C84E92"/>
    <w:rsid w:val="00C85002"/>
    <w:rsid w:val="00C8521C"/>
    <w:rsid w:val="00C85248"/>
    <w:rsid w:val="00C853F1"/>
    <w:rsid w:val="00C856E2"/>
    <w:rsid w:val="00C858A4"/>
    <w:rsid w:val="00C867FC"/>
    <w:rsid w:val="00C87111"/>
    <w:rsid w:val="00C8729A"/>
    <w:rsid w:val="00C8753C"/>
    <w:rsid w:val="00C875D8"/>
    <w:rsid w:val="00C8762C"/>
    <w:rsid w:val="00C87C69"/>
    <w:rsid w:val="00C902A0"/>
    <w:rsid w:val="00C90307"/>
    <w:rsid w:val="00C90690"/>
    <w:rsid w:val="00C906E3"/>
    <w:rsid w:val="00C9154D"/>
    <w:rsid w:val="00C916BA"/>
    <w:rsid w:val="00C91762"/>
    <w:rsid w:val="00C918E9"/>
    <w:rsid w:val="00C91C71"/>
    <w:rsid w:val="00C91FAD"/>
    <w:rsid w:val="00C924EE"/>
    <w:rsid w:val="00C9268B"/>
    <w:rsid w:val="00C92B14"/>
    <w:rsid w:val="00C93823"/>
    <w:rsid w:val="00C938B3"/>
    <w:rsid w:val="00C9394F"/>
    <w:rsid w:val="00C93CFF"/>
    <w:rsid w:val="00C93D8A"/>
    <w:rsid w:val="00C94386"/>
    <w:rsid w:val="00C94435"/>
    <w:rsid w:val="00C949A9"/>
    <w:rsid w:val="00C95210"/>
    <w:rsid w:val="00C95598"/>
    <w:rsid w:val="00C955EF"/>
    <w:rsid w:val="00C95612"/>
    <w:rsid w:val="00C959A6"/>
    <w:rsid w:val="00C95EA6"/>
    <w:rsid w:val="00C96379"/>
    <w:rsid w:val="00C9643B"/>
    <w:rsid w:val="00C96EA1"/>
    <w:rsid w:val="00C979EB"/>
    <w:rsid w:val="00C97A38"/>
    <w:rsid w:val="00C97C97"/>
    <w:rsid w:val="00CA00F9"/>
    <w:rsid w:val="00CA03D4"/>
    <w:rsid w:val="00CA0672"/>
    <w:rsid w:val="00CA079D"/>
    <w:rsid w:val="00CA0A85"/>
    <w:rsid w:val="00CA0B86"/>
    <w:rsid w:val="00CA0F3F"/>
    <w:rsid w:val="00CA1147"/>
    <w:rsid w:val="00CA1245"/>
    <w:rsid w:val="00CA1257"/>
    <w:rsid w:val="00CA1414"/>
    <w:rsid w:val="00CA1562"/>
    <w:rsid w:val="00CA1607"/>
    <w:rsid w:val="00CA19FC"/>
    <w:rsid w:val="00CA1B1B"/>
    <w:rsid w:val="00CA1B62"/>
    <w:rsid w:val="00CA1C57"/>
    <w:rsid w:val="00CA28C1"/>
    <w:rsid w:val="00CA2961"/>
    <w:rsid w:val="00CA2A48"/>
    <w:rsid w:val="00CA2E5F"/>
    <w:rsid w:val="00CA2F38"/>
    <w:rsid w:val="00CA3227"/>
    <w:rsid w:val="00CA39EB"/>
    <w:rsid w:val="00CA3A5A"/>
    <w:rsid w:val="00CA3A5E"/>
    <w:rsid w:val="00CA3CFC"/>
    <w:rsid w:val="00CA3DCB"/>
    <w:rsid w:val="00CA3FF0"/>
    <w:rsid w:val="00CA49B0"/>
    <w:rsid w:val="00CA4E6D"/>
    <w:rsid w:val="00CA53FF"/>
    <w:rsid w:val="00CA54C0"/>
    <w:rsid w:val="00CA553E"/>
    <w:rsid w:val="00CA5D89"/>
    <w:rsid w:val="00CA5ED7"/>
    <w:rsid w:val="00CA64C7"/>
    <w:rsid w:val="00CA6B50"/>
    <w:rsid w:val="00CA6BA6"/>
    <w:rsid w:val="00CA6BAF"/>
    <w:rsid w:val="00CA6D8A"/>
    <w:rsid w:val="00CA7C80"/>
    <w:rsid w:val="00CA7FE3"/>
    <w:rsid w:val="00CB04D3"/>
    <w:rsid w:val="00CB06E8"/>
    <w:rsid w:val="00CB0CC1"/>
    <w:rsid w:val="00CB157C"/>
    <w:rsid w:val="00CB1698"/>
    <w:rsid w:val="00CB1DB6"/>
    <w:rsid w:val="00CB27FC"/>
    <w:rsid w:val="00CB2D2B"/>
    <w:rsid w:val="00CB2E4E"/>
    <w:rsid w:val="00CB39FC"/>
    <w:rsid w:val="00CB3B5E"/>
    <w:rsid w:val="00CB3EBF"/>
    <w:rsid w:val="00CB3EDE"/>
    <w:rsid w:val="00CB4B20"/>
    <w:rsid w:val="00CB4C6E"/>
    <w:rsid w:val="00CB4DFD"/>
    <w:rsid w:val="00CB50D7"/>
    <w:rsid w:val="00CB528B"/>
    <w:rsid w:val="00CB5484"/>
    <w:rsid w:val="00CB56AD"/>
    <w:rsid w:val="00CB5736"/>
    <w:rsid w:val="00CB6075"/>
    <w:rsid w:val="00CB6170"/>
    <w:rsid w:val="00CB63DA"/>
    <w:rsid w:val="00CB6498"/>
    <w:rsid w:val="00CB6559"/>
    <w:rsid w:val="00CB65B6"/>
    <w:rsid w:val="00CB67C9"/>
    <w:rsid w:val="00CB6A36"/>
    <w:rsid w:val="00CB6D04"/>
    <w:rsid w:val="00CB6D69"/>
    <w:rsid w:val="00CB6E4C"/>
    <w:rsid w:val="00CB7177"/>
    <w:rsid w:val="00CB786C"/>
    <w:rsid w:val="00CB7CED"/>
    <w:rsid w:val="00CC06B7"/>
    <w:rsid w:val="00CC070F"/>
    <w:rsid w:val="00CC079A"/>
    <w:rsid w:val="00CC0922"/>
    <w:rsid w:val="00CC0A7E"/>
    <w:rsid w:val="00CC0C9D"/>
    <w:rsid w:val="00CC0CD5"/>
    <w:rsid w:val="00CC0E94"/>
    <w:rsid w:val="00CC1382"/>
    <w:rsid w:val="00CC198F"/>
    <w:rsid w:val="00CC1998"/>
    <w:rsid w:val="00CC1D84"/>
    <w:rsid w:val="00CC27C8"/>
    <w:rsid w:val="00CC306C"/>
    <w:rsid w:val="00CC3468"/>
    <w:rsid w:val="00CC35B8"/>
    <w:rsid w:val="00CC3D33"/>
    <w:rsid w:val="00CC3FBE"/>
    <w:rsid w:val="00CC41FC"/>
    <w:rsid w:val="00CC42C2"/>
    <w:rsid w:val="00CC460F"/>
    <w:rsid w:val="00CC4770"/>
    <w:rsid w:val="00CC4946"/>
    <w:rsid w:val="00CC4A1D"/>
    <w:rsid w:val="00CC4A69"/>
    <w:rsid w:val="00CC4AD6"/>
    <w:rsid w:val="00CC4AF4"/>
    <w:rsid w:val="00CC4D99"/>
    <w:rsid w:val="00CC4EE4"/>
    <w:rsid w:val="00CC5070"/>
    <w:rsid w:val="00CC529A"/>
    <w:rsid w:val="00CC542F"/>
    <w:rsid w:val="00CC58F9"/>
    <w:rsid w:val="00CC64A1"/>
    <w:rsid w:val="00CC7078"/>
    <w:rsid w:val="00CC7205"/>
    <w:rsid w:val="00CC774E"/>
    <w:rsid w:val="00CC7A32"/>
    <w:rsid w:val="00CC7AAA"/>
    <w:rsid w:val="00CC7B69"/>
    <w:rsid w:val="00CC7F47"/>
    <w:rsid w:val="00CD06D5"/>
    <w:rsid w:val="00CD09EE"/>
    <w:rsid w:val="00CD0AF3"/>
    <w:rsid w:val="00CD117F"/>
    <w:rsid w:val="00CD14ED"/>
    <w:rsid w:val="00CD1C11"/>
    <w:rsid w:val="00CD21AF"/>
    <w:rsid w:val="00CD279F"/>
    <w:rsid w:val="00CD2B01"/>
    <w:rsid w:val="00CD2F0A"/>
    <w:rsid w:val="00CD32C0"/>
    <w:rsid w:val="00CD345E"/>
    <w:rsid w:val="00CD435C"/>
    <w:rsid w:val="00CD46C7"/>
    <w:rsid w:val="00CD47F5"/>
    <w:rsid w:val="00CD509A"/>
    <w:rsid w:val="00CD5648"/>
    <w:rsid w:val="00CD57A6"/>
    <w:rsid w:val="00CD6985"/>
    <w:rsid w:val="00CD6D2C"/>
    <w:rsid w:val="00CD6E47"/>
    <w:rsid w:val="00CD7811"/>
    <w:rsid w:val="00CD791F"/>
    <w:rsid w:val="00CD79CF"/>
    <w:rsid w:val="00CD7A4A"/>
    <w:rsid w:val="00CD7A9B"/>
    <w:rsid w:val="00CD7B52"/>
    <w:rsid w:val="00CE0713"/>
    <w:rsid w:val="00CE08A0"/>
    <w:rsid w:val="00CE0D42"/>
    <w:rsid w:val="00CE1095"/>
    <w:rsid w:val="00CE11FE"/>
    <w:rsid w:val="00CE1A8E"/>
    <w:rsid w:val="00CE1C07"/>
    <w:rsid w:val="00CE22D1"/>
    <w:rsid w:val="00CE22DA"/>
    <w:rsid w:val="00CE25F1"/>
    <w:rsid w:val="00CE2667"/>
    <w:rsid w:val="00CE2BF0"/>
    <w:rsid w:val="00CE3127"/>
    <w:rsid w:val="00CE35BE"/>
    <w:rsid w:val="00CE3BED"/>
    <w:rsid w:val="00CE3CDF"/>
    <w:rsid w:val="00CE4089"/>
    <w:rsid w:val="00CE412A"/>
    <w:rsid w:val="00CE4346"/>
    <w:rsid w:val="00CE468C"/>
    <w:rsid w:val="00CE46DA"/>
    <w:rsid w:val="00CE47AA"/>
    <w:rsid w:val="00CE49B2"/>
    <w:rsid w:val="00CE5003"/>
    <w:rsid w:val="00CE50D4"/>
    <w:rsid w:val="00CE5C80"/>
    <w:rsid w:val="00CE5D8E"/>
    <w:rsid w:val="00CE61BA"/>
    <w:rsid w:val="00CE644D"/>
    <w:rsid w:val="00CE7A9A"/>
    <w:rsid w:val="00CF077B"/>
    <w:rsid w:val="00CF0AF9"/>
    <w:rsid w:val="00CF1054"/>
    <w:rsid w:val="00CF1387"/>
    <w:rsid w:val="00CF1C4F"/>
    <w:rsid w:val="00CF1DE5"/>
    <w:rsid w:val="00CF1FA9"/>
    <w:rsid w:val="00CF2159"/>
    <w:rsid w:val="00CF2AD9"/>
    <w:rsid w:val="00CF34D9"/>
    <w:rsid w:val="00CF3A4D"/>
    <w:rsid w:val="00CF3B11"/>
    <w:rsid w:val="00CF3E16"/>
    <w:rsid w:val="00CF43D7"/>
    <w:rsid w:val="00CF47F6"/>
    <w:rsid w:val="00CF4B9F"/>
    <w:rsid w:val="00CF4C9B"/>
    <w:rsid w:val="00CF4CD4"/>
    <w:rsid w:val="00CF4D85"/>
    <w:rsid w:val="00CF4F2C"/>
    <w:rsid w:val="00CF507D"/>
    <w:rsid w:val="00CF51CD"/>
    <w:rsid w:val="00CF5284"/>
    <w:rsid w:val="00CF53F9"/>
    <w:rsid w:val="00CF5600"/>
    <w:rsid w:val="00CF5834"/>
    <w:rsid w:val="00CF5CBF"/>
    <w:rsid w:val="00CF5D66"/>
    <w:rsid w:val="00CF631F"/>
    <w:rsid w:val="00CF639C"/>
    <w:rsid w:val="00CF669E"/>
    <w:rsid w:val="00CF66FF"/>
    <w:rsid w:val="00CF686B"/>
    <w:rsid w:val="00CF6AF1"/>
    <w:rsid w:val="00CF6DF9"/>
    <w:rsid w:val="00CF6FED"/>
    <w:rsid w:val="00CF71A9"/>
    <w:rsid w:val="00CF77FB"/>
    <w:rsid w:val="00CF7EFA"/>
    <w:rsid w:val="00CF7FE7"/>
    <w:rsid w:val="00D003A4"/>
    <w:rsid w:val="00D0084A"/>
    <w:rsid w:val="00D00CE6"/>
    <w:rsid w:val="00D01215"/>
    <w:rsid w:val="00D018E6"/>
    <w:rsid w:val="00D01953"/>
    <w:rsid w:val="00D01FD5"/>
    <w:rsid w:val="00D023FA"/>
    <w:rsid w:val="00D02766"/>
    <w:rsid w:val="00D0302D"/>
    <w:rsid w:val="00D0381A"/>
    <w:rsid w:val="00D03FA1"/>
    <w:rsid w:val="00D040E0"/>
    <w:rsid w:val="00D04631"/>
    <w:rsid w:val="00D057AE"/>
    <w:rsid w:val="00D057D2"/>
    <w:rsid w:val="00D058EA"/>
    <w:rsid w:val="00D05909"/>
    <w:rsid w:val="00D05A5E"/>
    <w:rsid w:val="00D05A6B"/>
    <w:rsid w:val="00D05A79"/>
    <w:rsid w:val="00D05BD6"/>
    <w:rsid w:val="00D05DF4"/>
    <w:rsid w:val="00D05ECA"/>
    <w:rsid w:val="00D06339"/>
    <w:rsid w:val="00D065CA"/>
    <w:rsid w:val="00D068D9"/>
    <w:rsid w:val="00D06C69"/>
    <w:rsid w:val="00D06C8A"/>
    <w:rsid w:val="00D0723D"/>
    <w:rsid w:val="00D07B88"/>
    <w:rsid w:val="00D07C15"/>
    <w:rsid w:val="00D1047C"/>
    <w:rsid w:val="00D10CC2"/>
    <w:rsid w:val="00D10D9E"/>
    <w:rsid w:val="00D11005"/>
    <w:rsid w:val="00D11137"/>
    <w:rsid w:val="00D11369"/>
    <w:rsid w:val="00D11636"/>
    <w:rsid w:val="00D11694"/>
    <w:rsid w:val="00D12192"/>
    <w:rsid w:val="00D12CA9"/>
    <w:rsid w:val="00D12CFC"/>
    <w:rsid w:val="00D131C0"/>
    <w:rsid w:val="00D133DD"/>
    <w:rsid w:val="00D1393E"/>
    <w:rsid w:val="00D13C78"/>
    <w:rsid w:val="00D13CDA"/>
    <w:rsid w:val="00D13DC6"/>
    <w:rsid w:val="00D1473D"/>
    <w:rsid w:val="00D14B97"/>
    <w:rsid w:val="00D14D6B"/>
    <w:rsid w:val="00D14D78"/>
    <w:rsid w:val="00D150EF"/>
    <w:rsid w:val="00D15692"/>
    <w:rsid w:val="00D15801"/>
    <w:rsid w:val="00D16584"/>
    <w:rsid w:val="00D16646"/>
    <w:rsid w:val="00D166A0"/>
    <w:rsid w:val="00D167EC"/>
    <w:rsid w:val="00D17061"/>
    <w:rsid w:val="00D1797F"/>
    <w:rsid w:val="00D17D14"/>
    <w:rsid w:val="00D17E6B"/>
    <w:rsid w:val="00D200AC"/>
    <w:rsid w:val="00D20381"/>
    <w:rsid w:val="00D20D28"/>
    <w:rsid w:val="00D20E11"/>
    <w:rsid w:val="00D2101F"/>
    <w:rsid w:val="00D21447"/>
    <w:rsid w:val="00D21BFA"/>
    <w:rsid w:val="00D22250"/>
    <w:rsid w:val="00D2234F"/>
    <w:rsid w:val="00D22509"/>
    <w:rsid w:val="00D22867"/>
    <w:rsid w:val="00D22E4E"/>
    <w:rsid w:val="00D23A13"/>
    <w:rsid w:val="00D23A67"/>
    <w:rsid w:val="00D23C51"/>
    <w:rsid w:val="00D2414D"/>
    <w:rsid w:val="00D24252"/>
    <w:rsid w:val="00D24469"/>
    <w:rsid w:val="00D244E3"/>
    <w:rsid w:val="00D254F8"/>
    <w:rsid w:val="00D26157"/>
    <w:rsid w:val="00D2627F"/>
    <w:rsid w:val="00D267FD"/>
    <w:rsid w:val="00D26D8A"/>
    <w:rsid w:val="00D270A4"/>
    <w:rsid w:val="00D2714C"/>
    <w:rsid w:val="00D27499"/>
    <w:rsid w:val="00D3065A"/>
    <w:rsid w:val="00D30953"/>
    <w:rsid w:val="00D30B1D"/>
    <w:rsid w:val="00D30BC5"/>
    <w:rsid w:val="00D31083"/>
    <w:rsid w:val="00D315D0"/>
    <w:rsid w:val="00D31659"/>
    <w:rsid w:val="00D31890"/>
    <w:rsid w:val="00D31B28"/>
    <w:rsid w:val="00D31FE9"/>
    <w:rsid w:val="00D32C0D"/>
    <w:rsid w:val="00D3313F"/>
    <w:rsid w:val="00D33F10"/>
    <w:rsid w:val="00D34087"/>
    <w:rsid w:val="00D34121"/>
    <w:rsid w:val="00D348C1"/>
    <w:rsid w:val="00D348FF"/>
    <w:rsid w:val="00D34D53"/>
    <w:rsid w:val="00D34E1B"/>
    <w:rsid w:val="00D357F9"/>
    <w:rsid w:val="00D35A06"/>
    <w:rsid w:val="00D35D58"/>
    <w:rsid w:val="00D3606D"/>
    <w:rsid w:val="00D364A8"/>
    <w:rsid w:val="00D364E9"/>
    <w:rsid w:val="00D367F9"/>
    <w:rsid w:val="00D36D12"/>
    <w:rsid w:val="00D376BA"/>
    <w:rsid w:val="00D37969"/>
    <w:rsid w:val="00D379FB"/>
    <w:rsid w:val="00D37A4A"/>
    <w:rsid w:val="00D4068D"/>
    <w:rsid w:val="00D406EF"/>
    <w:rsid w:val="00D40A7A"/>
    <w:rsid w:val="00D41574"/>
    <w:rsid w:val="00D41A0F"/>
    <w:rsid w:val="00D41BC9"/>
    <w:rsid w:val="00D41E59"/>
    <w:rsid w:val="00D42113"/>
    <w:rsid w:val="00D434A0"/>
    <w:rsid w:val="00D438AF"/>
    <w:rsid w:val="00D43B3D"/>
    <w:rsid w:val="00D44E7C"/>
    <w:rsid w:val="00D45634"/>
    <w:rsid w:val="00D45640"/>
    <w:rsid w:val="00D45891"/>
    <w:rsid w:val="00D45EFE"/>
    <w:rsid w:val="00D463D4"/>
    <w:rsid w:val="00D46410"/>
    <w:rsid w:val="00D4648F"/>
    <w:rsid w:val="00D464DF"/>
    <w:rsid w:val="00D46595"/>
    <w:rsid w:val="00D468AB"/>
    <w:rsid w:val="00D46A60"/>
    <w:rsid w:val="00D46EFA"/>
    <w:rsid w:val="00D477AD"/>
    <w:rsid w:val="00D47806"/>
    <w:rsid w:val="00D47863"/>
    <w:rsid w:val="00D47DE9"/>
    <w:rsid w:val="00D47E3D"/>
    <w:rsid w:val="00D5029D"/>
    <w:rsid w:val="00D507FF"/>
    <w:rsid w:val="00D508B7"/>
    <w:rsid w:val="00D50A6E"/>
    <w:rsid w:val="00D50CD7"/>
    <w:rsid w:val="00D50F01"/>
    <w:rsid w:val="00D50FDA"/>
    <w:rsid w:val="00D512F9"/>
    <w:rsid w:val="00D51515"/>
    <w:rsid w:val="00D5260B"/>
    <w:rsid w:val="00D52FF3"/>
    <w:rsid w:val="00D53092"/>
    <w:rsid w:val="00D537F2"/>
    <w:rsid w:val="00D53825"/>
    <w:rsid w:val="00D538AE"/>
    <w:rsid w:val="00D543C1"/>
    <w:rsid w:val="00D54897"/>
    <w:rsid w:val="00D5499F"/>
    <w:rsid w:val="00D54E81"/>
    <w:rsid w:val="00D5568A"/>
    <w:rsid w:val="00D55A56"/>
    <w:rsid w:val="00D55A8C"/>
    <w:rsid w:val="00D55C5C"/>
    <w:rsid w:val="00D56306"/>
    <w:rsid w:val="00D5681A"/>
    <w:rsid w:val="00D56C12"/>
    <w:rsid w:val="00D56D89"/>
    <w:rsid w:val="00D56FBE"/>
    <w:rsid w:val="00D57431"/>
    <w:rsid w:val="00D579E2"/>
    <w:rsid w:val="00D57A69"/>
    <w:rsid w:val="00D57B13"/>
    <w:rsid w:val="00D57D8F"/>
    <w:rsid w:val="00D57F3E"/>
    <w:rsid w:val="00D602AA"/>
    <w:rsid w:val="00D603CA"/>
    <w:rsid w:val="00D604A6"/>
    <w:rsid w:val="00D60D6A"/>
    <w:rsid w:val="00D60EC2"/>
    <w:rsid w:val="00D6166A"/>
    <w:rsid w:val="00D6177F"/>
    <w:rsid w:val="00D624AA"/>
    <w:rsid w:val="00D628C2"/>
    <w:rsid w:val="00D629F5"/>
    <w:rsid w:val="00D633E4"/>
    <w:rsid w:val="00D6389D"/>
    <w:rsid w:val="00D6394A"/>
    <w:rsid w:val="00D63D73"/>
    <w:rsid w:val="00D63F33"/>
    <w:rsid w:val="00D641A1"/>
    <w:rsid w:val="00D64452"/>
    <w:rsid w:val="00D64989"/>
    <w:rsid w:val="00D649B9"/>
    <w:rsid w:val="00D64F76"/>
    <w:rsid w:val="00D6566E"/>
    <w:rsid w:val="00D65879"/>
    <w:rsid w:val="00D6589B"/>
    <w:rsid w:val="00D658E2"/>
    <w:rsid w:val="00D65BD5"/>
    <w:rsid w:val="00D65C0A"/>
    <w:rsid w:val="00D65D48"/>
    <w:rsid w:val="00D65DCD"/>
    <w:rsid w:val="00D66224"/>
    <w:rsid w:val="00D666B5"/>
    <w:rsid w:val="00D6688E"/>
    <w:rsid w:val="00D66E1E"/>
    <w:rsid w:val="00D66F25"/>
    <w:rsid w:val="00D6707E"/>
    <w:rsid w:val="00D6722A"/>
    <w:rsid w:val="00D70049"/>
    <w:rsid w:val="00D703D1"/>
    <w:rsid w:val="00D7067A"/>
    <w:rsid w:val="00D70696"/>
    <w:rsid w:val="00D71300"/>
    <w:rsid w:val="00D716E3"/>
    <w:rsid w:val="00D71D2F"/>
    <w:rsid w:val="00D724D5"/>
    <w:rsid w:val="00D734F6"/>
    <w:rsid w:val="00D736A2"/>
    <w:rsid w:val="00D73B8C"/>
    <w:rsid w:val="00D73D45"/>
    <w:rsid w:val="00D7459F"/>
    <w:rsid w:val="00D74AC7"/>
    <w:rsid w:val="00D74AF3"/>
    <w:rsid w:val="00D74CAE"/>
    <w:rsid w:val="00D74E27"/>
    <w:rsid w:val="00D75491"/>
    <w:rsid w:val="00D75722"/>
    <w:rsid w:val="00D757A2"/>
    <w:rsid w:val="00D75875"/>
    <w:rsid w:val="00D758C8"/>
    <w:rsid w:val="00D75AEF"/>
    <w:rsid w:val="00D75C48"/>
    <w:rsid w:val="00D75D49"/>
    <w:rsid w:val="00D75D7E"/>
    <w:rsid w:val="00D75F2F"/>
    <w:rsid w:val="00D76AAF"/>
    <w:rsid w:val="00D76E6B"/>
    <w:rsid w:val="00D7713F"/>
    <w:rsid w:val="00D771E8"/>
    <w:rsid w:val="00D773A1"/>
    <w:rsid w:val="00D77691"/>
    <w:rsid w:val="00D77B84"/>
    <w:rsid w:val="00D80392"/>
    <w:rsid w:val="00D80854"/>
    <w:rsid w:val="00D80867"/>
    <w:rsid w:val="00D80CF5"/>
    <w:rsid w:val="00D81294"/>
    <w:rsid w:val="00D814FD"/>
    <w:rsid w:val="00D8244C"/>
    <w:rsid w:val="00D82C2D"/>
    <w:rsid w:val="00D834E4"/>
    <w:rsid w:val="00D83AD3"/>
    <w:rsid w:val="00D84B3A"/>
    <w:rsid w:val="00D84BBE"/>
    <w:rsid w:val="00D84D6A"/>
    <w:rsid w:val="00D84F42"/>
    <w:rsid w:val="00D85056"/>
    <w:rsid w:val="00D858A9"/>
    <w:rsid w:val="00D85B51"/>
    <w:rsid w:val="00D85BD2"/>
    <w:rsid w:val="00D860CA"/>
    <w:rsid w:val="00D8669E"/>
    <w:rsid w:val="00D870B0"/>
    <w:rsid w:val="00D87549"/>
    <w:rsid w:val="00D87554"/>
    <w:rsid w:val="00D87671"/>
    <w:rsid w:val="00D87B1B"/>
    <w:rsid w:val="00D87CD1"/>
    <w:rsid w:val="00D87CF2"/>
    <w:rsid w:val="00D905CD"/>
    <w:rsid w:val="00D909CA"/>
    <w:rsid w:val="00D90CC1"/>
    <w:rsid w:val="00D90D73"/>
    <w:rsid w:val="00D91EF7"/>
    <w:rsid w:val="00D91F4C"/>
    <w:rsid w:val="00D92103"/>
    <w:rsid w:val="00D92158"/>
    <w:rsid w:val="00D92209"/>
    <w:rsid w:val="00D92946"/>
    <w:rsid w:val="00D92CA6"/>
    <w:rsid w:val="00D92DDA"/>
    <w:rsid w:val="00D92E0B"/>
    <w:rsid w:val="00D9328A"/>
    <w:rsid w:val="00D9332E"/>
    <w:rsid w:val="00D933CB"/>
    <w:rsid w:val="00D93528"/>
    <w:rsid w:val="00D938DD"/>
    <w:rsid w:val="00D94468"/>
    <w:rsid w:val="00D94AFE"/>
    <w:rsid w:val="00D95B8A"/>
    <w:rsid w:val="00D95BBC"/>
    <w:rsid w:val="00D95DBA"/>
    <w:rsid w:val="00D9648C"/>
    <w:rsid w:val="00D96622"/>
    <w:rsid w:val="00D96BCD"/>
    <w:rsid w:val="00D977AE"/>
    <w:rsid w:val="00D977B1"/>
    <w:rsid w:val="00DA00BA"/>
    <w:rsid w:val="00DA0575"/>
    <w:rsid w:val="00DA0929"/>
    <w:rsid w:val="00DA0AD1"/>
    <w:rsid w:val="00DA1732"/>
    <w:rsid w:val="00DA22B8"/>
    <w:rsid w:val="00DA2496"/>
    <w:rsid w:val="00DA2B63"/>
    <w:rsid w:val="00DA2D05"/>
    <w:rsid w:val="00DA2DD0"/>
    <w:rsid w:val="00DA2F49"/>
    <w:rsid w:val="00DA30F7"/>
    <w:rsid w:val="00DA33C3"/>
    <w:rsid w:val="00DA3A8E"/>
    <w:rsid w:val="00DA3FCA"/>
    <w:rsid w:val="00DA42BA"/>
    <w:rsid w:val="00DA4551"/>
    <w:rsid w:val="00DA4B6F"/>
    <w:rsid w:val="00DA53A4"/>
    <w:rsid w:val="00DA5628"/>
    <w:rsid w:val="00DA5890"/>
    <w:rsid w:val="00DA5BBA"/>
    <w:rsid w:val="00DA5F4A"/>
    <w:rsid w:val="00DA5F6C"/>
    <w:rsid w:val="00DA600D"/>
    <w:rsid w:val="00DA6E73"/>
    <w:rsid w:val="00DA6EE8"/>
    <w:rsid w:val="00DA6F5D"/>
    <w:rsid w:val="00DA7537"/>
    <w:rsid w:val="00DA7572"/>
    <w:rsid w:val="00DA762A"/>
    <w:rsid w:val="00DA7D0A"/>
    <w:rsid w:val="00DB094A"/>
    <w:rsid w:val="00DB0F25"/>
    <w:rsid w:val="00DB1408"/>
    <w:rsid w:val="00DB1763"/>
    <w:rsid w:val="00DB1CE9"/>
    <w:rsid w:val="00DB26D2"/>
    <w:rsid w:val="00DB2719"/>
    <w:rsid w:val="00DB279A"/>
    <w:rsid w:val="00DB2CD8"/>
    <w:rsid w:val="00DB2F5A"/>
    <w:rsid w:val="00DB3069"/>
    <w:rsid w:val="00DB31A1"/>
    <w:rsid w:val="00DB32DF"/>
    <w:rsid w:val="00DB3C11"/>
    <w:rsid w:val="00DB40CC"/>
    <w:rsid w:val="00DB4BED"/>
    <w:rsid w:val="00DB568C"/>
    <w:rsid w:val="00DB5CA5"/>
    <w:rsid w:val="00DB67C9"/>
    <w:rsid w:val="00DB67F0"/>
    <w:rsid w:val="00DB68DF"/>
    <w:rsid w:val="00DB69D3"/>
    <w:rsid w:val="00DB7926"/>
    <w:rsid w:val="00DB7972"/>
    <w:rsid w:val="00DC06F8"/>
    <w:rsid w:val="00DC09DB"/>
    <w:rsid w:val="00DC0BA7"/>
    <w:rsid w:val="00DC0BE5"/>
    <w:rsid w:val="00DC0C20"/>
    <w:rsid w:val="00DC0C95"/>
    <w:rsid w:val="00DC0EC2"/>
    <w:rsid w:val="00DC1140"/>
    <w:rsid w:val="00DC1596"/>
    <w:rsid w:val="00DC16BE"/>
    <w:rsid w:val="00DC1F2A"/>
    <w:rsid w:val="00DC2155"/>
    <w:rsid w:val="00DC2F54"/>
    <w:rsid w:val="00DC309B"/>
    <w:rsid w:val="00DC30E4"/>
    <w:rsid w:val="00DC38A8"/>
    <w:rsid w:val="00DC3909"/>
    <w:rsid w:val="00DC3BED"/>
    <w:rsid w:val="00DC44FF"/>
    <w:rsid w:val="00DC484E"/>
    <w:rsid w:val="00DC4F0B"/>
    <w:rsid w:val="00DC4F4D"/>
    <w:rsid w:val="00DC5101"/>
    <w:rsid w:val="00DC5135"/>
    <w:rsid w:val="00DC5241"/>
    <w:rsid w:val="00DC55E6"/>
    <w:rsid w:val="00DC5772"/>
    <w:rsid w:val="00DC5E5A"/>
    <w:rsid w:val="00DC638F"/>
    <w:rsid w:val="00DC6398"/>
    <w:rsid w:val="00DC6420"/>
    <w:rsid w:val="00DC668E"/>
    <w:rsid w:val="00DC69D9"/>
    <w:rsid w:val="00DC7367"/>
    <w:rsid w:val="00DC741D"/>
    <w:rsid w:val="00DC77BE"/>
    <w:rsid w:val="00DC7A24"/>
    <w:rsid w:val="00DC7D43"/>
    <w:rsid w:val="00DC7E95"/>
    <w:rsid w:val="00DC7F0A"/>
    <w:rsid w:val="00DD006C"/>
    <w:rsid w:val="00DD0383"/>
    <w:rsid w:val="00DD0C1B"/>
    <w:rsid w:val="00DD112D"/>
    <w:rsid w:val="00DD1399"/>
    <w:rsid w:val="00DD19B8"/>
    <w:rsid w:val="00DD2838"/>
    <w:rsid w:val="00DD2A25"/>
    <w:rsid w:val="00DD2A65"/>
    <w:rsid w:val="00DD305C"/>
    <w:rsid w:val="00DD3307"/>
    <w:rsid w:val="00DD34F7"/>
    <w:rsid w:val="00DD35C0"/>
    <w:rsid w:val="00DD3AC6"/>
    <w:rsid w:val="00DD4626"/>
    <w:rsid w:val="00DD48C7"/>
    <w:rsid w:val="00DD4934"/>
    <w:rsid w:val="00DD4A35"/>
    <w:rsid w:val="00DD4D54"/>
    <w:rsid w:val="00DD4DE0"/>
    <w:rsid w:val="00DD5173"/>
    <w:rsid w:val="00DD5B8E"/>
    <w:rsid w:val="00DD6072"/>
    <w:rsid w:val="00DD61BA"/>
    <w:rsid w:val="00DD638E"/>
    <w:rsid w:val="00DD6553"/>
    <w:rsid w:val="00DD6580"/>
    <w:rsid w:val="00DD663A"/>
    <w:rsid w:val="00DD72DA"/>
    <w:rsid w:val="00DD771F"/>
    <w:rsid w:val="00DD7766"/>
    <w:rsid w:val="00DD7ADA"/>
    <w:rsid w:val="00DD7B0D"/>
    <w:rsid w:val="00DD7B41"/>
    <w:rsid w:val="00DE005E"/>
    <w:rsid w:val="00DE04CB"/>
    <w:rsid w:val="00DE0548"/>
    <w:rsid w:val="00DE08B4"/>
    <w:rsid w:val="00DE0B8E"/>
    <w:rsid w:val="00DE116C"/>
    <w:rsid w:val="00DE12B8"/>
    <w:rsid w:val="00DE13FB"/>
    <w:rsid w:val="00DE1AD6"/>
    <w:rsid w:val="00DE1DA2"/>
    <w:rsid w:val="00DE206F"/>
    <w:rsid w:val="00DE207E"/>
    <w:rsid w:val="00DE237C"/>
    <w:rsid w:val="00DE248D"/>
    <w:rsid w:val="00DE2687"/>
    <w:rsid w:val="00DE27E2"/>
    <w:rsid w:val="00DE295E"/>
    <w:rsid w:val="00DE2C62"/>
    <w:rsid w:val="00DE3095"/>
    <w:rsid w:val="00DE3723"/>
    <w:rsid w:val="00DE4EDC"/>
    <w:rsid w:val="00DE525A"/>
    <w:rsid w:val="00DE54AF"/>
    <w:rsid w:val="00DE5592"/>
    <w:rsid w:val="00DE5718"/>
    <w:rsid w:val="00DE583B"/>
    <w:rsid w:val="00DE65C8"/>
    <w:rsid w:val="00DE6DB2"/>
    <w:rsid w:val="00DE727E"/>
    <w:rsid w:val="00DE76C0"/>
    <w:rsid w:val="00DE7763"/>
    <w:rsid w:val="00DE78FF"/>
    <w:rsid w:val="00DE7A35"/>
    <w:rsid w:val="00DF02F6"/>
    <w:rsid w:val="00DF0343"/>
    <w:rsid w:val="00DF07D5"/>
    <w:rsid w:val="00DF0DB5"/>
    <w:rsid w:val="00DF0F23"/>
    <w:rsid w:val="00DF1120"/>
    <w:rsid w:val="00DF13F4"/>
    <w:rsid w:val="00DF1719"/>
    <w:rsid w:val="00DF19EC"/>
    <w:rsid w:val="00DF228B"/>
    <w:rsid w:val="00DF2308"/>
    <w:rsid w:val="00DF2814"/>
    <w:rsid w:val="00DF2A36"/>
    <w:rsid w:val="00DF2BB7"/>
    <w:rsid w:val="00DF3449"/>
    <w:rsid w:val="00DF37D4"/>
    <w:rsid w:val="00DF42D2"/>
    <w:rsid w:val="00DF4752"/>
    <w:rsid w:val="00DF4B94"/>
    <w:rsid w:val="00DF4ED4"/>
    <w:rsid w:val="00DF501E"/>
    <w:rsid w:val="00DF5067"/>
    <w:rsid w:val="00DF58BA"/>
    <w:rsid w:val="00DF5990"/>
    <w:rsid w:val="00DF6117"/>
    <w:rsid w:val="00DF61B9"/>
    <w:rsid w:val="00DF63F0"/>
    <w:rsid w:val="00DF687C"/>
    <w:rsid w:val="00DF69A0"/>
    <w:rsid w:val="00DF6E78"/>
    <w:rsid w:val="00DF7056"/>
    <w:rsid w:val="00DF7063"/>
    <w:rsid w:val="00DF71B9"/>
    <w:rsid w:val="00DF7584"/>
    <w:rsid w:val="00DF7884"/>
    <w:rsid w:val="00DF7AE0"/>
    <w:rsid w:val="00E00986"/>
    <w:rsid w:val="00E00AD0"/>
    <w:rsid w:val="00E00DAB"/>
    <w:rsid w:val="00E00DCF"/>
    <w:rsid w:val="00E010EF"/>
    <w:rsid w:val="00E011C1"/>
    <w:rsid w:val="00E011FC"/>
    <w:rsid w:val="00E0127A"/>
    <w:rsid w:val="00E0169C"/>
    <w:rsid w:val="00E01798"/>
    <w:rsid w:val="00E01CE5"/>
    <w:rsid w:val="00E01D7F"/>
    <w:rsid w:val="00E01E50"/>
    <w:rsid w:val="00E02540"/>
    <w:rsid w:val="00E02A06"/>
    <w:rsid w:val="00E02AC3"/>
    <w:rsid w:val="00E02E66"/>
    <w:rsid w:val="00E0300F"/>
    <w:rsid w:val="00E03258"/>
    <w:rsid w:val="00E0353B"/>
    <w:rsid w:val="00E03588"/>
    <w:rsid w:val="00E03FD3"/>
    <w:rsid w:val="00E04245"/>
    <w:rsid w:val="00E044D6"/>
    <w:rsid w:val="00E0482F"/>
    <w:rsid w:val="00E04F19"/>
    <w:rsid w:val="00E050B6"/>
    <w:rsid w:val="00E0536F"/>
    <w:rsid w:val="00E05537"/>
    <w:rsid w:val="00E05B92"/>
    <w:rsid w:val="00E05C03"/>
    <w:rsid w:val="00E05F32"/>
    <w:rsid w:val="00E05F85"/>
    <w:rsid w:val="00E069CF"/>
    <w:rsid w:val="00E06D1C"/>
    <w:rsid w:val="00E06D84"/>
    <w:rsid w:val="00E06E80"/>
    <w:rsid w:val="00E0739A"/>
    <w:rsid w:val="00E07F25"/>
    <w:rsid w:val="00E1068D"/>
    <w:rsid w:val="00E10829"/>
    <w:rsid w:val="00E1096D"/>
    <w:rsid w:val="00E1139B"/>
    <w:rsid w:val="00E11482"/>
    <w:rsid w:val="00E1161E"/>
    <w:rsid w:val="00E117C5"/>
    <w:rsid w:val="00E11846"/>
    <w:rsid w:val="00E119F7"/>
    <w:rsid w:val="00E11D38"/>
    <w:rsid w:val="00E11F4F"/>
    <w:rsid w:val="00E12423"/>
    <w:rsid w:val="00E12437"/>
    <w:rsid w:val="00E1246C"/>
    <w:rsid w:val="00E1250E"/>
    <w:rsid w:val="00E1367B"/>
    <w:rsid w:val="00E136A1"/>
    <w:rsid w:val="00E13718"/>
    <w:rsid w:val="00E138E5"/>
    <w:rsid w:val="00E139DA"/>
    <w:rsid w:val="00E13E42"/>
    <w:rsid w:val="00E13F84"/>
    <w:rsid w:val="00E140D1"/>
    <w:rsid w:val="00E140D6"/>
    <w:rsid w:val="00E1450E"/>
    <w:rsid w:val="00E14819"/>
    <w:rsid w:val="00E149FD"/>
    <w:rsid w:val="00E14F62"/>
    <w:rsid w:val="00E15115"/>
    <w:rsid w:val="00E1522F"/>
    <w:rsid w:val="00E158E5"/>
    <w:rsid w:val="00E15A18"/>
    <w:rsid w:val="00E15BBF"/>
    <w:rsid w:val="00E1602A"/>
    <w:rsid w:val="00E16416"/>
    <w:rsid w:val="00E166C3"/>
    <w:rsid w:val="00E16C98"/>
    <w:rsid w:val="00E17028"/>
    <w:rsid w:val="00E170A2"/>
    <w:rsid w:val="00E174EE"/>
    <w:rsid w:val="00E17ACB"/>
    <w:rsid w:val="00E17C72"/>
    <w:rsid w:val="00E17EF0"/>
    <w:rsid w:val="00E205BC"/>
    <w:rsid w:val="00E2073D"/>
    <w:rsid w:val="00E207B0"/>
    <w:rsid w:val="00E20B7F"/>
    <w:rsid w:val="00E20FB0"/>
    <w:rsid w:val="00E21074"/>
    <w:rsid w:val="00E21296"/>
    <w:rsid w:val="00E21987"/>
    <w:rsid w:val="00E21C85"/>
    <w:rsid w:val="00E21E78"/>
    <w:rsid w:val="00E21FC6"/>
    <w:rsid w:val="00E220B3"/>
    <w:rsid w:val="00E221AE"/>
    <w:rsid w:val="00E2235B"/>
    <w:rsid w:val="00E22A67"/>
    <w:rsid w:val="00E22A9A"/>
    <w:rsid w:val="00E230C7"/>
    <w:rsid w:val="00E23121"/>
    <w:rsid w:val="00E23A67"/>
    <w:rsid w:val="00E23D49"/>
    <w:rsid w:val="00E24938"/>
    <w:rsid w:val="00E24B07"/>
    <w:rsid w:val="00E2562D"/>
    <w:rsid w:val="00E25CBA"/>
    <w:rsid w:val="00E25F5F"/>
    <w:rsid w:val="00E263F0"/>
    <w:rsid w:val="00E2641A"/>
    <w:rsid w:val="00E26E74"/>
    <w:rsid w:val="00E278BD"/>
    <w:rsid w:val="00E2794B"/>
    <w:rsid w:val="00E27B61"/>
    <w:rsid w:val="00E27CB6"/>
    <w:rsid w:val="00E30037"/>
    <w:rsid w:val="00E302B0"/>
    <w:rsid w:val="00E3095F"/>
    <w:rsid w:val="00E30D66"/>
    <w:rsid w:val="00E31302"/>
    <w:rsid w:val="00E31340"/>
    <w:rsid w:val="00E3153E"/>
    <w:rsid w:val="00E316D2"/>
    <w:rsid w:val="00E31820"/>
    <w:rsid w:val="00E31969"/>
    <w:rsid w:val="00E31BF3"/>
    <w:rsid w:val="00E31C0E"/>
    <w:rsid w:val="00E31E7C"/>
    <w:rsid w:val="00E31F1B"/>
    <w:rsid w:val="00E3267D"/>
    <w:rsid w:val="00E32C81"/>
    <w:rsid w:val="00E32E3C"/>
    <w:rsid w:val="00E32EEB"/>
    <w:rsid w:val="00E33418"/>
    <w:rsid w:val="00E3343D"/>
    <w:rsid w:val="00E334EC"/>
    <w:rsid w:val="00E33C9D"/>
    <w:rsid w:val="00E33DD7"/>
    <w:rsid w:val="00E347C2"/>
    <w:rsid w:val="00E34E10"/>
    <w:rsid w:val="00E34E14"/>
    <w:rsid w:val="00E35984"/>
    <w:rsid w:val="00E36011"/>
    <w:rsid w:val="00E360AE"/>
    <w:rsid w:val="00E3668C"/>
    <w:rsid w:val="00E36A13"/>
    <w:rsid w:val="00E36CC0"/>
    <w:rsid w:val="00E36D20"/>
    <w:rsid w:val="00E3746D"/>
    <w:rsid w:val="00E37B94"/>
    <w:rsid w:val="00E406C4"/>
    <w:rsid w:val="00E408DD"/>
    <w:rsid w:val="00E40904"/>
    <w:rsid w:val="00E40CAC"/>
    <w:rsid w:val="00E40D6D"/>
    <w:rsid w:val="00E41650"/>
    <w:rsid w:val="00E4188A"/>
    <w:rsid w:val="00E419F0"/>
    <w:rsid w:val="00E41CFA"/>
    <w:rsid w:val="00E41FC9"/>
    <w:rsid w:val="00E42357"/>
    <w:rsid w:val="00E429C3"/>
    <w:rsid w:val="00E42DA4"/>
    <w:rsid w:val="00E42F4E"/>
    <w:rsid w:val="00E431A9"/>
    <w:rsid w:val="00E43265"/>
    <w:rsid w:val="00E4374E"/>
    <w:rsid w:val="00E43A93"/>
    <w:rsid w:val="00E44210"/>
    <w:rsid w:val="00E44383"/>
    <w:rsid w:val="00E446B2"/>
    <w:rsid w:val="00E450C6"/>
    <w:rsid w:val="00E45454"/>
    <w:rsid w:val="00E45516"/>
    <w:rsid w:val="00E456D6"/>
    <w:rsid w:val="00E45D00"/>
    <w:rsid w:val="00E45D08"/>
    <w:rsid w:val="00E4650F"/>
    <w:rsid w:val="00E468AC"/>
    <w:rsid w:val="00E46C65"/>
    <w:rsid w:val="00E46F95"/>
    <w:rsid w:val="00E47006"/>
    <w:rsid w:val="00E470A0"/>
    <w:rsid w:val="00E47453"/>
    <w:rsid w:val="00E47589"/>
    <w:rsid w:val="00E475C4"/>
    <w:rsid w:val="00E47E1E"/>
    <w:rsid w:val="00E50133"/>
    <w:rsid w:val="00E5044E"/>
    <w:rsid w:val="00E50B3F"/>
    <w:rsid w:val="00E50BFE"/>
    <w:rsid w:val="00E5148F"/>
    <w:rsid w:val="00E51D3C"/>
    <w:rsid w:val="00E5267E"/>
    <w:rsid w:val="00E52D3D"/>
    <w:rsid w:val="00E530B6"/>
    <w:rsid w:val="00E53257"/>
    <w:rsid w:val="00E53383"/>
    <w:rsid w:val="00E535AC"/>
    <w:rsid w:val="00E536ED"/>
    <w:rsid w:val="00E53C49"/>
    <w:rsid w:val="00E53F52"/>
    <w:rsid w:val="00E54F99"/>
    <w:rsid w:val="00E56CD2"/>
    <w:rsid w:val="00E57030"/>
    <w:rsid w:val="00E57052"/>
    <w:rsid w:val="00E5778C"/>
    <w:rsid w:val="00E577BF"/>
    <w:rsid w:val="00E5782C"/>
    <w:rsid w:val="00E57ADE"/>
    <w:rsid w:val="00E57B29"/>
    <w:rsid w:val="00E57D07"/>
    <w:rsid w:val="00E61118"/>
    <w:rsid w:val="00E62310"/>
    <w:rsid w:val="00E630ED"/>
    <w:rsid w:val="00E63183"/>
    <w:rsid w:val="00E631C4"/>
    <w:rsid w:val="00E63287"/>
    <w:rsid w:val="00E63380"/>
    <w:rsid w:val="00E63D97"/>
    <w:rsid w:val="00E64510"/>
    <w:rsid w:val="00E64846"/>
    <w:rsid w:val="00E65304"/>
    <w:rsid w:val="00E65608"/>
    <w:rsid w:val="00E6560E"/>
    <w:rsid w:val="00E65D5C"/>
    <w:rsid w:val="00E661BB"/>
    <w:rsid w:val="00E669E2"/>
    <w:rsid w:val="00E66D6D"/>
    <w:rsid w:val="00E66F1F"/>
    <w:rsid w:val="00E673C1"/>
    <w:rsid w:val="00E67492"/>
    <w:rsid w:val="00E67709"/>
    <w:rsid w:val="00E67A3B"/>
    <w:rsid w:val="00E67CE7"/>
    <w:rsid w:val="00E67DF6"/>
    <w:rsid w:val="00E67F39"/>
    <w:rsid w:val="00E7062B"/>
    <w:rsid w:val="00E70BB2"/>
    <w:rsid w:val="00E71063"/>
    <w:rsid w:val="00E711E2"/>
    <w:rsid w:val="00E71256"/>
    <w:rsid w:val="00E71925"/>
    <w:rsid w:val="00E71B69"/>
    <w:rsid w:val="00E71BB1"/>
    <w:rsid w:val="00E71EE8"/>
    <w:rsid w:val="00E724F6"/>
    <w:rsid w:val="00E72D99"/>
    <w:rsid w:val="00E7309C"/>
    <w:rsid w:val="00E733F9"/>
    <w:rsid w:val="00E736ED"/>
    <w:rsid w:val="00E73748"/>
    <w:rsid w:val="00E7377C"/>
    <w:rsid w:val="00E73F67"/>
    <w:rsid w:val="00E7401C"/>
    <w:rsid w:val="00E7413B"/>
    <w:rsid w:val="00E742DA"/>
    <w:rsid w:val="00E7518F"/>
    <w:rsid w:val="00E7527D"/>
    <w:rsid w:val="00E75348"/>
    <w:rsid w:val="00E75550"/>
    <w:rsid w:val="00E75676"/>
    <w:rsid w:val="00E7585B"/>
    <w:rsid w:val="00E75DD9"/>
    <w:rsid w:val="00E76135"/>
    <w:rsid w:val="00E763FD"/>
    <w:rsid w:val="00E7656B"/>
    <w:rsid w:val="00E76B1E"/>
    <w:rsid w:val="00E76B81"/>
    <w:rsid w:val="00E76C4A"/>
    <w:rsid w:val="00E76ECD"/>
    <w:rsid w:val="00E77DEB"/>
    <w:rsid w:val="00E80B37"/>
    <w:rsid w:val="00E80E6C"/>
    <w:rsid w:val="00E80FDB"/>
    <w:rsid w:val="00E811F6"/>
    <w:rsid w:val="00E815F0"/>
    <w:rsid w:val="00E820A5"/>
    <w:rsid w:val="00E8231C"/>
    <w:rsid w:val="00E82366"/>
    <w:rsid w:val="00E82534"/>
    <w:rsid w:val="00E82539"/>
    <w:rsid w:val="00E825D0"/>
    <w:rsid w:val="00E82F4F"/>
    <w:rsid w:val="00E83119"/>
    <w:rsid w:val="00E8369D"/>
    <w:rsid w:val="00E836EC"/>
    <w:rsid w:val="00E83BD4"/>
    <w:rsid w:val="00E83C68"/>
    <w:rsid w:val="00E83D5E"/>
    <w:rsid w:val="00E842D6"/>
    <w:rsid w:val="00E85456"/>
    <w:rsid w:val="00E8561E"/>
    <w:rsid w:val="00E8593F"/>
    <w:rsid w:val="00E8596D"/>
    <w:rsid w:val="00E85A46"/>
    <w:rsid w:val="00E85C27"/>
    <w:rsid w:val="00E85EBC"/>
    <w:rsid w:val="00E86240"/>
    <w:rsid w:val="00E864DF"/>
    <w:rsid w:val="00E865C5"/>
    <w:rsid w:val="00E86C24"/>
    <w:rsid w:val="00E8719F"/>
    <w:rsid w:val="00E874E0"/>
    <w:rsid w:val="00E876C9"/>
    <w:rsid w:val="00E877F7"/>
    <w:rsid w:val="00E87A35"/>
    <w:rsid w:val="00E901CB"/>
    <w:rsid w:val="00E90BB1"/>
    <w:rsid w:val="00E90F20"/>
    <w:rsid w:val="00E91063"/>
    <w:rsid w:val="00E91290"/>
    <w:rsid w:val="00E91402"/>
    <w:rsid w:val="00E91511"/>
    <w:rsid w:val="00E91824"/>
    <w:rsid w:val="00E91856"/>
    <w:rsid w:val="00E918C5"/>
    <w:rsid w:val="00E91EB9"/>
    <w:rsid w:val="00E91F6E"/>
    <w:rsid w:val="00E9277D"/>
    <w:rsid w:val="00E927ED"/>
    <w:rsid w:val="00E92957"/>
    <w:rsid w:val="00E93397"/>
    <w:rsid w:val="00E936D8"/>
    <w:rsid w:val="00E93AA1"/>
    <w:rsid w:val="00E93C95"/>
    <w:rsid w:val="00E94030"/>
    <w:rsid w:val="00E94D80"/>
    <w:rsid w:val="00E953F6"/>
    <w:rsid w:val="00E95797"/>
    <w:rsid w:val="00E95A1F"/>
    <w:rsid w:val="00E96559"/>
    <w:rsid w:val="00E96B21"/>
    <w:rsid w:val="00E96E79"/>
    <w:rsid w:val="00E972B8"/>
    <w:rsid w:val="00E97932"/>
    <w:rsid w:val="00E979DD"/>
    <w:rsid w:val="00E97E33"/>
    <w:rsid w:val="00E97EE6"/>
    <w:rsid w:val="00E97EF2"/>
    <w:rsid w:val="00EA0813"/>
    <w:rsid w:val="00EA0F84"/>
    <w:rsid w:val="00EA0FE5"/>
    <w:rsid w:val="00EA1240"/>
    <w:rsid w:val="00EA125A"/>
    <w:rsid w:val="00EA13A8"/>
    <w:rsid w:val="00EA1853"/>
    <w:rsid w:val="00EA18EF"/>
    <w:rsid w:val="00EA1E02"/>
    <w:rsid w:val="00EA224B"/>
    <w:rsid w:val="00EA24C1"/>
    <w:rsid w:val="00EA24D2"/>
    <w:rsid w:val="00EA2772"/>
    <w:rsid w:val="00EA2E34"/>
    <w:rsid w:val="00EA31B7"/>
    <w:rsid w:val="00EA3696"/>
    <w:rsid w:val="00EA3731"/>
    <w:rsid w:val="00EA3802"/>
    <w:rsid w:val="00EA38FC"/>
    <w:rsid w:val="00EA3A36"/>
    <w:rsid w:val="00EA3A7C"/>
    <w:rsid w:val="00EA3D05"/>
    <w:rsid w:val="00EA3E6A"/>
    <w:rsid w:val="00EA40B9"/>
    <w:rsid w:val="00EA4576"/>
    <w:rsid w:val="00EA45C8"/>
    <w:rsid w:val="00EA4CE3"/>
    <w:rsid w:val="00EA53B4"/>
    <w:rsid w:val="00EA5769"/>
    <w:rsid w:val="00EA5863"/>
    <w:rsid w:val="00EA6050"/>
    <w:rsid w:val="00EA6612"/>
    <w:rsid w:val="00EA6C3C"/>
    <w:rsid w:val="00EA6CE8"/>
    <w:rsid w:val="00EA6D13"/>
    <w:rsid w:val="00EA6FC8"/>
    <w:rsid w:val="00EA715B"/>
    <w:rsid w:val="00EB049F"/>
    <w:rsid w:val="00EB0AE1"/>
    <w:rsid w:val="00EB1275"/>
    <w:rsid w:val="00EB18AE"/>
    <w:rsid w:val="00EB2CC3"/>
    <w:rsid w:val="00EB2D79"/>
    <w:rsid w:val="00EB2D88"/>
    <w:rsid w:val="00EB3623"/>
    <w:rsid w:val="00EB3B74"/>
    <w:rsid w:val="00EB3C7C"/>
    <w:rsid w:val="00EB3EA6"/>
    <w:rsid w:val="00EB43F8"/>
    <w:rsid w:val="00EB4BFE"/>
    <w:rsid w:val="00EB4D35"/>
    <w:rsid w:val="00EB4EEC"/>
    <w:rsid w:val="00EB5650"/>
    <w:rsid w:val="00EB5F45"/>
    <w:rsid w:val="00EB6125"/>
    <w:rsid w:val="00EB6442"/>
    <w:rsid w:val="00EB722C"/>
    <w:rsid w:val="00EB7373"/>
    <w:rsid w:val="00EB7873"/>
    <w:rsid w:val="00EB78B8"/>
    <w:rsid w:val="00EB7974"/>
    <w:rsid w:val="00EB7987"/>
    <w:rsid w:val="00EC17BD"/>
    <w:rsid w:val="00EC20E0"/>
    <w:rsid w:val="00EC2499"/>
    <w:rsid w:val="00EC2844"/>
    <w:rsid w:val="00EC2B0F"/>
    <w:rsid w:val="00EC363C"/>
    <w:rsid w:val="00EC37D0"/>
    <w:rsid w:val="00EC3F61"/>
    <w:rsid w:val="00EC4401"/>
    <w:rsid w:val="00EC4A02"/>
    <w:rsid w:val="00EC4D20"/>
    <w:rsid w:val="00EC4E1B"/>
    <w:rsid w:val="00EC4F9D"/>
    <w:rsid w:val="00EC5500"/>
    <w:rsid w:val="00EC57E6"/>
    <w:rsid w:val="00EC5A7A"/>
    <w:rsid w:val="00EC6215"/>
    <w:rsid w:val="00EC6720"/>
    <w:rsid w:val="00EC6D37"/>
    <w:rsid w:val="00EC6F40"/>
    <w:rsid w:val="00EC7592"/>
    <w:rsid w:val="00EC7B8D"/>
    <w:rsid w:val="00EC7DDB"/>
    <w:rsid w:val="00ED0886"/>
    <w:rsid w:val="00ED088D"/>
    <w:rsid w:val="00ED0BB5"/>
    <w:rsid w:val="00ED0D48"/>
    <w:rsid w:val="00ED17FA"/>
    <w:rsid w:val="00ED18F8"/>
    <w:rsid w:val="00ED1BE4"/>
    <w:rsid w:val="00ED2E5F"/>
    <w:rsid w:val="00ED303E"/>
    <w:rsid w:val="00ED3224"/>
    <w:rsid w:val="00ED42DD"/>
    <w:rsid w:val="00ED455B"/>
    <w:rsid w:val="00ED4842"/>
    <w:rsid w:val="00ED4CF9"/>
    <w:rsid w:val="00ED4D87"/>
    <w:rsid w:val="00ED4DC2"/>
    <w:rsid w:val="00ED5424"/>
    <w:rsid w:val="00ED544A"/>
    <w:rsid w:val="00ED556B"/>
    <w:rsid w:val="00ED5BD6"/>
    <w:rsid w:val="00ED5C43"/>
    <w:rsid w:val="00ED5D60"/>
    <w:rsid w:val="00ED5D6B"/>
    <w:rsid w:val="00ED5F86"/>
    <w:rsid w:val="00ED5F95"/>
    <w:rsid w:val="00ED61BE"/>
    <w:rsid w:val="00ED6232"/>
    <w:rsid w:val="00ED666A"/>
    <w:rsid w:val="00ED66AF"/>
    <w:rsid w:val="00ED78C2"/>
    <w:rsid w:val="00ED7974"/>
    <w:rsid w:val="00ED7EDD"/>
    <w:rsid w:val="00ED7F93"/>
    <w:rsid w:val="00EE0260"/>
    <w:rsid w:val="00EE0A89"/>
    <w:rsid w:val="00EE0D04"/>
    <w:rsid w:val="00EE129B"/>
    <w:rsid w:val="00EE15F0"/>
    <w:rsid w:val="00EE15FC"/>
    <w:rsid w:val="00EE1838"/>
    <w:rsid w:val="00EE1854"/>
    <w:rsid w:val="00EE1D2A"/>
    <w:rsid w:val="00EE2817"/>
    <w:rsid w:val="00EE2BEB"/>
    <w:rsid w:val="00EE2D57"/>
    <w:rsid w:val="00EE3075"/>
    <w:rsid w:val="00EE33DC"/>
    <w:rsid w:val="00EE35AD"/>
    <w:rsid w:val="00EE39CA"/>
    <w:rsid w:val="00EE3CE1"/>
    <w:rsid w:val="00EE4236"/>
    <w:rsid w:val="00EE430E"/>
    <w:rsid w:val="00EE4700"/>
    <w:rsid w:val="00EE49F0"/>
    <w:rsid w:val="00EE4A4E"/>
    <w:rsid w:val="00EE4AA0"/>
    <w:rsid w:val="00EE4D02"/>
    <w:rsid w:val="00EE4F66"/>
    <w:rsid w:val="00EE5489"/>
    <w:rsid w:val="00EE5585"/>
    <w:rsid w:val="00EE597A"/>
    <w:rsid w:val="00EE5C7B"/>
    <w:rsid w:val="00EE5FFD"/>
    <w:rsid w:val="00EE65AB"/>
    <w:rsid w:val="00EE6942"/>
    <w:rsid w:val="00EE6D1B"/>
    <w:rsid w:val="00EE6EDA"/>
    <w:rsid w:val="00EE70DD"/>
    <w:rsid w:val="00EE7585"/>
    <w:rsid w:val="00EE76E4"/>
    <w:rsid w:val="00EE778E"/>
    <w:rsid w:val="00EE7AB6"/>
    <w:rsid w:val="00EF054F"/>
    <w:rsid w:val="00EF08D0"/>
    <w:rsid w:val="00EF0BB8"/>
    <w:rsid w:val="00EF0E4A"/>
    <w:rsid w:val="00EF106D"/>
    <w:rsid w:val="00EF1775"/>
    <w:rsid w:val="00EF17FB"/>
    <w:rsid w:val="00EF1A4C"/>
    <w:rsid w:val="00EF1AD9"/>
    <w:rsid w:val="00EF1BC7"/>
    <w:rsid w:val="00EF21F6"/>
    <w:rsid w:val="00EF2355"/>
    <w:rsid w:val="00EF2E81"/>
    <w:rsid w:val="00EF2F38"/>
    <w:rsid w:val="00EF3677"/>
    <w:rsid w:val="00EF3EEE"/>
    <w:rsid w:val="00EF41F5"/>
    <w:rsid w:val="00EF420E"/>
    <w:rsid w:val="00EF421D"/>
    <w:rsid w:val="00EF423F"/>
    <w:rsid w:val="00EF449F"/>
    <w:rsid w:val="00EF44A8"/>
    <w:rsid w:val="00EF4918"/>
    <w:rsid w:val="00EF4AE0"/>
    <w:rsid w:val="00EF52B4"/>
    <w:rsid w:val="00EF58B9"/>
    <w:rsid w:val="00EF6719"/>
    <w:rsid w:val="00EF67D8"/>
    <w:rsid w:val="00EF6C6C"/>
    <w:rsid w:val="00EF6E18"/>
    <w:rsid w:val="00EF6E7B"/>
    <w:rsid w:val="00EF717A"/>
    <w:rsid w:val="00EF71B6"/>
    <w:rsid w:val="00EF761A"/>
    <w:rsid w:val="00EF775B"/>
    <w:rsid w:val="00EF797B"/>
    <w:rsid w:val="00EF7A34"/>
    <w:rsid w:val="00EF7B0C"/>
    <w:rsid w:val="00EF7B58"/>
    <w:rsid w:val="00F00078"/>
    <w:rsid w:val="00F003B1"/>
    <w:rsid w:val="00F0062D"/>
    <w:rsid w:val="00F00729"/>
    <w:rsid w:val="00F00775"/>
    <w:rsid w:val="00F00902"/>
    <w:rsid w:val="00F00B3B"/>
    <w:rsid w:val="00F01116"/>
    <w:rsid w:val="00F011D3"/>
    <w:rsid w:val="00F013A3"/>
    <w:rsid w:val="00F014B6"/>
    <w:rsid w:val="00F016C6"/>
    <w:rsid w:val="00F01A38"/>
    <w:rsid w:val="00F02375"/>
    <w:rsid w:val="00F025C5"/>
    <w:rsid w:val="00F02AA0"/>
    <w:rsid w:val="00F02C46"/>
    <w:rsid w:val="00F02CFE"/>
    <w:rsid w:val="00F03229"/>
    <w:rsid w:val="00F0325F"/>
    <w:rsid w:val="00F03273"/>
    <w:rsid w:val="00F033E0"/>
    <w:rsid w:val="00F03612"/>
    <w:rsid w:val="00F03EB3"/>
    <w:rsid w:val="00F04206"/>
    <w:rsid w:val="00F04DF6"/>
    <w:rsid w:val="00F05202"/>
    <w:rsid w:val="00F056FC"/>
    <w:rsid w:val="00F0585A"/>
    <w:rsid w:val="00F05B23"/>
    <w:rsid w:val="00F06320"/>
    <w:rsid w:val="00F0632F"/>
    <w:rsid w:val="00F06691"/>
    <w:rsid w:val="00F069AE"/>
    <w:rsid w:val="00F0707A"/>
    <w:rsid w:val="00F077A7"/>
    <w:rsid w:val="00F1003B"/>
    <w:rsid w:val="00F10401"/>
    <w:rsid w:val="00F10476"/>
    <w:rsid w:val="00F1055F"/>
    <w:rsid w:val="00F10C74"/>
    <w:rsid w:val="00F10D92"/>
    <w:rsid w:val="00F10E26"/>
    <w:rsid w:val="00F10F53"/>
    <w:rsid w:val="00F10F54"/>
    <w:rsid w:val="00F10FEB"/>
    <w:rsid w:val="00F1104D"/>
    <w:rsid w:val="00F1112F"/>
    <w:rsid w:val="00F11795"/>
    <w:rsid w:val="00F12145"/>
    <w:rsid w:val="00F12638"/>
    <w:rsid w:val="00F126D5"/>
    <w:rsid w:val="00F12C5D"/>
    <w:rsid w:val="00F12DB8"/>
    <w:rsid w:val="00F12DBE"/>
    <w:rsid w:val="00F13034"/>
    <w:rsid w:val="00F13170"/>
    <w:rsid w:val="00F131D5"/>
    <w:rsid w:val="00F13460"/>
    <w:rsid w:val="00F134E9"/>
    <w:rsid w:val="00F135D8"/>
    <w:rsid w:val="00F13C3C"/>
    <w:rsid w:val="00F13C40"/>
    <w:rsid w:val="00F13F03"/>
    <w:rsid w:val="00F14069"/>
    <w:rsid w:val="00F14112"/>
    <w:rsid w:val="00F1443B"/>
    <w:rsid w:val="00F148DD"/>
    <w:rsid w:val="00F14B8A"/>
    <w:rsid w:val="00F158B4"/>
    <w:rsid w:val="00F15AB3"/>
    <w:rsid w:val="00F15B30"/>
    <w:rsid w:val="00F15D27"/>
    <w:rsid w:val="00F16154"/>
    <w:rsid w:val="00F16CB7"/>
    <w:rsid w:val="00F16F15"/>
    <w:rsid w:val="00F17086"/>
    <w:rsid w:val="00F17D32"/>
    <w:rsid w:val="00F17DAE"/>
    <w:rsid w:val="00F2004F"/>
    <w:rsid w:val="00F2011A"/>
    <w:rsid w:val="00F2014B"/>
    <w:rsid w:val="00F20314"/>
    <w:rsid w:val="00F20493"/>
    <w:rsid w:val="00F2054A"/>
    <w:rsid w:val="00F20C3A"/>
    <w:rsid w:val="00F20C58"/>
    <w:rsid w:val="00F20DE8"/>
    <w:rsid w:val="00F210A3"/>
    <w:rsid w:val="00F2111A"/>
    <w:rsid w:val="00F2113A"/>
    <w:rsid w:val="00F22052"/>
    <w:rsid w:val="00F222F9"/>
    <w:rsid w:val="00F22326"/>
    <w:rsid w:val="00F22923"/>
    <w:rsid w:val="00F22B3B"/>
    <w:rsid w:val="00F2330B"/>
    <w:rsid w:val="00F23399"/>
    <w:rsid w:val="00F233A2"/>
    <w:rsid w:val="00F235A0"/>
    <w:rsid w:val="00F239A0"/>
    <w:rsid w:val="00F239FE"/>
    <w:rsid w:val="00F23A7F"/>
    <w:rsid w:val="00F23C32"/>
    <w:rsid w:val="00F23E53"/>
    <w:rsid w:val="00F23FD6"/>
    <w:rsid w:val="00F24353"/>
    <w:rsid w:val="00F24381"/>
    <w:rsid w:val="00F246B9"/>
    <w:rsid w:val="00F246DA"/>
    <w:rsid w:val="00F250DA"/>
    <w:rsid w:val="00F252E8"/>
    <w:rsid w:val="00F25324"/>
    <w:rsid w:val="00F253D7"/>
    <w:rsid w:val="00F25511"/>
    <w:rsid w:val="00F25564"/>
    <w:rsid w:val="00F2558C"/>
    <w:rsid w:val="00F258E8"/>
    <w:rsid w:val="00F25AC7"/>
    <w:rsid w:val="00F2691C"/>
    <w:rsid w:val="00F26AC2"/>
    <w:rsid w:val="00F270FA"/>
    <w:rsid w:val="00F27462"/>
    <w:rsid w:val="00F27B45"/>
    <w:rsid w:val="00F30651"/>
    <w:rsid w:val="00F307B3"/>
    <w:rsid w:val="00F30981"/>
    <w:rsid w:val="00F30C2E"/>
    <w:rsid w:val="00F30D27"/>
    <w:rsid w:val="00F30F3E"/>
    <w:rsid w:val="00F30FED"/>
    <w:rsid w:val="00F31057"/>
    <w:rsid w:val="00F31299"/>
    <w:rsid w:val="00F31903"/>
    <w:rsid w:val="00F31926"/>
    <w:rsid w:val="00F31AAD"/>
    <w:rsid w:val="00F31B19"/>
    <w:rsid w:val="00F32277"/>
    <w:rsid w:val="00F3258B"/>
    <w:rsid w:val="00F32CAB"/>
    <w:rsid w:val="00F32CCA"/>
    <w:rsid w:val="00F32F60"/>
    <w:rsid w:val="00F32FCA"/>
    <w:rsid w:val="00F3337C"/>
    <w:rsid w:val="00F334F6"/>
    <w:rsid w:val="00F335FF"/>
    <w:rsid w:val="00F342A1"/>
    <w:rsid w:val="00F34396"/>
    <w:rsid w:val="00F349B3"/>
    <w:rsid w:val="00F3534A"/>
    <w:rsid w:val="00F35904"/>
    <w:rsid w:val="00F35990"/>
    <w:rsid w:val="00F35BFB"/>
    <w:rsid w:val="00F3604D"/>
    <w:rsid w:val="00F360E9"/>
    <w:rsid w:val="00F3663A"/>
    <w:rsid w:val="00F367A0"/>
    <w:rsid w:val="00F36ACC"/>
    <w:rsid w:val="00F36B6B"/>
    <w:rsid w:val="00F36CA3"/>
    <w:rsid w:val="00F36DBD"/>
    <w:rsid w:val="00F37563"/>
    <w:rsid w:val="00F37567"/>
    <w:rsid w:val="00F40C28"/>
    <w:rsid w:val="00F40CBE"/>
    <w:rsid w:val="00F40EA0"/>
    <w:rsid w:val="00F41113"/>
    <w:rsid w:val="00F41956"/>
    <w:rsid w:val="00F41B01"/>
    <w:rsid w:val="00F41F2A"/>
    <w:rsid w:val="00F4248C"/>
    <w:rsid w:val="00F4261F"/>
    <w:rsid w:val="00F42955"/>
    <w:rsid w:val="00F42A41"/>
    <w:rsid w:val="00F43070"/>
    <w:rsid w:val="00F43423"/>
    <w:rsid w:val="00F436E7"/>
    <w:rsid w:val="00F446A3"/>
    <w:rsid w:val="00F449EC"/>
    <w:rsid w:val="00F453B3"/>
    <w:rsid w:val="00F455F4"/>
    <w:rsid w:val="00F457DA"/>
    <w:rsid w:val="00F45970"/>
    <w:rsid w:val="00F45E01"/>
    <w:rsid w:val="00F46327"/>
    <w:rsid w:val="00F463B6"/>
    <w:rsid w:val="00F467BC"/>
    <w:rsid w:val="00F46A15"/>
    <w:rsid w:val="00F46F0B"/>
    <w:rsid w:val="00F46FB8"/>
    <w:rsid w:val="00F4731D"/>
    <w:rsid w:val="00F47509"/>
    <w:rsid w:val="00F47767"/>
    <w:rsid w:val="00F4778C"/>
    <w:rsid w:val="00F47A5F"/>
    <w:rsid w:val="00F47AD7"/>
    <w:rsid w:val="00F47B06"/>
    <w:rsid w:val="00F47BE5"/>
    <w:rsid w:val="00F47D91"/>
    <w:rsid w:val="00F47EF6"/>
    <w:rsid w:val="00F50285"/>
    <w:rsid w:val="00F50435"/>
    <w:rsid w:val="00F50734"/>
    <w:rsid w:val="00F507EB"/>
    <w:rsid w:val="00F509EB"/>
    <w:rsid w:val="00F50B6B"/>
    <w:rsid w:val="00F50F0E"/>
    <w:rsid w:val="00F50FE0"/>
    <w:rsid w:val="00F5149E"/>
    <w:rsid w:val="00F51605"/>
    <w:rsid w:val="00F51609"/>
    <w:rsid w:val="00F51EBA"/>
    <w:rsid w:val="00F51F42"/>
    <w:rsid w:val="00F52534"/>
    <w:rsid w:val="00F527B4"/>
    <w:rsid w:val="00F52AF1"/>
    <w:rsid w:val="00F53789"/>
    <w:rsid w:val="00F540A3"/>
    <w:rsid w:val="00F5420A"/>
    <w:rsid w:val="00F5436B"/>
    <w:rsid w:val="00F543D4"/>
    <w:rsid w:val="00F5449C"/>
    <w:rsid w:val="00F546C3"/>
    <w:rsid w:val="00F54BE0"/>
    <w:rsid w:val="00F552DD"/>
    <w:rsid w:val="00F55977"/>
    <w:rsid w:val="00F55BF9"/>
    <w:rsid w:val="00F55C25"/>
    <w:rsid w:val="00F560A0"/>
    <w:rsid w:val="00F56A69"/>
    <w:rsid w:val="00F56BC3"/>
    <w:rsid w:val="00F56EA5"/>
    <w:rsid w:val="00F56EEF"/>
    <w:rsid w:val="00F57016"/>
    <w:rsid w:val="00F57168"/>
    <w:rsid w:val="00F5722A"/>
    <w:rsid w:val="00F5730B"/>
    <w:rsid w:val="00F574B3"/>
    <w:rsid w:val="00F5754A"/>
    <w:rsid w:val="00F57D48"/>
    <w:rsid w:val="00F60260"/>
    <w:rsid w:val="00F606D1"/>
    <w:rsid w:val="00F60788"/>
    <w:rsid w:val="00F60A12"/>
    <w:rsid w:val="00F60B05"/>
    <w:rsid w:val="00F60B6B"/>
    <w:rsid w:val="00F618DC"/>
    <w:rsid w:val="00F61B5E"/>
    <w:rsid w:val="00F61E63"/>
    <w:rsid w:val="00F6262F"/>
    <w:rsid w:val="00F627B7"/>
    <w:rsid w:val="00F6282B"/>
    <w:rsid w:val="00F62B2E"/>
    <w:rsid w:val="00F633CC"/>
    <w:rsid w:val="00F6353C"/>
    <w:rsid w:val="00F6358C"/>
    <w:rsid w:val="00F635B7"/>
    <w:rsid w:val="00F63666"/>
    <w:rsid w:val="00F640BA"/>
    <w:rsid w:val="00F648A3"/>
    <w:rsid w:val="00F6498C"/>
    <w:rsid w:val="00F64AFE"/>
    <w:rsid w:val="00F64B75"/>
    <w:rsid w:val="00F64CFF"/>
    <w:rsid w:val="00F64E1F"/>
    <w:rsid w:val="00F65512"/>
    <w:rsid w:val="00F65825"/>
    <w:rsid w:val="00F65DFF"/>
    <w:rsid w:val="00F66F2E"/>
    <w:rsid w:val="00F675A5"/>
    <w:rsid w:val="00F6766C"/>
    <w:rsid w:val="00F67AC6"/>
    <w:rsid w:val="00F67B7B"/>
    <w:rsid w:val="00F67D21"/>
    <w:rsid w:val="00F67F72"/>
    <w:rsid w:val="00F67FDF"/>
    <w:rsid w:val="00F7034C"/>
    <w:rsid w:val="00F703CC"/>
    <w:rsid w:val="00F7050B"/>
    <w:rsid w:val="00F7063A"/>
    <w:rsid w:val="00F70966"/>
    <w:rsid w:val="00F710E4"/>
    <w:rsid w:val="00F711C4"/>
    <w:rsid w:val="00F712A3"/>
    <w:rsid w:val="00F719C7"/>
    <w:rsid w:val="00F71A2C"/>
    <w:rsid w:val="00F7217F"/>
    <w:rsid w:val="00F722EA"/>
    <w:rsid w:val="00F7271E"/>
    <w:rsid w:val="00F72B3E"/>
    <w:rsid w:val="00F72F06"/>
    <w:rsid w:val="00F730AF"/>
    <w:rsid w:val="00F73727"/>
    <w:rsid w:val="00F73C8A"/>
    <w:rsid w:val="00F74EE0"/>
    <w:rsid w:val="00F75451"/>
    <w:rsid w:val="00F75682"/>
    <w:rsid w:val="00F757D5"/>
    <w:rsid w:val="00F75BBE"/>
    <w:rsid w:val="00F75CDA"/>
    <w:rsid w:val="00F75F20"/>
    <w:rsid w:val="00F766A7"/>
    <w:rsid w:val="00F766D7"/>
    <w:rsid w:val="00F7691F"/>
    <w:rsid w:val="00F76CDE"/>
    <w:rsid w:val="00F77391"/>
    <w:rsid w:val="00F77DC6"/>
    <w:rsid w:val="00F80CFC"/>
    <w:rsid w:val="00F80D0F"/>
    <w:rsid w:val="00F81006"/>
    <w:rsid w:val="00F81302"/>
    <w:rsid w:val="00F813C5"/>
    <w:rsid w:val="00F81445"/>
    <w:rsid w:val="00F81AEB"/>
    <w:rsid w:val="00F81FEF"/>
    <w:rsid w:val="00F8254C"/>
    <w:rsid w:val="00F825D6"/>
    <w:rsid w:val="00F82BF0"/>
    <w:rsid w:val="00F832FF"/>
    <w:rsid w:val="00F83CD8"/>
    <w:rsid w:val="00F83D34"/>
    <w:rsid w:val="00F83D42"/>
    <w:rsid w:val="00F83FDD"/>
    <w:rsid w:val="00F845A2"/>
    <w:rsid w:val="00F84EE3"/>
    <w:rsid w:val="00F84FFE"/>
    <w:rsid w:val="00F85325"/>
    <w:rsid w:val="00F854B4"/>
    <w:rsid w:val="00F8590B"/>
    <w:rsid w:val="00F85AF8"/>
    <w:rsid w:val="00F86CDB"/>
    <w:rsid w:val="00F870BA"/>
    <w:rsid w:val="00F87774"/>
    <w:rsid w:val="00F87D61"/>
    <w:rsid w:val="00F90155"/>
    <w:rsid w:val="00F903B4"/>
    <w:rsid w:val="00F904C9"/>
    <w:rsid w:val="00F9055D"/>
    <w:rsid w:val="00F908C1"/>
    <w:rsid w:val="00F90B61"/>
    <w:rsid w:val="00F9172F"/>
    <w:rsid w:val="00F91759"/>
    <w:rsid w:val="00F91F5D"/>
    <w:rsid w:val="00F9204D"/>
    <w:rsid w:val="00F92351"/>
    <w:rsid w:val="00F9236F"/>
    <w:rsid w:val="00F92716"/>
    <w:rsid w:val="00F92BBB"/>
    <w:rsid w:val="00F92CAA"/>
    <w:rsid w:val="00F932D5"/>
    <w:rsid w:val="00F938B1"/>
    <w:rsid w:val="00F93905"/>
    <w:rsid w:val="00F93917"/>
    <w:rsid w:val="00F948D5"/>
    <w:rsid w:val="00F95002"/>
    <w:rsid w:val="00F95311"/>
    <w:rsid w:val="00F958DF"/>
    <w:rsid w:val="00F959C8"/>
    <w:rsid w:val="00F95F79"/>
    <w:rsid w:val="00F961D2"/>
    <w:rsid w:val="00F96464"/>
    <w:rsid w:val="00F967DC"/>
    <w:rsid w:val="00F96BB1"/>
    <w:rsid w:val="00F96DC5"/>
    <w:rsid w:val="00F9776A"/>
    <w:rsid w:val="00F9792C"/>
    <w:rsid w:val="00F979FD"/>
    <w:rsid w:val="00F97C24"/>
    <w:rsid w:val="00FA0246"/>
    <w:rsid w:val="00FA0F81"/>
    <w:rsid w:val="00FA1202"/>
    <w:rsid w:val="00FA134E"/>
    <w:rsid w:val="00FA1387"/>
    <w:rsid w:val="00FA156E"/>
    <w:rsid w:val="00FA16BD"/>
    <w:rsid w:val="00FA1930"/>
    <w:rsid w:val="00FA1E6A"/>
    <w:rsid w:val="00FA1F77"/>
    <w:rsid w:val="00FA2B67"/>
    <w:rsid w:val="00FA2EEA"/>
    <w:rsid w:val="00FA3040"/>
    <w:rsid w:val="00FA321C"/>
    <w:rsid w:val="00FA3351"/>
    <w:rsid w:val="00FA33F5"/>
    <w:rsid w:val="00FA3533"/>
    <w:rsid w:val="00FA38C3"/>
    <w:rsid w:val="00FA3A0F"/>
    <w:rsid w:val="00FA3D7F"/>
    <w:rsid w:val="00FA44D7"/>
    <w:rsid w:val="00FA4682"/>
    <w:rsid w:val="00FA4A76"/>
    <w:rsid w:val="00FA4DE0"/>
    <w:rsid w:val="00FA572D"/>
    <w:rsid w:val="00FA5A4A"/>
    <w:rsid w:val="00FA5CB2"/>
    <w:rsid w:val="00FA6312"/>
    <w:rsid w:val="00FA678F"/>
    <w:rsid w:val="00FA711B"/>
    <w:rsid w:val="00FA72A5"/>
    <w:rsid w:val="00FA755A"/>
    <w:rsid w:val="00FA76CE"/>
    <w:rsid w:val="00FA77C1"/>
    <w:rsid w:val="00FB0196"/>
    <w:rsid w:val="00FB0273"/>
    <w:rsid w:val="00FB05B9"/>
    <w:rsid w:val="00FB06DC"/>
    <w:rsid w:val="00FB08BD"/>
    <w:rsid w:val="00FB0BCA"/>
    <w:rsid w:val="00FB12F6"/>
    <w:rsid w:val="00FB1329"/>
    <w:rsid w:val="00FB144B"/>
    <w:rsid w:val="00FB160D"/>
    <w:rsid w:val="00FB1EBA"/>
    <w:rsid w:val="00FB20C4"/>
    <w:rsid w:val="00FB231F"/>
    <w:rsid w:val="00FB239E"/>
    <w:rsid w:val="00FB24DC"/>
    <w:rsid w:val="00FB2972"/>
    <w:rsid w:val="00FB2D17"/>
    <w:rsid w:val="00FB2F86"/>
    <w:rsid w:val="00FB315F"/>
    <w:rsid w:val="00FB3355"/>
    <w:rsid w:val="00FB3C86"/>
    <w:rsid w:val="00FB4247"/>
    <w:rsid w:val="00FB47E0"/>
    <w:rsid w:val="00FB502E"/>
    <w:rsid w:val="00FB562F"/>
    <w:rsid w:val="00FB56F6"/>
    <w:rsid w:val="00FB570E"/>
    <w:rsid w:val="00FB5724"/>
    <w:rsid w:val="00FB5A1E"/>
    <w:rsid w:val="00FB5C0F"/>
    <w:rsid w:val="00FB5E1C"/>
    <w:rsid w:val="00FB5FC2"/>
    <w:rsid w:val="00FB622B"/>
    <w:rsid w:val="00FB6505"/>
    <w:rsid w:val="00FB6E84"/>
    <w:rsid w:val="00FB72D0"/>
    <w:rsid w:val="00FB7647"/>
    <w:rsid w:val="00FB76B6"/>
    <w:rsid w:val="00FB77B3"/>
    <w:rsid w:val="00FB7A1A"/>
    <w:rsid w:val="00FB7C49"/>
    <w:rsid w:val="00FB7E6D"/>
    <w:rsid w:val="00FB7EB9"/>
    <w:rsid w:val="00FC0317"/>
    <w:rsid w:val="00FC043B"/>
    <w:rsid w:val="00FC0ACF"/>
    <w:rsid w:val="00FC0F45"/>
    <w:rsid w:val="00FC1B81"/>
    <w:rsid w:val="00FC231A"/>
    <w:rsid w:val="00FC26C5"/>
    <w:rsid w:val="00FC27E8"/>
    <w:rsid w:val="00FC29FC"/>
    <w:rsid w:val="00FC2AED"/>
    <w:rsid w:val="00FC2F4B"/>
    <w:rsid w:val="00FC32C6"/>
    <w:rsid w:val="00FC38E2"/>
    <w:rsid w:val="00FC397F"/>
    <w:rsid w:val="00FC4620"/>
    <w:rsid w:val="00FC4809"/>
    <w:rsid w:val="00FC564C"/>
    <w:rsid w:val="00FC5756"/>
    <w:rsid w:val="00FC58B8"/>
    <w:rsid w:val="00FC5909"/>
    <w:rsid w:val="00FC593D"/>
    <w:rsid w:val="00FC615C"/>
    <w:rsid w:val="00FC6766"/>
    <w:rsid w:val="00FC6942"/>
    <w:rsid w:val="00FC6A1A"/>
    <w:rsid w:val="00FC6B3E"/>
    <w:rsid w:val="00FC6B8D"/>
    <w:rsid w:val="00FC6F26"/>
    <w:rsid w:val="00FC7957"/>
    <w:rsid w:val="00FC7A11"/>
    <w:rsid w:val="00FD00C9"/>
    <w:rsid w:val="00FD03AD"/>
    <w:rsid w:val="00FD0599"/>
    <w:rsid w:val="00FD09C2"/>
    <w:rsid w:val="00FD0A70"/>
    <w:rsid w:val="00FD0E64"/>
    <w:rsid w:val="00FD14C2"/>
    <w:rsid w:val="00FD16AA"/>
    <w:rsid w:val="00FD1934"/>
    <w:rsid w:val="00FD1DD1"/>
    <w:rsid w:val="00FD208E"/>
    <w:rsid w:val="00FD229C"/>
    <w:rsid w:val="00FD22B1"/>
    <w:rsid w:val="00FD2830"/>
    <w:rsid w:val="00FD285F"/>
    <w:rsid w:val="00FD28BD"/>
    <w:rsid w:val="00FD2A3F"/>
    <w:rsid w:val="00FD2C0C"/>
    <w:rsid w:val="00FD33F1"/>
    <w:rsid w:val="00FD3566"/>
    <w:rsid w:val="00FD370E"/>
    <w:rsid w:val="00FD3883"/>
    <w:rsid w:val="00FD3956"/>
    <w:rsid w:val="00FD4103"/>
    <w:rsid w:val="00FD4178"/>
    <w:rsid w:val="00FD42B1"/>
    <w:rsid w:val="00FD4373"/>
    <w:rsid w:val="00FD44F5"/>
    <w:rsid w:val="00FD489A"/>
    <w:rsid w:val="00FD497B"/>
    <w:rsid w:val="00FD4BA3"/>
    <w:rsid w:val="00FD4E26"/>
    <w:rsid w:val="00FD50EB"/>
    <w:rsid w:val="00FD5187"/>
    <w:rsid w:val="00FD51B5"/>
    <w:rsid w:val="00FD581D"/>
    <w:rsid w:val="00FD59D0"/>
    <w:rsid w:val="00FD5D38"/>
    <w:rsid w:val="00FD5ECD"/>
    <w:rsid w:val="00FD6797"/>
    <w:rsid w:val="00FD6903"/>
    <w:rsid w:val="00FD6B78"/>
    <w:rsid w:val="00FD6E3A"/>
    <w:rsid w:val="00FD6F25"/>
    <w:rsid w:val="00FD70E2"/>
    <w:rsid w:val="00FD73A4"/>
    <w:rsid w:val="00FD751D"/>
    <w:rsid w:val="00FD7630"/>
    <w:rsid w:val="00FD7E87"/>
    <w:rsid w:val="00FE028E"/>
    <w:rsid w:val="00FE02F4"/>
    <w:rsid w:val="00FE05F8"/>
    <w:rsid w:val="00FE09DE"/>
    <w:rsid w:val="00FE0E6F"/>
    <w:rsid w:val="00FE13F1"/>
    <w:rsid w:val="00FE163C"/>
    <w:rsid w:val="00FE17C8"/>
    <w:rsid w:val="00FE19FB"/>
    <w:rsid w:val="00FE1B0B"/>
    <w:rsid w:val="00FE213A"/>
    <w:rsid w:val="00FE214F"/>
    <w:rsid w:val="00FE242F"/>
    <w:rsid w:val="00FE2AB4"/>
    <w:rsid w:val="00FE2F3C"/>
    <w:rsid w:val="00FE2FD7"/>
    <w:rsid w:val="00FE3A57"/>
    <w:rsid w:val="00FE3B8A"/>
    <w:rsid w:val="00FE3C71"/>
    <w:rsid w:val="00FE3DE0"/>
    <w:rsid w:val="00FE4104"/>
    <w:rsid w:val="00FE4A41"/>
    <w:rsid w:val="00FE4D2B"/>
    <w:rsid w:val="00FE50A5"/>
    <w:rsid w:val="00FE52D6"/>
    <w:rsid w:val="00FE5397"/>
    <w:rsid w:val="00FE587A"/>
    <w:rsid w:val="00FE5E52"/>
    <w:rsid w:val="00FE5EE3"/>
    <w:rsid w:val="00FE5F6F"/>
    <w:rsid w:val="00FE76C7"/>
    <w:rsid w:val="00FE76DA"/>
    <w:rsid w:val="00FE7A5A"/>
    <w:rsid w:val="00FE7AF4"/>
    <w:rsid w:val="00FE7D17"/>
    <w:rsid w:val="00FE7DD1"/>
    <w:rsid w:val="00FE7EB3"/>
    <w:rsid w:val="00FF0290"/>
    <w:rsid w:val="00FF0A92"/>
    <w:rsid w:val="00FF0BD8"/>
    <w:rsid w:val="00FF0E18"/>
    <w:rsid w:val="00FF1332"/>
    <w:rsid w:val="00FF150F"/>
    <w:rsid w:val="00FF1735"/>
    <w:rsid w:val="00FF1A67"/>
    <w:rsid w:val="00FF1C65"/>
    <w:rsid w:val="00FF1EE4"/>
    <w:rsid w:val="00FF2022"/>
    <w:rsid w:val="00FF2395"/>
    <w:rsid w:val="00FF2531"/>
    <w:rsid w:val="00FF2E43"/>
    <w:rsid w:val="00FF3469"/>
    <w:rsid w:val="00FF392B"/>
    <w:rsid w:val="00FF3EFA"/>
    <w:rsid w:val="00FF4077"/>
    <w:rsid w:val="00FF424B"/>
    <w:rsid w:val="00FF425E"/>
    <w:rsid w:val="00FF42A5"/>
    <w:rsid w:val="00FF434D"/>
    <w:rsid w:val="00FF452A"/>
    <w:rsid w:val="00FF468B"/>
    <w:rsid w:val="00FF47B4"/>
    <w:rsid w:val="00FF494B"/>
    <w:rsid w:val="00FF4B96"/>
    <w:rsid w:val="00FF4BBE"/>
    <w:rsid w:val="00FF513B"/>
    <w:rsid w:val="00FF597B"/>
    <w:rsid w:val="00FF5C10"/>
    <w:rsid w:val="00FF5D3B"/>
    <w:rsid w:val="00FF5F8D"/>
    <w:rsid w:val="00FF6318"/>
    <w:rsid w:val="00FF669C"/>
    <w:rsid w:val="00FF68D6"/>
    <w:rsid w:val="00FF6A34"/>
    <w:rsid w:val="00FF6BEF"/>
    <w:rsid w:val="00FF7801"/>
    <w:rsid w:val="00FF7A45"/>
    <w:rsid w:val="00FF7D9C"/>
    <w:rsid w:val="00FF7E1A"/>
    <w:rsid w:val="00FF7F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5:docId w15:val="{8E7FB711-86F7-4910-B18B-DBA69935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C8D"/>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2"/>
      </w:numPr>
      <w:ind w:left="568" w:hanging="284"/>
    </w:pPr>
  </w:style>
  <w:style w:type="paragraph" w:customStyle="1" w:styleId="BoxListNumber">
    <w:name w:val="Box List Number"/>
    <w:basedOn w:val="BodyText"/>
    <w:rsid w:val="00812F4A"/>
    <w:pPr>
      <w:keepNext/>
      <w:numPr>
        <w:numId w:val="9"/>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4"/>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8"/>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tabs>
        <w:tab w:val="num" w:pos="340"/>
      </w:tabs>
      <w:spacing w:before="80"/>
      <w:ind w:left="340" w:hanging="34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0"/>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tabs>
        <w:tab w:val="num" w:pos="170"/>
      </w:tabs>
      <w:ind w:left="170" w:hanging="170"/>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3"/>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1"/>
      </w:numPr>
      <w:ind w:left="568" w:hanging="284"/>
    </w:pPr>
  </w:style>
  <w:style w:type="paragraph" w:customStyle="1" w:styleId="InformationRequestBullet">
    <w:name w:val="Information Request Bullet"/>
    <w:basedOn w:val="ListBullet"/>
    <w:next w:val="BodyText"/>
    <w:rsid w:val="005F33EE"/>
    <w:pPr>
      <w:spacing w:before="80" w:line="280" w:lineRule="atLeast"/>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5"/>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0"/>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Heading2Char">
    <w:name w:val="Heading 2 Char"/>
    <w:basedOn w:val="DefaultParagraphFont"/>
    <w:link w:val="Heading2"/>
    <w:rsid w:val="00D96622"/>
    <w:rPr>
      <w:rFonts w:ascii="Arial" w:hAnsi="Arial"/>
      <w:b/>
      <w:sz w:val="32"/>
    </w:rPr>
  </w:style>
  <w:style w:type="character" w:styleId="Hyperlink">
    <w:name w:val="Hyperlink"/>
    <w:basedOn w:val="DefaultParagraphFont"/>
    <w:uiPriority w:val="99"/>
    <w:rsid w:val="00D96622"/>
    <w:rPr>
      <w:color w:val="000000" w:themeColor="hyperlink"/>
      <w:u w:val="single"/>
    </w:rPr>
  </w:style>
  <w:style w:type="character" w:customStyle="1" w:styleId="Heading3Char">
    <w:name w:val="Heading 3 Char"/>
    <w:basedOn w:val="DefaultParagraphFont"/>
    <w:link w:val="Heading3"/>
    <w:rsid w:val="00D96622"/>
    <w:rPr>
      <w:rFonts w:ascii="Arial" w:hAnsi="Arial"/>
      <w:b/>
      <w:sz w:val="26"/>
    </w:rPr>
  </w:style>
  <w:style w:type="table" w:customStyle="1" w:styleId="TableGrid1">
    <w:name w:val="Table Grid1"/>
    <w:basedOn w:val="TableNormal"/>
    <w:next w:val="TableGrid"/>
    <w:uiPriority w:val="59"/>
    <w:rsid w:val="00900C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4C09A9"/>
    <w:pPr>
      <w:ind w:left="720"/>
      <w:contextualSpacing/>
    </w:pPr>
  </w:style>
  <w:style w:type="paragraph" w:customStyle="1" w:styleId="Heading1NotTOC">
    <w:name w:val="Heading 1 Not TOC"/>
    <w:basedOn w:val="Heading1"/>
    <w:next w:val="BodyText"/>
    <w:rsid w:val="00410F0E"/>
    <w:rPr>
      <w:kern w:val="28"/>
      <w:szCs w:val="26"/>
      <w:lang w:eastAsia="en-US"/>
    </w:rPr>
  </w:style>
  <w:style w:type="paragraph" w:customStyle="1" w:styleId="BoxSpaceAboveElement">
    <w:name w:val="Box Space Above Element"/>
    <w:basedOn w:val="BoxSpaceAbove"/>
    <w:link w:val="BoxSpaceAboveElementChar"/>
    <w:qFormat/>
    <w:rsid w:val="00BF73D4"/>
    <w:pPr>
      <w:spacing w:before="240"/>
    </w:pPr>
    <w:rPr>
      <w:b/>
      <w:vanish/>
      <w:color w:val="FF00FF"/>
      <w:sz w:val="14"/>
    </w:rPr>
  </w:style>
  <w:style w:type="character" w:customStyle="1" w:styleId="BoxSpaceAboveElementChar">
    <w:name w:val="Box Space Above Element Char"/>
    <w:basedOn w:val="DefaultParagraphFont"/>
    <w:link w:val="BoxSpaceAboveElement"/>
    <w:rsid w:val="00BF73D4"/>
    <w:rPr>
      <w:b/>
      <w:vanish/>
      <w:color w:val="FF00FF"/>
      <w:sz w:val="14"/>
    </w:rPr>
  </w:style>
  <w:style w:type="character" w:styleId="FollowedHyperlink">
    <w:name w:val="FollowedHyperlink"/>
    <w:basedOn w:val="DefaultParagraphFont"/>
    <w:semiHidden/>
    <w:unhideWhenUsed/>
    <w:rsid w:val="00D75491"/>
    <w:rPr>
      <w:color w:val="BFBFBF" w:themeColor="followedHyperlink"/>
      <w:u w:val="single"/>
    </w:rPr>
  </w:style>
  <w:style w:type="paragraph" w:styleId="Bibliography">
    <w:name w:val="Bibliography"/>
    <w:basedOn w:val="Normal"/>
    <w:next w:val="Normal"/>
    <w:uiPriority w:val="37"/>
    <w:unhideWhenUsed/>
    <w:rsid w:val="005C26F6"/>
    <w:pPr>
      <w:spacing w:after="240"/>
      <w:ind w:left="720" w:hanging="720"/>
    </w:pPr>
  </w:style>
  <w:style w:type="paragraph" w:styleId="CommentSubject">
    <w:name w:val="annotation subject"/>
    <w:basedOn w:val="CommentText"/>
    <w:next w:val="CommentText"/>
    <w:link w:val="CommentSubjectChar"/>
    <w:semiHidden/>
    <w:unhideWhenUsed/>
    <w:rsid w:val="001A5B17"/>
    <w:pPr>
      <w:spacing w:before="0" w:line="240" w:lineRule="auto"/>
      <w:ind w:left="0" w:firstLine="0"/>
    </w:pPr>
    <w:rPr>
      <w:b/>
      <w:bCs/>
      <w:szCs w:val="20"/>
    </w:rPr>
  </w:style>
  <w:style w:type="character" w:customStyle="1" w:styleId="CommentTextChar">
    <w:name w:val="Comment Text Char"/>
    <w:basedOn w:val="DefaultParagraphFont"/>
    <w:link w:val="CommentText"/>
    <w:uiPriority w:val="99"/>
    <w:semiHidden/>
    <w:rsid w:val="001A5B17"/>
    <w:rPr>
      <w:szCs w:val="24"/>
    </w:rPr>
  </w:style>
  <w:style w:type="character" w:customStyle="1" w:styleId="CommentSubjectChar">
    <w:name w:val="Comment Subject Char"/>
    <w:basedOn w:val="CommentTextChar"/>
    <w:link w:val="CommentSubject"/>
    <w:semiHidden/>
    <w:rsid w:val="001A5B17"/>
    <w:rPr>
      <w:b/>
      <w:bCs/>
      <w:szCs w:val="24"/>
    </w:rPr>
  </w:style>
  <w:style w:type="character" w:styleId="EndnoteReference">
    <w:name w:val="endnote reference"/>
    <w:basedOn w:val="DefaultParagraphFont"/>
    <w:semiHidden/>
    <w:unhideWhenUsed/>
    <w:rsid w:val="00F648A3"/>
    <w:rPr>
      <w:vertAlign w:val="superscript"/>
    </w:rPr>
  </w:style>
  <w:style w:type="paragraph" w:styleId="Revision">
    <w:name w:val="Revision"/>
    <w:hidden/>
    <w:uiPriority w:val="99"/>
    <w:semiHidden/>
    <w:rsid w:val="002D7049"/>
    <w:rPr>
      <w:sz w:val="24"/>
      <w:szCs w:val="24"/>
    </w:rPr>
  </w:style>
  <w:style w:type="character" w:customStyle="1" w:styleId="FootnoteTextChar">
    <w:name w:val="Footnote Text Char"/>
    <w:basedOn w:val="DefaultParagraphFont"/>
    <w:link w:val="FootnoteText"/>
    <w:rsid w:val="004615ED"/>
  </w:style>
  <w:style w:type="paragraph" w:styleId="NormalWeb">
    <w:name w:val="Normal (Web)"/>
    <w:basedOn w:val="Normal"/>
    <w:uiPriority w:val="99"/>
    <w:semiHidden/>
    <w:unhideWhenUsed/>
    <w:rsid w:val="00200906"/>
    <w:pPr>
      <w:spacing w:before="100" w:beforeAutospacing="1" w:after="100" w:afterAutospacing="1"/>
    </w:pPr>
    <w:rPr>
      <w:rFonts w:eastAsiaTheme="minorEastAsia"/>
    </w:rPr>
  </w:style>
  <w:style w:type="paragraph" w:customStyle="1" w:styleId="Default">
    <w:name w:val="Default"/>
    <w:rsid w:val="00676415"/>
    <w:pPr>
      <w:autoSpaceDE w:val="0"/>
      <w:autoSpaceDN w:val="0"/>
      <w:adjustRightInd w:val="0"/>
    </w:pPr>
    <w:rPr>
      <w:color w:val="000000"/>
      <w:sz w:val="24"/>
      <w:szCs w:val="24"/>
    </w:rPr>
  </w:style>
  <w:style w:type="character" w:customStyle="1" w:styleId="Heading4Char">
    <w:name w:val="Heading 4 Char"/>
    <w:basedOn w:val="DefaultParagraphFont"/>
    <w:link w:val="Heading4"/>
    <w:rsid w:val="009A3F7E"/>
    <w:rPr>
      <w:rFonts w:ascii="Arial" w:hAnsi="Arial"/>
      <w:sz w:val="24"/>
    </w:rPr>
  </w:style>
  <w:style w:type="character" w:customStyle="1" w:styleId="UnresolvedMention">
    <w:name w:val="Unresolved Mention"/>
    <w:basedOn w:val="DefaultParagraphFont"/>
    <w:uiPriority w:val="99"/>
    <w:semiHidden/>
    <w:unhideWhenUsed/>
    <w:rsid w:val="00F360E9"/>
    <w:rPr>
      <w:color w:val="605E5C"/>
      <w:shd w:val="clear" w:color="auto" w:fill="E1DFDD"/>
    </w:rPr>
  </w:style>
  <w:style w:type="character" w:customStyle="1" w:styleId="articletitle">
    <w:name w:val="articletitle"/>
    <w:basedOn w:val="DefaultParagraphFont"/>
    <w:rsid w:val="00F360E9"/>
  </w:style>
  <w:style w:type="character" w:customStyle="1" w:styleId="pubyear">
    <w:name w:val="pubyear"/>
    <w:basedOn w:val="DefaultParagraphFont"/>
    <w:rsid w:val="00F360E9"/>
  </w:style>
  <w:style w:type="character" w:customStyle="1" w:styleId="vol">
    <w:name w:val="vol"/>
    <w:basedOn w:val="DefaultParagraphFont"/>
    <w:rsid w:val="00F36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4916">
      <w:bodyDiv w:val="1"/>
      <w:marLeft w:val="0"/>
      <w:marRight w:val="0"/>
      <w:marTop w:val="0"/>
      <w:marBottom w:val="0"/>
      <w:divBdr>
        <w:top w:val="none" w:sz="0" w:space="0" w:color="auto"/>
        <w:left w:val="none" w:sz="0" w:space="0" w:color="auto"/>
        <w:bottom w:val="none" w:sz="0" w:space="0" w:color="auto"/>
        <w:right w:val="none" w:sz="0" w:space="0" w:color="auto"/>
      </w:divBdr>
    </w:div>
    <w:div w:id="78721777">
      <w:bodyDiv w:val="1"/>
      <w:marLeft w:val="0"/>
      <w:marRight w:val="0"/>
      <w:marTop w:val="0"/>
      <w:marBottom w:val="0"/>
      <w:divBdr>
        <w:top w:val="none" w:sz="0" w:space="0" w:color="auto"/>
        <w:left w:val="none" w:sz="0" w:space="0" w:color="auto"/>
        <w:bottom w:val="none" w:sz="0" w:space="0" w:color="auto"/>
        <w:right w:val="none" w:sz="0" w:space="0" w:color="auto"/>
      </w:divBdr>
    </w:div>
    <w:div w:id="147484858">
      <w:bodyDiv w:val="1"/>
      <w:marLeft w:val="0"/>
      <w:marRight w:val="0"/>
      <w:marTop w:val="0"/>
      <w:marBottom w:val="0"/>
      <w:divBdr>
        <w:top w:val="none" w:sz="0" w:space="0" w:color="auto"/>
        <w:left w:val="none" w:sz="0" w:space="0" w:color="auto"/>
        <w:bottom w:val="none" w:sz="0" w:space="0" w:color="auto"/>
        <w:right w:val="none" w:sz="0" w:space="0" w:color="auto"/>
      </w:divBdr>
    </w:div>
    <w:div w:id="282689227">
      <w:bodyDiv w:val="1"/>
      <w:marLeft w:val="0"/>
      <w:marRight w:val="0"/>
      <w:marTop w:val="0"/>
      <w:marBottom w:val="0"/>
      <w:divBdr>
        <w:top w:val="none" w:sz="0" w:space="0" w:color="auto"/>
        <w:left w:val="none" w:sz="0" w:space="0" w:color="auto"/>
        <w:bottom w:val="none" w:sz="0" w:space="0" w:color="auto"/>
        <w:right w:val="none" w:sz="0" w:space="0" w:color="auto"/>
      </w:divBdr>
    </w:div>
    <w:div w:id="356392418">
      <w:bodyDiv w:val="1"/>
      <w:marLeft w:val="0"/>
      <w:marRight w:val="0"/>
      <w:marTop w:val="0"/>
      <w:marBottom w:val="0"/>
      <w:divBdr>
        <w:top w:val="none" w:sz="0" w:space="0" w:color="auto"/>
        <w:left w:val="none" w:sz="0" w:space="0" w:color="auto"/>
        <w:bottom w:val="none" w:sz="0" w:space="0" w:color="auto"/>
        <w:right w:val="none" w:sz="0" w:space="0" w:color="auto"/>
      </w:divBdr>
    </w:div>
    <w:div w:id="478496536">
      <w:bodyDiv w:val="1"/>
      <w:marLeft w:val="0"/>
      <w:marRight w:val="0"/>
      <w:marTop w:val="0"/>
      <w:marBottom w:val="0"/>
      <w:divBdr>
        <w:top w:val="none" w:sz="0" w:space="0" w:color="auto"/>
        <w:left w:val="none" w:sz="0" w:space="0" w:color="auto"/>
        <w:bottom w:val="none" w:sz="0" w:space="0" w:color="auto"/>
        <w:right w:val="none" w:sz="0" w:space="0" w:color="auto"/>
      </w:divBdr>
    </w:div>
    <w:div w:id="486558078">
      <w:bodyDiv w:val="1"/>
      <w:marLeft w:val="0"/>
      <w:marRight w:val="0"/>
      <w:marTop w:val="0"/>
      <w:marBottom w:val="0"/>
      <w:divBdr>
        <w:top w:val="none" w:sz="0" w:space="0" w:color="auto"/>
        <w:left w:val="none" w:sz="0" w:space="0" w:color="auto"/>
        <w:bottom w:val="none" w:sz="0" w:space="0" w:color="auto"/>
        <w:right w:val="none" w:sz="0" w:space="0" w:color="auto"/>
      </w:divBdr>
      <w:divsChild>
        <w:div w:id="905725394">
          <w:marLeft w:val="547"/>
          <w:marRight w:val="0"/>
          <w:marTop w:val="0"/>
          <w:marBottom w:val="0"/>
          <w:divBdr>
            <w:top w:val="none" w:sz="0" w:space="0" w:color="auto"/>
            <w:left w:val="none" w:sz="0" w:space="0" w:color="auto"/>
            <w:bottom w:val="none" w:sz="0" w:space="0" w:color="auto"/>
            <w:right w:val="none" w:sz="0" w:space="0" w:color="auto"/>
          </w:divBdr>
        </w:div>
        <w:div w:id="198975134">
          <w:marLeft w:val="1166"/>
          <w:marRight w:val="0"/>
          <w:marTop w:val="0"/>
          <w:marBottom w:val="0"/>
          <w:divBdr>
            <w:top w:val="none" w:sz="0" w:space="0" w:color="auto"/>
            <w:left w:val="none" w:sz="0" w:space="0" w:color="auto"/>
            <w:bottom w:val="none" w:sz="0" w:space="0" w:color="auto"/>
            <w:right w:val="none" w:sz="0" w:space="0" w:color="auto"/>
          </w:divBdr>
        </w:div>
      </w:divsChild>
    </w:div>
    <w:div w:id="681319853">
      <w:bodyDiv w:val="1"/>
      <w:marLeft w:val="0"/>
      <w:marRight w:val="0"/>
      <w:marTop w:val="0"/>
      <w:marBottom w:val="0"/>
      <w:divBdr>
        <w:top w:val="none" w:sz="0" w:space="0" w:color="auto"/>
        <w:left w:val="none" w:sz="0" w:space="0" w:color="auto"/>
        <w:bottom w:val="none" w:sz="0" w:space="0" w:color="auto"/>
        <w:right w:val="none" w:sz="0" w:space="0" w:color="auto"/>
      </w:divBdr>
    </w:div>
    <w:div w:id="721514176">
      <w:bodyDiv w:val="1"/>
      <w:marLeft w:val="0"/>
      <w:marRight w:val="0"/>
      <w:marTop w:val="0"/>
      <w:marBottom w:val="0"/>
      <w:divBdr>
        <w:top w:val="none" w:sz="0" w:space="0" w:color="auto"/>
        <w:left w:val="none" w:sz="0" w:space="0" w:color="auto"/>
        <w:bottom w:val="none" w:sz="0" w:space="0" w:color="auto"/>
        <w:right w:val="none" w:sz="0" w:space="0" w:color="auto"/>
      </w:divBdr>
    </w:div>
    <w:div w:id="837112814">
      <w:bodyDiv w:val="1"/>
      <w:marLeft w:val="0"/>
      <w:marRight w:val="0"/>
      <w:marTop w:val="0"/>
      <w:marBottom w:val="0"/>
      <w:divBdr>
        <w:top w:val="none" w:sz="0" w:space="0" w:color="auto"/>
        <w:left w:val="none" w:sz="0" w:space="0" w:color="auto"/>
        <w:bottom w:val="none" w:sz="0" w:space="0" w:color="auto"/>
        <w:right w:val="none" w:sz="0" w:space="0" w:color="auto"/>
      </w:divBdr>
    </w:div>
    <w:div w:id="974331161">
      <w:bodyDiv w:val="1"/>
      <w:marLeft w:val="0"/>
      <w:marRight w:val="0"/>
      <w:marTop w:val="0"/>
      <w:marBottom w:val="0"/>
      <w:divBdr>
        <w:top w:val="none" w:sz="0" w:space="0" w:color="auto"/>
        <w:left w:val="none" w:sz="0" w:space="0" w:color="auto"/>
        <w:bottom w:val="none" w:sz="0" w:space="0" w:color="auto"/>
        <w:right w:val="none" w:sz="0" w:space="0" w:color="auto"/>
      </w:divBdr>
      <w:divsChild>
        <w:div w:id="93940917">
          <w:marLeft w:val="0"/>
          <w:marRight w:val="0"/>
          <w:marTop w:val="225"/>
          <w:marBottom w:val="225"/>
          <w:divBdr>
            <w:top w:val="none" w:sz="0" w:space="0" w:color="auto"/>
            <w:left w:val="none" w:sz="0" w:space="0" w:color="auto"/>
            <w:bottom w:val="none" w:sz="0" w:space="0" w:color="auto"/>
            <w:right w:val="none" w:sz="0" w:space="0" w:color="auto"/>
          </w:divBdr>
          <w:divsChild>
            <w:div w:id="1756248161">
              <w:marLeft w:val="0"/>
              <w:marRight w:val="0"/>
              <w:marTop w:val="0"/>
              <w:marBottom w:val="0"/>
              <w:divBdr>
                <w:top w:val="none" w:sz="0" w:space="0" w:color="auto"/>
                <w:left w:val="none" w:sz="0" w:space="0" w:color="auto"/>
                <w:bottom w:val="none" w:sz="0" w:space="0" w:color="auto"/>
                <w:right w:val="none" w:sz="0" w:space="0" w:color="auto"/>
              </w:divBdr>
              <w:divsChild>
                <w:div w:id="811362260">
                  <w:marLeft w:val="0"/>
                  <w:marRight w:val="0"/>
                  <w:marTop w:val="0"/>
                  <w:marBottom w:val="0"/>
                  <w:divBdr>
                    <w:top w:val="none" w:sz="0" w:space="0" w:color="auto"/>
                    <w:left w:val="none" w:sz="0" w:space="0" w:color="auto"/>
                    <w:bottom w:val="none" w:sz="0" w:space="0" w:color="auto"/>
                    <w:right w:val="none" w:sz="0" w:space="0" w:color="auto"/>
                  </w:divBdr>
                  <w:divsChild>
                    <w:div w:id="39594523">
                      <w:marLeft w:val="0"/>
                      <w:marRight w:val="0"/>
                      <w:marTop w:val="0"/>
                      <w:marBottom w:val="0"/>
                      <w:divBdr>
                        <w:top w:val="none" w:sz="0" w:space="0" w:color="auto"/>
                        <w:left w:val="none" w:sz="0" w:space="0" w:color="auto"/>
                        <w:bottom w:val="none" w:sz="0" w:space="0" w:color="auto"/>
                        <w:right w:val="none" w:sz="0" w:space="0" w:color="auto"/>
                      </w:divBdr>
                    </w:div>
                    <w:div w:id="396324596">
                      <w:marLeft w:val="0"/>
                      <w:marRight w:val="0"/>
                      <w:marTop w:val="0"/>
                      <w:marBottom w:val="0"/>
                      <w:divBdr>
                        <w:top w:val="none" w:sz="0" w:space="0" w:color="auto"/>
                        <w:left w:val="none" w:sz="0" w:space="0" w:color="auto"/>
                        <w:bottom w:val="none" w:sz="0" w:space="0" w:color="auto"/>
                        <w:right w:val="none" w:sz="0" w:space="0" w:color="auto"/>
                      </w:divBdr>
                    </w:div>
                    <w:div w:id="509755624">
                      <w:marLeft w:val="0"/>
                      <w:marRight w:val="0"/>
                      <w:marTop w:val="0"/>
                      <w:marBottom w:val="0"/>
                      <w:divBdr>
                        <w:top w:val="none" w:sz="0" w:space="0" w:color="auto"/>
                        <w:left w:val="none" w:sz="0" w:space="0" w:color="auto"/>
                        <w:bottom w:val="none" w:sz="0" w:space="0" w:color="auto"/>
                        <w:right w:val="none" w:sz="0" w:space="0" w:color="auto"/>
                      </w:divBdr>
                    </w:div>
                    <w:div w:id="601718473">
                      <w:marLeft w:val="0"/>
                      <w:marRight w:val="0"/>
                      <w:marTop w:val="0"/>
                      <w:marBottom w:val="0"/>
                      <w:divBdr>
                        <w:top w:val="none" w:sz="0" w:space="0" w:color="auto"/>
                        <w:left w:val="none" w:sz="0" w:space="0" w:color="auto"/>
                        <w:bottom w:val="none" w:sz="0" w:space="0" w:color="auto"/>
                        <w:right w:val="none" w:sz="0" w:space="0" w:color="auto"/>
                      </w:divBdr>
                    </w:div>
                    <w:div w:id="808594180">
                      <w:marLeft w:val="0"/>
                      <w:marRight w:val="0"/>
                      <w:marTop w:val="0"/>
                      <w:marBottom w:val="0"/>
                      <w:divBdr>
                        <w:top w:val="none" w:sz="0" w:space="0" w:color="auto"/>
                        <w:left w:val="none" w:sz="0" w:space="0" w:color="auto"/>
                        <w:bottom w:val="none" w:sz="0" w:space="0" w:color="auto"/>
                        <w:right w:val="none" w:sz="0" w:space="0" w:color="auto"/>
                      </w:divBdr>
                    </w:div>
                    <w:div w:id="1167751032">
                      <w:marLeft w:val="0"/>
                      <w:marRight w:val="0"/>
                      <w:marTop w:val="0"/>
                      <w:marBottom w:val="0"/>
                      <w:divBdr>
                        <w:top w:val="none" w:sz="0" w:space="0" w:color="auto"/>
                        <w:left w:val="none" w:sz="0" w:space="0" w:color="auto"/>
                        <w:bottom w:val="none" w:sz="0" w:space="0" w:color="auto"/>
                        <w:right w:val="none" w:sz="0" w:space="0" w:color="auto"/>
                      </w:divBdr>
                    </w:div>
                    <w:div w:id="1385594780">
                      <w:marLeft w:val="0"/>
                      <w:marRight w:val="0"/>
                      <w:marTop w:val="0"/>
                      <w:marBottom w:val="0"/>
                      <w:divBdr>
                        <w:top w:val="none" w:sz="0" w:space="0" w:color="auto"/>
                        <w:left w:val="none" w:sz="0" w:space="0" w:color="auto"/>
                        <w:bottom w:val="none" w:sz="0" w:space="0" w:color="auto"/>
                        <w:right w:val="none" w:sz="0" w:space="0" w:color="auto"/>
                      </w:divBdr>
                    </w:div>
                    <w:div w:id="1457528943">
                      <w:marLeft w:val="0"/>
                      <w:marRight w:val="0"/>
                      <w:marTop w:val="0"/>
                      <w:marBottom w:val="0"/>
                      <w:divBdr>
                        <w:top w:val="none" w:sz="0" w:space="0" w:color="auto"/>
                        <w:left w:val="none" w:sz="0" w:space="0" w:color="auto"/>
                        <w:bottom w:val="none" w:sz="0" w:space="0" w:color="auto"/>
                        <w:right w:val="none" w:sz="0" w:space="0" w:color="auto"/>
                      </w:divBdr>
                    </w:div>
                    <w:div w:id="1458910040">
                      <w:marLeft w:val="0"/>
                      <w:marRight w:val="0"/>
                      <w:marTop w:val="0"/>
                      <w:marBottom w:val="0"/>
                      <w:divBdr>
                        <w:top w:val="none" w:sz="0" w:space="0" w:color="auto"/>
                        <w:left w:val="none" w:sz="0" w:space="0" w:color="auto"/>
                        <w:bottom w:val="none" w:sz="0" w:space="0" w:color="auto"/>
                        <w:right w:val="none" w:sz="0" w:space="0" w:color="auto"/>
                      </w:divBdr>
                    </w:div>
                    <w:div w:id="16142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02172">
          <w:marLeft w:val="0"/>
          <w:marRight w:val="0"/>
          <w:marTop w:val="225"/>
          <w:marBottom w:val="225"/>
          <w:divBdr>
            <w:top w:val="none" w:sz="0" w:space="0" w:color="auto"/>
            <w:left w:val="none" w:sz="0" w:space="0" w:color="auto"/>
            <w:bottom w:val="none" w:sz="0" w:space="0" w:color="auto"/>
            <w:right w:val="none" w:sz="0" w:space="0" w:color="auto"/>
          </w:divBdr>
          <w:divsChild>
            <w:div w:id="381709767">
              <w:marLeft w:val="0"/>
              <w:marRight w:val="0"/>
              <w:marTop w:val="0"/>
              <w:marBottom w:val="0"/>
              <w:divBdr>
                <w:top w:val="none" w:sz="0" w:space="0" w:color="auto"/>
                <w:left w:val="none" w:sz="0" w:space="0" w:color="auto"/>
                <w:bottom w:val="none" w:sz="0" w:space="0" w:color="auto"/>
                <w:right w:val="none" w:sz="0" w:space="0" w:color="auto"/>
              </w:divBdr>
            </w:div>
            <w:div w:id="5081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16530">
      <w:bodyDiv w:val="1"/>
      <w:marLeft w:val="0"/>
      <w:marRight w:val="0"/>
      <w:marTop w:val="0"/>
      <w:marBottom w:val="0"/>
      <w:divBdr>
        <w:top w:val="none" w:sz="0" w:space="0" w:color="auto"/>
        <w:left w:val="none" w:sz="0" w:space="0" w:color="auto"/>
        <w:bottom w:val="none" w:sz="0" w:space="0" w:color="auto"/>
        <w:right w:val="none" w:sz="0" w:space="0" w:color="auto"/>
      </w:divBdr>
    </w:div>
    <w:div w:id="1172066460">
      <w:bodyDiv w:val="1"/>
      <w:marLeft w:val="0"/>
      <w:marRight w:val="0"/>
      <w:marTop w:val="0"/>
      <w:marBottom w:val="0"/>
      <w:divBdr>
        <w:top w:val="none" w:sz="0" w:space="0" w:color="auto"/>
        <w:left w:val="none" w:sz="0" w:space="0" w:color="auto"/>
        <w:bottom w:val="none" w:sz="0" w:space="0" w:color="auto"/>
        <w:right w:val="none" w:sz="0" w:space="0" w:color="auto"/>
      </w:divBdr>
    </w:div>
    <w:div w:id="1201822403">
      <w:bodyDiv w:val="1"/>
      <w:marLeft w:val="0"/>
      <w:marRight w:val="0"/>
      <w:marTop w:val="0"/>
      <w:marBottom w:val="0"/>
      <w:divBdr>
        <w:top w:val="none" w:sz="0" w:space="0" w:color="auto"/>
        <w:left w:val="none" w:sz="0" w:space="0" w:color="auto"/>
        <w:bottom w:val="none" w:sz="0" w:space="0" w:color="auto"/>
        <w:right w:val="none" w:sz="0" w:space="0" w:color="auto"/>
      </w:divBdr>
    </w:div>
    <w:div w:id="1319846861">
      <w:bodyDiv w:val="1"/>
      <w:marLeft w:val="0"/>
      <w:marRight w:val="0"/>
      <w:marTop w:val="0"/>
      <w:marBottom w:val="0"/>
      <w:divBdr>
        <w:top w:val="none" w:sz="0" w:space="0" w:color="auto"/>
        <w:left w:val="none" w:sz="0" w:space="0" w:color="auto"/>
        <w:bottom w:val="none" w:sz="0" w:space="0" w:color="auto"/>
        <w:right w:val="none" w:sz="0" w:space="0" w:color="auto"/>
      </w:divBdr>
    </w:div>
    <w:div w:id="1455320769">
      <w:bodyDiv w:val="1"/>
      <w:marLeft w:val="0"/>
      <w:marRight w:val="0"/>
      <w:marTop w:val="0"/>
      <w:marBottom w:val="0"/>
      <w:divBdr>
        <w:top w:val="none" w:sz="0" w:space="0" w:color="auto"/>
        <w:left w:val="none" w:sz="0" w:space="0" w:color="auto"/>
        <w:bottom w:val="none" w:sz="0" w:space="0" w:color="auto"/>
        <w:right w:val="none" w:sz="0" w:space="0" w:color="auto"/>
      </w:divBdr>
    </w:div>
    <w:div w:id="1495729520">
      <w:bodyDiv w:val="1"/>
      <w:marLeft w:val="0"/>
      <w:marRight w:val="0"/>
      <w:marTop w:val="0"/>
      <w:marBottom w:val="0"/>
      <w:divBdr>
        <w:top w:val="none" w:sz="0" w:space="0" w:color="auto"/>
        <w:left w:val="none" w:sz="0" w:space="0" w:color="auto"/>
        <w:bottom w:val="none" w:sz="0" w:space="0" w:color="auto"/>
        <w:right w:val="none" w:sz="0" w:space="0" w:color="auto"/>
      </w:divBdr>
    </w:div>
    <w:div w:id="1652757212">
      <w:bodyDiv w:val="1"/>
      <w:marLeft w:val="0"/>
      <w:marRight w:val="0"/>
      <w:marTop w:val="0"/>
      <w:marBottom w:val="0"/>
      <w:divBdr>
        <w:top w:val="none" w:sz="0" w:space="0" w:color="auto"/>
        <w:left w:val="none" w:sz="0" w:space="0" w:color="auto"/>
        <w:bottom w:val="none" w:sz="0" w:space="0" w:color="auto"/>
        <w:right w:val="none" w:sz="0" w:space="0" w:color="auto"/>
      </w:divBdr>
    </w:div>
    <w:div w:id="1758862399">
      <w:bodyDiv w:val="1"/>
      <w:marLeft w:val="0"/>
      <w:marRight w:val="0"/>
      <w:marTop w:val="0"/>
      <w:marBottom w:val="0"/>
      <w:divBdr>
        <w:top w:val="none" w:sz="0" w:space="0" w:color="auto"/>
        <w:left w:val="none" w:sz="0" w:space="0" w:color="auto"/>
        <w:bottom w:val="none" w:sz="0" w:space="0" w:color="auto"/>
        <w:right w:val="none" w:sz="0" w:space="0" w:color="auto"/>
      </w:divBdr>
      <w:divsChild>
        <w:div w:id="93482082">
          <w:marLeft w:val="446"/>
          <w:marRight w:val="0"/>
          <w:marTop w:val="0"/>
          <w:marBottom w:val="0"/>
          <w:divBdr>
            <w:top w:val="none" w:sz="0" w:space="0" w:color="auto"/>
            <w:left w:val="none" w:sz="0" w:space="0" w:color="auto"/>
            <w:bottom w:val="none" w:sz="0" w:space="0" w:color="auto"/>
            <w:right w:val="none" w:sz="0" w:space="0" w:color="auto"/>
          </w:divBdr>
        </w:div>
        <w:div w:id="115221476">
          <w:marLeft w:val="446"/>
          <w:marRight w:val="0"/>
          <w:marTop w:val="0"/>
          <w:marBottom w:val="0"/>
          <w:divBdr>
            <w:top w:val="none" w:sz="0" w:space="0" w:color="auto"/>
            <w:left w:val="none" w:sz="0" w:space="0" w:color="auto"/>
            <w:bottom w:val="none" w:sz="0" w:space="0" w:color="auto"/>
            <w:right w:val="none" w:sz="0" w:space="0" w:color="auto"/>
          </w:divBdr>
        </w:div>
        <w:div w:id="193689491">
          <w:marLeft w:val="446"/>
          <w:marRight w:val="0"/>
          <w:marTop w:val="0"/>
          <w:marBottom w:val="0"/>
          <w:divBdr>
            <w:top w:val="none" w:sz="0" w:space="0" w:color="auto"/>
            <w:left w:val="none" w:sz="0" w:space="0" w:color="auto"/>
            <w:bottom w:val="none" w:sz="0" w:space="0" w:color="auto"/>
            <w:right w:val="none" w:sz="0" w:space="0" w:color="auto"/>
          </w:divBdr>
        </w:div>
        <w:div w:id="244651572">
          <w:marLeft w:val="446"/>
          <w:marRight w:val="0"/>
          <w:marTop w:val="0"/>
          <w:marBottom w:val="0"/>
          <w:divBdr>
            <w:top w:val="none" w:sz="0" w:space="0" w:color="auto"/>
            <w:left w:val="none" w:sz="0" w:space="0" w:color="auto"/>
            <w:bottom w:val="none" w:sz="0" w:space="0" w:color="auto"/>
            <w:right w:val="none" w:sz="0" w:space="0" w:color="auto"/>
          </w:divBdr>
        </w:div>
        <w:div w:id="454720780">
          <w:marLeft w:val="446"/>
          <w:marRight w:val="0"/>
          <w:marTop w:val="0"/>
          <w:marBottom w:val="0"/>
          <w:divBdr>
            <w:top w:val="none" w:sz="0" w:space="0" w:color="auto"/>
            <w:left w:val="none" w:sz="0" w:space="0" w:color="auto"/>
            <w:bottom w:val="none" w:sz="0" w:space="0" w:color="auto"/>
            <w:right w:val="none" w:sz="0" w:space="0" w:color="auto"/>
          </w:divBdr>
        </w:div>
        <w:div w:id="664356597">
          <w:marLeft w:val="446"/>
          <w:marRight w:val="0"/>
          <w:marTop w:val="0"/>
          <w:marBottom w:val="0"/>
          <w:divBdr>
            <w:top w:val="none" w:sz="0" w:space="0" w:color="auto"/>
            <w:left w:val="none" w:sz="0" w:space="0" w:color="auto"/>
            <w:bottom w:val="none" w:sz="0" w:space="0" w:color="auto"/>
            <w:right w:val="none" w:sz="0" w:space="0" w:color="auto"/>
          </w:divBdr>
        </w:div>
        <w:div w:id="733159717">
          <w:marLeft w:val="446"/>
          <w:marRight w:val="0"/>
          <w:marTop w:val="0"/>
          <w:marBottom w:val="0"/>
          <w:divBdr>
            <w:top w:val="none" w:sz="0" w:space="0" w:color="auto"/>
            <w:left w:val="none" w:sz="0" w:space="0" w:color="auto"/>
            <w:bottom w:val="none" w:sz="0" w:space="0" w:color="auto"/>
            <w:right w:val="none" w:sz="0" w:space="0" w:color="auto"/>
          </w:divBdr>
        </w:div>
        <w:div w:id="874544566">
          <w:marLeft w:val="446"/>
          <w:marRight w:val="0"/>
          <w:marTop w:val="0"/>
          <w:marBottom w:val="0"/>
          <w:divBdr>
            <w:top w:val="none" w:sz="0" w:space="0" w:color="auto"/>
            <w:left w:val="none" w:sz="0" w:space="0" w:color="auto"/>
            <w:bottom w:val="none" w:sz="0" w:space="0" w:color="auto"/>
            <w:right w:val="none" w:sz="0" w:space="0" w:color="auto"/>
          </w:divBdr>
        </w:div>
        <w:div w:id="899826123">
          <w:marLeft w:val="446"/>
          <w:marRight w:val="0"/>
          <w:marTop w:val="0"/>
          <w:marBottom w:val="0"/>
          <w:divBdr>
            <w:top w:val="none" w:sz="0" w:space="0" w:color="auto"/>
            <w:left w:val="none" w:sz="0" w:space="0" w:color="auto"/>
            <w:bottom w:val="none" w:sz="0" w:space="0" w:color="auto"/>
            <w:right w:val="none" w:sz="0" w:space="0" w:color="auto"/>
          </w:divBdr>
        </w:div>
        <w:div w:id="982781050">
          <w:marLeft w:val="446"/>
          <w:marRight w:val="0"/>
          <w:marTop w:val="0"/>
          <w:marBottom w:val="0"/>
          <w:divBdr>
            <w:top w:val="none" w:sz="0" w:space="0" w:color="auto"/>
            <w:left w:val="none" w:sz="0" w:space="0" w:color="auto"/>
            <w:bottom w:val="none" w:sz="0" w:space="0" w:color="auto"/>
            <w:right w:val="none" w:sz="0" w:space="0" w:color="auto"/>
          </w:divBdr>
        </w:div>
        <w:div w:id="1122770218">
          <w:marLeft w:val="446"/>
          <w:marRight w:val="0"/>
          <w:marTop w:val="0"/>
          <w:marBottom w:val="0"/>
          <w:divBdr>
            <w:top w:val="none" w:sz="0" w:space="0" w:color="auto"/>
            <w:left w:val="none" w:sz="0" w:space="0" w:color="auto"/>
            <w:bottom w:val="none" w:sz="0" w:space="0" w:color="auto"/>
            <w:right w:val="none" w:sz="0" w:space="0" w:color="auto"/>
          </w:divBdr>
        </w:div>
        <w:div w:id="1161042734">
          <w:marLeft w:val="446"/>
          <w:marRight w:val="0"/>
          <w:marTop w:val="0"/>
          <w:marBottom w:val="0"/>
          <w:divBdr>
            <w:top w:val="none" w:sz="0" w:space="0" w:color="auto"/>
            <w:left w:val="none" w:sz="0" w:space="0" w:color="auto"/>
            <w:bottom w:val="none" w:sz="0" w:space="0" w:color="auto"/>
            <w:right w:val="none" w:sz="0" w:space="0" w:color="auto"/>
          </w:divBdr>
        </w:div>
        <w:div w:id="1246694830">
          <w:marLeft w:val="446"/>
          <w:marRight w:val="0"/>
          <w:marTop w:val="0"/>
          <w:marBottom w:val="0"/>
          <w:divBdr>
            <w:top w:val="none" w:sz="0" w:space="0" w:color="auto"/>
            <w:left w:val="none" w:sz="0" w:space="0" w:color="auto"/>
            <w:bottom w:val="none" w:sz="0" w:space="0" w:color="auto"/>
            <w:right w:val="none" w:sz="0" w:space="0" w:color="auto"/>
          </w:divBdr>
        </w:div>
        <w:div w:id="1391078149">
          <w:marLeft w:val="446"/>
          <w:marRight w:val="0"/>
          <w:marTop w:val="0"/>
          <w:marBottom w:val="0"/>
          <w:divBdr>
            <w:top w:val="none" w:sz="0" w:space="0" w:color="auto"/>
            <w:left w:val="none" w:sz="0" w:space="0" w:color="auto"/>
            <w:bottom w:val="none" w:sz="0" w:space="0" w:color="auto"/>
            <w:right w:val="none" w:sz="0" w:space="0" w:color="auto"/>
          </w:divBdr>
        </w:div>
        <w:div w:id="1528715813">
          <w:marLeft w:val="446"/>
          <w:marRight w:val="0"/>
          <w:marTop w:val="0"/>
          <w:marBottom w:val="0"/>
          <w:divBdr>
            <w:top w:val="none" w:sz="0" w:space="0" w:color="auto"/>
            <w:left w:val="none" w:sz="0" w:space="0" w:color="auto"/>
            <w:bottom w:val="none" w:sz="0" w:space="0" w:color="auto"/>
            <w:right w:val="none" w:sz="0" w:space="0" w:color="auto"/>
          </w:divBdr>
        </w:div>
        <w:div w:id="1588348349">
          <w:marLeft w:val="446"/>
          <w:marRight w:val="0"/>
          <w:marTop w:val="0"/>
          <w:marBottom w:val="0"/>
          <w:divBdr>
            <w:top w:val="none" w:sz="0" w:space="0" w:color="auto"/>
            <w:left w:val="none" w:sz="0" w:space="0" w:color="auto"/>
            <w:bottom w:val="none" w:sz="0" w:space="0" w:color="auto"/>
            <w:right w:val="none" w:sz="0" w:space="0" w:color="auto"/>
          </w:divBdr>
        </w:div>
        <w:div w:id="1595430771">
          <w:marLeft w:val="446"/>
          <w:marRight w:val="0"/>
          <w:marTop w:val="0"/>
          <w:marBottom w:val="0"/>
          <w:divBdr>
            <w:top w:val="none" w:sz="0" w:space="0" w:color="auto"/>
            <w:left w:val="none" w:sz="0" w:space="0" w:color="auto"/>
            <w:bottom w:val="none" w:sz="0" w:space="0" w:color="auto"/>
            <w:right w:val="none" w:sz="0" w:space="0" w:color="auto"/>
          </w:divBdr>
        </w:div>
        <w:div w:id="1869877800">
          <w:marLeft w:val="446"/>
          <w:marRight w:val="0"/>
          <w:marTop w:val="0"/>
          <w:marBottom w:val="0"/>
          <w:divBdr>
            <w:top w:val="none" w:sz="0" w:space="0" w:color="auto"/>
            <w:left w:val="none" w:sz="0" w:space="0" w:color="auto"/>
            <w:bottom w:val="none" w:sz="0" w:space="0" w:color="auto"/>
            <w:right w:val="none" w:sz="0" w:space="0" w:color="auto"/>
          </w:divBdr>
        </w:div>
      </w:divsChild>
    </w:div>
    <w:div w:id="1788694824">
      <w:bodyDiv w:val="1"/>
      <w:marLeft w:val="0"/>
      <w:marRight w:val="0"/>
      <w:marTop w:val="0"/>
      <w:marBottom w:val="0"/>
      <w:divBdr>
        <w:top w:val="none" w:sz="0" w:space="0" w:color="auto"/>
        <w:left w:val="none" w:sz="0" w:space="0" w:color="auto"/>
        <w:bottom w:val="none" w:sz="0" w:space="0" w:color="auto"/>
        <w:right w:val="none" w:sz="0" w:space="0" w:color="auto"/>
      </w:divBdr>
    </w:div>
    <w:div w:id="1884707336">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043750857">
      <w:bodyDiv w:val="1"/>
      <w:marLeft w:val="0"/>
      <w:marRight w:val="0"/>
      <w:marTop w:val="0"/>
      <w:marBottom w:val="0"/>
      <w:divBdr>
        <w:top w:val="none" w:sz="0" w:space="0" w:color="auto"/>
        <w:left w:val="none" w:sz="0" w:space="0" w:color="auto"/>
        <w:bottom w:val="none" w:sz="0" w:space="0" w:color="auto"/>
        <w:right w:val="none" w:sz="0" w:space="0" w:color="auto"/>
      </w:divBdr>
    </w:div>
    <w:div w:id="212476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4.emf"/><Relationship Id="rId39"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image" Target="media/image12.emf"/><Relationship Id="rId42" Type="http://schemas.openxmlformats.org/officeDocument/2006/relationships/footer" Target="footer9.xm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footer" Target="footer8.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image" Target="media/image7.emf"/><Relationship Id="rId41"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2.emf"/><Relationship Id="rId32" Type="http://schemas.openxmlformats.org/officeDocument/2006/relationships/image" Target="media/image10.emf"/><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image" Target="media/image6.emf"/><Relationship Id="rId36"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image" Target="media/image9.emf"/><Relationship Id="rId44"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5.png"/><Relationship Id="rId30" Type="http://schemas.openxmlformats.org/officeDocument/2006/relationships/image" Target="media/image8.emf"/><Relationship Id="rId35" Type="http://schemas.openxmlformats.org/officeDocument/2006/relationships/image" Target="media/image13.emf"/><Relationship Id="rId43"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issues-paper-template.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issues-paper-template.dotm</Template>
  <TotalTime>582</TotalTime>
  <Pages>54</Pages>
  <Words>16496</Words>
  <Characters>96421</Characters>
  <Application>Microsoft Office Word</Application>
  <DocSecurity>0</DocSecurity>
  <Lines>803</Lines>
  <Paragraphs>225</Paragraphs>
  <ScaleCrop>false</ScaleCrop>
  <HeadingPairs>
    <vt:vector size="2" baseType="variant">
      <vt:variant>
        <vt:lpstr>Title</vt:lpstr>
      </vt:variant>
      <vt:variant>
        <vt:i4>1</vt:i4>
      </vt:variant>
    </vt:vector>
  </HeadingPairs>
  <TitlesOfParts>
    <vt:vector size="1" baseType="lpstr">
      <vt:lpstr>Issues Paper (Mental Health)</vt:lpstr>
    </vt:vector>
  </TitlesOfParts>
  <Company>Productivity Commission</Company>
  <LinksUpToDate>false</LinksUpToDate>
  <CharactersWithSpaces>112692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(Mental Health)</dc:title>
  <dc:subject>Report</dc:subject>
  <dc:creator>Murtough, Greg</dc:creator>
  <cp:keywords/>
  <dc:description/>
  <cp:lastModifiedBy>Pimperl, Mark</cp:lastModifiedBy>
  <cp:revision>106</cp:revision>
  <cp:lastPrinted>2019-01-18T00:48:00Z</cp:lastPrinted>
  <dcterms:created xsi:type="dcterms:W3CDTF">2019-01-14T05:29:00Z</dcterms:created>
  <dcterms:modified xsi:type="dcterms:W3CDTF">2019-01-18T03:00:00Z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0x0101007916246811615643A710C6FEAFF56A87110100EEFE548D9549EA4098E3A65339C068F3000CA02F94BC5259448F04FF1BA7F967CD</vt:lpwstr>
  </property>
  <property fmtid="{D5CDD505-2E9C-101B-9397-08002B2CF9AE}" pid="3" name="Record Tag">
    <vt:lpwstr>249;#Issues Papers|3f58d8d8-eba3-4f69-b92f-42d45f1952c5</vt:lpwstr>
  </property>
  <property fmtid="{D5CDD505-2E9C-101B-9397-08002B2CF9AE}" pid="4" name="TaxKeyword">
    <vt:lpwstr/>
  </property>
  <property fmtid="{D5CDD505-2E9C-101B-9397-08002B2CF9AE}" pid="5" name="TaxKeywordTaxHTField">
    <vt:lpwstr/>
  </property>
  <property fmtid="{D5CDD505-2E9C-101B-9397-08002B2CF9AE}" pid="6" name="ZOTERO_PREF_2">
    <vt:lpwstr>rences" value="true"/&gt;&lt;pref name="automaticJournalAbbreviations" value="true"/&gt;&lt;/prefs&gt;&lt;/data&gt;</vt:lpwstr>
  </property>
  <property fmtid="{D5CDD505-2E9C-101B-9397-08002B2CF9AE}" pid="7" name="ZOTERO_PREF_1">
    <vt:lpwstr>&lt;data data-version="3" zotero-version="5.0.54"&gt;&lt;session id="KofIAruy"/&gt;&lt;style id="http://www.zotero.org/styles/Productivity-Commission" hasBibliography="1" bibliographyStyleHasBeenSet="1"/&gt;&lt;prefs&gt;&lt;pref name="fieldType" value="Field"/&gt;&lt;pref name="storeRefe</vt:lpwstr>
  </property>
</Properties>
</file>