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0A219E" w14:textId="6A48E4DE" w:rsidR="00D41518" w:rsidRPr="00D41518" w:rsidRDefault="00967801" w:rsidP="00D41518">
      <w:pPr>
        <w:spacing w:before="4000" w:line="320" w:lineRule="exact"/>
        <w:ind w:left="6634"/>
        <w:jc w:val="right"/>
        <w:rPr>
          <w:smallCaps/>
          <w:spacing w:val="60"/>
          <w:sz w:val="32"/>
          <w:szCs w:val="20"/>
        </w:rPr>
      </w:pPr>
      <w:bookmarkStart w:id="0" w:name="_GoBack"/>
      <w:bookmarkEnd w:id="0"/>
      <w:r>
        <w:rPr>
          <w:b/>
          <w:noProof/>
          <w:color w:val="39531E"/>
          <w:sz w:val="36"/>
          <w:szCs w:val="36"/>
        </w:rPr>
        <w:drawing>
          <wp:anchor distT="0" distB="0" distL="114300" distR="114300" simplePos="0" relativeHeight="251658240" behindDoc="0" locked="0" layoutInCell="1" allowOverlap="1" wp14:anchorId="052554E5" wp14:editId="456ED6AE">
            <wp:simplePos x="0" y="0"/>
            <wp:positionH relativeFrom="page">
              <wp:align>right</wp:align>
            </wp:positionH>
            <wp:positionV relativeFrom="paragraph">
              <wp:posOffset>-1247413</wp:posOffset>
            </wp:positionV>
            <wp:extent cx="7536110" cy="10659291"/>
            <wp:effectExtent l="0" t="0" r="8255" b="8890"/>
            <wp:wrapNone/>
            <wp:docPr id="1" name="Picture 1" descr="cover&#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ver&#10;&#10;"/>
                    <pic:cNvPicPr/>
                  </pic:nvPicPr>
                  <pic:blipFill>
                    <a:blip r:embed="rId8">
                      <a:extLst>
                        <a:ext uri="{28A0092B-C50C-407E-A947-70E740481C1C}">
                          <a14:useLocalDpi xmlns:a14="http://schemas.microsoft.com/office/drawing/2010/main" val="0"/>
                        </a:ext>
                      </a:extLst>
                    </a:blip>
                    <a:stretch>
                      <a:fillRect/>
                    </a:stretch>
                  </pic:blipFill>
                  <pic:spPr>
                    <a:xfrm>
                      <a:off x="0" y="0"/>
                      <a:ext cx="7536110" cy="10659291"/>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tblLayout w:type="fixed"/>
        <w:tblCellMar>
          <w:left w:w="0" w:type="dxa"/>
          <w:right w:w="0" w:type="dxa"/>
        </w:tblCellMar>
        <w:tblLook w:val="0000" w:firstRow="0" w:lastRow="0" w:firstColumn="0" w:lastColumn="0" w:noHBand="0" w:noVBand="0"/>
      </w:tblPr>
      <w:tblGrid>
        <w:gridCol w:w="6634"/>
        <w:gridCol w:w="2155"/>
      </w:tblGrid>
      <w:tr w:rsidR="00D41518" w:rsidRPr="00D41518" w14:paraId="157FBAF0" w14:textId="77777777" w:rsidTr="00462628">
        <w:tc>
          <w:tcPr>
            <w:tcW w:w="6634" w:type="dxa"/>
            <w:tcBorders>
              <w:top w:val="single" w:sz="6" w:space="0" w:color="auto"/>
            </w:tcBorders>
          </w:tcPr>
          <w:p w14:paraId="09B88CDC" w14:textId="77777777" w:rsidR="00D41518" w:rsidRPr="00D41518" w:rsidRDefault="00D41518" w:rsidP="00D41518">
            <w:pPr>
              <w:spacing w:line="40" w:lineRule="exact"/>
              <w:jc w:val="right"/>
              <w:rPr>
                <w:smallCaps/>
                <w:sz w:val="16"/>
                <w:szCs w:val="20"/>
              </w:rPr>
            </w:pPr>
          </w:p>
        </w:tc>
        <w:tc>
          <w:tcPr>
            <w:tcW w:w="2155" w:type="dxa"/>
            <w:tcBorders>
              <w:top w:val="single" w:sz="24" w:space="0" w:color="auto"/>
            </w:tcBorders>
          </w:tcPr>
          <w:p w14:paraId="08007B1D" w14:textId="1E8D1A6C" w:rsidR="00D41518" w:rsidRPr="00D41518" w:rsidRDefault="00D41518" w:rsidP="00D41518">
            <w:pPr>
              <w:spacing w:line="40" w:lineRule="exact"/>
              <w:jc w:val="right"/>
              <w:rPr>
                <w:smallCaps/>
                <w:sz w:val="16"/>
                <w:szCs w:val="20"/>
              </w:rPr>
            </w:pPr>
          </w:p>
        </w:tc>
      </w:tr>
    </w:tbl>
    <w:p w14:paraId="603353E4" w14:textId="77777777" w:rsidR="00D41518" w:rsidRPr="00D41518" w:rsidRDefault="00D41518" w:rsidP="00D41518">
      <w:pPr>
        <w:spacing w:line="40" w:lineRule="exact"/>
        <w:jc w:val="right"/>
        <w:rPr>
          <w:smallCaps/>
          <w:sz w:val="16"/>
          <w:szCs w:val="20"/>
        </w:rPr>
      </w:pPr>
    </w:p>
    <w:p w14:paraId="2C262F57" w14:textId="3FCAC742" w:rsidR="00D41518" w:rsidRPr="00D41518" w:rsidRDefault="0057345E" w:rsidP="00D41518">
      <w:pPr>
        <w:keepNext/>
        <w:spacing w:after="1360" w:line="600" w:lineRule="exact"/>
        <w:ind w:left="907" w:hanging="907"/>
        <w:jc w:val="right"/>
        <w:outlineLvl w:val="0"/>
        <w:rPr>
          <w:sz w:val="52"/>
          <w:szCs w:val="20"/>
        </w:rPr>
      </w:pPr>
      <w:r>
        <w:rPr>
          <w:sz w:val="52"/>
          <w:szCs w:val="20"/>
        </w:rPr>
        <w:t>ACTIONS</w:t>
      </w:r>
      <w:r w:rsidR="00AC7AE1">
        <w:rPr>
          <w:sz w:val="52"/>
          <w:szCs w:val="20"/>
        </w:rPr>
        <w:t xml:space="preserve"> AND FINDINGS</w:t>
      </w:r>
    </w:p>
    <w:p w14:paraId="4FF2EA75" w14:textId="77777777" w:rsidR="00D41518" w:rsidRPr="00D41518" w:rsidRDefault="00D41518" w:rsidP="00D41518">
      <w:pPr>
        <w:spacing w:before="240" w:line="300" w:lineRule="atLeast"/>
        <w:jc w:val="both"/>
        <w:rPr>
          <w:szCs w:val="20"/>
        </w:rPr>
      </w:pPr>
    </w:p>
    <w:p w14:paraId="351959C7" w14:textId="4F682B10" w:rsidR="00D41518" w:rsidRPr="00D41518" w:rsidRDefault="00D41518" w:rsidP="00D41518">
      <w:pPr>
        <w:tabs>
          <w:tab w:val="left" w:pos="1418"/>
          <w:tab w:val="right" w:pos="3969"/>
        </w:tabs>
        <w:spacing w:before="600" w:line="400" w:lineRule="exact"/>
        <w:outlineLvl w:val="1"/>
        <w:rPr>
          <w:b/>
          <w:color w:val="39531E"/>
          <w:sz w:val="36"/>
          <w:szCs w:val="36"/>
        </w:rPr>
        <w:sectPr w:rsidR="00D41518" w:rsidRPr="00D41518" w:rsidSect="006E50CC">
          <w:headerReference w:type="even" r:id="rId9"/>
          <w:headerReference w:type="default" r:id="rId10"/>
          <w:footerReference w:type="even" r:id="rId11"/>
          <w:footerReference w:type="default" r:id="rId12"/>
          <w:headerReference w:type="first" r:id="rId13"/>
          <w:footerReference w:type="first" r:id="rId14"/>
          <w:type w:val="oddPage"/>
          <w:pgSz w:w="11906" w:h="16838" w:code="9"/>
          <w:pgMar w:top="1985" w:right="1304" w:bottom="1247" w:left="1814" w:header="1701" w:footer="397" w:gutter="0"/>
          <w:pgNumType w:chapSep="period"/>
          <w:cols w:space="720"/>
          <w:docGrid w:linePitch="326"/>
        </w:sectPr>
      </w:pPr>
    </w:p>
    <w:p w14:paraId="601C2332" w14:textId="77777777" w:rsidR="005305D8" w:rsidRPr="00EC1C69" w:rsidRDefault="005305D8" w:rsidP="005305D8">
      <w:pPr>
        <w:pStyle w:val="BodyText"/>
        <w:rPr>
          <w:i/>
        </w:rPr>
      </w:pPr>
      <w:r w:rsidRPr="00EC1C69">
        <w:rPr>
          <w:i/>
        </w:rPr>
        <w:lastRenderedPageBreak/>
        <w:t>The findings and actions from throughout the report have been collated here for ease of access. The number of each finding and action is aligned with the relevant chapter that provides the supporting detail.</w:t>
      </w:r>
    </w:p>
    <w:p w14:paraId="2225DC9F" w14:textId="6FE15DA4" w:rsidR="00D41518" w:rsidRPr="00CE7986" w:rsidRDefault="00D41518" w:rsidP="005305D8">
      <w:pPr>
        <w:tabs>
          <w:tab w:val="left" w:pos="1418"/>
          <w:tab w:val="right" w:pos="3969"/>
        </w:tabs>
        <w:spacing w:before="360" w:line="400" w:lineRule="exact"/>
        <w:outlineLvl w:val="1"/>
        <w:rPr>
          <w:b/>
          <w:color w:val="3B5117"/>
          <w:sz w:val="36"/>
          <w:szCs w:val="36"/>
        </w:rPr>
      </w:pPr>
      <w:r w:rsidRPr="00CE7986">
        <w:rPr>
          <w:b/>
          <w:color w:val="3B5117"/>
          <w:sz w:val="36"/>
          <w:szCs w:val="36"/>
        </w:rPr>
        <w:t>PART I</w:t>
      </w:r>
      <w:r w:rsidRPr="00CE7986">
        <w:rPr>
          <w:b/>
          <w:color w:val="3B5117"/>
          <w:sz w:val="36"/>
          <w:szCs w:val="36"/>
        </w:rPr>
        <w:tab/>
        <w:t xml:space="preserve">The </w:t>
      </w:r>
      <w:r w:rsidR="00854FC7" w:rsidRPr="00CE7986">
        <w:rPr>
          <w:b/>
          <w:color w:val="3B5117"/>
          <w:sz w:val="36"/>
          <w:szCs w:val="36"/>
        </w:rPr>
        <w:t>c</w:t>
      </w:r>
      <w:r w:rsidR="001B4578" w:rsidRPr="00CE7986">
        <w:rPr>
          <w:b/>
          <w:color w:val="3B5117"/>
          <w:sz w:val="36"/>
          <w:szCs w:val="36"/>
        </w:rPr>
        <w:t xml:space="preserve">ase </w:t>
      </w:r>
      <w:r w:rsidRPr="00CE7986">
        <w:rPr>
          <w:b/>
          <w:color w:val="3B5117"/>
          <w:sz w:val="36"/>
          <w:szCs w:val="36"/>
        </w:rPr>
        <w:t xml:space="preserve">for </w:t>
      </w:r>
      <w:r w:rsidR="00854FC7" w:rsidRPr="00CE7986">
        <w:rPr>
          <w:b/>
          <w:color w:val="3B5117"/>
          <w:sz w:val="36"/>
          <w:szCs w:val="36"/>
        </w:rPr>
        <w:t>m</w:t>
      </w:r>
      <w:r w:rsidR="001B4578" w:rsidRPr="00CE7986">
        <w:rPr>
          <w:b/>
          <w:color w:val="3B5117"/>
          <w:sz w:val="36"/>
          <w:szCs w:val="36"/>
        </w:rPr>
        <w:t xml:space="preserve">ajor </w:t>
      </w:r>
      <w:r w:rsidR="00854FC7" w:rsidRPr="00CE7986">
        <w:rPr>
          <w:b/>
          <w:color w:val="3B5117"/>
          <w:sz w:val="36"/>
          <w:szCs w:val="36"/>
        </w:rPr>
        <w:t>r</w:t>
      </w:r>
      <w:r w:rsidR="001B4578" w:rsidRPr="00CE7986">
        <w:rPr>
          <w:b/>
          <w:color w:val="3B5117"/>
          <w:sz w:val="36"/>
          <w:szCs w:val="36"/>
        </w:rPr>
        <w:t>eform</w:t>
      </w:r>
    </w:p>
    <w:p w14:paraId="218D78A2" w14:textId="77777777" w:rsidR="00FD48A3" w:rsidRPr="00D41518" w:rsidRDefault="00FD48A3" w:rsidP="00D9735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8"/>
      </w:tblGrid>
      <w:tr w:rsidR="00FD48A3" w:rsidRPr="00D41518" w14:paraId="4B48D8E5" w14:textId="77777777" w:rsidTr="0066342F">
        <w:trPr>
          <w:cantSplit/>
          <w:tblHeader/>
        </w:trPr>
        <w:tc>
          <w:tcPr>
            <w:tcW w:w="5000" w:type="pct"/>
            <w:tcBorders>
              <w:top w:val="single" w:sz="6" w:space="0" w:color="78A22F"/>
              <w:left w:val="nil"/>
              <w:bottom w:val="nil"/>
              <w:right w:val="nil"/>
            </w:tcBorders>
            <w:shd w:val="clear" w:color="auto" w:fill="F2F2F2" w:themeFill="background1" w:themeFillShade="F2"/>
            <w:tcMar>
              <w:left w:w="170" w:type="dxa"/>
              <w:right w:w="170" w:type="dxa"/>
            </w:tcMar>
          </w:tcPr>
          <w:p w14:paraId="4B59B385" w14:textId="4EA1B0F2" w:rsidR="00FD48A3" w:rsidRPr="00D41518" w:rsidRDefault="00FD48A3" w:rsidP="00892E32">
            <w:pPr>
              <w:pStyle w:val="FindingTitle"/>
              <w:spacing w:before="120"/>
              <w:rPr>
                <w:noProof/>
              </w:rPr>
            </w:pPr>
            <w:r w:rsidRPr="00D41518">
              <w:t xml:space="preserve">Finding </w:t>
            </w:r>
            <w:r w:rsidRPr="00D41518">
              <w:rPr>
                <w:noProof/>
              </w:rPr>
              <w:t>1</w:t>
            </w:r>
            <w:r>
              <w:rPr>
                <w:noProof/>
              </w:rPr>
              <w:t>.1</w:t>
            </w:r>
            <w:r w:rsidR="00CE7986">
              <w:rPr>
                <w:noProof/>
              </w:rPr>
              <w:t> — </w:t>
            </w:r>
            <w:r w:rsidRPr="00FD48A3">
              <w:rPr>
                <w:noProof/>
              </w:rPr>
              <w:t>factors affect</w:t>
            </w:r>
            <w:r w:rsidR="00E5314E">
              <w:rPr>
                <w:noProof/>
              </w:rPr>
              <w:t>ing</w:t>
            </w:r>
            <w:r w:rsidRPr="00FD48A3">
              <w:rPr>
                <w:noProof/>
              </w:rPr>
              <w:t xml:space="preserve"> mental </w:t>
            </w:r>
            <w:r w:rsidR="00E5314E">
              <w:rPr>
                <w:noProof/>
              </w:rPr>
              <w:t>health and wellbeing</w:t>
            </w:r>
          </w:p>
        </w:tc>
      </w:tr>
      <w:tr w:rsidR="00FD48A3" w:rsidRPr="00D41518" w14:paraId="09898112" w14:textId="77777777" w:rsidTr="0066342F">
        <w:trPr>
          <w:cantSplit/>
        </w:trPr>
        <w:tc>
          <w:tcPr>
            <w:tcW w:w="5000" w:type="pct"/>
            <w:tcBorders>
              <w:top w:val="nil"/>
              <w:left w:val="nil"/>
              <w:bottom w:val="nil"/>
              <w:right w:val="nil"/>
            </w:tcBorders>
            <w:shd w:val="clear" w:color="auto" w:fill="F2F2F2" w:themeFill="background1" w:themeFillShade="F2"/>
            <w:tcMar>
              <w:left w:w="170" w:type="dxa"/>
              <w:right w:w="170" w:type="dxa"/>
            </w:tcMar>
          </w:tcPr>
          <w:p w14:paraId="44B5B264" w14:textId="71313189" w:rsidR="00FD48A3" w:rsidRPr="00D41518" w:rsidRDefault="00E5314E" w:rsidP="00CB75ED">
            <w:pPr>
              <w:pStyle w:val="Finding"/>
            </w:pPr>
            <w:r>
              <w:t xml:space="preserve">A person’s mental health reflects </w:t>
            </w:r>
            <w:r w:rsidR="00381C88">
              <w:t>the</w:t>
            </w:r>
            <w:r>
              <w:t xml:space="preserve"> interaction of a lifetime of individual and lifestyle factors with a range of e</w:t>
            </w:r>
            <w:r w:rsidR="00BF2EE4" w:rsidRPr="00BF2EE4">
              <w:t>nvironmental, community and family risk factors</w:t>
            </w:r>
            <w:r>
              <w:t>. R</w:t>
            </w:r>
            <w:r w:rsidRPr="00BF2EE4">
              <w:t xml:space="preserve">egular exercise, eating a healthy diet and consistently getting enough sleep </w:t>
            </w:r>
            <w:r>
              <w:t xml:space="preserve">can </w:t>
            </w:r>
            <w:r w:rsidRPr="00BF2EE4">
              <w:t>reduce the risk</w:t>
            </w:r>
            <w:r>
              <w:t>s</w:t>
            </w:r>
            <w:r w:rsidRPr="00BF2EE4">
              <w:t xml:space="preserve"> of mental illness.</w:t>
            </w:r>
            <w:r w:rsidR="00BF2EE4" w:rsidRPr="00BF2EE4">
              <w:t xml:space="preserve"> </w:t>
            </w:r>
            <w:r>
              <w:t xml:space="preserve">But </w:t>
            </w:r>
            <w:r w:rsidRPr="00BF2EE4">
              <w:t>genetic</w:t>
            </w:r>
            <w:r w:rsidR="00D150D2">
              <w:t xml:space="preserve"> vulnerability</w:t>
            </w:r>
            <w:r w:rsidRPr="00BF2EE4">
              <w:t xml:space="preserve"> </w:t>
            </w:r>
            <w:r>
              <w:t>and experiences such as</w:t>
            </w:r>
            <w:r w:rsidR="00BF2EE4" w:rsidRPr="00BF2EE4">
              <w:t xml:space="preserve"> trauma, socioeconomic disadvantage, isolation</w:t>
            </w:r>
            <w:r w:rsidR="00381C88">
              <w:t>, discrimination</w:t>
            </w:r>
            <w:r w:rsidR="00D25076">
              <w:t xml:space="preserve"> </w:t>
            </w:r>
            <w:r w:rsidR="00D150D2">
              <w:t>and environmental</w:t>
            </w:r>
            <w:r>
              <w:t xml:space="preserve"> stress</w:t>
            </w:r>
            <w:r w:rsidR="00CB75ED">
              <w:t>or</w:t>
            </w:r>
            <w:r>
              <w:t>s can all</w:t>
            </w:r>
            <w:r w:rsidR="00BF2EE4" w:rsidRPr="00BF2EE4">
              <w:t xml:space="preserve"> </w:t>
            </w:r>
            <w:r>
              <w:t xml:space="preserve">harm people’s </w:t>
            </w:r>
            <w:r w:rsidR="00BF2EE4" w:rsidRPr="00BF2EE4">
              <w:t xml:space="preserve">mental health and wellbeing. </w:t>
            </w:r>
          </w:p>
        </w:tc>
      </w:tr>
      <w:tr w:rsidR="00FD48A3" w:rsidRPr="00D41518" w14:paraId="78CBE452" w14:textId="77777777" w:rsidTr="0066342F">
        <w:trPr>
          <w:cantSplit/>
        </w:trPr>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7B2941BD" w14:textId="77777777" w:rsidR="00FD48A3" w:rsidRPr="00D41518" w:rsidRDefault="00FD48A3" w:rsidP="008722DF">
            <w:pPr>
              <w:keepNext/>
              <w:keepLines/>
              <w:spacing w:line="120" w:lineRule="exact"/>
              <w:jc w:val="both"/>
              <w:rPr>
                <w:rFonts w:ascii="Arial" w:hAnsi="Arial"/>
                <w:sz w:val="20"/>
                <w:szCs w:val="20"/>
              </w:rPr>
            </w:pPr>
          </w:p>
        </w:tc>
      </w:tr>
      <w:tr w:rsidR="00FD48A3" w:rsidRPr="00D41518" w14:paraId="2E94372E" w14:textId="77777777" w:rsidTr="008722DF">
        <w:trPr>
          <w:cantSplit/>
        </w:trPr>
        <w:tc>
          <w:tcPr>
            <w:tcW w:w="5000" w:type="pct"/>
            <w:tcBorders>
              <w:top w:val="single" w:sz="6" w:space="0" w:color="78A22F"/>
              <w:left w:val="nil"/>
              <w:bottom w:val="nil"/>
              <w:right w:val="nil"/>
            </w:tcBorders>
            <w:tcMar>
              <w:left w:w="170" w:type="dxa"/>
              <w:right w:w="170" w:type="dxa"/>
            </w:tcMar>
          </w:tcPr>
          <w:p w14:paraId="410316F3" w14:textId="77777777" w:rsidR="00FD48A3" w:rsidRPr="00D41518" w:rsidRDefault="00FD48A3" w:rsidP="008722DF">
            <w:pPr>
              <w:keepLines/>
              <w:spacing w:before="60" w:after="60" w:line="80" w:lineRule="exact"/>
              <w:jc w:val="both"/>
              <w:rPr>
                <w:rFonts w:ascii="Arial" w:hAnsi="Arial"/>
                <w:sz w:val="14"/>
                <w:szCs w:val="20"/>
              </w:rPr>
            </w:pPr>
          </w:p>
        </w:tc>
      </w:tr>
    </w:tbl>
    <w:p w14:paraId="07159D75" w14:textId="77777777" w:rsidR="00D41518" w:rsidRPr="00E85057" w:rsidRDefault="00D41518" w:rsidP="00D9735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8"/>
      </w:tblGrid>
      <w:tr w:rsidR="00D41518" w:rsidRPr="00D41518" w14:paraId="17EE3896" w14:textId="77777777" w:rsidTr="0066342F">
        <w:trPr>
          <w:cantSplit/>
          <w:tblHeader/>
        </w:trPr>
        <w:tc>
          <w:tcPr>
            <w:tcW w:w="5000" w:type="pct"/>
            <w:tcBorders>
              <w:top w:val="single" w:sz="6" w:space="0" w:color="78A22F"/>
              <w:left w:val="nil"/>
              <w:bottom w:val="nil"/>
              <w:right w:val="nil"/>
            </w:tcBorders>
            <w:shd w:val="clear" w:color="auto" w:fill="F2F2F2" w:themeFill="background1" w:themeFillShade="F2"/>
            <w:tcMar>
              <w:left w:w="170" w:type="dxa"/>
              <w:right w:w="170" w:type="dxa"/>
            </w:tcMar>
          </w:tcPr>
          <w:p w14:paraId="63463864" w14:textId="34AADA56" w:rsidR="00D41518" w:rsidRPr="00D41518" w:rsidRDefault="00D41518" w:rsidP="00892E32">
            <w:pPr>
              <w:pStyle w:val="FindingTitle"/>
              <w:spacing w:before="120"/>
              <w:rPr>
                <w:noProof/>
              </w:rPr>
            </w:pPr>
            <w:r w:rsidRPr="00D41518">
              <w:t xml:space="preserve">Finding </w:t>
            </w:r>
            <w:r w:rsidRPr="00D41518">
              <w:rPr>
                <w:noProof/>
              </w:rPr>
              <w:t>2.1</w:t>
            </w:r>
            <w:r w:rsidR="00CE7986">
              <w:rPr>
                <w:noProof/>
              </w:rPr>
              <w:t> — </w:t>
            </w:r>
            <w:r w:rsidRPr="00D41518">
              <w:rPr>
                <w:noProof/>
              </w:rPr>
              <w:t xml:space="preserve">The state of mental health in australia </w:t>
            </w:r>
          </w:p>
        </w:tc>
      </w:tr>
      <w:tr w:rsidR="00D41518" w:rsidRPr="00D41518" w14:paraId="3DC646A0" w14:textId="77777777" w:rsidTr="0066342F">
        <w:trPr>
          <w:cantSplit/>
        </w:trPr>
        <w:tc>
          <w:tcPr>
            <w:tcW w:w="5000" w:type="pct"/>
            <w:tcBorders>
              <w:top w:val="nil"/>
              <w:left w:val="nil"/>
              <w:bottom w:val="nil"/>
              <w:right w:val="nil"/>
            </w:tcBorders>
            <w:shd w:val="clear" w:color="auto" w:fill="F2F2F2" w:themeFill="background1" w:themeFillShade="F2"/>
            <w:tcMar>
              <w:left w:w="170" w:type="dxa"/>
              <w:right w:w="170" w:type="dxa"/>
            </w:tcMar>
          </w:tcPr>
          <w:p w14:paraId="28FD8752" w14:textId="77777777" w:rsidR="00AA256E" w:rsidRDefault="00435DCD" w:rsidP="00DA651A">
            <w:pPr>
              <w:pStyle w:val="Finding"/>
            </w:pPr>
            <w:r w:rsidRPr="00435DCD">
              <w:t xml:space="preserve">Mental illness is the second largest contributor to years lived in ill-health, and almost half of all Australians will experience mental illness at some point in their life. </w:t>
            </w:r>
            <w:r w:rsidR="00AA256E">
              <w:t xml:space="preserve">The most common mental illnesses are anxiety disorders and depressive disorders. </w:t>
            </w:r>
          </w:p>
          <w:p w14:paraId="213D0A71" w14:textId="11EBED42" w:rsidR="00D41518" w:rsidRPr="00D41518" w:rsidRDefault="00435DCD" w:rsidP="00CB75ED">
            <w:pPr>
              <w:pStyle w:val="Finding"/>
            </w:pPr>
            <w:r w:rsidRPr="00435DCD">
              <w:t>Most cases of mental illness have their onset before the age of 21</w:t>
            </w:r>
            <w:r w:rsidR="00CB75ED">
              <w:t> </w:t>
            </w:r>
            <w:r w:rsidR="00A60AD6">
              <w:t>years</w:t>
            </w:r>
            <w:r w:rsidRPr="00435DCD">
              <w:t>, highlighting the need for intervention</w:t>
            </w:r>
            <w:r w:rsidR="00D150D2">
              <w:t xml:space="preserve"> early in life</w:t>
            </w:r>
            <w:r w:rsidRPr="00435DCD">
              <w:t xml:space="preserve">. Suicide is the leading cause of death for Australians aged 15 </w:t>
            </w:r>
            <w:r w:rsidR="001E510D">
              <w:t xml:space="preserve">to </w:t>
            </w:r>
            <w:r w:rsidRPr="00435DCD">
              <w:t>44</w:t>
            </w:r>
            <w:r w:rsidR="001E510D">
              <w:t xml:space="preserve"> years</w:t>
            </w:r>
            <w:r w:rsidRPr="00435DCD">
              <w:t xml:space="preserve">, and suicide rates are </w:t>
            </w:r>
            <w:r w:rsidR="00B51252">
              <w:t>higher</w:t>
            </w:r>
            <w:r w:rsidR="00B51252" w:rsidRPr="00435DCD">
              <w:t xml:space="preserve"> </w:t>
            </w:r>
            <w:r w:rsidRPr="00435DCD">
              <w:t>in regional areas.</w:t>
            </w:r>
          </w:p>
        </w:tc>
      </w:tr>
      <w:tr w:rsidR="00D41518" w:rsidRPr="00D41518" w14:paraId="0A849AD0" w14:textId="77777777" w:rsidTr="0066342F">
        <w:trPr>
          <w:cantSplit/>
        </w:trPr>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7A903D17" w14:textId="77777777" w:rsidR="00D41518" w:rsidRPr="00D41518" w:rsidRDefault="00D41518" w:rsidP="00D41518">
            <w:pPr>
              <w:keepNext/>
              <w:keepLines/>
              <w:spacing w:line="120" w:lineRule="exact"/>
              <w:jc w:val="both"/>
              <w:rPr>
                <w:rFonts w:ascii="Arial" w:hAnsi="Arial"/>
                <w:sz w:val="20"/>
                <w:szCs w:val="20"/>
              </w:rPr>
            </w:pPr>
          </w:p>
        </w:tc>
      </w:tr>
      <w:tr w:rsidR="00D41518" w:rsidRPr="00D41518" w14:paraId="0ABF001E" w14:textId="77777777" w:rsidTr="00462628">
        <w:trPr>
          <w:cantSplit/>
        </w:trPr>
        <w:tc>
          <w:tcPr>
            <w:tcW w:w="5000" w:type="pct"/>
            <w:tcBorders>
              <w:top w:val="single" w:sz="6" w:space="0" w:color="78A22F"/>
              <w:left w:val="nil"/>
              <w:bottom w:val="nil"/>
              <w:right w:val="nil"/>
            </w:tcBorders>
            <w:tcMar>
              <w:left w:w="170" w:type="dxa"/>
              <w:right w:w="170" w:type="dxa"/>
            </w:tcMar>
          </w:tcPr>
          <w:p w14:paraId="1C33CFFE" w14:textId="77777777" w:rsidR="00D41518" w:rsidRPr="00D41518" w:rsidRDefault="00D41518" w:rsidP="00D41518">
            <w:pPr>
              <w:keepLines/>
              <w:spacing w:before="60" w:after="60" w:line="80" w:lineRule="exact"/>
              <w:jc w:val="both"/>
              <w:rPr>
                <w:rFonts w:ascii="Arial" w:hAnsi="Arial"/>
                <w:sz w:val="14"/>
                <w:szCs w:val="20"/>
              </w:rPr>
            </w:pPr>
          </w:p>
        </w:tc>
      </w:tr>
    </w:tbl>
    <w:p w14:paraId="5C744541" w14:textId="77777777" w:rsidR="00D41518" w:rsidRPr="00D41518" w:rsidRDefault="00D41518" w:rsidP="00D9735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8"/>
      </w:tblGrid>
      <w:tr w:rsidR="00D41518" w:rsidRPr="00D41518" w14:paraId="393136B2" w14:textId="77777777" w:rsidTr="0066342F">
        <w:trPr>
          <w:cantSplit/>
          <w:tblHeader/>
        </w:trPr>
        <w:tc>
          <w:tcPr>
            <w:tcW w:w="5000" w:type="pct"/>
            <w:tcBorders>
              <w:top w:val="single" w:sz="6" w:space="0" w:color="78A22F"/>
              <w:left w:val="nil"/>
              <w:bottom w:val="nil"/>
              <w:right w:val="nil"/>
            </w:tcBorders>
            <w:shd w:val="clear" w:color="auto" w:fill="F2F2F2" w:themeFill="background1" w:themeFillShade="F2"/>
            <w:tcMar>
              <w:left w:w="170" w:type="dxa"/>
              <w:right w:w="170" w:type="dxa"/>
            </w:tcMar>
          </w:tcPr>
          <w:p w14:paraId="7391BDF4" w14:textId="12E4F8F5" w:rsidR="00D41518" w:rsidRPr="00D41518" w:rsidRDefault="00D41518" w:rsidP="00892E32">
            <w:pPr>
              <w:pStyle w:val="FindingTitle"/>
              <w:spacing w:before="120"/>
              <w:rPr>
                <w:noProof/>
              </w:rPr>
            </w:pPr>
            <w:r w:rsidRPr="00D41518">
              <w:t>Finding 3.1</w:t>
            </w:r>
            <w:r w:rsidR="00CE7986">
              <w:rPr>
                <w:noProof/>
              </w:rPr>
              <w:t> — </w:t>
            </w:r>
            <w:r w:rsidRPr="00D41518">
              <w:rPr>
                <w:noProof/>
              </w:rPr>
              <w:t>The cost of mental ill</w:t>
            </w:r>
            <w:r w:rsidRPr="00D41518">
              <w:rPr>
                <w:noProof/>
              </w:rPr>
              <w:noBreakHyphen/>
              <w:t xml:space="preserve">health and suicide to australia </w:t>
            </w:r>
          </w:p>
        </w:tc>
      </w:tr>
      <w:tr w:rsidR="00D41518" w:rsidRPr="00D41518" w14:paraId="6A58D561" w14:textId="77777777" w:rsidTr="0066342F">
        <w:trPr>
          <w:cantSplit/>
        </w:trPr>
        <w:tc>
          <w:tcPr>
            <w:tcW w:w="5000" w:type="pct"/>
            <w:tcBorders>
              <w:top w:val="nil"/>
              <w:left w:val="nil"/>
              <w:bottom w:val="nil"/>
              <w:right w:val="nil"/>
            </w:tcBorders>
            <w:shd w:val="clear" w:color="auto" w:fill="F2F2F2" w:themeFill="background1" w:themeFillShade="F2"/>
            <w:tcMar>
              <w:left w:w="170" w:type="dxa"/>
              <w:right w:w="170" w:type="dxa"/>
            </w:tcMar>
          </w:tcPr>
          <w:p w14:paraId="599085BD" w14:textId="77777777" w:rsidR="00EA498D" w:rsidRDefault="0095151E" w:rsidP="00DA651A">
            <w:pPr>
              <w:pStyle w:val="Finding"/>
            </w:pPr>
            <w:r w:rsidRPr="00D41518">
              <w:t xml:space="preserve">The costs of mental ill-health and suicide are </w:t>
            </w:r>
            <w:r>
              <w:t>substantial. They</w:t>
            </w:r>
            <w:r w:rsidRPr="00D41518">
              <w:t xml:space="preserve"> </w:t>
            </w:r>
            <w:r>
              <w:t>are incurred across the healthcare, education, housing and</w:t>
            </w:r>
            <w:r w:rsidRPr="00D41518">
              <w:t xml:space="preserve"> justice</w:t>
            </w:r>
            <w:r>
              <w:t xml:space="preserve"> sectors; by workplaces;</w:t>
            </w:r>
            <w:r w:rsidRPr="00D41518">
              <w:t xml:space="preserve"> </w:t>
            </w:r>
            <w:r>
              <w:t xml:space="preserve">and by </w:t>
            </w:r>
            <w:r w:rsidRPr="00D41518">
              <w:t>consumers</w:t>
            </w:r>
            <w:r>
              <w:t xml:space="preserve"> and their families and carers. </w:t>
            </w:r>
          </w:p>
          <w:p w14:paraId="5DCCEFEE" w14:textId="1867922F" w:rsidR="00D41518" w:rsidRPr="00D41518" w:rsidRDefault="00D41518" w:rsidP="00DA651A">
            <w:pPr>
              <w:pStyle w:val="Finding"/>
            </w:pPr>
            <w:bookmarkStart w:id="1" w:name="OLE_LINK4"/>
            <w:r w:rsidRPr="00D41518">
              <w:t>The direct economic costs of mental ill</w:t>
            </w:r>
            <w:r w:rsidRPr="00D41518">
              <w:noBreakHyphen/>
              <w:t xml:space="preserve">health and suicide in Australia are estimated </w:t>
            </w:r>
            <w:r w:rsidR="00D150D2">
              <w:t>at</w:t>
            </w:r>
            <w:r w:rsidR="00D150D2" w:rsidRPr="00D41518">
              <w:t xml:space="preserve"> </w:t>
            </w:r>
            <w:r w:rsidRPr="00D41518">
              <w:t>$</w:t>
            </w:r>
            <w:r w:rsidR="00EC293C">
              <w:t>4</w:t>
            </w:r>
            <w:r w:rsidR="00E77FDF">
              <w:t>3</w:t>
            </w:r>
            <w:r w:rsidR="00381C88">
              <w:t>–</w:t>
            </w:r>
            <w:r w:rsidR="004568BD">
              <w:t>7</w:t>
            </w:r>
            <w:r w:rsidR="00E77FDF">
              <w:t>0</w:t>
            </w:r>
            <w:r w:rsidRPr="00D41518">
              <w:t> billion in 2018</w:t>
            </w:r>
            <w:r w:rsidR="001B06BF">
              <w:noBreakHyphen/>
            </w:r>
            <w:r w:rsidRPr="00D41518">
              <w:t xml:space="preserve">19. These estimates </w:t>
            </w:r>
            <w:r w:rsidR="003318B9">
              <w:t>include</w:t>
            </w:r>
            <w:r w:rsidRPr="00D41518">
              <w:t>:</w:t>
            </w:r>
          </w:p>
          <w:bookmarkEnd w:id="1"/>
          <w:p w14:paraId="1A1D5E32" w14:textId="77777777" w:rsidR="00D41518" w:rsidRPr="006E1E6F" w:rsidRDefault="00D41518" w:rsidP="006E1E6F">
            <w:pPr>
              <w:pStyle w:val="FindingBullet"/>
            </w:pPr>
            <w:r w:rsidRPr="006E1E6F">
              <w:t>direct expenditure on healthcare and other supports and services ($1</w:t>
            </w:r>
            <w:r w:rsidR="00E77FDF" w:rsidRPr="006E1E6F">
              <w:t>6</w:t>
            </w:r>
            <w:r w:rsidR="00F93687" w:rsidRPr="006E1E6F">
              <w:t> </w:t>
            </w:r>
            <w:r w:rsidRPr="006E1E6F">
              <w:t>billion)</w:t>
            </w:r>
          </w:p>
          <w:p w14:paraId="73B36ABE" w14:textId="565D4C1F" w:rsidR="00D41518" w:rsidRPr="006E1E6F" w:rsidRDefault="00D41518" w:rsidP="006E1E6F">
            <w:pPr>
              <w:pStyle w:val="FindingBullet"/>
            </w:pPr>
            <w:r w:rsidRPr="006E1E6F">
              <w:t>lower economic participation and lost productivity ($</w:t>
            </w:r>
            <w:r w:rsidR="00EC293C" w:rsidRPr="006E1E6F">
              <w:t>1</w:t>
            </w:r>
            <w:r w:rsidR="004568BD" w:rsidRPr="006E1E6F">
              <w:t>2</w:t>
            </w:r>
            <w:r w:rsidR="00381C88" w:rsidRPr="006E1E6F">
              <w:t>–</w:t>
            </w:r>
            <w:r w:rsidR="00F93687" w:rsidRPr="006E1E6F">
              <w:t>3</w:t>
            </w:r>
            <w:r w:rsidR="004568BD" w:rsidRPr="006E1E6F">
              <w:t>9</w:t>
            </w:r>
            <w:r w:rsidR="00F93687" w:rsidRPr="006E1E6F">
              <w:t> </w:t>
            </w:r>
            <w:r w:rsidRPr="006E1E6F">
              <w:t xml:space="preserve">billion) </w:t>
            </w:r>
          </w:p>
          <w:p w14:paraId="4512FF46" w14:textId="77777777" w:rsidR="00D41518" w:rsidRPr="006E1E6F" w:rsidRDefault="00D41518" w:rsidP="006E1E6F">
            <w:pPr>
              <w:pStyle w:val="FindingBullet"/>
            </w:pPr>
            <w:bookmarkStart w:id="2" w:name="OLE_LINK5"/>
            <w:r w:rsidRPr="006E1E6F">
              <w:t>informal care provided by family and friends ($15 billion)</w:t>
            </w:r>
            <w:r w:rsidR="003318B9" w:rsidRPr="006E1E6F">
              <w:t>.</w:t>
            </w:r>
            <w:bookmarkEnd w:id="2"/>
            <w:r w:rsidR="003318B9" w:rsidRPr="006E1E6F">
              <w:t xml:space="preserve"> </w:t>
            </w:r>
          </w:p>
          <w:p w14:paraId="04D7EAD6" w14:textId="3C1E444D" w:rsidR="00D41518" w:rsidRPr="00D41518" w:rsidRDefault="00F93687" w:rsidP="00A74D34">
            <w:pPr>
              <w:pStyle w:val="Finding"/>
            </w:pPr>
            <w:bookmarkStart w:id="3" w:name="OLE_LINK7"/>
            <w:r w:rsidRPr="00F93687">
              <w:t>The cost of disability and premature death due to mental ill</w:t>
            </w:r>
            <w:r w:rsidR="002F5F71">
              <w:t>-health</w:t>
            </w:r>
            <w:r w:rsidRPr="00F93687">
              <w:t>, suicide and self</w:t>
            </w:r>
            <w:r>
              <w:noBreakHyphen/>
            </w:r>
            <w:r w:rsidRPr="00F93687">
              <w:t>inflicted injury is equivalent to a further $1</w:t>
            </w:r>
            <w:r w:rsidR="00972445">
              <w:t>5</w:t>
            </w:r>
            <w:r w:rsidRPr="00F93687">
              <w:t>1</w:t>
            </w:r>
            <w:r w:rsidR="00A74D34">
              <w:t> </w:t>
            </w:r>
            <w:r w:rsidRPr="00F93687">
              <w:t>billion</w:t>
            </w:r>
            <w:r w:rsidR="00D41518" w:rsidRPr="00D41518">
              <w:t>.</w:t>
            </w:r>
            <w:r w:rsidR="00F1600B">
              <w:t xml:space="preserve"> </w:t>
            </w:r>
            <w:r w:rsidR="003318B9" w:rsidRPr="003318B9">
              <w:t xml:space="preserve">The social and emotional costs of lower social </w:t>
            </w:r>
            <w:r w:rsidR="00B71B39">
              <w:t>inclusion</w:t>
            </w:r>
            <w:r w:rsidR="003318B9" w:rsidRPr="003318B9">
              <w:t xml:space="preserve"> as</w:t>
            </w:r>
            <w:r w:rsidR="00B71B39">
              <w:t xml:space="preserve">sociated with mental </w:t>
            </w:r>
            <w:r w:rsidR="002F5F71">
              <w:t>ill-health</w:t>
            </w:r>
            <w:r w:rsidR="00B71B39">
              <w:t xml:space="preserve">, if </w:t>
            </w:r>
            <w:r w:rsidR="003318B9" w:rsidRPr="003318B9">
              <w:t>quantified</w:t>
            </w:r>
            <w:r w:rsidR="00B71B39">
              <w:t>, would add to this</w:t>
            </w:r>
            <w:r w:rsidR="003318B9">
              <w:t>.</w:t>
            </w:r>
            <w:bookmarkEnd w:id="3"/>
            <w:r w:rsidR="003318B9">
              <w:t xml:space="preserve"> </w:t>
            </w:r>
          </w:p>
        </w:tc>
      </w:tr>
      <w:tr w:rsidR="00D41518" w:rsidRPr="00D41518" w14:paraId="05617D2F" w14:textId="77777777" w:rsidTr="0066342F">
        <w:tc>
          <w:tcPr>
            <w:tcW w:w="5000" w:type="pct"/>
            <w:tcBorders>
              <w:top w:val="nil"/>
              <w:left w:val="nil"/>
              <w:bottom w:val="single" w:sz="6" w:space="0" w:color="78A22F"/>
              <w:right w:val="nil"/>
            </w:tcBorders>
            <w:shd w:val="clear" w:color="auto" w:fill="F2F2F2" w:themeFill="background1" w:themeFillShade="F2"/>
          </w:tcPr>
          <w:p w14:paraId="6CFEC892" w14:textId="77777777" w:rsidR="00D41518" w:rsidRPr="00D41518" w:rsidRDefault="00D41518" w:rsidP="00D41518">
            <w:pPr>
              <w:keepNext/>
              <w:keepLines/>
              <w:spacing w:line="120" w:lineRule="exact"/>
              <w:jc w:val="both"/>
              <w:rPr>
                <w:rFonts w:ascii="Arial" w:hAnsi="Arial"/>
                <w:sz w:val="20"/>
                <w:szCs w:val="20"/>
              </w:rPr>
            </w:pPr>
          </w:p>
        </w:tc>
      </w:tr>
      <w:tr w:rsidR="00D41518" w:rsidRPr="00D41518" w14:paraId="52BB3BE6" w14:textId="77777777" w:rsidTr="00462628">
        <w:tc>
          <w:tcPr>
            <w:tcW w:w="5000" w:type="pct"/>
            <w:tcBorders>
              <w:top w:val="single" w:sz="6" w:space="0" w:color="78A22F"/>
              <w:left w:val="nil"/>
              <w:bottom w:val="nil"/>
              <w:right w:val="nil"/>
            </w:tcBorders>
          </w:tcPr>
          <w:p w14:paraId="080C162C" w14:textId="77777777" w:rsidR="00D41518" w:rsidRPr="00D41518" w:rsidRDefault="00D41518" w:rsidP="00D41518">
            <w:pPr>
              <w:keepLines/>
              <w:spacing w:before="60" w:after="60" w:line="80" w:lineRule="exact"/>
              <w:jc w:val="both"/>
              <w:rPr>
                <w:rFonts w:ascii="Arial" w:hAnsi="Arial"/>
                <w:sz w:val="14"/>
                <w:szCs w:val="20"/>
              </w:rPr>
            </w:pPr>
          </w:p>
        </w:tc>
      </w:tr>
    </w:tbl>
    <w:p w14:paraId="09735597" w14:textId="5A902B1B" w:rsidR="00E335B1" w:rsidRDefault="00E335B1" w:rsidP="0066342F">
      <w:pPr>
        <w:pStyle w:val="BoxSpaceAbove"/>
        <w:keepLines/>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8"/>
      </w:tblGrid>
      <w:tr w:rsidR="00E335B1" w:rsidRPr="0081772D" w14:paraId="34E34AF4" w14:textId="77777777" w:rsidTr="0066342F">
        <w:trPr>
          <w:tblHeader/>
        </w:trPr>
        <w:tc>
          <w:tcPr>
            <w:tcW w:w="5000" w:type="pct"/>
            <w:tcBorders>
              <w:top w:val="single" w:sz="6" w:space="0" w:color="78A22F"/>
              <w:left w:val="nil"/>
              <w:bottom w:val="nil"/>
              <w:right w:val="nil"/>
            </w:tcBorders>
            <w:shd w:val="clear" w:color="auto" w:fill="F2F2F2" w:themeFill="background1" w:themeFillShade="F2"/>
            <w:tcMar>
              <w:left w:w="170" w:type="dxa"/>
              <w:right w:w="170" w:type="dxa"/>
            </w:tcMar>
          </w:tcPr>
          <w:p w14:paraId="28A74A8A" w14:textId="39F86281" w:rsidR="00E335B1" w:rsidRPr="0081772D" w:rsidRDefault="00E335B1" w:rsidP="005E64FD">
            <w:pPr>
              <w:pStyle w:val="FindingTitle"/>
              <w:spacing w:before="120"/>
              <w:rPr>
                <w:noProof/>
              </w:rPr>
            </w:pPr>
            <w:r>
              <w:t>finding</w:t>
            </w:r>
            <w:r w:rsidRPr="0081772D">
              <w:t xml:space="preserve"> </w:t>
            </w:r>
            <w:r>
              <w:t>4.</w:t>
            </w:r>
            <w:r w:rsidRPr="0081772D">
              <w:t>1</w:t>
            </w:r>
            <w:r w:rsidR="00CE7986">
              <w:t> — </w:t>
            </w:r>
            <w:r w:rsidRPr="0081772D">
              <w:t>a person</w:t>
            </w:r>
            <w:r>
              <w:noBreakHyphen/>
            </w:r>
            <w:r w:rsidRPr="0081772D">
              <w:t>centred mental health system</w:t>
            </w:r>
          </w:p>
        </w:tc>
      </w:tr>
      <w:tr w:rsidR="00E335B1" w:rsidRPr="003F0D22" w14:paraId="2924B738" w14:textId="77777777" w:rsidTr="0066342F">
        <w:tc>
          <w:tcPr>
            <w:tcW w:w="5000" w:type="pct"/>
            <w:tcBorders>
              <w:top w:val="nil"/>
              <w:left w:val="nil"/>
              <w:bottom w:val="nil"/>
              <w:right w:val="nil"/>
            </w:tcBorders>
            <w:shd w:val="clear" w:color="auto" w:fill="F2F2F2" w:themeFill="background1" w:themeFillShade="F2"/>
            <w:tcMar>
              <w:left w:w="170" w:type="dxa"/>
              <w:right w:w="170" w:type="dxa"/>
            </w:tcMar>
          </w:tcPr>
          <w:p w14:paraId="0EBF3CAC" w14:textId="46360658" w:rsidR="00E335B1" w:rsidRPr="005F63FF" w:rsidRDefault="00E335B1" w:rsidP="0066342F">
            <w:pPr>
              <w:pStyle w:val="Finding"/>
              <w:keepNext/>
            </w:pPr>
            <w:r w:rsidRPr="003F0D22">
              <w:rPr>
                <w:rFonts w:cs="Arial"/>
              </w:rPr>
              <w:t xml:space="preserve">The </w:t>
            </w:r>
            <w:r w:rsidRPr="005F63FF">
              <w:t>Australian mental health system should be person</w:t>
            </w:r>
            <w:r>
              <w:noBreakHyphen/>
            </w:r>
            <w:r w:rsidRPr="005F63FF">
              <w:t xml:space="preserve">centred, </w:t>
            </w:r>
            <w:r w:rsidR="00592F3B" w:rsidRPr="003160B3" w:rsidDel="001B4DBB">
              <w:t xml:space="preserve">supporting prevention by </w:t>
            </w:r>
            <w:r w:rsidRPr="005F63FF">
              <w:t>reducing the risk of an individual developing mental ill</w:t>
            </w:r>
            <w:r>
              <w:noBreakHyphen/>
            </w:r>
            <w:r w:rsidRPr="005F63FF">
              <w:t xml:space="preserve">health and enabling early intervention </w:t>
            </w:r>
            <w:r>
              <w:t>if</w:t>
            </w:r>
            <w:r w:rsidRPr="005F63FF">
              <w:t xml:space="preserve"> ill</w:t>
            </w:r>
            <w:r w:rsidR="00381C88">
              <w:t>ness</w:t>
            </w:r>
            <w:r w:rsidRPr="005F63FF">
              <w:t xml:space="preserve"> develops. </w:t>
            </w:r>
          </w:p>
          <w:p w14:paraId="598757A4" w14:textId="77777777" w:rsidR="00E335B1" w:rsidRDefault="00E335B1" w:rsidP="0066342F">
            <w:pPr>
              <w:pStyle w:val="Finding"/>
              <w:keepNext/>
            </w:pPr>
            <w:r w:rsidRPr="005F63FF">
              <w:t>A person</w:t>
            </w:r>
            <w:r>
              <w:noBreakHyphen/>
            </w:r>
            <w:r w:rsidRPr="005F63FF">
              <w:t xml:space="preserve">centred mental health system </w:t>
            </w:r>
            <w:r>
              <w:t>would comprise</w:t>
            </w:r>
            <w:r w:rsidRPr="005F63FF">
              <w:t xml:space="preserve"> </w:t>
            </w:r>
            <w:r>
              <w:t xml:space="preserve">the full spectrum of </w:t>
            </w:r>
            <w:r w:rsidRPr="005F63FF">
              <w:t xml:space="preserve">community support and clinical services </w:t>
            </w:r>
            <w:r>
              <w:t>people</w:t>
            </w:r>
            <w:r w:rsidRPr="005F63FF">
              <w:t xml:space="preserve"> </w:t>
            </w:r>
            <w:r>
              <w:t xml:space="preserve">may </w:t>
            </w:r>
            <w:r w:rsidRPr="005F63FF">
              <w:t>need to recover</w:t>
            </w:r>
            <w:r>
              <w:t xml:space="preserve"> from mental ill</w:t>
            </w:r>
            <w:r>
              <w:noBreakHyphen/>
              <w:t xml:space="preserve">health </w:t>
            </w:r>
            <w:r w:rsidRPr="005F63FF">
              <w:t xml:space="preserve">and live healthy, productive lives. </w:t>
            </w:r>
            <w:r>
              <w:t>C</w:t>
            </w:r>
            <w:r w:rsidRPr="005F63FF">
              <w:t>onsumers and carers</w:t>
            </w:r>
            <w:r>
              <w:t xml:space="preserve"> should be able to access the services they need when they need them</w:t>
            </w:r>
            <w:r w:rsidRPr="005F63FF">
              <w:t xml:space="preserve">, regardless of administrative </w:t>
            </w:r>
            <w:r>
              <w:t xml:space="preserve">or funding </w:t>
            </w:r>
            <w:r w:rsidRPr="005F63FF">
              <w:t>structures</w:t>
            </w:r>
            <w:r>
              <w:t xml:space="preserve"> underpinning them.</w:t>
            </w:r>
            <w:r w:rsidRPr="005F63FF">
              <w:t xml:space="preserve"> </w:t>
            </w:r>
            <w:r w:rsidRPr="00657A40">
              <w:t>Wherever possible, such services would reflect the cultural, social and clinical preferences of the consumer.</w:t>
            </w:r>
          </w:p>
          <w:p w14:paraId="383A2185" w14:textId="69AF5126" w:rsidR="00E335B1" w:rsidRPr="001D6DDE" w:rsidRDefault="00E335B1" w:rsidP="00C620F7">
            <w:pPr>
              <w:pStyle w:val="Finding"/>
              <w:keepNext/>
            </w:pPr>
            <w:r>
              <w:t>S</w:t>
            </w:r>
            <w:r w:rsidRPr="005F63FF">
              <w:t xml:space="preserve">ervices should </w:t>
            </w:r>
            <w:r w:rsidR="00381C88">
              <w:t xml:space="preserve">be </w:t>
            </w:r>
            <w:r w:rsidR="00395238">
              <w:t xml:space="preserve">delivered by a skilled workforce, </w:t>
            </w:r>
            <w:r w:rsidRPr="005F63FF">
              <w:t xml:space="preserve">supported by technology </w:t>
            </w:r>
            <w:r>
              <w:t>and comprehensive governance arrangements</w:t>
            </w:r>
            <w:r w:rsidRPr="00D07499">
              <w:rPr>
                <w:rFonts w:cs="Arial"/>
              </w:rPr>
              <w:t xml:space="preserve">, to ensure that </w:t>
            </w:r>
            <w:r>
              <w:rPr>
                <w:rFonts w:cs="Arial"/>
              </w:rPr>
              <w:t>they are responsive to local needs and can</w:t>
            </w:r>
            <w:r w:rsidRPr="00D07499">
              <w:rPr>
                <w:rFonts w:cs="Arial"/>
              </w:rPr>
              <w:t xml:space="preserve"> be readily ramped up and down </w:t>
            </w:r>
            <w:r>
              <w:rPr>
                <w:rFonts w:cs="Arial"/>
              </w:rPr>
              <w:t>as needs change</w:t>
            </w:r>
            <w:r w:rsidRPr="00D07499">
              <w:rPr>
                <w:rFonts w:cs="Arial"/>
              </w:rPr>
              <w:t>.</w:t>
            </w:r>
            <w:r>
              <w:t xml:space="preserve"> </w:t>
            </w:r>
          </w:p>
        </w:tc>
      </w:tr>
      <w:tr w:rsidR="00E335B1" w14:paraId="0AF0F19F" w14:textId="77777777" w:rsidTr="0066342F">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0095B943" w14:textId="77777777" w:rsidR="00E335B1" w:rsidRDefault="00E335B1" w:rsidP="0066342F">
            <w:pPr>
              <w:pStyle w:val="Space"/>
              <w:keepLines/>
            </w:pPr>
          </w:p>
        </w:tc>
      </w:tr>
      <w:tr w:rsidR="00E335B1" w:rsidRPr="00626D32" w14:paraId="2ACFED39" w14:textId="77777777" w:rsidTr="005813CD">
        <w:tc>
          <w:tcPr>
            <w:tcW w:w="5000" w:type="pct"/>
            <w:tcBorders>
              <w:top w:val="single" w:sz="6" w:space="0" w:color="78A22F"/>
              <w:left w:val="nil"/>
              <w:bottom w:val="nil"/>
              <w:right w:val="nil"/>
            </w:tcBorders>
            <w:tcMar>
              <w:left w:w="170" w:type="dxa"/>
              <w:right w:w="170" w:type="dxa"/>
            </w:tcMar>
          </w:tcPr>
          <w:p w14:paraId="58720FAB" w14:textId="14C4289F" w:rsidR="00E335B1" w:rsidRPr="00626D32" w:rsidRDefault="00E335B1" w:rsidP="0066342F">
            <w:pPr>
              <w:pStyle w:val="BoxSpaceBelow"/>
              <w:keepNext/>
              <w:keepLines/>
            </w:pPr>
          </w:p>
        </w:tc>
      </w:tr>
    </w:tbl>
    <w:p w14:paraId="768F20A2" w14:textId="5E68A0DE" w:rsidR="00E335B1" w:rsidRPr="004E3B94" w:rsidRDefault="00E335B1" w:rsidP="00E335B1">
      <w:pPr>
        <w:pStyle w:val="BoxSpaceAbove"/>
      </w:pPr>
    </w:p>
    <w:tbl>
      <w:tblPr>
        <w:tblW w:w="5000" w:type="pct"/>
        <w:tblBorders>
          <w:top w:val="single" w:sz="6" w:space="0" w:color="78A22F"/>
          <w:left w:val="single" w:sz="6" w:space="0" w:color="78A22F"/>
          <w:bottom w:val="single" w:sz="6" w:space="0" w:color="78A22F"/>
          <w:right w:val="single" w:sz="6" w:space="0" w:color="78A22F"/>
        </w:tblBorders>
        <w:shd w:val="clear" w:color="auto" w:fill="F2F2F2" w:themeFill="background1" w:themeFillShade="F2"/>
        <w:tblCellMar>
          <w:left w:w="142" w:type="dxa"/>
          <w:right w:w="142" w:type="dxa"/>
        </w:tblCellMar>
        <w:tblLook w:val="0000" w:firstRow="0" w:lastRow="0" w:firstColumn="0" w:lastColumn="0" w:noHBand="0" w:noVBand="0"/>
        <w:tblDescription w:val="Table used for design layout: finding"/>
      </w:tblPr>
      <w:tblGrid>
        <w:gridCol w:w="8788"/>
      </w:tblGrid>
      <w:tr w:rsidR="00E335B1" w14:paraId="2151D3C4" w14:textId="77777777" w:rsidTr="0066342F">
        <w:trPr>
          <w:cantSplit/>
          <w:tblHeader/>
        </w:trPr>
        <w:tc>
          <w:tcPr>
            <w:tcW w:w="5000" w:type="pct"/>
            <w:tcBorders>
              <w:top w:val="single" w:sz="6" w:space="0" w:color="78A22F"/>
              <w:left w:val="nil"/>
              <w:bottom w:val="nil"/>
              <w:right w:val="nil"/>
            </w:tcBorders>
            <w:shd w:val="clear" w:color="auto" w:fill="F2F2F2" w:themeFill="background1" w:themeFillShade="F2"/>
            <w:tcMar>
              <w:left w:w="170" w:type="dxa"/>
              <w:right w:w="170" w:type="dxa"/>
            </w:tcMar>
          </w:tcPr>
          <w:p w14:paraId="6BE3E840" w14:textId="3DA70319" w:rsidR="00E335B1" w:rsidRPr="00CE4C64" w:rsidRDefault="00E335B1" w:rsidP="00105E0E">
            <w:pPr>
              <w:pStyle w:val="FindingTitle"/>
              <w:spacing w:before="120"/>
              <w:rPr>
                <w:noProof/>
              </w:rPr>
            </w:pPr>
            <w:r>
              <w:t>Finding 4.</w:t>
            </w:r>
            <w:r>
              <w:rPr>
                <w:noProof/>
              </w:rPr>
              <w:t>2</w:t>
            </w:r>
            <w:r w:rsidR="00CE7986">
              <w:rPr>
                <w:noProof/>
              </w:rPr>
              <w:t> — </w:t>
            </w:r>
            <w:r w:rsidRPr="00D41518">
              <w:rPr>
                <w:noProof/>
              </w:rPr>
              <w:t xml:space="preserve">Modelled benefits of key </w:t>
            </w:r>
            <w:r w:rsidR="00105E0E">
              <w:rPr>
                <w:noProof/>
              </w:rPr>
              <w:t>recommended</w:t>
            </w:r>
            <w:r w:rsidR="00105E0E" w:rsidRPr="00D41518">
              <w:rPr>
                <w:noProof/>
              </w:rPr>
              <w:t xml:space="preserve"> </w:t>
            </w:r>
            <w:r w:rsidRPr="00D41518">
              <w:rPr>
                <w:noProof/>
              </w:rPr>
              <w:t>reforms</w:t>
            </w:r>
          </w:p>
        </w:tc>
      </w:tr>
      <w:tr w:rsidR="00E335B1" w:rsidRPr="00750BE2" w14:paraId="39BBFBE1" w14:textId="77777777" w:rsidTr="0066342F">
        <w:trPr>
          <w:cantSplit/>
        </w:trPr>
        <w:tc>
          <w:tcPr>
            <w:tcW w:w="5000" w:type="pct"/>
            <w:tcBorders>
              <w:top w:val="nil"/>
              <w:left w:val="nil"/>
              <w:bottom w:val="nil"/>
              <w:right w:val="nil"/>
            </w:tcBorders>
            <w:shd w:val="clear" w:color="auto" w:fill="F2F2F2" w:themeFill="background1" w:themeFillShade="F2"/>
            <w:tcMar>
              <w:left w:w="170" w:type="dxa"/>
              <w:right w:w="170" w:type="dxa"/>
            </w:tcMar>
          </w:tcPr>
          <w:p w14:paraId="5B35CB10" w14:textId="5AE5EDF9" w:rsidR="00E335B1" w:rsidRDefault="00A60AD6" w:rsidP="00592F3B">
            <w:pPr>
              <w:pStyle w:val="Finding"/>
              <w:keepNext/>
            </w:pPr>
            <w:r w:rsidRPr="003160B3">
              <w:t>Improvements to people’s mental health increase their likelihood of employment and their expected income, while also improving their health</w:t>
            </w:r>
            <w:r>
              <w:noBreakHyphen/>
            </w:r>
            <w:r w:rsidRPr="003160B3">
              <w:t xml:space="preserve">related quality of life. </w:t>
            </w:r>
            <w:r>
              <w:t>The benefits from the recommended reforms are substantial and are mainly derived from improvements in people’s quality of life</w:t>
            </w:r>
            <w:r w:rsidR="00CE7986">
              <w:t> — </w:t>
            </w:r>
            <w:r>
              <w:t>up to $18</w:t>
            </w:r>
            <w:r w:rsidRPr="003160B3">
              <w:t xml:space="preserve"> billion per year (corresponding to an improvement in quality</w:t>
            </w:r>
            <w:r>
              <w:noBreakHyphen/>
            </w:r>
            <w:r w:rsidRPr="003160B3">
              <w:t>adjusted life years of up to</w:t>
            </w:r>
            <w:r>
              <w:t xml:space="preserve"> 84</w:t>
            </w:r>
            <w:r w:rsidRPr="003160B3">
              <w:t> 000 annually).</w:t>
            </w:r>
            <w:r>
              <w:t xml:space="preserve"> There would be additional annual benefits of </w:t>
            </w:r>
            <w:r w:rsidRPr="003160B3">
              <w:t>up to $1.</w:t>
            </w:r>
            <w:r>
              <w:t>3</w:t>
            </w:r>
            <w:r w:rsidRPr="003160B3">
              <w:t xml:space="preserve"> billion per year</w:t>
            </w:r>
            <w:r>
              <w:t xml:space="preserve"> as a result of increased economic participation and productivity.</w:t>
            </w:r>
            <w:r w:rsidRPr="003160B3">
              <w:t xml:space="preserve"> </w:t>
            </w:r>
            <w:r>
              <w:t>These benefits would require expenditure of up to $4.2</w:t>
            </w:r>
            <w:r w:rsidR="00592F3B">
              <w:t> </w:t>
            </w:r>
            <w:r>
              <w:t xml:space="preserve">billion per year and generate savings of up to $1.7 billion per year. </w:t>
            </w:r>
          </w:p>
        </w:tc>
      </w:tr>
      <w:tr w:rsidR="0066342F" w14:paraId="737BF3FD" w14:textId="77777777" w:rsidTr="0066342F">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38AA2C8D" w14:textId="77777777" w:rsidR="0066342F" w:rsidRDefault="0066342F" w:rsidP="001A5E28">
            <w:pPr>
              <w:pStyle w:val="Space"/>
              <w:keepLines/>
            </w:pPr>
          </w:p>
        </w:tc>
      </w:tr>
      <w:tr w:rsidR="0066342F" w:rsidRPr="00626D32" w14:paraId="03396300" w14:textId="77777777" w:rsidTr="00F603E1">
        <w:tc>
          <w:tcPr>
            <w:tcW w:w="5000" w:type="pct"/>
            <w:tcBorders>
              <w:top w:val="single" w:sz="6" w:space="0" w:color="78A22F"/>
              <w:left w:val="nil"/>
              <w:bottom w:val="nil"/>
              <w:right w:val="nil"/>
            </w:tcBorders>
            <w:shd w:val="clear" w:color="auto" w:fill="auto"/>
            <w:tcMar>
              <w:left w:w="170" w:type="dxa"/>
              <w:right w:w="170" w:type="dxa"/>
            </w:tcMar>
          </w:tcPr>
          <w:p w14:paraId="754C17C9" w14:textId="77777777" w:rsidR="0066342F" w:rsidRPr="00626D32" w:rsidRDefault="0066342F" w:rsidP="001A5E28">
            <w:pPr>
              <w:pStyle w:val="BoxSpaceBelow"/>
              <w:keepNext/>
              <w:keepLines/>
            </w:pPr>
          </w:p>
        </w:tc>
      </w:tr>
    </w:tbl>
    <w:p w14:paraId="2B6FEF1E" w14:textId="067ECAAA" w:rsidR="005B7285" w:rsidRPr="00CE7986" w:rsidRDefault="005B7285" w:rsidP="0066342F">
      <w:pPr>
        <w:pStyle w:val="Heading2"/>
        <w:pageBreakBefore/>
        <w:rPr>
          <w:color w:val="3B5117"/>
        </w:rPr>
      </w:pPr>
      <w:r w:rsidRPr="00CE7986">
        <w:rPr>
          <w:color w:val="3B5117"/>
        </w:rPr>
        <w:lastRenderedPageBreak/>
        <w:t>PART II</w:t>
      </w:r>
      <w:r w:rsidRPr="00CE7986">
        <w:rPr>
          <w:color w:val="3B5117"/>
        </w:rPr>
        <w:tab/>
      </w:r>
      <w:r w:rsidR="001B4578" w:rsidRPr="00CE7986">
        <w:rPr>
          <w:color w:val="3B5117"/>
        </w:rPr>
        <w:t xml:space="preserve">Prevention and </w:t>
      </w:r>
      <w:r w:rsidR="00854FC7" w:rsidRPr="00CE7986">
        <w:rPr>
          <w:color w:val="3B5117"/>
        </w:rPr>
        <w:t>e</w:t>
      </w:r>
      <w:r w:rsidR="001B4578" w:rsidRPr="00CE7986">
        <w:rPr>
          <w:color w:val="3B5117"/>
        </w:rPr>
        <w:t xml:space="preserve">arly </w:t>
      </w:r>
      <w:r w:rsidR="00854FC7" w:rsidRPr="00CE7986">
        <w:rPr>
          <w:color w:val="3B5117"/>
        </w:rPr>
        <w:t>i</w:t>
      </w:r>
      <w:r w:rsidR="001B4578" w:rsidRPr="00CE7986">
        <w:rPr>
          <w:color w:val="3B5117"/>
        </w:rPr>
        <w:t>ntervention</w:t>
      </w:r>
      <w:r w:rsidRPr="00CE7986">
        <w:rPr>
          <w:color w:val="3B5117"/>
        </w:rPr>
        <w:t xml:space="preserve"> </w:t>
      </w:r>
    </w:p>
    <w:p w14:paraId="00352B4B" w14:textId="3A6731C8" w:rsidR="005B7285" w:rsidRDefault="005B7285" w:rsidP="0066342F">
      <w:pPr>
        <w:pStyle w:val="Heading3"/>
        <w:spacing w:before="360"/>
      </w:pPr>
      <w:r w:rsidRPr="0066342F">
        <w:t>Early childhood</w:t>
      </w:r>
      <w:r w:rsidR="00CE1144">
        <w:t xml:space="preserve"> and schooling</w:t>
      </w:r>
    </w:p>
    <w:p w14:paraId="068CBAF5" w14:textId="77777777" w:rsidR="0066342F" w:rsidRPr="0066342F" w:rsidRDefault="0066342F" w:rsidP="00F603E1">
      <w:pPr>
        <w:pStyle w:val="BoxSpaceAbove"/>
        <w:spacing w:before="240"/>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A92CDE" w:rsidRPr="00CE7986" w14:paraId="365FEB72" w14:textId="77777777" w:rsidTr="004F5341">
        <w:trPr>
          <w:tblHeader/>
        </w:trPr>
        <w:tc>
          <w:tcPr>
            <w:tcW w:w="5000" w:type="pct"/>
            <w:tcBorders>
              <w:top w:val="single" w:sz="6" w:space="0" w:color="78A22F"/>
              <w:left w:val="nil"/>
              <w:bottom w:val="nil"/>
              <w:right w:val="nil"/>
            </w:tcBorders>
            <w:shd w:val="clear" w:color="auto" w:fill="auto"/>
            <w:tcMar>
              <w:left w:w="170" w:type="dxa"/>
              <w:right w:w="170" w:type="dxa"/>
            </w:tcMar>
          </w:tcPr>
          <w:p w14:paraId="7E3AF1EC" w14:textId="60248B3F" w:rsidR="005B7285" w:rsidRPr="00CE7986" w:rsidRDefault="007441FB" w:rsidP="005E64FD">
            <w:pPr>
              <w:pStyle w:val="RecTitle"/>
              <w:spacing w:before="120"/>
              <w:rPr>
                <w:b/>
                <w:color w:val="3B5117"/>
              </w:rPr>
            </w:pPr>
            <w:r w:rsidRPr="00CE7986">
              <w:rPr>
                <w:b/>
                <w:color w:val="3B5117"/>
              </w:rPr>
              <w:t xml:space="preserve">Action </w:t>
            </w:r>
            <w:r w:rsidR="004E1FEB" w:rsidRPr="00CE7986">
              <w:rPr>
                <w:b/>
                <w:color w:val="3B5117"/>
              </w:rPr>
              <w:t>5</w:t>
            </w:r>
            <w:r w:rsidR="005B7285" w:rsidRPr="00CE7986">
              <w:rPr>
                <w:b/>
                <w:color w:val="3B5117"/>
              </w:rPr>
              <w:t>.1</w:t>
            </w:r>
            <w:r w:rsidR="00CE7986">
              <w:rPr>
                <w:b/>
                <w:color w:val="3B5117"/>
              </w:rPr>
              <w:t> — </w:t>
            </w:r>
            <w:r w:rsidR="005B7285" w:rsidRPr="00CE7986">
              <w:rPr>
                <w:b/>
                <w:color w:val="3B5117"/>
              </w:rPr>
              <w:t>perinatal mental health</w:t>
            </w:r>
          </w:p>
        </w:tc>
      </w:tr>
      <w:tr w:rsidR="005B7285" w:rsidRPr="00D41518" w14:paraId="19B34BC2" w14:textId="77777777" w:rsidTr="004F5341">
        <w:tc>
          <w:tcPr>
            <w:tcW w:w="5000" w:type="pct"/>
            <w:tcBorders>
              <w:top w:val="nil"/>
              <w:left w:val="nil"/>
              <w:bottom w:val="nil"/>
              <w:right w:val="nil"/>
            </w:tcBorders>
            <w:shd w:val="clear" w:color="auto" w:fill="F2F2F2"/>
            <w:tcMar>
              <w:left w:w="170" w:type="dxa"/>
              <w:right w:w="170" w:type="dxa"/>
            </w:tcMar>
          </w:tcPr>
          <w:p w14:paraId="18D83215" w14:textId="77777777" w:rsidR="005B7285" w:rsidRPr="00D41518" w:rsidRDefault="005B7285" w:rsidP="0066342F">
            <w:pPr>
              <w:pStyle w:val="Rec"/>
            </w:pPr>
            <w:r w:rsidRPr="00D41518">
              <w:t>Governments should take coordinated action to achieve universal screening for perinatal mental illness</w:t>
            </w:r>
            <w:r>
              <w:t xml:space="preserve"> for all new parents</w:t>
            </w:r>
            <w:r w:rsidRPr="00D41518">
              <w:t xml:space="preserve">. </w:t>
            </w:r>
          </w:p>
          <w:p w14:paraId="390615EA" w14:textId="77777777" w:rsidR="005B7285" w:rsidRPr="00D41518" w:rsidRDefault="002246D6" w:rsidP="0066342F">
            <w:pPr>
              <w:pStyle w:val="Rec"/>
              <w:rPr>
                <w:i/>
              </w:rPr>
            </w:pPr>
            <w:r w:rsidRPr="002246D6">
              <w:rPr>
                <w:i/>
              </w:rPr>
              <w:t>Start now</w:t>
            </w:r>
          </w:p>
          <w:p w14:paraId="39837405" w14:textId="4427B1D3" w:rsidR="005B7285" w:rsidRDefault="005B7285" w:rsidP="0066342F">
            <w:pPr>
              <w:pStyle w:val="Rec"/>
            </w:pPr>
            <w:r>
              <w:t xml:space="preserve">In order to </w:t>
            </w:r>
            <w:r w:rsidR="00085582">
              <w:t xml:space="preserve">determine </w:t>
            </w:r>
            <w:r w:rsidR="00A42C07">
              <w:t>current</w:t>
            </w:r>
            <w:r>
              <w:t xml:space="preserve"> screening rates and prioritise interventions, better data is required</w:t>
            </w:r>
            <w:r w:rsidR="000A34F5">
              <w:t>.</w:t>
            </w:r>
          </w:p>
          <w:p w14:paraId="0306BEA2" w14:textId="0D6680D8" w:rsidR="005B7285" w:rsidRPr="00571446" w:rsidRDefault="005B7285" w:rsidP="00571446">
            <w:pPr>
              <w:pStyle w:val="RecBullet"/>
            </w:pPr>
            <w:r w:rsidRPr="00571446">
              <w:t>The Australian Institute of Health and Welfare</w:t>
            </w:r>
            <w:r w:rsidR="00F9715E" w:rsidRPr="00571446">
              <w:t xml:space="preserve"> (AIHW) </w:t>
            </w:r>
            <w:r w:rsidRPr="00571446">
              <w:t>should expand the Perinatal National Minimum Data Set, to include indicators of mental health screening in the weeks before and immediately after birth.</w:t>
            </w:r>
          </w:p>
          <w:p w14:paraId="34CC0606" w14:textId="32468184" w:rsidR="005B7285" w:rsidRPr="00571446" w:rsidRDefault="005B7285" w:rsidP="00571446">
            <w:pPr>
              <w:pStyle w:val="RecBullet"/>
            </w:pPr>
            <w:r w:rsidRPr="00571446">
              <w:t>State and Territory Governments should collect data on screening undertaken by maternal and child health nurses</w:t>
            </w:r>
            <w:r w:rsidR="00855DE9" w:rsidRPr="00571446">
              <w:t xml:space="preserve"> and provide this data to the AIHW.</w:t>
            </w:r>
            <w:r w:rsidRPr="00571446">
              <w:t xml:space="preserve">  </w:t>
            </w:r>
          </w:p>
          <w:p w14:paraId="120FDE5D" w14:textId="162BFE73" w:rsidR="005B7285" w:rsidRPr="00571446" w:rsidRDefault="00855DE9" w:rsidP="00571446">
            <w:pPr>
              <w:pStyle w:val="RecBullet"/>
            </w:pPr>
            <w:r w:rsidRPr="00571446">
              <w:t>Using the data from the AIHW, t</w:t>
            </w:r>
            <w:r w:rsidR="005B7285" w:rsidRPr="00571446">
              <w:t xml:space="preserve">he National Mental Health Commission should commence monitoring and reporting on progress towards universal screening.  </w:t>
            </w:r>
          </w:p>
          <w:p w14:paraId="05D25986" w14:textId="77777777" w:rsidR="005B7285" w:rsidRPr="00D41518" w:rsidRDefault="002246D6" w:rsidP="0066342F">
            <w:pPr>
              <w:pStyle w:val="Rec"/>
              <w:rPr>
                <w:i/>
              </w:rPr>
            </w:pPr>
            <w:r w:rsidRPr="002246D6">
              <w:rPr>
                <w:i/>
              </w:rPr>
              <w:t>Start later</w:t>
            </w:r>
          </w:p>
          <w:p w14:paraId="71C124F2" w14:textId="41DDD60D" w:rsidR="005B7285" w:rsidRPr="00D41518" w:rsidRDefault="005B7285" w:rsidP="0066342F">
            <w:pPr>
              <w:pStyle w:val="Rec"/>
            </w:pPr>
            <w:r w:rsidRPr="00D41518">
              <w:t xml:space="preserve">State and Territory Governments should put in place strategies to reach universal levels of screening for perinatal mental illness </w:t>
            </w:r>
            <w:r w:rsidR="00085582">
              <w:t>among</w:t>
            </w:r>
            <w:r w:rsidR="00085582" w:rsidRPr="00D41518">
              <w:t xml:space="preserve"> </w:t>
            </w:r>
            <w:r w:rsidRPr="00D41518">
              <w:t>new parents. Such strategies should be implemented primarily through existing maternal and child health services, and make use of a range of screening channels, including online screening and outreach services.</w:t>
            </w:r>
          </w:p>
        </w:tc>
      </w:tr>
      <w:tr w:rsidR="005B7285" w:rsidRPr="00D41518" w14:paraId="2CB86236"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0E6DFE10" w14:textId="77777777" w:rsidR="005B7285" w:rsidRPr="00D41518" w:rsidRDefault="005B7285" w:rsidP="004F5341">
            <w:pPr>
              <w:keepNext/>
              <w:keepLines/>
              <w:spacing w:line="120" w:lineRule="exact"/>
              <w:jc w:val="both"/>
              <w:rPr>
                <w:rFonts w:ascii="Arial" w:hAnsi="Arial"/>
                <w:sz w:val="20"/>
                <w:szCs w:val="20"/>
              </w:rPr>
            </w:pPr>
          </w:p>
        </w:tc>
      </w:tr>
      <w:tr w:rsidR="005B7285" w:rsidRPr="00D41518" w14:paraId="67E121B6" w14:textId="77777777" w:rsidTr="004F5341">
        <w:tc>
          <w:tcPr>
            <w:tcW w:w="5000" w:type="pct"/>
            <w:tcBorders>
              <w:top w:val="single" w:sz="6" w:space="0" w:color="78A22F"/>
              <w:left w:val="nil"/>
              <w:bottom w:val="nil"/>
              <w:right w:val="nil"/>
            </w:tcBorders>
            <w:tcMar>
              <w:left w:w="170" w:type="dxa"/>
              <w:right w:w="170" w:type="dxa"/>
            </w:tcMar>
          </w:tcPr>
          <w:p w14:paraId="389C8683" w14:textId="77777777" w:rsidR="005B7285" w:rsidRPr="00D41518" w:rsidRDefault="005B7285" w:rsidP="00E85057">
            <w:pPr>
              <w:spacing w:before="60" w:after="60" w:line="80" w:lineRule="exact"/>
              <w:jc w:val="both"/>
              <w:rPr>
                <w:rFonts w:ascii="Arial" w:hAnsi="Arial"/>
                <w:sz w:val="14"/>
                <w:szCs w:val="20"/>
              </w:rPr>
            </w:pPr>
          </w:p>
        </w:tc>
      </w:tr>
    </w:tbl>
    <w:p w14:paraId="42D71FF4" w14:textId="77777777" w:rsidR="004F5341" w:rsidRDefault="004F5341" w:rsidP="002842A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4F5341" w:rsidRPr="00CE7986" w14:paraId="58DB2C7A" w14:textId="77777777" w:rsidTr="004F5341">
        <w:trPr>
          <w:tblHeader/>
        </w:trPr>
        <w:tc>
          <w:tcPr>
            <w:tcW w:w="5000" w:type="pct"/>
            <w:tcBorders>
              <w:top w:val="single" w:sz="6" w:space="0" w:color="78A22F"/>
              <w:left w:val="nil"/>
              <w:bottom w:val="nil"/>
              <w:right w:val="nil"/>
            </w:tcBorders>
            <w:shd w:val="clear" w:color="auto" w:fill="FFFFFF"/>
            <w:tcMar>
              <w:left w:w="170" w:type="dxa"/>
              <w:right w:w="170" w:type="dxa"/>
            </w:tcMar>
          </w:tcPr>
          <w:p w14:paraId="10DBBC80" w14:textId="6E4B6DB4" w:rsidR="004F5341" w:rsidRPr="00CE7986" w:rsidRDefault="007441FB" w:rsidP="004E1FEB">
            <w:pPr>
              <w:keepNext/>
              <w:spacing w:before="120" w:line="280" w:lineRule="atLeast"/>
              <w:ind w:left="3232" w:hanging="3232"/>
              <w:jc w:val="both"/>
              <w:rPr>
                <w:rFonts w:ascii="Arial" w:hAnsi="Arial"/>
                <w:b/>
                <w:caps/>
                <w:color w:val="3B5117"/>
                <w:sz w:val="18"/>
                <w:szCs w:val="20"/>
              </w:rPr>
            </w:pPr>
            <w:r w:rsidRPr="00CE7986">
              <w:rPr>
                <w:rFonts w:ascii="Arial" w:hAnsi="Arial"/>
                <w:b/>
                <w:caps/>
                <w:color w:val="3B5117"/>
                <w:sz w:val="18"/>
                <w:szCs w:val="20"/>
              </w:rPr>
              <w:t xml:space="preserve">Action </w:t>
            </w:r>
            <w:r w:rsidR="004E1FEB" w:rsidRPr="00CE7986">
              <w:rPr>
                <w:rFonts w:ascii="Arial" w:hAnsi="Arial"/>
                <w:b/>
                <w:caps/>
                <w:color w:val="3B5117"/>
                <w:sz w:val="18"/>
                <w:szCs w:val="20"/>
              </w:rPr>
              <w:t>5</w:t>
            </w:r>
            <w:r w:rsidR="004F5341" w:rsidRPr="00CE7986">
              <w:rPr>
                <w:rFonts w:ascii="Arial" w:hAnsi="Arial"/>
                <w:b/>
                <w:caps/>
                <w:color w:val="3B5117"/>
                <w:sz w:val="18"/>
                <w:szCs w:val="20"/>
              </w:rPr>
              <w:t>.2</w:t>
            </w:r>
            <w:r w:rsidR="00CE7986">
              <w:rPr>
                <w:rFonts w:ascii="Arial" w:hAnsi="Arial"/>
                <w:b/>
                <w:caps/>
                <w:color w:val="3B5117"/>
                <w:sz w:val="18"/>
                <w:szCs w:val="20"/>
              </w:rPr>
              <w:t> — </w:t>
            </w:r>
            <w:r w:rsidR="004F5341" w:rsidRPr="00CE7986">
              <w:rPr>
                <w:rFonts w:ascii="Arial" w:hAnsi="Arial"/>
                <w:b/>
                <w:caps/>
                <w:color w:val="3B5117"/>
                <w:sz w:val="18"/>
                <w:szCs w:val="20"/>
              </w:rPr>
              <w:t>social and emotional development in preschool children</w:t>
            </w:r>
          </w:p>
        </w:tc>
      </w:tr>
      <w:tr w:rsidR="004F5341" w:rsidRPr="00D41518" w14:paraId="086E3DBC" w14:textId="77777777" w:rsidTr="004F5341">
        <w:tc>
          <w:tcPr>
            <w:tcW w:w="5000" w:type="pct"/>
            <w:tcBorders>
              <w:top w:val="nil"/>
              <w:left w:val="nil"/>
              <w:bottom w:val="nil"/>
              <w:right w:val="nil"/>
            </w:tcBorders>
            <w:shd w:val="clear" w:color="auto" w:fill="F2F2F2"/>
            <w:tcMar>
              <w:left w:w="170" w:type="dxa"/>
              <w:right w:w="170" w:type="dxa"/>
            </w:tcMar>
          </w:tcPr>
          <w:p w14:paraId="6B462414" w14:textId="77777777" w:rsidR="004F5341" w:rsidRPr="005834DD" w:rsidRDefault="004F5341" w:rsidP="004F5341">
            <w:pPr>
              <w:pStyle w:val="Rec"/>
              <w:keepNext/>
            </w:pPr>
            <w:r w:rsidRPr="005834DD">
              <w:t xml:space="preserve">Services for preschool children and their families should have the capacity to support and enhance social and emotional development. </w:t>
            </w:r>
          </w:p>
          <w:p w14:paraId="7CE2F259" w14:textId="77777777" w:rsidR="004F5341" w:rsidRPr="005834DD" w:rsidRDefault="002246D6" w:rsidP="004F5341">
            <w:pPr>
              <w:pStyle w:val="Rec"/>
              <w:keepNext/>
              <w:rPr>
                <w:i/>
              </w:rPr>
            </w:pPr>
            <w:r w:rsidRPr="002246D6">
              <w:rPr>
                <w:i/>
              </w:rPr>
              <w:t>Start now</w:t>
            </w:r>
          </w:p>
          <w:p w14:paraId="29782D81" w14:textId="70174296" w:rsidR="004F5341" w:rsidRPr="00814268" w:rsidRDefault="004F5341" w:rsidP="0031380C">
            <w:pPr>
              <w:pStyle w:val="RecBullet"/>
            </w:pPr>
            <w:r w:rsidRPr="00814268">
              <w:t xml:space="preserve">State and </w:t>
            </w:r>
            <w:r w:rsidR="00D74586" w:rsidRPr="00814268">
              <w:t xml:space="preserve">Territory </w:t>
            </w:r>
            <w:r w:rsidRPr="00814268">
              <w:t xml:space="preserve">Governments should use existing guidelines to expand the scope of voluntary early childhood health checks, such that they assess children’s social and emotional development before they enter preschool. </w:t>
            </w:r>
          </w:p>
          <w:p w14:paraId="02767A5F" w14:textId="0E1D54CB" w:rsidR="004F5341" w:rsidRPr="00814268" w:rsidRDefault="004F5341" w:rsidP="0031380C">
            <w:pPr>
              <w:pStyle w:val="RecBullet"/>
            </w:pPr>
            <w:r w:rsidRPr="00814268">
              <w:t xml:space="preserve">State and </w:t>
            </w:r>
            <w:r w:rsidR="00D74586" w:rsidRPr="00814268">
              <w:t xml:space="preserve">Territory </w:t>
            </w:r>
            <w:r w:rsidRPr="00814268">
              <w:t xml:space="preserve">Governments should provide funding to enhance the ability of early childhood education and care services to support the social and emotional development of children. This funding should be allocated </w:t>
            </w:r>
            <w:r w:rsidR="00BE6B56" w:rsidRPr="00814268">
              <w:t>based on demonstrated need</w:t>
            </w:r>
            <w:r w:rsidR="00EC2237" w:rsidRPr="00814268">
              <w:t>, and services should be required to demonstrate better practices through their quality improvement plan. S</w:t>
            </w:r>
            <w:r w:rsidR="00F537E4" w:rsidRPr="00814268">
              <w:t>ervices should be able to use funds to:</w:t>
            </w:r>
          </w:p>
          <w:p w14:paraId="16412D16" w14:textId="6E382E72" w:rsidR="004F5341" w:rsidRPr="002842A0" w:rsidRDefault="003E5847" w:rsidP="00291482">
            <w:pPr>
              <w:pStyle w:val="BoxListBullet2"/>
              <w:tabs>
                <w:tab w:val="clear" w:pos="567"/>
              </w:tabs>
              <w:ind w:left="680" w:hanging="340"/>
            </w:pPr>
            <w:r w:rsidRPr="002842A0">
              <w:t xml:space="preserve">enable staff to attend </w:t>
            </w:r>
            <w:r w:rsidR="004F5341" w:rsidRPr="002842A0">
              <w:t>accredited professional development</w:t>
            </w:r>
            <w:r w:rsidR="00EC2237" w:rsidRPr="002842A0">
              <w:t xml:space="preserve"> (in</w:t>
            </w:r>
            <w:r w:rsidR="00814268" w:rsidRPr="002842A0">
              <w:t>cluding paying for backfilling)</w:t>
            </w:r>
            <w:r w:rsidR="00EC2237" w:rsidRPr="002842A0">
              <w:t xml:space="preserve"> </w:t>
            </w:r>
          </w:p>
          <w:p w14:paraId="1D277B80" w14:textId="30CD3F98" w:rsidR="004E7C9E" w:rsidRPr="002842A0" w:rsidRDefault="00BE6B56" w:rsidP="00291482">
            <w:pPr>
              <w:pStyle w:val="BoxListBullet2"/>
              <w:tabs>
                <w:tab w:val="clear" w:pos="567"/>
              </w:tabs>
              <w:ind w:left="680" w:hanging="340"/>
            </w:pPr>
            <w:r w:rsidRPr="002842A0">
              <w:t>access support and advice from qualified mental health professionals.</w:t>
            </w:r>
            <w:r w:rsidRPr="002842A0" w:rsidDel="00BE6B56">
              <w:t xml:space="preserve"> </w:t>
            </w:r>
          </w:p>
          <w:p w14:paraId="7ACED506" w14:textId="0EB99879" w:rsidR="004F5341" w:rsidRPr="005834DD" w:rsidRDefault="002246D6" w:rsidP="004F5341">
            <w:pPr>
              <w:pStyle w:val="Rec"/>
              <w:rPr>
                <w:i/>
              </w:rPr>
            </w:pPr>
            <w:r w:rsidRPr="002246D6">
              <w:rPr>
                <w:i/>
              </w:rPr>
              <w:t>Start later</w:t>
            </w:r>
          </w:p>
          <w:p w14:paraId="6BCF3D44" w14:textId="12C1DA99" w:rsidR="004F5341" w:rsidRPr="00D41518" w:rsidRDefault="004F5341" w:rsidP="0031380C">
            <w:pPr>
              <w:pStyle w:val="RecBullet"/>
            </w:pPr>
            <w:r>
              <w:t xml:space="preserve">State </w:t>
            </w:r>
            <w:r w:rsidRPr="005C76E8">
              <w:t xml:space="preserve">and </w:t>
            </w:r>
            <w:r w:rsidR="00883E35">
              <w:t>T</w:t>
            </w:r>
            <w:r w:rsidR="00883E35" w:rsidRPr="005C76E8">
              <w:t xml:space="preserve">erritory </w:t>
            </w:r>
            <w:r w:rsidR="00883E35">
              <w:t>G</w:t>
            </w:r>
            <w:r w:rsidR="00883E35" w:rsidRPr="005C76E8">
              <w:t>overnments</w:t>
            </w:r>
            <w:r w:rsidR="00883E35">
              <w:t xml:space="preserve"> </w:t>
            </w:r>
            <w:r>
              <w:t>should expand the provision of parent education programs through a range of channels, including online platforms and child and family health centres.</w:t>
            </w:r>
          </w:p>
        </w:tc>
      </w:tr>
      <w:tr w:rsidR="004F5341" w:rsidRPr="00D41518" w14:paraId="1188C504"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08431BA9" w14:textId="77777777" w:rsidR="004F5341" w:rsidRPr="00D41518" w:rsidRDefault="004F5341" w:rsidP="004F5341">
            <w:pPr>
              <w:keepNext/>
              <w:keepLines/>
              <w:spacing w:line="120" w:lineRule="exact"/>
              <w:jc w:val="both"/>
              <w:rPr>
                <w:rFonts w:ascii="Arial" w:hAnsi="Arial"/>
                <w:sz w:val="20"/>
                <w:szCs w:val="20"/>
              </w:rPr>
            </w:pPr>
          </w:p>
        </w:tc>
      </w:tr>
      <w:tr w:rsidR="004F5341" w:rsidRPr="00D41518" w14:paraId="20A80A91" w14:textId="77777777" w:rsidTr="004F5341">
        <w:tc>
          <w:tcPr>
            <w:tcW w:w="5000" w:type="pct"/>
            <w:tcBorders>
              <w:top w:val="single" w:sz="6" w:space="0" w:color="78A22F"/>
              <w:left w:val="nil"/>
              <w:bottom w:val="nil"/>
              <w:right w:val="nil"/>
            </w:tcBorders>
            <w:tcMar>
              <w:left w:w="170" w:type="dxa"/>
              <w:right w:w="170" w:type="dxa"/>
            </w:tcMar>
          </w:tcPr>
          <w:p w14:paraId="46FADAC8" w14:textId="77777777" w:rsidR="004F5341" w:rsidRPr="00D41518" w:rsidRDefault="004F5341" w:rsidP="004F5341">
            <w:pPr>
              <w:keepLines/>
              <w:spacing w:before="60" w:after="60" w:line="80" w:lineRule="exact"/>
              <w:jc w:val="both"/>
              <w:rPr>
                <w:rFonts w:ascii="Arial" w:hAnsi="Arial"/>
                <w:sz w:val="14"/>
                <w:szCs w:val="20"/>
              </w:rPr>
            </w:pPr>
          </w:p>
        </w:tc>
      </w:tr>
    </w:tbl>
    <w:p w14:paraId="69AA2355" w14:textId="77777777" w:rsidR="004F5341" w:rsidRPr="00D41518" w:rsidRDefault="004F5341" w:rsidP="00571446">
      <w:pPr>
        <w:pStyle w:val="BoxSpaceAbove"/>
        <w:keepLines/>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5B7285" w:rsidRPr="00CE7986" w14:paraId="70CAEA81" w14:textId="77777777" w:rsidTr="004F5341">
        <w:trPr>
          <w:tblHeader/>
        </w:trPr>
        <w:tc>
          <w:tcPr>
            <w:tcW w:w="5000" w:type="pct"/>
            <w:tcBorders>
              <w:top w:val="single" w:sz="6" w:space="0" w:color="78A22F"/>
              <w:left w:val="nil"/>
              <w:bottom w:val="nil"/>
              <w:right w:val="nil"/>
            </w:tcBorders>
            <w:shd w:val="clear" w:color="auto" w:fill="auto"/>
            <w:tcMar>
              <w:left w:w="170" w:type="dxa"/>
              <w:right w:w="170" w:type="dxa"/>
            </w:tcMar>
          </w:tcPr>
          <w:p w14:paraId="3F1A58BC" w14:textId="02BB29B2" w:rsidR="005B7285" w:rsidRPr="00CE7986" w:rsidRDefault="007441FB" w:rsidP="00571446">
            <w:pPr>
              <w:pStyle w:val="RecTitle"/>
              <w:spacing w:before="120"/>
              <w:rPr>
                <w:b/>
                <w:color w:val="3B5117"/>
              </w:rPr>
            </w:pPr>
            <w:r w:rsidRPr="00CE7986">
              <w:rPr>
                <w:b/>
                <w:color w:val="3B5117"/>
              </w:rPr>
              <w:t xml:space="preserve">Action </w:t>
            </w:r>
            <w:r w:rsidR="004E1FEB" w:rsidRPr="00CE7986">
              <w:rPr>
                <w:b/>
                <w:color w:val="3B5117"/>
              </w:rPr>
              <w:t>5</w:t>
            </w:r>
            <w:r w:rsidR="005B7285" w:rsidRPr="00CE7986">
              <w:rPr>
                <w:b/>
                <w:color w:val="3B5117"/>
              </w:rPr>
              <w:t>.3</w:t>
            </w:r>
            <w:r w:rsidR="00CE7986">
              <w:rPr>
                <w:b/>
                <w:color w:val="3B5117"/>
              </w:rPr>
              <w:t> — </w:t>
            </w:r>
            <w:r w:rsidR="005B7285" w:rsidRPr="00CE7986">
              <w:rPr>
                <w:b/>
                <w:color w:val="3B5117"/>
              </w:rPr>
              <w:t>wellbeing in the education system</w:t>
            </w:r>
          </w:p>
        </w:tc>
      </w:tr>
      <w:tr w:rsidR="005B7285" w:rsidRPr="00D41518" w14:paraId="28FDEE75" w14:textId="77777777" w:rsidTr="00F603E1">
        <w:tc>
          <w:tcPr>
            <w:tcW w:w="5000" w:type="pct"/>
            <w:tcBorders>
              <w:top w:val="nil"/>
              <w:left w:val="nil"/>
              <w:bottom w:val="nil"/>
              <w:right w:val="nil"/>
            </w:tcBorders>
            <w:shd w:val="clear" w:color="auto" w:fill="F2F2F2" w:themeFill="background1" w:themeFillShade="F2"/>
            <w:tcMar>
              <w:left w:w="170" w:type="dxa"/>
              <w:right w:w="170" w:type="dxa"/>
            </w:tcMar>
          </w:tcPr>
          <w:p w14:paraId="33933845" w14:textId="77777777" w:rsidR="005B7285" w:rsidRPr="00D41518" w:rsidRDefault="005B7285" w:rsidP="00571446">
            <w:pPr>
              <w:pStyle w:val="Rec"/>
              <w:keepNext/>
            </w:pPr>
            <w:r w:rsidRPr="00D41518">
              <w:t xml:space="preserve">Governments should develop a comprehensive set of policy responses to strengthen the ability of schools to assist students and deliver an effective social and emotional learning curriculum. </w:t>
            </w:r>
          </w:p>
          <w:p w14:paraId="31E28E00" w14:textId="77777777" w:rsidR="005B7285" w:rsidRPr="00912CC9" w:rsidRDefault="002246D6" w:rsidP="00571446">
            <w:pPr>
              <w:keepNext/>
              <w:keepLines/>
              <w:spacing w:before="120" w:line="280" w:lineRule="atLeast"/>
              <w:jc w:val="both"/>
              <w:rPr>
                <w:rFonts w:ascii="Arial" w:hAnsi="Arial"/>
                <w:i/>
                <w:sz w:val="22"/>
                <w:szCs w:val="22"/>
              </w:rPr>
            </w:pPr>
            <w:r w:rsidRPr="00912CC9">
              <w:rPr>
                <w:rFonts w:ascii="Arial" w:hAnsi="Arial"/>
                <w:i/>
                <w:sz w:val="22"/>
                <w:szCs w:val="22"/>
              </w:rPr>
              <w:t>Start now</w:t>
            </w:r>
          </w:p>
          <w:p w14:paraId="5B6E7528" w14:textId="4B0D4A3B" w:rsidR="005B7285" w:rsidRDefault="005B7285" w:rsidP="00571446">
            <w:pPr>
              <w:pStyle w:val="Rec"/>
              <w:keepNext/>
            </w:pPr>
            <w:r>
              <w:t xml:space="preserve">The </w:t>
            </w:r>
            <w:r w:rsidR="00B05EAF">
              <w:t xml:space="preserve">Australian, State and Territory Governments </w:t>
            </w:r>
            <w:r>
              <w:t xml:space="preserve">should update the National School Reform Agreement, to include improvements in student wellbeing as one of its outcomes. </w:t>
            </w:r>
          </w:p>
          <w:p w14:paraId="37917399" w14:textId="77777777" w:rsidR="005B7285" w:rsidRDefault="005B7285" w:rsidP="00571446">
            <w:pPr>
              <w:pStyle w:val="Rec"/>
              <w:keepNext/>
            </w:pPr>
            <w:r>
              <w:t>In line with other outcomes, the Agreement should include specific targets and measures of student wellbeing that the education system should work towards.</w:t>
            </w:r>
          </w:p>
          <w:p w14:paraId="620C75EB" w14:textId="7C4ED85E" w:rsidR="005B7285" w:rsidRDefault="005B7285" w:rsidP="00571446">
            <w:pPr>
              <w:pStyle w:val="Rec"/>
              <w:keepNext/>
            </w:pPr>
            <w:r>
              <w:t xml:space="preserve">To support the implementation of a national student wellbeing outcome, </w:t>
            </w:r>
            <w:r w:rsidR="00B05EAF">
              <w:t>Governments should develop or commission the development of</w:t>
            </w:r>
            <w:r w:rsidR="00381C88">
              <w:t>:</w:t>
            </w:r>
            <w:r w:rsidR="00B05EAF">
              <w:t xml:space="preserve"> </w:t>
            </w:r>
            <w:r w:rsidRPr="00D41518">
              <w:t xml:space="preserve"> </w:t>
            </w:r>
          </w:p>
          <w:p w14:paraId="1314A133" w14:textId="4CCBEAEF" w:rsidR="005B7285" w:rsidRPr="00C73936" w:rsidRDefault="005B7285" w:rsidP="00571446">
            <w:pPr>
              <w:pStyle w:val="RecBullet"/>
              <w:keepNext/>
            </w:pPr>
            <w:r>
              <w:t xml:space="preserve">a </w:t>
            </w:r>
            <w:r w:rsidRPr="00C73936">
              <w:t>nationally consistent minimum dataset, to be collected by all schools on the wellbeing of their students and be included in schools’ performance monitoring and reporting</w:t>
            </w:r>
            <w:r>
              <w:t xml:space="preserve"> </w:t>
            </w:r>
            <w:r w:rsidR="00C4524E">
              <w:t>(</w:t>
            </w:r>
            <w:r w:rsidR="00381C88">
              <w:t>A</w:t>
            </w:r>
            <w:r w:rsidR="00C4524E">
              <w:t>ction 5.7)</w:t>
            </w:r>
          </w:p>
          <w:p w14:paraId="1978D96D" w14:textId="530EE2FF" w:rsidR="005B7285" w:rsidRDefault="005B7285" w:rsidP="00571446">
            <w:pPr>
              <w:pStyle w:val="RecBullet"/>
              <w:keepNext/>
            </w:pPr>
            <w:r w:rsidRPr="00C73936">
              <w:t>guidelines for the accreditation of initial teacher education programs and professional development courses for teachers, which must include social and emotional learning</w:t>
            </w:r>
            <w:r w:rsidR="00C4524E">
              <w:t xml:space="preserve"> (</w:t>
            </w:r>
            <w:r w:rsidR="00381C88">
              <w:t>A</w:t>
            </w:r>
            <w:r w:rsidR="00C4524E">
              <w:t>ction 5.4)</w:t>
            </w:r>
          </w:p>
          <w:p w14:paraId="65E54E69" w14:textId="5A31B132" w:rsidR="005B7285" w:rsidRPr="004E7C9E" w:rsidRDefault="00C4524E" w:rsidP="00571446">
            <w:pPr>
              <w:pStyle w:val="RecBullet"/>
              <w:keepNext/>
              <w:rPr>
                <w:sz w:val="20"/>
              </w:rPr>
            </w:pPr>
            <w:r w:rsidRPr="00F60E6E">
              <w:rPr>
                <w:rFonts w:cs="Arial"/>
                <w:szCs w:val="22"/>
              </w:rPr>
              <w:t>guidelines for the accreditation of social and emotional learning programs offered to schools by external providers</w:t>
            </w:r>
            <w:r w:rsidR="00CB4670">
              <w:rPr>
                <w:rFonts w:cs="Arial"/>
                <w:szCs w:val="22"/>
              </w:rPr>
              <w:t>.</w:t>
            </w:r>
            <w:r w:rsidRPr="00F60E6E">
              <w:rPr>
                <w:rFonts w:cs="Arial"/>
                <w:szCs w:val="22"/>
              </w:rPr>
              <w:t xml:space="preserve"> (</w:t>
            </w:r>
            <w:r w:rsidR="00381C88">
              <w:rPr>
                <w:rFonts w:cs="Arial"/>
                <w:szCs w:val="22"/>
              </w:rPr>
              <w:t>A</w:t>
            </w:r>
            <w:r w:rsidRPr="00F60E6E">
              <w:rPr>
                <w:rFonts w:cs="Arial"/>
                <w:szCs w:val="22"/>
              </w:rPr>
              <w:t>ction 5.5)</w:t>
            </w:r>
          </w:p>
        </w:tc>
      </w:tr>
      <w:tr w:rsidR="00F603E1" w14:paraId="56F3F2D6" w14:textId="77777777" w:rsidTr="003B3426">
        <w:tblPrEx>
          <w:tblLook w:val="04A0" w:firstRow="1" w:lastRow="0" w:firstColumn="1" w:lastColumn="0" w:noHBand="0" w:noVBand="1"/>
        </w:tblPrEx>
        <w:tc>
          <w:tcPr>
            <w:tcW w:w="5000" w:type="pct"/>
            <w:tcBorders>
              <w:top w:val="nil"/>
              <w:left w:val="nil"/>
              <w:bottom w:val="single" w:sz="6" w:space="0" w:color="78A22F"/>
              <w:right w:val="nil"/>
            </w:tcBorders>
            <w:shd w:val="clear" w:color="auto" w:fill="F2F2F2" w:themeFill="background1" w:themeFillShade="F2"/>
            <w:tcMar>
              <w:top w:w="0" w:type="dxa"/>
              <w:left w:w="170" w:type="dxa"/>
              <w:bottom w:w="0" w:type="dxa"/>
              <w:right w:w="170" w:type="dxa"/>
            </w:tcMar>
          </w:tcPr>
          <w:p w14:paraId="2118FECE" w14:textId="77777777" w:rsidR="00F603E1" w:rsidRDefault="00F603E1" w:rsidP="00571446">
            <w:pPr>
              <w:keepNext/>
              <w:keepLines/>
              <w:spacing w:line="120" w:lineRule="exact"/>
              <w:jc w:val="both"/>
              <w:rPr>
                <w:rFonts w:ascii="Arial" w:hAnsi="Arial"/>
                <w:sz w:val="20"/>
                <w:szCs w:val="20"/>
              </w:rPr>
            </w:pPr>
          </w:p>
        </w:tc>
      </w:tr>
      <w:tr w:rsidR="00F603E1" w14:paraId="70BC7755" w14:textId="77777777" w:rsidTr="00F603E1">
        <w:tblPrEx>
          <w:tblLook w:val="04A0" w:firstRow="1" w:lastRow="0" w:firstColumn="1" w:lastColumn="0" w:noHBand="0" w:noVBand="1"/>
        </w:tblPrEx>
        <w:tc>
          <w:tcPr>
            <w:tcW w:w="5000" w:type="pct"/>
            <w:tcBorders>
              <w:top w:val="single" w:sz="6" w:space="0" w:color="78A22F"/>
              <w:left w:val="nil"/>
              <w:bottom w:val="nil"/>
              <w:right w:val="nil"/>
            </w:tcBorders>
            <w:tcMar>
              <w:top w:w="0" w:type="dxa"/>
              <w:left w:w="170" w:type="dxa"/>
              <w:bottom w:w="0" w:type="dxa"/>
              <w:right w:w="170" w:type="dxa"/>
            </w:tcMar>
          </w:tcPr>
          <w:p w14:paraId="51ACE43A" w14:textId="77777777" w:rsidR="00F603E1" w:rsidRDefault="00F603E1" w:rsidP="00571446">
            <w:pPr>
              <w:pStyle w:val="BoxSpaceBelow"/>
              <w:keepNext/>
              <w:keepLines/>
            </w:pPr>
          </w:p>
        </w:tc>
      </w:tr>
    </w:tbl>
    <w:p w14:paraId="5D212812" w14:textId="31584465" w:rsidR="00B05EAF" w:rsidRDefault="00B05EAF" w:rsidP="00B05EA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4A0" w:firstRow="1" w:lastRow="0" w:firstColumn="1" w:lastColumn="0" w:noHBand="0" w:noVBand="1"/>
        <w:tblDescription w:val="Table used for design layout: recommendation"/>
      </w:tblPr>
      <w:tblGrid>
        <w:gridCol w:w="8788"/>
      </w:tblGrid>
      <w:tr w:rsidR="00B05EAF" w:rsidRPr="00CE7986" w14:paraId="346ADD26" w14:textId="77777777" w:rsidTr="00B05EAF">
        <w:trPr>
          <w:tblHeader/>
        </w:trPr>
        <w:tc>
          <w:tcPr>
            <w:tcW w:w="5000" w:type="pct"/>
            <w:tcBorders>
              <w:top w:val="single" w:sz="6" w:space="0" w:color="78A22F"/>
              <w:left w:val="nil"/>
              <w:bottom w:val="nil"/>
              <w:right w:val="nil"/>
            </w:tcBorders>
            <w:tcMar>
              <w:top w:w="0" w:type="dxa"/>
              <w:left w:w="170" w:type="dxa"/>
              <w:bottom w:w="0" w:type="dxa"/>
              <w:right w:w="170" w:type="dxa"/>
            </w:tcMar>
            <w:hideMark/>
          </w:tcPr>
          <w:p w14:paraId="5C0B3130" w14:textId="3870F7EB" w:rsidR="00B05EAF" w:rsidRPr="00CE7986" w:rsidRDefault="00B05EAF" w:rsidP="005E64FD">
            <w:pPr>
              <w:pStyle w:val="RecTitle"/>
              <w:spacing w:before="120"/>
              <w:rPr>
                <w:b/>
                <w:color w:val="3B5117"/>
              </w:rPr>
            </w:pPr>
            <w:r w:rsidRPr="00CE7986">
              <w:rPr>
                <w:b/>
                <w:color w:val="3B5117"/>
              </w:rPr>
              <w:t>action 5.4</w:t>
            </w:r>
            <w:r w:rsidR="00CE7986">
              <w:rPr>
                <w:b/>
                <w:color w:val="3B5117"/>
              </w:rPr>
              <w:t> — </w:t>
            </w:r>
            <w:r w:rsidRPr="00CE7986">
              <w:rPr>
                <w:b/>
                <w:color w:val="3B5117"/>
              </w:rPr>
              <w:t>improving teachers’ skill sets</w:t>
            </w:r>
          </w:p>
        </w:tc>
      </w:tr>
      <w:tr w:rsidR="00B05EAF" w14:paraId="42204A2B" w14:textId="77777777" w:rsidTr="00B05EAF">
        <w:tc>
          <w:tcPr>
            <w:tcW w:w="5000" w:type="pct"/>
            <w:tcBorders>
              <w:top w:val="nil"/>
              <w:left w:val="nil"/>
              <w:bottom w:val="nil"/>
              <w:right w:val="nil"/>
            </w:tcBorders>
            <w:shd w:val="clear" w:color="auto" w:fill="F2F2F2"/>
            <w:tcMar>
              <w:top w:w="0" w:type="dxa"/>
              <w:left w:w="170" w:type="dxa"/>
              <w:bottom w:w="0" w:type="dxa"/>
              <w:right w:w="170" w:type="dxa"/>
            </w:tcMar>
            <w:hideMark/>
          </w:tcPr>
          <w:p w14:paraId="02B2C510" w14:textId="1BB7A3CE" w:rsidR="00B05EAF" w:rsidRDefault="00F60E6E">
            <w:pPr>
              <w:pStyle w:val="Rec"/>
              <w:rPr>
                <w:i/>
              </w:rPr>
            </w:pPr>
            <w:r>
              <w:rPr>
                <w:i/>
              </w:rPr>
              <w:t>Start later</w:t>
            </w:r>
          </w:p>
          <w:p w14:paraId="1F3EAA84" w14:textId="2331970A" w:rsidR="00B05EAF" w:rsidRDefault="00B05EAF" w:rsidP="001128C5">
            <w:pPr>
              <w:pStyle w:val="Rec"/>
            </w:pPr>
            <w:r>
              <w:t>State and Territory teacher regulatory authorities should accredit initial teacher education programs and professional development programs for teachers, using national guidelines (</w:t>
            </w:r>
            <w:r w:rsidR="001128C5">
              <w:t>A</w:t>
            </w:r>
            <w:r>
              <w:t>ction 5.3). Ongoing learning on child social and emotional development and wellbeing should form part of professional development requirements for all teachers. This should include the social and emotional wellbeing of Aboriginal and Torres Strait Islander children.</w:t>
            </w:r>
          </w:p>
        </w:tc>
      </w:tr>
      <w:tr w:rsidR="00B05EAF" w14:paraId="47C5C7F3" w14:textId="77777777" w:rsidTr="003B3426">
        <w:tc>
          <w:tcPr>
            <w:tcW w:w="5000" w:type="pct"/>
            <w:tcBorders>
              <w:top w:val="nil"/>
              <w:left w:val="nil"/>
              <w:bottom w:val="single" w:sz="6" w:space="0" w:color="78A22F"/>
              <w:right w:val="nil"/>
            </w:tcBorders>
            <w:shd w:val="clear" w:color="auto" w:fill="F2F2F2" w:themeFill="background1" w:themeFillShade="F2"/>
            <w:tcMar>
              <w:top w:w="0" w:type="dxa"/>
              <w:left w:w="170" w:type="dxa"/>
              <w:bottom w:w="0" w:type="dxa"/>
              <w:right w:w="170" w:type="dxa"/>
            </w:tcMar>
          </w:tcPr>
          <w:p w14:paraId="6BCA37A6" w14:textId="77777777" w:rsidR="00B05EAF" w:rsidRDefault="00B05EAF">
            <w:pPr>
              <w:keepNext/>
              <w:keepLines/>
              <w:spacing w:line="120" w:lineRule="exact"/>
              <w:jc w:val="both"/>
              <w:rPr>
                <w:rFonts w:ascii="Arial" w:hAnsi="Arial"/>
                <w:sz w:val="20"/>
                <w:szCs w:val="20"/>
              </w:rPr>
            </w:pPr>
          </w:p>
        </w:tc>
      </w:tr>
      <w:tr w:rsidR="00B05EAF" w14:paraId="2576AA39" w14:textId="77777777" w:rsidTr="00B05EAF">
        <w:tc>
          <w:tcPr>
            <w:tcW w:w="5000" w:type="pct"/>
            <w:tcBorders>
              <w:top w:val="single" w:sz="6" w:space="0" w:color="78A22F"/>
              <w:left w:val="nil"/>
              <w:bottom w:val="nil"/>
              <w:right w:val="nil"/>
            </w:tcBorders>
            <w:tcMar>
              <w:top w:w="0" w:type="dxa"/>
              <w:left w:w="170" w:type="dxa"/>
              <w:bottom w:w="0" w:type="dxa"/>
              <w:right w:w="170" w:type="dxa"/>
            </w:tcMar>
          </w:tcPr>
          <w:p w14:paraId="09949DCE" w14:textId="77777777" w:rsidR="00B05EAF" w:rsidRDefault="00B05EAF">
            <w:pPr>
              <w:keepLines/>
              <w:spacing w:before="60" w:after="60" w:line="80" w:lineRule="exact"/>
              <w:jc w:val="both"/>
              <w:rPr>
                <w:rFonts w:ascii="Arial" w:hAnsi="Arial"/>
                <w:sz w:val="14"/>
                <w:szCs w:val="20"/>
              </w:rPr>
            </w:pPr>
          </w:p>
        </w:tc>
      </w:tr>
    </w:tbl>
    <w:p w14:paraId="369C7C96" w14:textId="40BB1D85" w:rsidR="00B05EAF" w:rsidRDefault="00B05EAF" w:rsidP="00F603E1">
      <w:pPr>
        <w:pStyle w:val="BoxSpaceAbove"/>
        <w:keepLines/>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5B7285" w:rsidRPr="00CE7986" w14:paraId="7B313E7A" w14:textId="77777777" w:rsidTr="004F5341">
        <w:trPr>
          <w:tblHeader/>
        </w:trPr>
        <w:tc>
          <w:tcPr>
            <w:tcW w:w="5000" w:type="pct"/>
            <w:tcBorders>
              <w:top w:val="single" w:sz="6" w:space="0" w:color="78A22F"/>
              <w:left w:val="nil"/>
              <w:bottom w:val="nil"/>
              <w:right w:val="nil"/>
            </w:tcBorders>
            <w:shd w:val="clear" w:color="auto" w:fill="auto"/>
            <w:tcMar>
              <w:left w:w="170" w:type="dxa"/>
              <w:right w:w="170" w:type="dxa"/>
            </w:tcMar>
          </w:tcPr>
          <w:p w14:paraId="3B0CF574" w14:textId="1E350442" w:rsidR="005B7285" w:rsidRPr="00CE7986" w:rsidRDefault="007441FB" w:rsidP="005E64FD">
            <w:pPr>
              <w:pStyle w:val="RecTitle"/>
              <w:spacing w:before="120"/>
              <w:rPr>
                <w:b/>
                <w:color w:val="3B5117"/>
              </w:rPr>
            </w:pPr>
            <w:r w:rsidRPr="00CE7986">
              <w:rPr>
                <w:b/>
                <w:color w:val="3B5117"/>
              </w:rPr>
              <w:t xml:space="preserve">Action </w:t>
            </w:r>
            <w:r w:rsidR="004E1FEB" w:rsidRPr="00CE7986">
              <w:rPr>
                <w:b/>
                <w:color w:val="3B5117"/>
              </w:rPr>
              <w:t>5</w:t>
            </w:r>
            <w:r w:rsidR="005B7285" w:rsidRPr="00CE7986">
              <w:rPr>
                <w:b/>
                <w:color w:val="3B5117"/>
              </w:rPr>
              <w:t>.5</w:t>
            </w:r>
            <w:r w:rsidR="00CE7986">
              <w:rPr>
                <w:b/>
                <w:color w:val="3B5117"/>
              </w:rPr>
              <w:t> — </w:t>
            </w:r>
            <w:r w:rsidR="005B7285" w:rsidRPr="00CE7986">
              <w:rPr>
                <w:b/>
                <w:color w:val="3B5117"/>
              </w:rPr>
              <w:t>Accrediting Social and emotional programs in schools</w:t>
            </w:r>
          </w:p>
        </w:tc>
      </w:tr>
      <w:tr w:rsidR="005B7285" w:rsidRPr="00D41518" w14:paraId="7EA4884C" w14:textId="77777777" w:rsidTr="004F5341">
        <w:tc>
          <w:tcPr>
            <w:tcW w:w="5000" w:type="pct"/>
            <w:tcBorders>
              <w:top w:val="nil"/>
              <w:left w:val="nil"/>
              <w:bottom w:val="nil"/>
              <w:right w:val="nil"/>
            </w:tcBorders>
            <w:shd w:val="clear" w:color="auto" w:fill="F2F2F2"/>
            <w:tcMar>
              <w:left w:w="170" w:type="dxa"/>
              <w:right w:w="170" w:type="dxa"/>
            </w:tcMar>
          </w:tcPr>
          <w:p w14:paraId="28A4C5B3" w14:textId="69E90FD3" w:rsidR="00FE15AF" w:rsidRPr="00F60E6E" w:rsidRDefault="00FE15AF" w:rsidP="00F603E1">
            <w:pPr>
              <w:pStyle w:val="Rec"/>
              <w:keepNext/>
            </w:pPr>
            <w:r>
              <w:t xml:space="preserve">Social and emotional wellbeing programs delivered in schools should be </w:t>
            </w:r>
            <w:r w:rsidR="00DB2EF7">
              <w:t xml:space="preserve">based on rigorous evidence and have the ability to demonstrate improvement in </w:t>
            </w:r>
            <w:r w:rsidR="00C620F7">
              <w:t xml:space="preserve">student </w:t>
            </w:r>
            <w:r w:rsidR="00DB2EF7">
              <w:t>wellbeing outcomes</w:t>
            </w:r>
            <w:r>
              <w:t>.</w:t>
            </w:r>
          </w:p>
          <w:p w14:paraId="50985550" w14:textId="0B71D27D" w:rsidR="00FE15AF" w:rsidRPr="00F60E6E" w:rsidRDefault="00FE15AF" w:rsidP="00F603E1">
            <w:pPr>
              <w:keepNext/>
              <w:keepLines/>
              <w:spacing w:before="120" w:line="280" w:lineRule="atLeast"/>
              <w:jc w:val="both"/>
              <w:rPr>
                <w:i/>
                <w:iCs/>
              </w:rPr>
            </w:pPr>
            <w:r w:rsidRPr="00DB2EF7">
              <w:rPr>
                <w:rFonts w:ascii="Arial" w:hAnsi="Arial"/>
                <w:i/>
                <w:szCs w:val="20"/>
              </w:rPr>
              <w:t>Start now</w:t>
            </w:r>
          </w:p>
          <w:p w14:paraId="59CB9828" w14:textId="568CF72A" w:rsidR="00E31595" w:rsidRPr="00F60E6E" w:rsidRDefault="00E31595" w:rsidP="00A92CDE">
            <w:pPr>
              <w:pStyle w:val="Rec"/>
              <w:keepNext/>
            </w:pPr>
            <w:r>
              <w:t xml:space="preserve">To support the implementation of a national student wellbeing outcome, </w:t>
            </w:r>
            <w:r w:rsidR="00B05EAF">
              <w:t>Governments</w:t>
            </w:r>
            <w:r w:rsidRPr="00D41518">
              <w:t xml:space="preserve"> should develop </w:t>
            </w:r>
            <w:r w:rsidRPr="00C73936">
              <w:t>guidelines for the accreditation of social and emotional learning programs offered t</w:t>
            </w:r>
            <w:r>
              <w:t>o schools by external providers.</w:t>
            </w:r>
          </w:p>
          <w:p w14:paraId="2B36B845" w14:textId="148BFF3E" w:rsidR="005B7285" w:rsidRPr="00D41518" w:rsidRDefault="002246D6" w:rsidP="00F603E1">
            <w:pPr>
              <w:keepNext/>
              <w:keepLines/>
              <w:spacing w:before="120" w:line="280" w:lineRule="atLeast"/>
              <w:jc w:val="both"/>
              <w:rPr>
                <w:rFonts w:ascii="Arial" w:hAnsi="Arial"/>
                <w:i/>
                <w:szCs w:val="20"/>
              </w:rPr>
            </w:pPr>
            <w:r w:rsidRPr="002246D6">
              <w:rPr>
                <w:rFonts w:ascii="Arial" w:hAnsi="Arial"/>
                <w:i/>
                <w:szCs w:val="20"/>
              </w:rPr>
              <w:t>Start later</w:t>
            </w:r>
          </w:p>
          <w:p w14:paraId="6D4802E9" w14:textId="37DF37F4" w:rsidR="005B7285" w:rsidRPr="00D41518" w:rsidRDefault="005B7285" w:rsidP="001128C5">
            <w:pPr>
              <w:pStyle w:val="Rec"/>
              <w:keepNext/>
            </w:pPr>
            <w:r w:rsidRPr="00D41518">
              <w:t>State and Territory</w:t>
            </w:r>
            <w:r>
              <w:t xml:space="preserve"> </w:t>
            </w:r>
            <w:r w:rsidR="00A60AD6">
              <w:t>Government d</w:t>
            </w:r>
            <w:r w:rsidRPr="00D41518">
              <w:t>epartments of education should accredit social and emotional learning programs delivered in schools</w:t>
            </w:r>
            <w:r w:rsidR="00B05EAF">
              <w:t>, using national guidelines</w:t>
            </w:r>
            <w:r w:rsidR="00F60E6E">
              <w:t xml:space="preserve"> (</w:t>
            </w:r>
            <w:r w:rsidR="001128C5">
              <w:t>A</w:t>
            </w:r>
            <w:r w:rsidR="00F60E6E">
              <w:t>ction 5.3)</w:t>
            </w:r>
            <w:r w:rsidRPr="00D41518">
              <w:t>.</w:t>
            </w:r>
          </w:p>
        </w:tc>
      </w:tr>
      <w:tr w:rsidR="005B7285" w:rsidRPr="00D41518" w14:paraId="6EEF57B9"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090DBBEE" w14:textId="77777777" w:rsidR="005B7285" w:rsidRPr="00D41518" w:rsidRDefault="005B7285" w:rsidP="00F603E1">
            <w:pPr>
              <w:keepNext/>
              <w:keepLines/>
              <w:spacing w:line="120" w:lineRule="exact"/>
              <w:jc w:val="both"/>
              <w:rPr>
                <w:rFonts w:ascii="Arial" w:hAnsi="Arial"/>
                <w:sz w:val="20"/>
                <w:szCs w:val="20"/>
              </w:rPr>
            </w:pPr>
          </w:p>
        </w:tc>
      </w:tr>
      <w:tr w:rsidR="005B7285" w:rsidRPr="00D41518" w14:paraId="3A30B5B8" w14:textId="77777777" w:rsidTr="004F5341">
        <w:tc>
          <w:tcPr>
            <w:tcW w:w="5000" w:type="pct"/>
            <w:tcBorders>
              <w:top w:val="single" w:sz="6" w:space="0" w:color="78A22F"/>
              <w:left w:val="nil"/>
              <w:bottom w:val="nil"/>
              <w:right w:val="nil"/>
            </w:tcBorders>
            <w:tcMar>
              <w:left w:w="170" w:type="dxa"/>
              <w:right w:w="170" w:type="dxa"/>
            </w:tcMar>
          </w:tcPr>
          <w:p w14:paraId="6F05523C" w14:textId="77777777" w:rsidR="005B7285" w:rsidRPr="00D41518" w:rsidRDefault="005B7285" w:rsidP="00F603E1">
            <w:pPr>
              <w:keepNext/>
              <w:keepLines/>
              <w:spacing w:before="60" w:after="60" w:line="80" w:lineRule="exact"/>
              <w:jc w:val="both"/>
              <w:rPr>
                <w:rFonts w:ascii="Arial" w:hAnsi="Arial"/>
                <w:sz w:val="14"/>
                <w:szCs w:val="20"/>
              </w:rPr>
            </w:pPr>
          </w:p>
        </w:tc>
      </w:tr>
    </w:tbl>
    <w:p w14:paraId="79B8194D" w14:textId="77777777" w:rsidR="005B7285" w:rsidRDefault="005B7285" w:rsidP="00B80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5B7285" w:rsidRPr="005E64FD" w14:paraId="36EB1C2B" w14:textId="77777777" w:rsidTr="004F5341">
        <w:trPr>
          <w:tblHeader/>
        </w:trPr>
        <w:tc>
          <w:tcPr>
            <w:tcW w:w="5000" w:type="pct"/>
            <w:tcBorders>
              <w:top w:val="single" w:sz="6" w:space="0" w:color="78A22F"/>
              <w:left w:val="nil"/>
              <w:bottom w:val="nil"/>
              <w:right w:val="nil"/>
            </w:tcBorders>
            <w:shd w:val="clear" w:color="auto" w:fill="auto"/>
            <w:tcMar>
              <w:left w:w="170" w:type="dxa"/>
              <w:right w:w="170" w:type="dxa"/>
            </w:tcMar>
          </w:tcPr>
          <w:p w14:paraId="26AF876D" w14:textId="250EEA47" w:rsidR="005B7285" w:rsidRPr="005E64FD" w:rsidRDefault="007441FB" w:rsidP="00381C88">
            <w:pPr>
              <w:pStyle w:val="RecTitle"/>
              <w:spacing w:before="120"/>
              <w:rPr>
                <w:b/>
                <w:color w:val="3B5117"/>
              </w:rPr>
            </w:pPr>
            <w:r w:rsidRPr="005E64FD">
              <w:rPr>
                <w:b/>
                <w:color w:val="3B5117"/>
              </w:rPr>
              <w:t xml:space="preserve">Action </w:t>
            </w:r>
            <w:r w:rsidR="004E1FEB" w:rsidRPr="005E64FD">
              <w:rPr>
                <w:b/>
                <w:color w:val="3B5117"/>
              </w:rPr>
              <w:t>5</w:t>
            </w:r>
            <w:r w:rsidR="005B7285" w:rsidRPr="005E64FD">
              <w:rPr>
                <w:b/>
                <w:color w:val="3B5117"/>
              </w:rPr>
              <w:t>.6</w:t>
            </w:r>
            <w:r w:rsidR="00CE7986">
              <w:rPr>
                <w:b/>
                <w:color w:val="3B5117"/>
              </w:rPr>
              <w:t> — </w:t>
            </w:r>
            <w:r w:rsidR="005B7285" w:rsidRPr="005E64FD">
              <w:rPr>
                <w:b/>
                <w:color w:val="3B5117"/>
              </w:rPr>
              <w:t xml:space="preserve">wellbeing Strategies in schools </w:t>
            </w:r>
          </w:p>
        </w:tc>
      </w:tr>
      <w:tr w:rsidR="005B7285" w:rsidRPr="00D41518" w14:paraId="54B26D73" w14:textId="77777777" w:rsidTr="004F5341">
        <w:trPr>
          <w:trHeight w:val="3475"/>
        </w:trPr>
        <w:tc>
          <w:tcPr>
            <w:tcW w:w="5000" w:type="pct"/>
            <w:tcBorders>
              <w:top w:val="nil"/>
              <w:left w:val="nil"/>
              <w:bottom w:val="nil"/>
              <w:right w:val="nil"/>
            </w:tcBorders>
            <w:shd w:val="clear" w:color="auto" w:fill="F2F2F2"/>
            <w:tcMar>
              <w:left w:w="170" w:type="dxa"/>
              <w:right w:w="170" w:type="dxa"/>
            </w:tcMar>
          </w:tcPr>
          <w:p w14:paraId="74A4609B" w14:textId="21BA8D06" w:rsidR="005B7285" w:rsidRDefault="005B7285" w:rsidP="00455942">
            <w:pPr>
              <w:pStyle w:val="Rec"/>
            </w:pPr>
            <w:r w:rsidRPr="00D41518">
              <w:t>All schools should</w:t>
            </w:r>
            <w:r>
              <w:t xml:space="preserve"> be required to report on their progress against wellbeing outcomes, as set out by in an updated National School Reform Agreement (</w:t>
            </w:r>
            <w:r w:rsidR="001128C5">
              <w:t>A</w:t>
            </w:r>
            <w:r w:rsidR="00F60E6E">
              <w:t>ction 5</w:t>
            </w:r>
            <w:r>
              <w:t xml:space="preserve">.3). </w:t>
            </w:r>
          </w:p>
          <w:p w14:paraId="611B02FB" w14:textId="2C0D0A10" w:rsidR="005B7285" w:rsidRDefault="005B7285" w:rsidP="00455942">
            <w:pPr>
              <w:pStyle w:val="Rec"/>
            </w:pPr>
            <w:r>
              <w:t>In addition to outcomes, all schools should report to regulators on their dedicated strategies, including leadership and accountability structures, to deliver wellbeing outcomes for students</w:t>
            </w:r>
            <w:r w:rsidR="00B05EAF">
              <w:t xml:space="preserve"> and</w:t>
            </w:r>
            <w:r>
              <w:t xml:space="preserve"> teachers.</w:t>
            </w:r>
          </w:p>
          <w:p w14:paraId="644E4DF1" w14:textId="77777777" w:rsidR="005B7285" w:rsidRDefault="005B7285" w:rsidP="00455942">
            <w:pPr>
              <w:pStyle w:val="Rec"/>
            </w:pPr>
            <w:r>
              <w:t>Each school principal should be accountable for the development and monitoring of wellbeing strategies, and progress against national targets.</w:t>
            </w:r>
          </w:p>
          <w:p w14:paraId="2B1112EF" w14:textId="77777777" w:rsidR="005B7285" w:rsidRPr="00D41518" w:rsidRDefault="002246D6" w:rsidP="004F5341">
            <w:pPr>
              <w:keepNext/>
              <w:keepLines/>
              <w:spacing w:before="120" w:line="280" w:lineRule="atLeast"/>
              <w:jc w:val="both"/>
              <w:rPr>
                <w:rFonts w:ascii="Arial" w:hAnsi="Arial"/>
                <w:i/>
                <w:szCs w:val="20"/>
              </w:rPr>
            </w:pPr>
            <w:r w:rsidRPr="002246D6">
              <w:rPr>
                <w:rFonts w:ascii="Arial" w:hAnsi="Arial"/>
                <w:i/>
                <w:szCs w:val="20"/>
              </w:rPr>
              <w:t>Start now</w:t>
            </w:r>
          </w:p>
          <w:p w14:paraId="49102261" w14:textId="4A0823DA" w:rsidR="005B7285" w:rsidRPr="001137FF" w:rsidRDefault="005B7285" w:rsidP="00A92CDE">
            <w:pPr>
              <w:pStyle w:val="Rec"/>
            </w:pPr>
            <w:r w:rsidRPr="00D41518">
              <w:t>S</w:t>
            </w:r>
            <w:r w:rsidRPr="001137FF">
              <w:t>tate and Territory</w:t>
            </w:r>
            <w:r w:rsidR="00A60AD6">
              <w:t xml:space="preserve"> Government</w:t>
            </w:r>
            <w:r w:rsidRPr="001137FF">
              <w:t xml:space="preserve"> </w:t>
            </w:r>
            <w:r w:rsidR="00502F79">
              <w:t>d</w:t>
            </w:r>
            <w:r w:rsidR="00502F79" w:rsidRPr="001137FF">
              <w:t xml:space="preserve">epartments </w:t>
            </w:r>
            <w:r w:rsidRPr="001137FF">
              <w:t xml:space="preserve">of </w:t>
            </w:r>
            <w:r w:rsidR="00502F79">
              <w:t>e</w:t>
            </w:r>
            <w:r w:rsidR="00502F79" w:rsidRPr="001137FF">
              <w:t xml:space="preserve">ducation </w:t>
            </w:r>
            <w:r w:rsidRPr="001137FF">
              <w:t>should roll out nationally consistent wellbeing measures to monitor school performance in improving wellbeing. These measures should be incorporated in school performance processes and annual reports, similar to measures of progress in numeracy and literacy.</w:t>
            </w:r>
          </w:p>
          <w:p w14:paraId="0B03CEFD" w14:textId="77777777" w:rsidR="005B7285" w:rsidRPr="00D41518" w:rsidRDefault="002246D6" w:rsidP="004F5341">
            <w:pPr>
              <w:keepNext/>
              <w:keepLines/>
              <w:spacing w:before="120" w:line="280" w:lineRule="atLeast"/>
              <w:jc w:val="both"/>
              <w:rPr>
                <w:rFonts w:ascii="Arial" w:hAnsi="Arial"/>
                <w:i/>
                <w:szCs w:val="20"/>
              </w:rPr>
            </w:pPr>
            <w:r w:rsidRPr="002246D6">
              <w:rPr>
                <w:rFonts w:ascii="Arial" w:hAnsi="Arial"/>
                <w:i/>
                <w:szCs w:val="20"/>
              </w:rPr>
              <w:t>Start later</w:t>
            </w:r>
          </w:p>
          <w:p w14:paraId="52287686" w14:textId="7D89E02D" w:rsidR="00395238" w:rsidRDefault="005B7285" w:rsidP="00A92CDE">
            <w:pPr>
              <w:pStyle w:val="Rec"/>
            </w:pPr>
            <w:r>
              <w:t xml:space="preserve">State and Territory </w:t>
            </w:r>
            <w:r w:rsidR="00A60AD6">
              <w:t xml:space="preserve">Government </w:t>
            </w:r>
            <w:r w:rsidR="00502F79">
              <w:t xml:space="preserve">departments </w:t>
            </w:r>
            <w:r>
              <w:t xml:space="preserve">of </w:t>
            </w:r>
            <w:r w:rsidR="00502F79">
              <w:t xml:space="preserve">education </w:t>
            </w:r>
            <w:r>
              <w:t>should</w:t>
            </w:r>
            <w:r w:rsidR="00395238">
              <w:t>:</w:t>
            </w:r>
          </w:p>
          <w:p w14:paraId="2C287B08" w14:textId="7CE642E6" w:rsidR="005B7285" w:rsidRDefault="005B7285" w:rsidP="00A92CDE">
            <w:pPr>
              <w:pStyle w:val="RecBullet"/>
            </w:pPr>
            <w:r>
              <w:t xml:space="preserve">review the wellbeing policies and structures put in place by all schools to ensure they are effective in delivering wellbeing outcomes. Policies should be reviewed annually. </w:t>
            </w:r>
          </w:p>
          <w:p w14:paraId="2804A172" w14:textId="1890309D" w:rsidR="005B7285" w:rsidRPr="00D41518" w:rsidRDefault="005B7285" w:rsidP="00A92CDE">
            <w:pPr>
              <w:pStyle w:val="RecBullet"/>
            </w:pPr>
            <w:r>
              <w:t>develop policies to support schools that identify gaps in their wellbeing strategies and supports, as well as schools where wellbeing measures do not improve over time. This should include dedicated funding through a flexible funding pool.</w:t>
            </w:r>
          </w:p>
        </w:tc>
      </w:tr>
      <w:tr w:rsidR="005B7285" w:rsidRPr="00D41518" w14:paraId="7DBD2728"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5C1DC937" w14:textId="77777777" w:rsidR="005B7285" w:rsidRPr="00D41518" w:rsidRDefault="005B7285" w:rsidP="004F5341">
            <w:pPr>
              <w:keepNext/>
              <w:keepLines/>
              <w:spacing w:line="120" w:lineRule="exact"/>
              <w:jc w:val="both"/>
              <w:rPr>
                <w:rFonts w:ascii="Arial" w:hAnsi="Arial"/>
                <w:sz w:val="20"/>
                <w:szCs w:val="20"/>
              </w:rPr>
            </w:pPr>
          </w:p>
        </w:tc>
      </w:tr>
      <w:tr w:rsidR="005B7285" w:rsidRPr="00D41518" w14:paraId="3A3A4CAB" w14:textId="77777777" w:rsidTr="004F5341">
        <w:tc>
          <w:tcPr>
            <w:tcW w:w="5000" w:type="pct"/>
            <w:tcBorders>
              <w:top w:val="single" w:sz="6" w:space="0" w:color="78A22F"/>
              <w:left w:val="nil"/>
              <w:bottom w:val="nil"/>
              <w:right w:val="nil"/>
            </w:tcBorders>
            <w:tcMar>
              <w:left w:w="170" w:type="dxa"/>
              <w:right w:w="170" w:type="dxa"/>
            </w:tcMar>
          </w:tcPr>
          <w:p w14:paraId="5C94241D" w14:textId="77777777" w:rsidR="005B7285" w:rsidRPr="00D41518" w:rsidRDefault="005B7285" w:rsidP="00C56499">
            <w:pPr>
              <w:spacing w:before="60" w:after="60" w:line="80" w:lineRule="exact"/>
              <w:jc w:val="both"/>
              <w:rPr>
                <w:rFonts w:ascii="Arial" w:hAnsi="Arial"/>
                <w:sz w:val="14"/>
                <w:szCs w:val="20"/>
              </w:rPr>
            </w:pPr>
          </w:p>
        </w:tc>
      </w:tr>
    </w:tbl>
    <w:p w14:paraId="699C17AE" w14:textId="77777777" w:rsidR="005B7285" w:rsidRDefault="005B7285" w:rsidP="00C56499">
      <w:pPr>
        <w:keepNext/>
        <w:keepLines/>
        <w:spacing w:before="360" w:line="80" w:lineRule="exact"/>
        <w:rPr>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5B7285" w:rsidRPr="00CE7986" w14:paraId="1675EC83" w14:textId="77777777" w:rsidTr="004F5341">
        <w:trPr>
          <w:tblHeader/>
        </w:trPr>
        <w:tc>
          <w:tcPr>
            <w:tcW w:w="5000" w:type="pct"/>
            <w:tcBorders>
              <w:top w:val="single" w:sz="6" w:space="0" w:color="78A22F"/>
              <w:left w:val="nil"/>
              <w:bottom w:val="nil"/>
              <w:right w:val="nil"/>
            </w:tcBorders>
            <w:shd w:val="clear" w:color="auto" w:fill="auto"/>
            <w:tcMar>
              <w:left w:w="170" w:type="dxa"/>
              <w:right w:w="170" w:type="dxa"/>
            </w:tcMar>
          </w:tcPr>
          <w:p w14:paraId="24456D11" w14:textId="201DC240" w:rsidR="005B7285" w:rsidRPr="00CE7986" w:rsidRDefault="007441FB" w:rsidP="00C56499">
            <w:pPr>
              <w:pStyle w:val="RecTitle"/>
              <w:spacing w:before="120"/>
              <w:rPr>
                <w:b/>
                <w:color w:val="3B5117"/>
              </w:rPr>
            </w:pPr>
            <w:r w:rsidRPr="00CE7986">
              <w:rPr>
                <w:b/>
                <w:color w:val="3B5117"/>
              </w:rPr>
              <w:t xml:space="preserve">Action </w:t>
            </w:r>
            <w:r w:rsidR="004E1FEB" w:rsidRPr="00CE7986">
              <w:rPr>
                <w:b/>
                <w:color w:val="3B5117"/>
              </w:rPr>
              <w:t>5</w:t>
            </w:r>
            <w:r w:rsidR="005B7285" w:rsidRPr="00CE7986">
              <w:rPr>
                <w:b/>
                <w:color w:val="3B5117"/>
              </w:rPr>
              <w:t>.7</w:t>
            </w:r>
            <w:r w:rsidR="00CE7986">
              <w:rPr>
                <w:b/>
                <w:color w:val="3B5117"/>
              </w:rPr>
              <w:t> — </w:t>
            </w:r>
            <w:r w:rsidR="005B7285" w:rsidRPr="00CE7986">
              <w:rPr>
                <w:b/>
                <w:color w:val="3B5117"/>
              </w:rPr>
              <w:t>data on child social and emotional wellbeing</w:t>
            </w:r>
          </w:p>
        </w:tc>
      </w:tr>
      <w:tr w:rsidR="005B7285" w:rsidRPr="00D41518" w14:paraId="402DCDE0" w14:textId="77777777" w:rsidTr="004F5341">
        <w:tc>
          <w:tcPr>
            <w:tcW w:w="5000" w:type="pct"/>
            <w:tcBorders>
              <w:top w:val="nil"/>
              <w:left w:val="nil"/>
              <w:bottom w:val="nil"/>
              <w:right w:val="nil"/>
            </w:tcBorders>
            <w:shd w:val="clear" w:color="auto" w:fill="F2F2F2"/>
            <w:tcMar>
              <w:left w:w="170" w:type="dxa"/>
              <w:right w:w="170" w:type="dxa"/>
            </w:tcMar>
          </w:tcPr>
          <w:p w14:paraId="44FF0E12" w14:textId="40A7BB4F" w:rsidR="005B7285" w:rsidRPr="00D41518" w:rsidRDefault="005B7285" w:rsidP="00C56499">
            <w:pPr>
              <w:pStyle w:val="Rec"/>
              <w:keepNext/>
            </w:pPr>
            <w:r w:rsidRPr="00D41518">
              <w:t xml:space="preserve">Governments should expand the collection of data on child social and emotional wellbeing, and ensure data </w:t>
            </w:r>
            <w:r w:rsidR="001D02FD">
              <w:t>i</w:t>
            </w:r>
            <w:r w:rsidRPr="00D41518">
              <w:t>s</w:t>
            </w:r>
            <w:r w:rsidR="001D02FD">
              <w:t xml:space="preserve"> consistently</w:t>
            </w:r>
            <w:r w:rsidRPr="00D41518">
              <w:t xml:space="preserve"> used in policy development and evaluation. </w:t>
            </w:r>
          </w:p>
          <w:p w14:paraId="07CB9006" w14:textId="77777777" w:rsidR="005B7285" w:rsidRPr="00D41518" w:rsidRDefault="002246D6" w:rsidP="00C56499">
            <w:pPr>
              <w:keepNext/>
              <w:keepLines/>
              <w:spacing w:before="120" w:line="280" w:lineRule="atLeast"/>
              <w:jc w:val="both"/>
              <w:rPr>
                <w:rFonts w:ascii="Arial" w:hAnsi="Arial"/>
                <w:i/>
                <w:szCs w:val="20"/>
              </w:rPr>
            </w:pPr>
            <w:r w:rsidRPr="002246D6">
              <w:rPr>
                <w:rFonts w:ascii="Arial" w:hAnsi="Arial"/>
                <w:i/>
                <w:szCs w:val="20"/>
              </w:rPr>
              <w:t>Start now</w:t>
            </w:r>
          </w:p>
          <w:p w14:paraId="2760F499" w14:textId="70EB938F" w:rsidR="005B7285" w:rsidRDefault="003A215A" w:rsidP="00C56499">
            <w:pPr>
              <w:pStyle w:val="Rec"/>
              <w:keepNext/>
            </w:pPr>
            <w:r>
              <w:t>Governments</w:t>
            </w:r>
            <w:r w:rsidR="005B7285">
              <w:t xml:space="preserve"> should develop</w:t>
            </w:r>
            <w:r w:rsidR="003E1225">
              <w:t>, or commission the development of, a national minimum data</w:t>
            </w:r>
            <w:r w:rsidR="005B7285">
              <w:t xml:space="preserve">set on student wellbeing. </w:t>
            </w:r>
          </w:p>
          <w:p w14:paraId="4D9450D2" w14:textId="590A4A2B" w:rsidR="005B7285" w:rsidRPr="00D41518" w:rsidRDefault="00395238" w:rsidP="00C56499">
            <w:pPr>
              <w:pStyle w:val="Rec"/>
              <w:keepNext/>
            </w:pPr>
            <w:r>
              <w:t>T</w:t>
            </w:r>
            <w:r w:rsidR="005B7285" w:rsidRPr="00D41518">
              <w:t xml:space="preserve">he Australian Government should fund the </w:t>
            </w:r>
            <w:r w:rsidR="000D52C0" w:rsidRPr="00D41518">
              <w:t>A</w:t>
            </w:r>
            <w:r w:rsidR="000D52C0">
              <w:t xml:space="preserve">ustralian </w:t>
            </w:r>
            <w:r w:rsidR="005B7285" w:rsidRPr="00D41518">
              <w:t>I</w:t>
            </w:r>
            <w:r w:rsidR="000D52C0">
              <w:t xml:space="preserve">nstitute of </w:t>
            </w:r>
            <w:r w:rsidR="005B7285" w:rsidRPr="00D41518">
              <w:t>H</w:t>
            </w:r>
            <w:r w:rsidR="000D52C0">
              <w:t xml:space="preserve">ealth and </w:t>
            </w:r>
            <w:r w:rsidR="005B7285" w:rsidRPr="00D41518">
              <w:t>W</w:t>
            </w:r>
            <w:r w:rsidR="000D52C0">
              <w:t>elfare</w:t>
            </w:r>
            <w:r w:rsidR="005B7285" w:rsidRPr="00D41518">
              <w:t xml:space="preserve">’s work to finalise the development and implementation of an indicator of child social and emotional wellbeing. Where jurisdictions do not collect the required data, the </w:t>
            </w:r>
            <w:r w:rsidR="000D52C0" w:rsidRPr="00D41518">
              <w:t>A</w:t>
            </w:r>
            <w:r w:rsidR="000D52C0">
              <w:t xml:space="preserve">ustralian </w:t>
            </w:r>
            <w:r w:rsidR="000D52C0" w:rsidRPr="00D41518">
              <w:t>I</w:t>
            </w:r>
            <w:r w:rsidR="000D52C0">
              <w:t xml:space="preserve">nstitute of </w:t>
            </w:r>
            <w:r w:rsidR="000D52C0" w:rsidRPr="00D41518">
              <w:t>H</w:t>
            </w:r>
            <w:r w:rsidR="000D52C0">
              <w:t xml:space="preserve">ealth and </w:t>
            </w:r>
            <w:r w:rsidR="000D52C0" w:rsidRPr="00D41518">
              <w:t>W</w:t>
            </w:r>
            <w:r w:rsidR="000D52C0">
              <w:t>elfare</w:t>
            </w:r>
            <w:r w:rsidR="000D52C0" w:rsidRPr="00D41518" w:rsidDel="000D52C0">
              <w:t xml:space="preserve"> </w:t>
            </w:r>
            <w:r w:rsidR="005B7285" w:rsidRPr="00D41518">
              <w:t xml:space="preserve">should work with </w:t>
            </w:r>
            <w:r w:rsidR="000D52C0">
              <w:t>d</w:t>
            </w:r>
            <w:r w:rsidR="000D52C0" w:rsidRPr="00D41518">
              <w:t xml:space="preserve">epartments </w:t>
            </w:r>
            <w:r w:rsidR="005B7285" w:rsidRPr="00D41518">
              <w:t xml:space="preserve">of </w:t>
            </w:r>
            <w:r w:rsidR="000D52C0">
              <w:t>h</w:t>
            </w:r>
            <w:r w:rsidR="000D52C0" w:rsidRPr="00D41518">
              <w:t xml:space="preserve">ealth </w:t>
            </w:r>
            <w:r w:rsidR="005B7285" w:rsidRPr="00D41518">
              <w:t xml:space="preserve">to implement data collection. Data should be collected and reported annually. </w:t>
            </w:r>
          </w:p>
          <w:p w14:paraId="4DED6DD1" w14:textId="77777777" w:rsidR="005B7285" w:rsidRPr="00D41518" w:rsidRDefault="002246D6" w:rsidP="00C56499">
            <w:pPr>
              <w:keepNext/>
              <w:keepLines/>
              <w:spacing w:before="120" w:line="280" w:lineRule="atLeast"/>
              <w:jc w:val="both"/>
              <w:rPr>
                <w:rFonts w:ascii="Arial" w:hAnsi="Arial"/>
                <w:i/>
                <w:szCs w:val="20"/>
              </w:rPr>
            </w:pPr>
            <w:r>
              <w:rPr>
                <w:rFonts w:ascii="Arial" w:hAnsi="Arial"/>
                <w:i/>
                <w:szCs w:val="20"/>
              </w:rPr>
              <w:t>Start later</w:t>
            </w:r>
          </w:p>
          <w:p w14:paraId="289AC97D" w14:textId="52497ED8" w:rsidR="005B7285" w:rsidRPr="00D41518" w:rsidRDefault="005B7285" w:rsidP="00C56499">
            <w:pPr>
              <w:pStyle w:val="Rec"/>
              <w:keepNext/>
            </w:pPr>
            <w:r w:rsidRPr="00D41518">
              <w:t xml:space="preserve">The </w:t>
            </w:r>
            <w:r>
              <w:t>National Evidence Institute</w:t>
            </w:r>
            <w:r w:rsidR="00CE7986">
              <w:t> — </w:t>
            </w:r>
            <w:r w:rsidR="003A215A">
              <w:t>which is being established as part of the National School Reform Agreement</w:t>
            </w:r>
            <w:r w:rsidR="00CE7986">
              <w:t> — </w:t>
            </w:r>
            <w:r>
              <w:t>should create an</w:t>
            </w:r>
            <w:r w:rsidRPr="00D41518">
              <w:t xml:space="preserve"> evidence base on </w:t>
            </w:r>
            <w:r w:rsidR="0044249B">
              <w:t>social and emotional</w:t>
            </w:r>
            <w:r w:rsidRPr="00D41518">
              <w:t xml:space="preserve"> wellbeing. This should include funding networks of schools to trial and evaluate innovative approaches.</w:t>
            </w:r>
            <w:r>
              <w:t xml:space="preserve"> The Institute should also promote the use of existing datasets to inform policy and fund additional research.</w:t>
            </w:r>
            <w:r w:rsidRPr="00D41518">
              <w:t xml:space="preserve">  </w:t>
            </w:r>
          </w:p>
          <w:p w14:paraId="55307CBA" w14:textId="77777777" w:rsidR="005B7285" w:rsidRPr="00D41518" w:rsidRDefault="005B7285" w:rsidP="00C56499">
            <w:pPr>
              <w:pStyle w:val="Rec"/>
              <w:keepNext/>
            </w:pPr>
            <w:r w:rsidRPr="00D41518">
              <w:t>The Australian Government should fund new cohorts of the Longitudinal Study of Australian Children at regular intervals.</w:t>
            </w:r>
          </w:p>
        </w:tc>
      </w:tr>
      <w:tr w:rsidR="005B7285" w:rsidRPr="00D41518" w14:paraId="07EECEF7"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383FF034" w14:textId="77777777" w:rsidR="005B7285" w:rsidRPr="00D41518" w:rsidRDefault="005B7285" w:rsidP="00C56499">
            <w:pPr>
              <w:keepNext/>
              <w:keepLines/>
              <w:spacing w:line="120" w:lineRule="exact"/>
              <w:jc w:val="both"/>
              <w:rPr>
                <w:rFonts w:ascii="Arial" w:hAnsi="Arial"/>
                <w:sz w:val="20"/>
                <w:szCs w:val="20"/>
              </w:rPr>
            </w:pPr>
          </w:p>
        </w:tc>
      </w:tr>
      <w:tr w:rsidR="00AA695D" w:rsidRPr="00D41518" w14:paraId="00169198" w14:textId="77777777" w:rsidTr="00AA695D">
        <w:tc>
          <w:tcPr>
            <w:tcW w:w="5000" w:type="pct"/>
            <w:tcBorders>
              <w:top w:val="single" w:sz="6" w:space="0" w:color="78A22F"/>
              <w:left w:val="nil"/>
              <w:bottom w:val="nil"/>
              <w:right w:val="nil"/>
            </w:tcBorders>
            <w:shd w:val="clear" w:color="auto" w:fill="auto"/>
            <w:tcMar>
              <w:left w:w="170" w:type="dxa"/>
              <w:right w:w="170" w:type="dxa"/>
            </w:tcMar>
          </w:tcPr>
          <w:p w14:paraId="28632F33" w14:textId="77777777" w:rsidR="00AA695D" w:rsidRPr="00D41518" w:rsidRDefault="00AA695D" w:rsidP="00CE7986">
            <w:pPr>
              <w:pStyle w:val="BoxSpaceBelow"/>
            </w:pPr>
          </w:p>
        </w:tc>
      </w:tr>
    </w:tbl>
    <w:p w14:paraId="6F868590" w14:textId="322D2245" w:rsidR="005B7285" w:rsidRDefault="005B7285" w:rsidP="00CE7986">
      <w:pPr>
        <w:pStyle w:val="BoxSpaceAbove"/>
        <w:keepLines/>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5B7285" w:rsidRPr="00CE7986" w14:paraId="30365BA4" w14:textId="77777777" w:rsidTr="004F5341">
        <w:trPr>
          <w:tblHeader/>
        </w:trPr>
        <w:tc>
          <w:tcPr>
            <w:tcW w:w="5000" w:type="pct"/>
            <w:tcBorders>
              <w:top w:val="single" w:sz="6" w:space="0" w:color="78A22F"/>
              <w:left w:val="nil"/>
              <w:bottom w:val="nil"/>
              <w:right w:val="nil"/>
            </w:tcBorders>
            <w:shd w:val="clear" w:color="auto" w:fill="auto"/>
            <w:tcMar>
              <w:left w:w="170" w:type="dxa"/>
              <w:right w:w="170" w:type="dxa"/>
            </w:tcMar>
          </w:tcPr>
          <w:p w14:paraId="16BEC91F" w14:textId="144483B2" w:rsidR="005B7285" w:rsidRPr="00CE7986" w:rsidRDefault="004E1FEB" w:rsidP="00CE7986">
            <w:pPr>
              <w:pStyle w:val="RecTitle"/>
              <w:spacing w:before="120"/>
              <w:rPr>
                <w:b/>
                <w:color w:val="3B5117"/>
              </w:rPr>
            </w:pPr>
            <w:r w:rsidRPr="00CE7986">
              <w:rPr>
                <w:b/>
                <w:color w:val="3B5117"/>
              </w:rPr>
              <w:t>Action 5.</w:t>
            </w:r>
            <w:r w:rsidR="005B7285" w:rsidRPr="00CE7986">
              <w:rPr>
                <w:b/>
                <w:color w:val="3B5117"/>
              </w:rPr>
              <w:t>8</w:t>
            </w:r>
            <w:r w:rsidR="00CE7986">
              <w:rPr>
                <w:b/>
                <w:color w:val="3B5117"/>
              </w:rPr>
              <w:t> — </w:t>
            </w:r>
            <w:r w:rsidR="005B7285" w:rsidRPr="00CE7986">
              <w:rPr>
                <w:b/>
                <w:color w:val="3B5117"/>
              </w:rPr>
              <w:t>educational support for vulnerable children</w:t>
            </w:r>
          </w:p>
        </w:tc>
      </w:tr>
      <w:tr w:rsidR="005B7285" w:rsidRPr="00750BE2" w14:paraId="08A6310C" w14:textId="77777777" w:rsidTr="004F5341">
        <w:tc>
          <w:tcPr>
            <w:tcW w:w="5000" w:type="pct"/>
            <w:tcBorders>
              <w:top w:val="nil"/>
              <w:left w:val="nil"/>
              <w:bottom w:val="nil"/>
              <w:right w:val="nil"/>
            </w:tcBorders>
            <w:shd w:val="clear" w:color="auto" w:fill="F2F2F2" w:themeFill="background1" w:themeFillShade="F2"/>
            <w:tcMar>
              <w:left w:w="170" w:type="dxa"/>
              <w:right w:w="170" w:type="dxa"/>
            </w:tcMar>
          </w:tcPr>
          <w:p w14:paraId="306670F4" w14:textId="1483BD39" w:rsidR="005B7285" w:rsidRPr="0032091E" w:rsidRDefault="005B7285" w:rsidP="00CE7986">
            <w:pPr>
              <w:pStyle w:val="Rec"/>
              <w:keepNext/>
            </w:pPr>
            <w:r w:rsidRPr="0032091E">
              <w:t xml:space="preserve">The education system should review </w:t>
            </w:r>
            <w:r w:rsidR="00A935E7">
              <w:t>t</w:t>
            </w:r>
            <w:r w:rsidR="00A935E7" w:rsidRPr="006446E8">
              <w:t xml:space="preserve">he effectiveness of disability funding structures for children with social-emotional disability, </w:t>
            </w:r>
            <w:r w:rsidR="00A935E7">
              <w:t>including a review of</w:t>
            </w:r>
            <w:r w:rsidR="00A935E7" w:rsidRPr="006446E8">
              <w:t xml:space="preserve"> outreach programs for children who have disengaged from their schooling due to mental illness</w:t>
            </w:r>
            <w:r w:rsidRPr="0032091E">
              <w:t xml:space="preserve">. </w:t>
            </w:r>
          </w:p>
          <w:p w14:paraId="65081A54" w14:textId="77777777" w:rsidR="005B7285" w:rsidRPr="0032091E" w:rsidRDefault="002246D6" w:rsidP="00CE7986">
            <w:pPr>
              <w:pStyle w:val="Rec"/>
              <w:keepNext/>
              <w:rPr>
                <w:i/>
              </w:rPr>
            </w:pPr>
            <w:r w:rsidRPr="002246D6">
              <w:rPr>
                <w:i/>
              </w:rPr>
              <w:t>Start now</w:t>
            </w:r>
          </w:p>
          <w:p w14:paraId="02E6F29E" w14:textId="77777777" w:rsidR="005B7285" w:rsidRDefault="005B7285" w:rsidP="00CE7986">
            <w:pPr>
              <w:pStyle w:val="Rec"/>
              <w:keepNext/>
            </w:pPr>
            <w:r>
              <w:t>The Disability Standards for Education are due to be reviewed in 2020. The upcoming review should be independent and:</w:t>
            </w:r>
          </w:p>
          <w:p w14:paraId="70F652AA" w14:textId="1CCE3B0C" w:rsidR="005B7285" w:rsidRPr="00881379" w:rsidRDefault="005B7285" w:rsidP="00CE7986">
            <w:pPr>
              <w:pStyle w:val="RecBullet"/>
              <w:keepNext/>
            </w:pPr>
            <w:r w:rsidRPr="00881379">
              <w:t xml:space="preserve">include specific consideration of the way the standards </w:t>
            </w:r>
            <w:r w:rsidR="00946A1C">
              <w:t>support</w:t>
            </w:r>
            <w:r w:rsidRPr="00881379">
              <w:t xml:space="preserve"> student</w:t>
            </w:r>
            <w:r>
              <w:t>s</w:t>
            </w:r>
            <w:r w:rsidRPr="00881379">
              <w:t xml:space="preserve"> with mental illness and their educational outcomes</w:t>
            </w:r>
          </w:p>
          <w:p w14:paraId="34CE379A" w14:textId="538049DA" w:rsidR="005B7285" w:rsidRPr="00881379" w:rsidRDefault="005B7285" w:rsidP="00CE7986">
            <w:pPr>
              <w:pStyle w:val="RecBullet"/>
              <w:keepNext/>
            </w:pPr>
            <w:r w:rsidRPr="00881379">
              <w:t>examine application processes for adjustments and conside</w:t>
            </w:r>
            <w:r w:rsidR="00E544DA">
              <w:t>r if</w:t>
            </w:r>
            <w:r w:rsidRPr="00881379">
              <w:t xml:space="preserve"> improvements</w:t>
            </w:r>
            <w:r w:rsidR="00E544DA">
              <w:t xml:space="preserve"> are </w:t>
            </w:r>
            <w:r w:rsidR="00F0380A">
              <w:t>required</w:t>
            </w:r>
            <w:r w:rsidR="0026030E">
              <w:t>.</w:t>
            </w:r>
          </w:p>
          <w:p w14:paraId="1B3B2669" w14:textId="77777777" w:rsidR="003A215A" w:rsidRDefault="003A215A" w:rsidP="00CE7986">
            <w:pPr>
              <w:pStyle w:val="Rec"/>
              <w:keepNext/>
            </w:pPr>
            <w:r>
              <w:t xml:space="preserve">Mental health professionals (including those working in private practice and community mental health settings) who treat children should be required to include recommendations for parents/carers and teachers in their report to the referring medical practitioner, wherever relevant. </w:t>
            </w:r>
          </w:p>
          <w:p w14:paraId="06919F3C" w14:textId="2385CE6E" w:rsidR="005B7285" w:rsidRDefault="005B7285" w:rsidP="00CE7986">
            <w:pPr>
              <w:pStyle w:val="Rec"/>
              <w:keepNext/>
            </w:pPr>
            <w:r>
              <w:t xml:space="preserve">State and Territory Governments should collect data to monitor their progress against agreed measures of </w:t>
            </w:r>
            <w:r w:rsidR="00221282">
              <w:t xml:space="preserve">social and </w:t>
            </w:r>
            <w:r w:rsidR="00F0380A">
              <w:t>emotional</w:t>
            </w:r>
            <w:r w:rsidR="00221282">
              <w:t xml:space="preserve"> </w:t>
            </w:r>
            <w:r>
              <w:t>wellbeing for children in out-of-home care and the child protection system. Data should be used to direct additional investment in support services.</w:t>
            </w:r>
          </w:p>
          <w:p w14:paraId="1B967446" w14:textId="77777777" w:rsidR="005B7285" w:rsidRPr="0032091E" w:rsidRDefault="002246D6" w:rsidP="00CE7986">
            <w:pPr>
              <w:pStyle w:val="Rec"/>
              <w:keepNext/>
              <w:rPr>
                <w:i/>
              </w:rPr>
            </w:pPr>
            <w:r w:rsidRPr="002246D6">
              <w:rPr>
                <w:i/>
              </w:rPr>
              <w:t>Start later</w:t>
            </w:r>
          </w:p>
          <w:p w14:paraId="75F77319" w14:textId="297D23DC" w:rsidR="005B7285" w:rsidRDefault="005B7285" w:rsidP="00CE7986">
            <w:pPr>
              <w:pStyle w:val="Rec"/>
              <w:keepNext/>
            </w:pPr>
            <w:r>
              <w:t>T</w:t>
            </w:r>
            <w:r w:rsidRPr="00881379">
              <w:t>he Australian Government should use data collected by schools as part of the National</w:t>
            </w:r>
            <w:r w:rsidR="0026030E">
              <w:t>ly</w:t>
            </w:r>
            <w:r w:rsidRPr="00881379">
              <w:t xml:space="preserve"> Consistent Collection of Data </w:t>
            </w:r>
            <w:r>
              <w:t xml:space="preserve">on School Students with Disability </w:t>
            </w:r>
            <w:r w:rsidRPr="00881379">
              <w:t>to evaluate the effectiveness of its disability funding structures for children with</w:t>
            </w:r>
            <w:r w:rsidR="00F85ADA">
              <w:t xml:space="preserve"> </w:t>
            </w:r>
            <w:r w:rsidRPr="00881379">
              <w:t>social</w:t>
            </w:r>
            <w:r>
              <w:noBreakHyphen/>
            </w:r>
            <w:r w:rsidRPr="00881379">
              <w:t xml:space="preserve">emotional disability. </w:t>
            </w:r>
          </w:p>
          <w:p w14:paraId="310785D6" w14:textId="37D9400E" w:rsidR="005B7285" w:rsidRDefault="005B7285" w:rsidP="00CE7986">
            <w:pPr>
              <w:pStyle w:val="Rec"/>
              <w:keepNext/>
            </w:pPr>
            <w:r>
              <w:t xml:space="preserve">State and Territory </w:t>
            </w:r>
            <w:r w:rsidR="000D52C0" w:rsidRPr="00881379">
              <w:t>Government</w:t>
            </w:r>
            <w:r>
              <w:t xml:space="preserve"> departments of education should review the funding for outreach services supporting students who have disengaged from education due to mental illness to return to school. Services should be expanded such that they are able to support all students who are at risk of disengagement or have disengaged from their schooling. Departments should put in place clear policies for outreach services to proactively engage with students and families </w:t>
            </w:r>
            <w:r w:rsidR="000D52C0">
              <w:t>who are</w:t>
            </w:r>
            <w:r>
              <w:t xml:space="preserve"> referred to them once the student’s attendance declines below a determined level, and monitor their implementation.</w:t>
            </w:r>
          </w:p>
        </w:tc>
      </w:tr>
      <w:tr w:rsidR="005B7285" w14:paraId="20E36BB4"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6AB445B7" w14:textId="77777777" w:rsidR="005B7285" w:rsidRDefault="005B7285" w:rsidP="00AA695D">
            <w:pPr>
              <w:pStyle w:val="Space"/>
              <w:keepLines/>
            </w:pPr>
          </w:p>
        </w:tc>
      </w:tr>
      <w:tr w:rsidR="005B7285" w:rsidRPr="000863A5" w14:paraId="6ACA2884" w14:textId="77777777" w:rsidTr="004F5341">
        <w:tc>
          <w:tcPr>
            <w:tcW w:w="5000" w:type="pct"/>
            <w:tcBorders>
              <w:top w:val="single" w:sz="6" w:space="0" w:color="78A22F"/>
              <w:left w:val="nil"/>
              <w:bottom w:val="nil"/>
              <w:right w:val="nil"/>
            </w:tcBorders>
            <w:tcMar>
              <w:left w:w="170" w:type="dxa"/>
              <w:right w:w="170" w:type="dxa"/>
            </w:tcMar>
          </w:tcPr>
          <w:p w14:paraId="4FA79349" w14:textId="77777777" w:rsidR="005B7285" w:rsidRPr="00626D32" w:rsidRDefault="005B7285" w:rsidP="00AA695D">
            <w:pPr>
              <w:pStyle w:val="BoxSpaceBelow"/>
              <w:keepNext/>
              <w:keepLines/>
            </w:pPr>
          </w:p>
        </w:tc>
      </w:tr>
    </w:tbl>
    <w:p w14:paraId="6881375A" w14:textId="77777777" w:rsidR="005B7285" w:rsidRDefault="005B7285" w:rsidP="005E64FD">
      <w:pPr>
        <w:pStyle w:val="Heading3"/>
        <w:keepNext w:val="0"/>
        <w:pageBreakBefore/>
      </w:pPr>
      <w:r>
        <w:lastRenderedPageBreak/>
        <w:t>Young adults</w:t>
      </w:r>
    </w:p>
    <w:p w14:paraId="5C571A78" w14:textId="7B9E08AF" w:rsidR="005B7285" w:rsidRPr="004E3B94" w:rsidRDefault="005B7285" w:rsidP="005B728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5B7285" w:rsidRPr="00CE7986" w14:paraId="40306038" w14:textId="77777777" w:rsidTr="004F5341">
        <w:trPr>
          <w:tblHeader/>
        </w:trPr>
        <w:tc>
          <w:tcPr>
            <w:tcW w:w="5000" w:type="pct"/>
            <w:tcBorders>
              <w:top w:val="single" w:sz="6" w:space="0" w:color="78A22F"/>
              <w:left w:val="nil"/>
              <w:bottom w:val="nil"/>
              <w:right w:val="nil"/>
            </w:tcBorders>
            <w:shd w:val="clear" w:color="auto" w:fill="auto"/>
            <w:tcMar>
              <w:left w:w="170" w:type="dxa"/>
              <w:right w:w="170" w:type="dxa"/>
            </w:tcMar>
          </w:tcPr>
          <w:p w14:paraId="149F5945" w14:textId="0F3B4E0F" w:rsidR="005B7285" w:rsidRPr="00CE7986" w:rsidRDefault="00221282" w:rsidP="00F475B2">
            <w:pPr>
              <w:pStyle w:val="RecTitle"/>
              <w:spacing w:before="120"/>
              <w:rPr>
                <w:b/>
                <w:color w:val="3B5117"/>
              </w:rPr>
            </w:pPr>
            <w:r w:rsidRPr="00CE7986">
              <w:rPr>
                <w:b/>
                <w:color w:val="3B5117"/>
              </w:rPr>
              <w:t>Action</w:t>
            </w:r>
            <w:r w:rsidR="005B7285" w:rsidRPr="00CE7986">
              <w:rPr>
                <w:b/>
                <w:color w:val="3B5117"/>
              </w:rPr>
              <w:t xml:space="preserve"> </w:t>
            </w:r>
            <w:r w:rsidR="00AD07E8" w:rsidRPr="00CE7986">
              <w:rPr>
                <w:b/>
                <w:color w:val="3B5117"/>
              </w:rPr>
              <w:t>6.</w:t>
            </w:r>
            <w:r w:rsidR="005B7285" w:rsidRPr="00CE7986" w:rsidDel="000F54B8">
              <w:rPr>
                <w:b/>
                <w:color w:val="3B5117"/>
              </w:rPr>
              <w:fldChar w:fldCharType="begin"/>
            </w:r>
            <w:r w:rsidR="005B7285" w:rsidRPr="00CE7986" w:rsidDel="000F54B8">
              <w:rPr>
                <w:b/>
                <w:color w:val="3B5117"/>
              </w:rPr>
              <w:instrText xml:space="preserve"> COMMENTS  \* MERGEFORMAT </w:instrText>
            </w:r>
            <w:r w:rsidR="005B7285" w:rsidRPr="00CE7986" w:rsidDel="000F54B8">
              <w:rPr>
                <w:b/>
                <w:color w:val="3B5117"/>
              </w:rPr>
              <w:fldChar w:fldCharType="end"/>
            </w:r>
            <w:r w:rsidR="005B7285" w:rsidRPr="00CE7986">
              <w:rPr>
                <w:b/>
                <w:color w:val="3B5117"/>
              </w:rPr>
              <w:t>1</w:t>
            </w:r>
            <w:r w:rsidR="00CE7986">
              <w:rPr>
                <w:b/>
                <w:color w:val="3B5117"/>
              </w:rPr>
              <w:t> — </w:t>
            </w:r>
            <w:r w:rsidR="005B7285" w:rsidRPr="00CE7986">
              <w:rPr>
                <w:b/>
                <w:color w:val="3B5117"/>
              </w:rPr>
              <w:t>online mental health services</w:t>
            </w:r>
            <w:r w:rsidR="00F475B2" w:rsidRPr="00CE7986">
              <w:rPr>
                <w:b/>
                <w:color w:val="3B5117"/>
              </w:rPr>
              <w:t xml:space="preserve"> for tertiary students</w:t>
            </w:r>
          </w:p>
        </w:tc>
      </w:tr>
      <w:tr w:rsidR="005B7285" w:rsidRPr="00750BE2" w14:paraId="43038324" w14:textId="77777777" w:rsidTr="004F5341">
        <w:tc>
          <w:tcPr>
            <w:tcW w:w="5000" w:type="pct"/>
            <w:tcBorders>
              <w:top w:val="nil"/>
              <w:left w:val="nil"/>
              <w:bottom w:val="nil"/>
              <w:right w:val="nil"/>
            </w:tcBorders>
            <w:shd w:val="clear" w:color="auto" w:fill="F2F2F2" w:themeFill="background1" w:themeFillShade="F2"/>
            <w:tcMar>
              <w:left w:w="170" w:type="dxa"/>
              <w:right w:w="170" w:type="dxa"/>
            </w:tcMar>
          </w:tcPr>
          <w:p w14:paraId="01E644B0" w14:textId="502AA8F8" w:rsidR="000B4690" w:rsidRPr="001F1C84" w:rsidRDefault="000B4690" w:rsidP="00E90474">
            <w:pPr>
              <w:pStyle w:val="Rec"/>
              <w:keepNext/>
              <w:rPr>
                <w:iCs/>
              </w:rPr>
            </w:pPr>
            <w:r>
              <w:rPr>
                <w:iCs/>
              </w:rPr>
              <w:t xml:space="preserve">Online support </w:t>
            </w:r>
            <w:r w:rsidR="00F07883">
              <w:rPr>
                <w:iCs/>
              </w:rPr>
              <w:t>provided by tertiary education institutions can help maintain students’ mental health</w:t>
            </w:r>
            <w:r>
              <w:rPr>
                <w:iCs/>
              </w:rPr>
              <w:t>.</w:t>
            </w:r>
          </w:p>
          <w:p w14:paraId="3C1C1BD8" w14:textId="4A7F869F" w:rsidR="00221282" w:rsidRPr="0092183D" w:rsidRDefault="002246D6" w:rsidP="00E90474">
            <w:pPr>
              <w:pStyle w:val="Rec"/>
              <w:keepNext/>
              <w:rPr>
                <w:i/>
              </w:rPr>
            </w:pPr>
            <w:r w:rsidRPr="002246D6">
              <w:rPr>
                <w:i/>
              </w:rPr>
              <w:t>Start now</w:t>
            </w:r>
          </w:p>
          <w:p w14:paraId="5287E907" w14:textId="536BE5C3" w:rsidR="005B7285" w:rsidRDefault="005B7285" w:rsidP="001F1C84">
            <w:pPr>
              <w:pStyle w:val="Rec"/>
              <w:keepNext/>
            </w:pPr>
            <w:r w:rsidRPr="001F1C84">
              <w:rPr>
                <w:iCs/>
              </w:rPr>
              <w:t>Tertiary education institutions should continue to expand online mental health services to meet student needs. These services should incorporate de-identified data collection on the mental health of students to enable ongoing improvements in the effectiveness and relevance of mental health support services</w:t>
            </w:r>
            <w:r w:rsidR="00112BCC" w:rsidRPr="001F1C84">
              <w:rPr>
                <w:iCs/>
              </w:rPr>
              <w:t>.</w:t>
            </w:r>
            <w:r w:rsidRPr="001F1C84">
              <w:rPr>
                <w:iCs/>
              </w:rPr>
              <w:t xml:space="preserve"> </w:t>
            </w:r>
          </w:p>
        </w:tc>
      </w:tr>
      <w:tr w:rsidR="005B7285" w14:paraId="1760D6D9"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78CACE7F" w14:textId="77777777" w:rsidR="005B7285" w:rsidRDefault="005B7285" w:rsidP="004F5341">
            <w:pPr>
              <w:pStyle w:val="Space"/>
              <w:keepLines/>
            </w:pPr>
          </w:p>
        </w:tc>
      </w:tr>
      <w:tr w:rsidR="005B7285" w:rsidRPr="000863A5" w14:paraId="3773DCFD" w14:textId="77777777" w:rsidTr="004F5341">
        <w:tc>
          <w:tcPr>
            <w:tcW w:w="5000" w:type="pct"/>
            <w:tcBorders>
              <w:top w:val="single" w:sz="6" w:space="0" w:color="78A22F"/>
              <w:left w:val="nil"/>
              <w:bottom w:val="nil"/>
              <w:right w:val="nil"/>
            </w:tcBorders>
            <w:tcMar>
              <w:left w:w="170" w:type="dxa"/>
              <w:right w:w="170" w:type="dxa"/>
            </w:tcMar>
          </w:tcPr>
          <w:p w14:paraId="791F0E48" w14:textId="78C00F44" w:rsidR="005B7285" w:rsidRPr="00626D32" w:rsidRDefault="005B7285" w:rsidP="004F5341">
            <w:pPr>
              <w:pStyle w:val="BoxSpaceBelow"/>
              <w:keepLines/>
            </w:pPr>
          </w:p>
        </w:tc>
      </w:tr>
    </w:tbl>
    <w:p w14:paraId="5E6F773C" w14:textId="7B16A0E8" w:rsidR="005B7285" w:rsidRPr="004E3B94" w:rsidRDefault="005B7285" w:rsidP="005B728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5B7285" w:rsidRPr="00CE7986" w14:paraId="6B82D02F" w14:textId="77777777" w:rsidTr="008D6340">
        <w:trPr>
          <w:tblHeader/>
        </w:trPr>
        <w:tc>
          <w:tcPr>
            <w:tcW w:w="5000" w:type="pct"/>
            <w:tcBorders>
              <w:top w:val="single" w:sz="6" w:space="0" w:color="78A22F"/>
              <w:left w:val="nil"/>
              <w:bottom w:val="nil"/>
              <w:right w:val="nil"/>
            </w:tcBorders>
            <w:shd w:val="clear" w:color="auto" w:fill="FFFFFF" w:themeFill="background1"/>
            <w:tcMar>
              <w:left w:w="170" w:type="dxa"/>
              <w:right w:w="170" w:type="dxa"/>
            </w:tcMar>
            <w:vAlign w:val="center"/>
          </w:tcPr>
          <w:p w14:paraId="753E20F2" w14:textId="19A4A745" w:rsidR="005B7285" w:rsidRPr="00CE7986" w:rsidRDefault="008A790D" w:rsidP="008D6340">
            <w:pPr>
              <w:pStyle w:val="RecTitle"/>
              <w:spacing w:before="120"/>
              <w:ind w:left="1390" w:hanging="1418"/>
              <w:jc w:val="left"/>
              <w:rPr>
                <w:rFonts w:ascii="Arial Bold" w:hAnsi="Arial Bold"/>
                <w:b/>
                <w:color w:val="3B5117"/>
                <w:spacing w:val="-6"/>
              </w:rPr>
            </w:pPr>
            <w:r w:rsidRPr="00CE7986">
              <w:rPr>
                <w:rFonts w:ascii="Arial Bold" w:hAnsi="Arial Bold"/>
                <w:b/>
                <w:color w:val="3B5117"/>
                <w:spacing w:val="-6"/>
              </w:rPr>
              <w:t>action</w:t>
            </w:r>
            <w:r w:rsidR="005B7285" w:rsidRPr="00CE7986">
              <w:rPr>
                <w:rFonts w:ascii="Arial Bold" w:hAnsi="Arial Bold"/>
                <w:b/>
                <w:color w:val="3B5117"/>
                <w:spacing w:val="-6"/>
              </w:rPr>
              <w:t xml:space="preserve"> </w:t>
            </w:r>
            <w:r w:rsidR="005B7285" w:rsidRPr="00CE7986" w:rsidDel="000F54B8">
              <w:rPr>
                <w:rFonts w:ascii="Arial Bold" w:hAnsi="Arial Bold"/>
                <w:b/>
                <w:color w:val="3B5117"/>
                <w:spacing w:val="-6"/>
              </w:rPr>
              <w:fldChar w:fldCharType="begin"/>
            </w:r>
            <w:r w:rsidR="005B7285" w:rsidRPr="00CE7986" w:rsidDel="000F54B8">
              <w:rPr>
                <w:rFonts w:ascii="Arial Bold" w:hAnsi="Arial Bold"/>
                <w:b/>
                <w:color w:val="3B5117"/>
                <w:spacing w:val="-6"/>
              </w:rPr>
              <w:instrText xml:space="preserve"> COMMENTS  \* MERGEFORMAT </w:instrText>
            </w:r>
            <w:r w:rsidR="005B7285" w:rsidRPr="00CE7986" w:rsidDel="000F54B8">
              <w:rPr>
                <w:rFonts w:ascii="Arial Bold" w:hAnsi="Arial Bold"/>
                <w:b/>
                <w:color w:val="3B5117"/>
                <w:spacing w:val="-6"/>
              </w:rPr>
              <w:fldChar w:fldCharType="end"/>
            </w:r>
            <w:r w:rsidR="00AD07E8" w:rsidRPr="00CE7986">
              <w:rPr>
                <w:rFonts w:ascii="Arial Bold" w:hAnsi="Arial Bold"/>
                <w:b/>
                <w:color w:val="3B5117"/>
                <w:spacing w:val="-6"/>
              </w:rPr>
              <w:t>6.2</w:t>
            </w:r>
            <w:r w:rsidR="00CE7986">
              <w:rPr>
                <w:rFonts w:ascii="Arial Bold" w:hAnsi="Arial Bold"/>
                <w:b/>
                <w:color w:val="3B5117"/>
                <w:spacing w:val="-6"/>
              </w:rPr>
              <w:t> — </w:t>
            </w:r>
            <w:r w:rsidR="005B7285" w:rsidRPr="00CE7986">
              <w:rPr>
                <w:rFonts w:ascii="Arial Bold" w:hAnsi="Arial Bold"/>
                <w:b/>
                <w:color w:val="3B5117"/>
                <w:spacing w:val="-6"/>
              </w:rPr>
              <w:t>Improving access to mental health services for international students</w:t>
            </w:r>
          </w:p>
        </w:tc>
      </w:tr>
      <w:tr w:rsidR="005B7285" w:rsidRPr="00750BE2" w14:paraId="012B8F22" w14:textId="77777777" w:rsidTr="004F5341">
        <w:tc>
          <w:tcPr>
            <w:tcW w:w="5000" w:type="pct"/>
            <w:tcBorders>
              <w:top w:val="nil"/>
              <w:left w:val="nil"/>
              <w:bottom w:val="nil"/>
              <w:right w:val="nil"/>
            </w:tcBorders>
            <w:shd w:val="clear" w:color="auto" w:fill="F2F2F2" w:themeFill="background1" w:themeFillShade="F2"/>
            <w:tcMar>
              <w:left w:w="170" w:type="dxa"/>
              <w:right w:w="170" w:type="dxa"/>
            </w:tcMar>
          </w:tcPr>
          <w:p w14:paraId="7B4F14CB" w14:textId="20D6A34D" w:rsidR="008A790D" w:rsidRPr="000F54B8" w:rsidRDefault="00F07883" w:rsidP="004F5341">
            <w:pPr>
              <w:pStyle w:val="Rec"/>
              <w:keepNext/>
              <w:rPr>
                <w:iCs/>
              </w:rPr>
            </w:pPr>
            <w:r>
              <w:rPr>
                <w:iCs/>
              </w:rPr>
              <w:t>I</w:t>
            </w:r>
            <w:r w:rsidR="008A790D">
              <w:rPr>
                <w:iCs/>
              </w:rPr>
              <w:t>nternational students</w:t>
            </w:r>
            <w:r w:rsidR="000F54B8">
              <w:rPr>
                <w:iCs/>
              </w:rPr>
              <w:t xml:space="preserve"> need adequate insurance coverage and access to culturally appropriate services to maintain their mental health. </w:t>
            </w:r>
          </w:p>
          <w:p w14:paraId="1479870D" w14:textId="5E54EE84" w:rsidR="005B7285" w:rsidRPr="0092183D" w:rsidRDefault="002246D6" w:rsidP="004F5341">
            <w:pPr>
              <w:pStyle w:val="Rec"/>
              <w:keepNext/>
              <w:rPr>
                <w:i/>
              </w:rPr>
            </w:pPr>
            <w:r w:rsidRPr="002246D6">
              <w:rPr>
                <w:i/>
              </w:rPr>
              <w:t>Start now</w:t>
            </w:r>
          </w:p>
          <w:p w14:paraId="153EA776" w14:textId="65438A7A" w:rsidR="005B7285" w:rsidRDefault="005B7285" w:rsidP="004F5341">
            <w:pPr>
              <w:pStyle w:val="Rec"/>
              <w:keepNext/>
            </w:pPr>
            <w:r>
              <w:t>To improve the treatment and support provided to international students, tertiary education institutions (or their representatives) should make arrangements with insurers providing Overseas Student Health Cover to their international students to ensure there is adequate coverage for any required mental health treatment (including the scheduled fees for treatment and some portion of the student’s out-of-pocket expenses).</w:t>
            </w:r>
          </w:p>
          <w:p w14:paraId="1FAB1404" w14:textId="6B244B6D" w:rsidR="005B7285" w:rsidRDefault="005B7285" w:rsidP="000F54B8">
            <w:pPr>
              <w:pStyle w:val="Rec"/>
              <w:keepNext/>
            </w:pPr>
            <w:r>
              <w:t>They should also ensure their counselling services are able to meet the language and cultural diversity needs of their international students.</w:t>
            </w:r>
          </w:p>
        </w:tc>
      </w:tr>
      <w:tr w:rsidR="005B7285" w14:paraId="5C01205D"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7F1ECF3C" w14:textId="77777777" w:rsidR="005B7285" w:rsidRDefault="005B7285" w:rsidP="004F5341">
            <w:pPr>
              <w:pStyle w:val="Space"/>
              <w:keepLines/>
            </w:pPr>
          </w:p>
        </w:tc>
      </w:tr>
      <w:tr w:rsidR="005B7285" w:rsidRPr="000863A5" w14:paraId="639EBE19" w14:textId="77777777" w:rsidTr="004F5341">
        <w:tc>
          <w:tcPr>
            <w:tcW w:w="5000" w:type="pct"/>
            <w:tcBorders>
              <w:top w:val="single" w:sz="6" w:space="0" w:color="78A22F"/>
              <w:left w:val="nil"/>
              <w:bottom w:val="nil"/>
              <w:right w:val="nil"/>
            </w:tcBorders>
            <w:tcMar>
              <w:left w:w="170" w:type="dxa"/>
              <w:right w:w="170" w:type="dxa"/>
            </w:tcMar>
          </w:tcPr>
          <w:p w14:paraId="324386FF" w14:textId="2E27D234" w:rsidR="005B7285" w:rsidRPr="00626D32" w:rsidRDefault="005B7285" w:rsidP="004F5341">
            <w:pPr>
              <w:pStyle w:val="BoxSpaceBelow"/>
              <w:keepLines/>
            </w:pPr>
          </w:p>
        </w:tc>
      </w:tr>
    </w:tbl>
    <w:p w14:paraId="17BE1B36" w14:textId="77777777" w:rsidR="005B7285" w:rsidRPr="00D41518" w:rsidRDefault="005B7285" w:rsidP="00A92CDE">
      <w:pPr>
        <w:keepNext/>
        <w:keepLines/>
        <w:tabs>
          <w:tab w:val="left" w:pos="7244"/>
        </w:tabs>
        <w:spacing w:before="240" w:line="80" w:lineRule="exact"/>
        <w:rPr>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5B7285" w:rsidRPr="00CE7986" w14:paraId="2EACB175" w14:textId="77777777" w:rsidTr="004F5341">
        <w:trPr>
          <w:tblHeader/>
        </w:trPr>
        <w:tc>
          <w:tcPr>
            <w:tcW w:w="5000" w:type="pct"/>
            <w:tcBorders>
              <w:top w:val="single" w:sz="6" w:space="0" w:color="78A22F"/>
              <w:left w:val="nil"/>
              <w:bottom w:val="nil"/>
              <w:right w:val="nil"/>
            </w:tcBorders>
            <w:shd w:val="clear" w:color="auto" w:fill="auto"/>
            <w:tcMar>
              <w:left w:w="170" w:type="dxa"/>
              <w:right w:w="170" w:type="dxa"/>
            </w:tcMar>
          </w:tcPr>
          <w:p w14:paraId="7326B2F7" w14:textId="2A435383" w:rsidR="005B7285" w:rsidRPr="00CE7986" w:rsidRDefault="008A790D" w:rsidP="00710401">
            <w:pPr>
              <w:pStyle w:val="RecTitle"/>
              <w:spacing w:before="120"/>
              <w:ind w:left="1390" w:hanging="1390"/>
              <w:rPr>
                <w:b/>
                <w:color w:val="3B5117"/>
              </w:rPr>
            </w:pPr>
            <w:r w:rsidRPr="00CE7986">
              <w:rPr>
                <w:b/>
                <w:color w:val="3B5117"/>
              </w:rPr>
              <w:t>Action</w:t>
            </w:r>
            <w:r w:rsidR="005B7285" w:rsidRPr="00CE7986">
              <w:rPr>
                <w:b/>
                <w:color w:val="3B5117"/>
              </w:rPr>
              <w:t xml:space="preserve"> </w:t>
            </w:r>
            <w:r w:rsidR="000F54B8" w:rsidRPr="00CE7986">
              <w:rPr>
                <w:b/>
                <w:color w:val="3B5117"/>
              </w:rPr>
              <w:t>6</w:t>
            </w:r>
            <w:r w:rsidR="005B7285" w:rsidRPr="00CE7986">
              <w:rPr>
                <w:b/>
                <w:color w:val="3B5117"/>
              </w:rPr>
              <w:t>.</w:t>
            </w:r>
            <w:r w:rsidR="00BE36C7" w:rsidRPr="00CE7986">
              <w:rPr>
                <w:b/>
                <w:color w:val="3B5117"/>
              </w:rPr>
              <w:t>3</w:t>
            </w:r>
            <w:r w:rsidR="00CE7986">
              <w:rPr>
                <w:b/>
                <w:color w:val="3B5117"/>
              </w:rPr>
              <w:t> — </w:t>
            </w:r>
            <w:r w:rsidR="005B7285" w:rsidRPr="00CE7986">
              <w:rPr>
                <w:b/>
                <w:color w:val="3B5117"/>
              </w:rPr>
              <w:t>student mental health and wellbeing strategy in tertiary education institutions</w:t>
            </w:r>
          </w:p>
        </w:tc>
      </w:tr>
      <w:tr w:rsidR="005B7285" w:rsidRPr="00D41518" w14:paraId="76766A02" w14:textId="77777777" w:rsidTr="004F5341">
        <w:tc>
          <w:tcPr>
            <w:tcW w:w="5000" w:type="pct"/>
            <w:tcBorders>
              <w:top w:val="nil"/>
              <w:left w:val="nil"/>
              <w:bottom w:val="nil"/>
              <w:right w:val="nil"/>
            </w:tcBorders>
            <w:shd w:val="clear" w:color="auto" w:fill="F2F2F2"/>
            <w:tcMar>
              <w:left w:w="170" w:type="dxa"/>
              <w:right w:w="170" w:type="dxa"/>
            </w:tcMar>
          </w:tcPr>
          <w:p w14:paraId="15C6EDDE" w14:textId="01FF2446" w:rsidR="008A790D" w:rsidRPr="000F54B8" w:rsidRDefault="00F07883" w:rsidP="00A92CDE">
            <w:pPr>
              <w:pStyle w:val="Rec"/>
              <w:keepNext/>
            </w:pPr>
            <w:r>
              <w:t xml:space="preserve">To </w:t>
            </w:r>
            <w:r w:rsidR="000F54B8">
              <w:t>support</w:t>
            </w:r>
            <w:r>
              <w:t xml:space="preserve"> students’ mental health, t</w:t>
            </w:r>
            <w:r w:rsidR="008A790D">
              <w:t xml:space="preserve">ertiary education institutions should have </w:t>
            </w:r>
            <w:r w:rsidR="000F54B8">
              <w:t xml:space="preserve">comprehensive </w:t>
            </w:r>
            <w:r w:rsidR="008A790D">
              <w:t>mental health and wellbeing strategies. The</w:t>
            </w:r>
            <w:r w:rsidR="004960E7">
              <w:t xml:space="preserve"> implementation of these</w:t>
            </w:r>
            <w:r w:rsidR="008A790D">
              <w:t xml:space="preserve"> </w:t>
            </w:r>
            <w:r w:rsidR="000F54B8">
              <w:t xml:space="preserve">strategies </w:t>
            </w:r>
            <w:r w:rsidR="008A790D">
              <w:t xml:space="preserve">should </w:t>
            </w:r>
            <w:r w:rsidR="004960E7">
              <w:t xml:space="preserve">be </w:t>
            </w:r>
            <w:r w:rsidR="000F54B8">
              <w:t>rigorously evaluated to enable</w:t>
            </w:r>
            <w:r w:rsidR="008A790D">
              <w:t xml:space="preserve"> continuous improvement.</w:t>
            </w:r>
          </w:p>
          <w:p w14:paraId="32209592" w14:textId="7588A24A" w:rsidR="005B7285" w:rsidRPr="00D41518" w:rsidRDefault="002246D6" w:rsidP="00A92CDE">
            <w:pPr>
              <w:pStyle w:val="Rec"/>
              <w:keepNext/>
              <w:rPr>
                <w:i/>
              </w:rPr>
            </w:pPr>
            <w:r w:rsidRPr="002246D6">
              <w:rPr>
                <w:i/>
              </w:rPr>
              <w:t>Start now</w:t>
            </w:r>
            <w:r w:rsidR="005B7285" w:rsidRPr="00D41518">
              <w:rPr>
                <w:i/>
              </w:rPr>
              <w:t xml:space="preserve"> </w:t>
            </w:r>
          </w:p>
          <w:p w14:paraId="2716C121" w14:textId="77777777" w:rsidR="005B7285" w:rsidRPr="00D41518" w:rsidRDefault="005B7285" w:rsidP="00A92CDE">
            <w:pPr>
              <w:pStyle w:val="Rec"/>
              <w:keepNext/>
            </w:pPr>
            <w:r w:rsidRPr="00D41518">
              <w:t xml:space="preserve">The Australian Government should amend the </w:t>
            </w:r>
            <w:r w:rsidRPr="00A92CDE">
              <w:rPr>
                <w:i/>
              </w:rPr>
              <w:t>Higher Education Standards Framework (Threshold Standards) 2015</w:t>
            </w:r>
            <w:r w:rsidRPr="00D41518">
              <w:t xml:space="preserve"> and the </w:t>
            </w:r>
            <w:r w:rsidRPr="00A92CDE">
              <w:rPr>
                <w:i/>
              </w:rPr>
              <w:t>Standards for Registered Training Organisations (RTOs) 2015</w:t>
            </w:r>
            <w:r w:rsidRPr="00D41518">
              <w:t xml:space="preserve"> to require all</w:t>
            </w:r>
            <w:r w:rsidRPr="00D41518" w:rsidDel="00A87224">
              <w:t xml:space="preserve"> </w:t>
            </w:r>
            <w:r w:rsidRPr="00D41518">
              <w:t>tertiary education institutions to have a student mental health and wellbeing strategy. This strategy would be a requirement for registration and would be assessed by the Tertiary Education Quality and Standards Agency or Australian Skills Quality Authority as part of the registration process.</w:t>
            </w:r>
          </w:p>
          <w:p w14:paraId="2EFBE695" w14:textId="77777777" w:rsidR="005B7285" w:rsidRPr="00D41518" w:rsidRDefault="005B7285" w:rsidP="00A92CDE">
            <w:pPr>
              <w:pStyle w:val="Rec"/>
              <w:keepNext/>
            </w:pPr>
            <w:r w:rsidRPr="00D41518">
              <w:t>This strategy should cover:</w:t>
            </w:r>
          </w:p>
          <w:p w14:paraId="10C9A292" w14:textId="77777777" w:rsidR="005B7285" w:rsidRPr="00D41518" w:rsidRDefault="005B7285" w:rsidP="00A92CDE">
            <w:pPr>
              <w:pStyle w:val="RecBullet"/>
              <w:keepNext/>
            </w:pPr>
            <w:r w:rsidRPr="00D41518">
              <w:t xml:space="preserve">how they will meet their requirements under the </w:t>
            </w:r>
            <w:r w:rsidRPr="001554DB">
              <w:rPr>
                <w:i/>
              </w:rPr>
              <w:t>Disability Discrimination Act 1992</w:t>
            </w:r>
            <w:r w:rsidRPr="00D41518">
              <w:t xml:space="preserve"> (</w:t>
            </w:r>
            <w:proofErr w:type="spellStart"/>
            <w:r w:rsidRPr="00D41518">
              <w:t>Cth</w:t>
            </w:r>
            <w:proofErr w:type="spellEnd"/>
            <w:r w:rsidRPr="00D41518">
              <w:t xml:space="preserve">) and </w:t>
            </w:r>
            <w:r w:rsidRPr="00D152F4">
              <w:rPr>
                <w:i/>
              </w:rPr>
              <w:t>Disability Standards for Education 2005 (</w:t>
            </w:r>
            <w:proofErr w:type="spellStart"/>
            <w:r w:rsidRPr="00D152F4">
              <w:rPr>
                <w:i/>
              </w:rPr>
              <w:t>Cth</w:t>
            </w:r>
            <w:proofErr w:type="spellEnd"/>
            <w:r w:rsidRPr="00D152F4">
              <w:rPr>
                <w:i/>
              </w:rPr>
              <w:t>)</w:t>
            </w:r>
          </w:p>
          <w:p w14:paraId="226E769C" w14:textId="51883CA9" w:rsidR="005B7285" w:rsidRPr="00D41518" w:rsidRDefault="005B7285" w:rsidP="00A92CDE">
            <w:pPr>
              <w:pStyle w:val="RecBullet"/>
              <w:keepNext/>
            </w:pPr>
            <w:r w:rsidRPr="00D41518">
              <w:t>how they will meet their requirements under the Higher Education Standards Framework (Threshold Standards) 2015, Standards for Registered Training Organisations (RTOs) 2015 and National Code of Practice for Providers of Education and Training to Overseas Students</w:t>
            </w:r>
            <w:r w:rsidR="00B15405">
              <w:t>. This should</w:t>
            </w:r>
            <w:r w:rsidRPr="00D41518">
              <w:t xml:space="preserve"> </w:t>
            </w:r>
            <w:r w:rsidR="00B15405">
              <w:t>encompass</w:t>
            </w:r>
            <w:r w:rsidRPr="00D41518">
              <w:t xml:space="preserve"> information on their internal and external support</w:t>
            </w:r>
            <w:r w:rsidR="00B15405">
              <w:t>,</w:t>
            </w:r>
            <w:r w:rsidR="00380B30">
              <w:t xml:space="preserve"> including</w:t>
            </w:r>
            <w:r w:rsidRPr="00D41518">
              <w:t xml:space="preserve"> partnerships with providers of external supports</w:t>
            </w:r>
          </w:p>
          <w:p w14:paraId="02C901A9" w14:textId="0E04DEF6" w:rsidR="005B7285" w:rsidRPr="00D41518" w:rsidRDefault="00F7232A" w:rsidP="00A92CDE">
            <w:pPr>
              <w:pStyle w:val="RecBullet"/>
              <w:keepNext/>
            </w:pPr>
            <w:r>
              <w:t>a requirement that</w:t>
            </w:r>
            <w:r w:rsidRPr="00D41518">
              <w:t xml:space="preserve"> </w:t>
            </w:r>
            <w:r w:rsidR="005B7285" w:rsidRPr="00D41518">
              <w:t>onsite counselling services, where available, provide appropriate links into the broader health system and are adequately resourced to meet the needs of students who require these services</w:t>
            </w:r>
          </w:p>
          <w:p w14:paraId="745172B4" w14:textId="77777777" w:rsidR="005B7285" w:rsidRPr="00D41518" w:rsidRDefault="005B7285" w:rsidP="00A92CDE">
            <w:pPr>
              <w:pStyle w:val="RecBullet"/>
              <w:keepNext/>
            </w:pPr>
            <w:r w:rsidRPr="00D41518">
              <w:t>the prevention and early intervention support institutions provide</w:t>
            </w:r>
          </w:p>
          <w:p w14:paraId="19E18616" w14:textId="6BEA351E" w:rsidR="00BE36C7" w:rsidRDefault="005B7285" w:rsidP="00A92CDE">
            <w:pPr>
              <w:pStyle w:val="RecBullet"/>
              <w:keepNext/>
            </w:pPr>
            <w:r w:rsidRPr="00D41518">
              <w:t>training and guidance for staff</w:t>
            </w:r>
            <w:r w:rsidR="00BE36C7">
              <w:t>, including:</w:t>
            </w:r>
          </w:p>
          <w:p w14:paraId="7BE1B029" w14:textId="6DB91464" w:rsidR="00BE36C7" w:rsidRPr="00BE36C7" w:rsidRDefault="00E135B3" w:rsidP="00291482">
            <w:pPr>
              <w:pStyle w:val="BoxListBullet2"/>
              <w:tabs>
                <w:tab w:val="clear" w:pos="567"/>
              </w:tabs>
              <w:ind w:left="680" w:hanging="340"/>
            </w:pPr>
            <w:r>
              <w:t xml:space="preserve">that </w:t>
            </w:r>
            <w:r w:rsidR="00BE36C7" w:rsidRPr="00BE36C7">
              <w:t>all staff who have direct interaction with students would undertake training on student mental health and wellbeing</w:t>
            </w:r>
          </w:p>
          <w:p w14:paraId="1C30219D" w14:textId="1304B11E" w:rsidR="00BE36C7" w:rsidRPr="00BE36C7" w:rsidRDefault="00BE36C7" w:rsidP="00291482">
            <w:pPr>
              <w:pStyle w:val="BoxListBullet2"/>
              <w:tabs>
                <w:tab w:val="clear" w:pos="567"/>
              </w:tabs>
              <w:ind w:left="680" w:hanging="340"/>
            </w:pPr>
            <w:r w:rsidRPr="00BE36C7">
              <w:t>guidance for staff on what they should do if a student approaches them with a mental health concern and how they can support student mental health.</w:t>
            </w:r>
          </w:p>
          <w:p w14:paraId="694E9764" w14:textId="77777777" w:rsidR="005B7285" w:rsidRPr="00A92CDE" w:rsidRDefault="002246D6" w:rsidP="00A92CDE">
            <w:pPr>
              <w:pStyle w:val="Rec"/>
              <w:keepNext/>
              <w:rPr>
                <w:i/>
              </w:rPr>
            </w:pPr>
            <w:r w:rsidRPr="00A92CDE">
              <w:rPr>
                <w:i/>
              </w:rPr>
              <w:t>Start later</w:t>
            </w:r>
          </w:p>
          <w:p w14:paraId="0712C75A" w14:textId="6DE7A63C" w:rsidR="005B7285" w:rsidRPr="00D41518" w:rsidRDefault="005B7285" w:rsidP="00A92CDE">
            <w:pPr>
              <w:pStyle w:val="Rec"/>
              <w:keepNext/>
            </w:pPr>
            <w:r w:rsidRPr="00D41518">
              <w:t>The Tertiary Education Quality and Standards Agency and the Australian Skills Quality Authority should monitor and collect evidence from interventions initiated by tertiary education providers to improve mental wellbeing and mental health of students and staff. They should disseminate information</w:t>
            </w:r>
            <w:r w:rsidR="001B299D">
              <w:t xml:space="preserve"> on best practice interventions</w:t>
            </w:r>
            <w:r w:rsidRPr="00D41518">
              <w:t xml:space="preserve"> to tertiary education providers.</w:t>
            </w:r>
          </w:p>
        </w:tc>
      </w:tr>
      <w:tr w:rsidR="005B7285" w:rsidRPr="00D41518" w14:paraId="6EA20588"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37CDD646" w14:textId="77777777" w:rsidR="005B7285" w:rsidRPr="00D41518" w:rsidRDefault="005B7285" w:rsidP="00A92CDE">
            <w:pPr>
              <w:keepNext/>
              <w:keepLines/>
              <w:spacing w:line="120" w:lineRule="exact"/>
              <w:jc w:val="both"/>
              <w:rPr>
                <w:rFonts w:ascii="Arial" w:hAnsi="Arial"/>
                <w:sz w:val="20"/>
                <w:szCs w:val="20"/>
              </w:rPr>
            </w:pPr>
          </w:p>
        </w:tc>
      </w:tr>
      <w:tr w:rsidR="005B7285" w:rsidRPr="00D41518" w14:paraId="1E835403" w14:textId="77777777" w:rsidTr="004F5341">
        <w:tc>
          <w:tcPr>
            <w:tcW w:w="5000" w:type="pct"/>
            <w:tcBorders>
              <w:top w:val="single" w:sz="6" w:space="0" w:color="78A22F"/>
              <w:left w:val="nil"/>
              <w:bottom w:val="nil"/>
              <w:right w:val="nil"/>
            </w:tcBorders>
            <w:tcMar>
              <w:left w:w="170" w:type="dxa"/>
              <w:right w:w="170" w:type="dxa"/>
            </w:tcMar>
          </w:tcPr>
          <w:p w14:paraId="58BB24E5" w14:textId="77777777" w:rsidR="005B7285" w:rsidRPr="00D41518" w:rsidRDefault="005B7285" w:rsidP="00A92CDE">
            <w:pPr>
              <w:keepNext/>
              <w:keepLines/>
              <w:spacing w:before="60" w:after="60" w:line="80" w:lineRule="exact"/>
              <w:jc w:val="both"/>
              <w:rPr>
                <w:rFonts w:ascii="Arial" w:hAnsi="Arial"/>
                <w:sz w:val="14"/>
                <w:szCs w:val="20"/>
              </w:rPr>
            </w:pPr>
          </w:p>
        </w:tc>
      </w:tr>
    </w:tbl>
    <w:p w14:paraId="20BCD7B9" w14:textId="77777777" w:rsidR="00A92CDE" w:rsidRDefault="00A92CDE" w:rsidP="00A92CDE">
      <w:pPr>
        <w:pStyle w:val="BoxSpaceAbove"/>
        <w:keepLines/>
        <w:pageBreakBefor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5B7285" w:rsidRPr="00CE7986" w14:paraId="670B6F87" w14:textId="77777777" w:rsidTr="004F5341">
        <w:trPr>
          <w:tblHeader/>
        </w:trPr>
        <w:tc>
          <w:tcPr>
            <w:tcW w:w="5000" w:type="pct"/>
            <w:tcBorders>
              <w:top w:val="single" w:sz="6" w:space="0" w:color="78A22F"/>
              <w:left w:val="nil"/>
              <w:bottom w:val="nil"/>
              <w:right w:val="nil"/>
            </w:tcBorders>
            <w:shd w:val="clear" w:color="auto" w:fill="auto"/>
            <w:tcMar>
              <w:left w:w="170" w:type="dxa"/>
              <w:right w:w="170" w:type="dxa"/>
            </w:tcMar>
          </w:tcPr>
          <w:p w14:paraId="7C65C38A" w14:textId="4D7838E3" w:rsidR="005B7285" w:rsidRPr="00CE7986" w:rsidRDefault="00F475B2" w:rsidP="005E64FD">
            <w:pPr>
              <w:pStyle w:val="RecTitle"/>
              <w:spacing w:before="120"/>
              <w:rPr>
                <w:b/>
                <w:color w:val="3B5117"/>
              </w:rPr>
            </w:pPr>
            <w:r w:rsidRPr="00CE7986">
              <w:rPr>
                <w:b/>
                <w:color w:val="3B5117"/>
              </w:rPr>
              <w:t>action</w:t>
            </w:r>
            <w:r w:rsidR="005B7285" w:rsidRPr="00CE7986">
              <w:rPr>
                <w:b/>
                <w:color w:val="3B5117"/>
              </w:rPr>
              <w:t xml:space="preserve"> </w:t>
            </w:r>
            <w:r w:rsidR="004960E7" w:rsidRPr="00CE7986">
              <w:rPr>
                <w:b/>
                <w:color w:val="3B5117"/>
              </w:rPr>
              <w:t>6</w:t>
            </w:r>
            <w:r w:rsidR="005B7285" w:rsidRPr="00CE7986">
              <w:rPr>
                <w:b/>
                <w:color w:val="3B5117"/>
              </w:rPr>
              <w:t>.</w:t>
            </w:r>
            <w:r w:rsidR="00AD07E8" w:rsidRPr="00CE7986">
              <w:rPr>
                <w:b/>
                <w:color w:val="3B5117"/>
              </w:rPr>
              <w:t>4</w:t>
            </w:r>
            <w:r w:rsidR="00710401">
              <w:t> — </w:t>
            </w:r>
            <w:r w:rsidR="005B7285" w:rsidRPr="00CE7986">
              <w:rPr>
                <w:b/>
                <w:color w:val="3B5117"/>
              </w:rPr>
              <w:t>Guidance for tertiary education providers</w:t>
            </w:r>
          </w:p>
        </w:tc>
      </w:tr>
      <w:tr w:rsidR="005B7285" w:rsidRPr="00D41518" w14:paraId="07B4DB47" w14:textId="77777777" w:rsidTr="004F5341">
        <w:tc>
          <w:tcPr>
            <w:tcW w:w="5000" w:type="pct"/>
            <w:tcBorders>
              <w:top w:val="nil"/>
              <w:left w:val="nil"/>
              <w:bottom w:val="nil"/>
              <w:right w:val="nil"/>
            </w:tcBorders>
            <w:shd w:val="clear" w:color="auto" w:fill="F2F2F2"/>
            <w:tcMar>
              <w:left w:w="170" w:type="dxa"/>
              <w:right w:w="170" w:type="dxa"/>
            </w:tcMar>
          </w:tcPr>
          <w:p w14:paraId="0FE55410" w14:textId="5B64D477" w:rsidR="008A790D" w:rsidRPr="00AD07E8" w:rsidRDefault="00086EB0" w:rsidP="00A92CDE">
            <w:pPr>
              <w:pStyle w:val="Rec"/>
            </w:pPr>
            <w:r>
              <w:t>A</w:t>
            </w:r>
            <w:r w:rsidR="00F07883">
              <w:t>ll</w:t>
            </w:r>
            <w:r w:rsidR="008A790D">
              <w:t xml:space="preserve"> </w:t>
            </w:r>
            <w:r>
              <w:t>tertiary education providers</w:t>
            </w:r>
            <w:r w:rsidR="00CE7986">
              <w:t> — </w:t>
            </w:r>
            <w:r>
              <w:t xml:space="preserve">including </w:t>
            </w:r>
            <w:r w:rsidRPr="00D41518">
              <w:t>non</w:t>
            </w:r>
            <w:r w:rsidRPr="00D41518">
              <w:noBreakHyphen/>
              <w:t>university higher education and Vocational Education and Training</w:t>
            </w:r>
            <w:r w:rsidR="00CE7986">
              <w:t> — </w:t>
            </w:r>
            <w:r>
              <w:t>would benefit from</w:t>
            </w:r>
            <w:r w:rsidR="008A790D">
              <w:t xml:space="preserve"> guidance </w:t>
            </w:r>
            <w:r>
              <w:t xml:space="preserve">on how </w:t>
            </w:r>
            <w:r w:rsidR="008A790D">
              <w:t xml:space="preserve">to best support their students’ </w:t>
            </w:r>
            <w:r w:rsidR="00AD07E8">
              <w:t>mental health</w:t>
            </w:r>
            <w:r w:rsidR="008A790D">
              <w:t>.</w:t>
            </w:r>
          </w:p>
          <w:p w14:paraId="3CC28B8C" w14:textId="548F1354" w:rsidR="005B7285" w:rsidRPr="00D41518" w:rsidRDefault="002246D6" w:rsidP="00A92CDE">
            <w:pPr>
              <w:pStyle w:val="Rec"/>
              <w:rPr>
                <w:i/>
              </w:rPr>
            </w:pPr>
            <w:r w:rsidRPr="002246D6">
              <w:rPr>
                <w:i/>
              </w:rPr>
              <w:t>Start now</w:t>
            </w:r>
          </w:p>
          <w:p w14:paraId="0E705D38" w14:textId="77777777" w:rsidR="005B7285" w:rsidRPr="00D41518" w:rsidRDefault="005B7285" w:rsidP="00A92CDE">
            <w:pPr>
              <w:pStyle w:val="Rec"/>
            </w:pPr>
            <w:r w:rsidRPr="00D41518">
              <w:t>To supplement guidance being developed for universities to address student mental health, the Australian Government should develop or commission guidance for non</w:t>
            </w:r>
            <w:r w:rsidRPr="00D41518">
              <w:noBreakHyphen/>
              <w:t xml:space="preserve">university higher education providers and Vocational Education and Training providers on how they can best meet students’ mental health needs. This should include best-practice interventions that institutions could adopt to build students’ resilience and support their mental health. </w:t>
            </w:r>
          </w:p>
        </w:tc>
      </w:tr>
      <w:tr w:rsidR="005B7285" w:rsidRPr="00D41518" w14:paraId="63277FD9"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404CF388" w14:textId="77777777" w:rsidR="005B7285" w:rsidRPr="00D41518" w:rsidRDefault="005B7285" w:rsidP="00A92CDE">
            <w:pPr>
              <w:keepNext/>
              <w:keepLines/>
              <w:spacing w:line="120" w:lineRule="exact"/>
              <w:jc w:val="both"/>
              <w:rPr>
                <w:rFonts w:ascii="Arial" w:hAnsi="Arial"/>
                <w:sz w:val="20"/>
                <w:szCs w:val="20"/>
              </w:rPr>
            </w:pPr>
          </w:p>
        </w:tc>
      </w:tr>
      <w:tr w:rsidR="005B7285" w:rsidRPr="00D41518" w14:paraId="7A3616D6" w14:textId="77777777" w:rsidTr="004F5341">
        <w:tc>
          <w:tcPr>
            <w:tcW w:w="5000" w:type="pct"/>
            <w:tcBorders>
              <w:top w:val="single" w:sz="6" w:space="0" w:color="78A22F"/>
              <w:left w:val="nil"/>
              <w:bottom w:val="nil"/>
              <w:right w:val="nil"/>
            </w:tcBorders>
            <w:tcMar>
              <w:left w:w="170" w:type="dxa"/>
              <w:right w:w="170" w:type="dxa"/>
            </w:tcMar>
          </w:tcPr>
          <w:p w14:paraId="7D6080B2" w14:textId="77777777" w:rsidR="005B7285" w:rsidRPr="00D41518" w:rsidRDefault="005B7285" w:rsidP="00A92CDE">
            <w:pPr>
              <w:keepNext/>
              <w:keepLines/>
              <w:spacing w:before="60" w:after="60" w:line="80" w:lineRule="exact"/>
              <w:jc w:val="both"/>
              <w:rPr>
                <w:rFonts w:ascii="Arial" w:hAnsi="Arial"/>
                <w:sz w:val="14"/>
                <w:szCs w:val="20"/>
              </w:rPr>
            </w:pPr>
          </w:p>
        </w:tc>
      </w:tr>
    </w:tbl>
    <w:p w14:paraId="7682E65B" w14:textId="491B24DB" w:rsidR="005B7285" w:rsidRDefault="00CE1144" w:rsidP="005B7285">
      <w:pPr>
        <w:pStyle w:val="Heading3"/>
      </w:pPr>
      <w:r>
        <w:t>M</w:t>
      </w:r>
      <w:r w:rsidR="005B7285">
        <w:t>entally healthy workplaces</w:t>
      </w:r>
    </w:p>
    <w:p w14:paraId="16CC2BA5" w14:textId="77777777" w:rsidR="005B7285" w:rsidRPr="00D41518" w:rsidRDefault="005B7285" w:rsidP="00B80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5B7285" w:rsidRPr="00CE7986" w14:paraId="3DE1ABAE" w14:textId="77777777" w:rsidTr="004F5341">
        <w:trPr>
          <w:tblHeader/>
        </w:trPr>
        <w:tc>
          <w:tcPr>
            <w:tcW w:w="5000" w:type="pct"/>
            <w:tcBorders>
              <w:top w:val="single" w:sz="6" w:space="0" w:color="78A22F"/>
              <w:left w:val="nil"/>
              <w:bottom w:val="nil"/>
              <w:right w:val="nil"/>
            </w:tcBorders>
            <w:shd w:val="clear" w:color="auto" w:fill="auto"/>
            <w:tcMar>
              <w:left w:w="170" w:type="dxa"/>
              <w:right w:w="170" w:type="dxa"/>
            </w:tcMar>
          </w:tcPr>
          <w:p w14:paraId="31B312B6" w14:textId="6558A31E" w:rsidR="005B7285" w:rsidRPr="00CE7986" w:rsidRDefault="005B2228" w:rsidP="001B4578">
            <w:pPr>
              <w:pStyle w:val="RecTitle"/>
              <w:spacing w:before="120"/>
              <w:ind w:left="1361" w:hanging="1361"/>
              <w:rPr>
                <w:b/>
                <w:color w:val="3B5117"/>
              </w:rPr>
            </w:pPr>
            <w:r w:rsidRPr="00CE7986">
              <w:rPr>
                <w:b/>
                <w:color w:val="3B5117"/>
              </w:rPr>
              <w:t>Action</w:t>
            </w:r>
            <w:r w:rsidR="005B7285" w:rsidRPr="00CE7986">
              <w:rPr>
                <w:b/>
                <w:color w:val="3B5117"/>
              </w:rPr>
              <w:t xml:space="preserve"> </w:t>
            </w:r>
            <w:r w:rsidR="00CA1A76" w:rsidRPr="00CE7986">
              <w:rPr>
                <w:b/>
                <w:color w:val="3B5117"/>
              </w:rPr>
              <w:t>7</w:t>
            </w:r>
            <w:r w:rsidR="005B7285" w:rsidRPr="00CE7986">
              <w:rPr>
                <w:b/>
                <w:color w:val="3B5117"/>
              </w:rPr>
              <w:t>.1</w:t>
            </w:r>
            <w:r w:rsidR="00CE7986">
              <w:rPr>
                <w:b/>
                <w:color w:val="3B5117"/>
              </w:rPr>
              <w:t> — </w:t>
            </w:r>
            <w:r w:rsidR="005B7285" w:rsidRPr="00CE7986">
              <w:rPr>
                <w:rFonts w:ascii="Arial Bold" w:hAnsi="Arial Bold"/>
                <w:b/>
                <w:color w:val="3B5117"/>
                <w:spacing w:val="-4"/>
              </w:rPr>
              <w:t xml:space="preserve">psychological health and safety in workplace health and safety laws </w:t>
            </w:r>
          </w:p>
        </w:tc>
      </w:tr>
      <w:tr w:rsidR="005B7285" w:rsidRPr="00D41518" w14:paraId="2819F4BA" w14:textId="77777777" w:rsidTr="004F5341">
        <w:tc>
          <w:tcPr>
            <w:tcW w:w="5000" w:type="pct"/>
            <w:tcBorders>
              <w:top w:val="nil"/>
              <w:left w:val="nil"/>
              <w:bottom w:val="nil"/>
              <w:right w:val="nil"/>
            </w:tcBorders>
            <w:shd w:val="clear" w:color="auto" w:fill="F2F2F2"/>
            <w:tcMar>
              <w:left w:w="170" w:type="dxa"/>
              <w:right w:w="170" w:type="dxa"/>
            </w:tcMar>
          </w:tcPr>
          <w:p w14:paraId="72CFCD49" w14:textId="2EBE16D4" w:rsidR="005B2228" w:rsidRPr="00C51453" w:rsidRDefault="005B2228" w:rsidP="00A92CDE">
            <w:pPr>
              <w:pStyle w:val="Rec"/>
            </w:pPr>
            <w:r w:rsidRPr="00C51453">
              <w:t xml:space="preserve">The model </w:t>
            </w:r>
            <w:r w:rsidR="000A60B9">
              <w:t>workplace health and safety (WHS)</w:t>
            </w:r>
            <w:r w:rsidRPr="00C51453">
              <w:t xml:space="preserve"> laws should be amended to ensure psychological health and safety in the workplace is given similar consideration to physical health and safety.</w:t>
            </w:r>
            <w:r w:rsidR="000A60B9">
              <w:t xml:space="preserve"> Similar amendments are required to </w:t>
            </w:r>
            <w:r w:rsidR="000A60B9" w:rsidRPr="00C51453">
              <w:t>WHS laws in those jurisdictions not</w:t>
            </w:r>
            <w:r w:rsidR="000A60B9">
              <w:t xml:space="preserve"> currently using the model laws.</w:t>
            </w:r>
          </w:p>
          <w:p w14:paraId="059B62BA" w14:textId="77777777" w:rsidR="005B7285" w:rsidRPr="00D41518" w:rsidRDefault="002246D6" w:rsidP="00A92CDE">
            <w:pPr>
              <w:pStyle w:val="Rec"/>
              <w:rPr>
                <w:i/>
              </w:rPr>
            </w:pPr>
            <w:r w:rsidRPr="002246D6">
              <w:rPr>
                <w:i/>
              </w:rPr>
              <w:t>Start now</w:t>
            </w:r>
          </w:p>
          <w:p w14:paraId="3A84FC34" w14:textId="77777777" w:rsidR="005B7285" w:rsidRPr="00D41518" w:rsidRDefault="005B7285" w:rsidP="00FF315F">
            <w:pPr>
              <w:pStyle w:val="RecBullet"/>
            </w:pPr>
            <w:r w:rsidRPr="00D41518">
              <w:t>All WHS legislation should clearly specify the protection of psychological health and safety as a key objective.</w:t>
            </w:r>
          </w:p>
          <w:p w14:paraId="1ACC3BAC" w14:textId="7616B366" w:rsidR="005B7285" w:rsidRPr="00D41518" w:rsidRDefault="005B7285" w:rsidP="00FF315F">
            <w:pPr>
              <w:pStyle w:val="RecBullet"/>
            </w:pPr>
            <w:r w:rsidRPr="00D41518">
              <w:t xml:space="preserve">Necessary amendments should be made to ensure that the relevant legislation and regulation addresses psychological health and safety </w:t>
            </w:r>
            <w:r w:rsidR="00EA498D">
              <w:t>in a similar way</w:t>
            </w:r>
            <w:r w:rsidR="00EA498D" w:rsidRPr="00D41518">
              <w:t xml:space="preserve"> </w:t>
            </w:r>
            <w:r w:rsidRPr="00D41518">
              <w:t>to physical health and safety.</w:t>
            </w:r>
          </w:p>
        </w:tc>
      </w:tr>
      <w:tr w:rsidR="005B7285" w:rsidRPr="00D41518" w14:paraId="31E304DC"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06CE42BD" w14:textId="77777777" w:rsidR="005B7285" w:rsidRPr="00D41518" w:rsidRDefault="005B7285" w:rsidP="004F5341">
            <w:pPr>
              <w:keepNext/>
              <w:keepLines/>
              <w:spacing w:line="120" w:lineRule="exact"/>
              <w:jc w:val="both"/>
              <w:rPr>
                <w:rFonts w:ascii="Arial" w:hAnsi="Arial"/>
                <w:sz w:val="20"/>
                <w:szCs w:val="20"/>
              </w:rPr>
            </w:pPr>
          </w:p>
        </w:tc>
      </w:tr>
      <w:tr w:rsidR="005B7285" w:rsidRPr="00D41518" w14:paraId="049A8E78" w14:textId="77777777" w:rsidTr="004F5341">
        <w:tc>
          <w:tcPr>
            <w:tcW w:w="5000" w:type="pct"/>
            <w:tcBorders>
              <w:top w:val="single" w:sz="6" w:space="0" w:color="78A22F"/>
              <w:left w:val="nil"/>
              <w:bottom w:val="nil"/>
              <w:right w:val="nil"/>
            </w:tcBorders>
            <w:tcMar>
              <w:left w:w="170" w:type="dxa"/>
              <w:right w:w="170" w:type="dxa"/>
            </w:tcMar>
          </w:tcPr>
          <w:p w14:paraId="6D3E283D" w14:textId="77777777" w:rsidR="005B7285" w:rsidRPr="00D41518" w:rsidRDefault="005B7285" w:rsidP="004F5341">
            <w:pPr>
              <w:keepLines/>
              <w:spacing w:before="60" w:after="60" w:line="80" w:lineRule="exact"/>
              <w:jc w:val="both"/>
              <w:rPr>
                <w:rFonts w:ascii="Arial" w:hAnsi="Arial"/>
                <w:sz w:val="14"/>
                <w:szCs w:val="20"/>
              </w:rPr>
            </w:pPr>
          </w:p>
        </w:tc>
      </w:tr>
    </w:tbl>
    <w:p w14:paraId="3858510F" w14:textId="77777777" w:rsidR="005B7285" w:rsidRPr="00D41518" w:rsidRDefault="005B7285" w:rsidP="00B80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5B7285" w:rsidRPr="00CE7986" w14:paraId="0C914084" w14:textId="77777777" w:rsidTr="004F5341">
        <w:trPr>
          <w:tblHeader/>
        </w:trPr>
        <w:tc>
          <w:tcPr>
            <w:tcW w:w="5000" w:type="pct"/>
            <w:tcBorders>
              <w:top w:val="single" w:sz="6" w:space="0" w:color="78A22F"/>
              <w:left w:val="nil"/>
              <w:bottom w:val="nil"/>
              <w:right w:val="nil"/>
            </w:tcBorders>
            <w:shd w:val="clear" w:color="auto" w:fill="auto"/>
            <w:tcMar>
              <w:left w:w="170" w:type="dxa"/>
              <w:right w:w="170" w:type="dxa"/>
            </w:tcMar>
          </w:tcPr>
          <w:p w14:paraId="2F2A8085" w14:textId="2768E9D0" w:rsidR="005B7285" w:rsidRPr="00CE7986" w:rsidRDefault="005B2228" w:rsidP="005E64FD">
            <w:pPr>
              <w:pStyle w:val="RecTitle"/>
              <w:spacing w:before="120"/>
              <w:rPr>
                <w:b/>
                <w:color w:val="3B5117"/>
              </w:rPr>
            </w:pPr>
            <w:r w:rsidRPr="00CE7986">
              <w:rPr>
                <w:b/>
                <w:color w:val="3B5117"/>
              </w:rPr>
              <w:t>action</w:t>
            </w:r>
            <w:r w:rsidR="005B7285" w:rsidRPr="00CE7986">
              <w:rPr>
                <w:b/>
                <w:color w:val="3B5117"/>
              </w:rPr>
              <w:t xml:space="preserve"> </w:t>
            </w:r>
            <w:r w:rsidR="00CA1A76" w:rsidRPr="00CE7986">
              <w:rPr>
                <w:b/>
                <w:color w:val="3B5117"/>
              </w:rPr>
              <w:t>7</w:t>
            </w:r>
            <w:r w:rsidR="005B7285" w:rsidRPr="00CE7986">
              <w:rPr>
                <w:b/>
                <w:color w:val="3B5117"/>
              </w:rPr>
              <w:t>.2</w:t>
            </w:r>
            <w:r w:rsidR="00CE7986">
              <w:rPr>
                <w:b/>
                <w:color w:val="3B5117"/>
              </w:rPr>
              <w:t> — </w:t>
            </w:r>
            <w:r w:rsidR="005B7285" w:rsidRPr="00CE7986">
              <w:rPr>
                <w:b/>
                <w:color w:val="3B5117"/>
              </w:rPr>
              <w:t>codes of practice on employer duty of care</w:t>
            </w:r>
          </w:p>
        </w:tc>
      </w:tr>
      <w:tr w:rsidR="005B7285" w:rsidRPr="00D41518" w14:paraId="1DF2EFB4" w14:textId="77777777" w:rsidTr="004F5341">
        <w:tc>
          <w:tcPr>
            <w:tcW w:w="5000" w:type="pct"/>
            <w:tcBorders>
              <w:top w:val="nil"/>
              <w:left w:val="nil"/>
              <w:bottom w:val="nil"/>
              <w:right w:val="nil"/>
            </w:tcBorders>
            <w:shd w:val="clear" w:color="auto" w:fill="F2F2F2"/>
            <w:tcMar>
              <w:left w:w="170" w:type="dxa"/>
              <w:right w:w="170" w:type="dxa"/>
            </w:tcMar>
          </w:tcPr>
          <w:p w14:paraId="08298E00" w14:textId="3566AE32" w:rsidR="005B2228" w:rsidRPr="00DD508F" w:rsidRDefault="005B2228" w:rsidP="00A92CDE">
            <w:pPr>
              <w:pStyle w:val="Rec"/>
            </w:pPr>
            <w:r>
              <w:t>Codes of Practice</w:t>
            </w:r>
            <w:r w:rsidR="00F07883">
              <w:t xml:space="preserve"> can </w:t>
            </w:r>
            <w:r w:rsidR="006C3E24">
              <w:t>play an important role in supporting</w:t>
            </w:r>
            <w:r w:rsidR="00F07883">
              <w:t xml:space="preserve"> mental health in the workplace.</w:t>
            </w:r>
          </w:p>
          <w:p w14:paraId="3B64C565" w14:textId="739A793A" w:rsidR="005B7285" w:rsidRPr="00D41518" w:rsidRDefault="002246D6" w:rsidP="00A92CDE">
            <w:pPr>
              <w:pStyle w:val="Rec"/>
              <w:rPr>
                <w:i/>
              </w:rPr>
            </w:pPr>
            <w:r w:rsidRPr="002246D6">
              <w:rPr>
                <w:i/>
              </w:rPr>
              <w:t>Start now</w:t>
            </w:r>
          </w:p>
          <w:p w14:paraId="23F58B6F" w14:textId="025FDBCB" w:rsidR="005B7285" w:rsidRPr="00D41518" w:rsidRDefault="00152467" w:rsidP="00A92CDE">
            <w:pPr>
              <w:pStyle w:val="Rec"/>
            </w:pPr>
            <w:r w:rsidRPr="004E7C9E">
              <w:t xml:space="preserve">Workplace Health and Safety authorities, in conjunction with Safe Work Australia, should develop codes of practice </w:t>
            </w:r>
            <w:r w:rsidR="005B7285" w:rsidRPr="004E7C9E">
              <w:t xml:space="preserve">to assist employers </w:t>
            </w:r>
            <w:r w:rsidR="00E135B3">
              <w:t>to</w:t>
            </w:r>
            <w:r w:rsidR="005B7285" w:rsidRPr="004E7C9E">
              <w:t xml:space="preserve"> meet their duty of care in identifying, eliminating and managing risks to psychological health in the workplace. Codes of practices should be industry</w:t>
            </w:r>
            <w:r w:rsidR="00E135B3">
              <w:t>-</w:t>
            </w:r>
            <w:r w:rsidR="005B7285" w:rsidRPr="004E7C9E">
              <w:t xml:space="preserve"> or </w:t>
            </w:r>
            <w:r w:rsidR="00E135B3" w:rsidRPr="004E7C9E">
              <w:t>occupation</w:t>
            </w:r>
            <w:r w:rsidR="00E135B3">
              <w:t>-</w:t>
            </w:r>
            <w:r w:rsidR="005B7285" w:rsidRPr="004E7C9E">
              <w:t>specific and developed to reflect the different risk profiles of different industries and occupations.</w:t>
            </w:r>
          </w:p>
        </w:tc>
      </w:tr>
      <w:tr w:rsidR="005B7285" w:rsidRPr="00D41518" w14:paraId="0B4A7995"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0BE27FB8" w14:textId="77777777" w:rsidR="005B7285" w:rsidRPr="00D41518" w:rsidRDefault="005B7285" w:rsidP="004F5341">
            <w:pPr>
              <w:keepNext/>
              <w:keepLines/>
              <w:spacing w:line="120" w:lineRule="exact"/>
              <w:jc w:val="both"/>
              <w:rPr>
                <w:rFonts w:ascii="Arial" w:hAnsi="Arial"/>
                <w:sz w:val="20"/>
                <w:szCs w:val="20"/>
              </w:rPr>
            </w:pPr>
          </w:p>
        </w:tc>
      </w:tr>
      <w:tr w:rsidR="005B7285" w:rsidRPr="00D41518" w14:paraId="4AE08A88" w14:textId="77777777" w:rsidTr="004F5341">
        <w:tc>
          <w:tcPr>
            <w:tcW w:w="5000" w:type="pct"/>
            <w:tcBorders>
              <w:top w:val="single" w:sz="6" w:space="0" w:color="78A22F"/>
              <w:left w:val="nil"/>
              <w:bottom w:val="nil"/>
              <w:right w:val="nil"/>
            </w:tcBorders>
            <w:tcMar>
              <w:left w:w="170" w:type="dxa"/>
              <w:right w:w="170" w:type="dxa"/>
            </w:tcMar>
          </w:tcPr>
          <w:p w14:paraId="43270466" w14:textId="77777777" w:rsidR="005B7285" w:rsidRPr="00D41518" w:rsidRDefault="005B7285" w:rsidP="004F5341">
            <w:pPr>
              <w:keepLines/>
              <w:spacing w:before="60" w:after="60" w:line="80" w:lineRule="exact"/>
              <w:jc w:val="both"/>
              <w:rPr>
                <w:rFonts w:ascii="Arial" w:hAnsi="Arial"/>
                <w:sz w:val="14"/>
                <w:szCs w:val="20"/>
              </w:rPr>
            </w:pPr>
          </w:p>
        </w:tc>
      </w:tr>
    </w:tbl>
    <w:p w14:paraId="232F5634" w14:textId="77777777" w:rsidR="005B7285" w:rsidRPr="00D41518" w:rsidRDefault="005B7285" w:rsidP="005B7285">
      <w:pPr>
        <w:keepNext/>
        <w:spacing w:before="360" w:line="80" w:lineRule="exact"/>
        <w:rPr>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8"/>
      </w:tblGrid>
      <w:tr w:rsidR="005B7285" w:rsidRPr="00D41518" w14:paraId="3D02649E" w14:textId="77777777" w:rsidTr="004F5341">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6A0AD7B7" w14:textId="3A7EF9AA" w:rsidR="005B7285" w:rsidRPr="00D41518" w:rsidRDefault="005B7285" w:rsidP="00AA695D">
            <w:pPr>
              <w:pStyle w:val="FindingTitle"/>
              <w:spacing w:before="120"/>
              <w:rPr>
                <w:noProof/>
              </w:rPr>
            </w:pPr>
            <w:r w:rsidRPr="00D41518">
              <w:t xml:space="preserve">Finding </w:t>
            </w:r>
            <w:r w:rsidR="006C3E24">
              <w:t>7</w:t>
            </w:r>
            <w:r w:rsidRPr="00D41518">
              <w:t>.</w:t>
            </w:r>
            <w:r w:rsidRPr="00D41518">
              <w:rPr>
                <w:noProof/>
              </w:rPr>
              <w:t>1</w:t>
            </w:r>
            <w:r w:rsidR="00CE7986">
              <w:rPr>
                <w:noProof/>
              </w:rPr>
              <w:t> — </w:t>
            </w:r>
            <w:r w:rsidRPr="00D41518">
              <w:rPr>
                <w:noProof/>
              </w:rPr>
              <w:t xml:space="preserve">return to work </w:t>
            </w:r>
            <w:r>
              <w:rPr>
                <w:noProof/>
              </w:rPr>
              <w:t>can be</w:t>
            </w:r>
            <w:r w:rsidRPr="00D41518">
              <w:rPr>
                <w:noProof/>
              </w:rPr>
              <w:t xml:space="preserve"> more difficult in smaller businesses</w:t>
            </w:r>
          </w:p>
        </w:tc>
      </w:tr>
      <w:tr w:rsidR="005B7285" w:rsidRPr="00D41518" w14:paraId="28D4B373" w14:textId="77777777" w:rsidTr="004F5341">
        <w:trPr>
          <w:cantSplit/>
        </w:trPr>
        <w:tc>
          <w:tcPr>
            <w:tcW w:w="5000" w:type="pct"/>
            <w:tcBorders>
              <w:top w:val="nil"/>
              <w:left w:val="nil"/>
              <w:bottom w:val="nil"/>
              <w:right w:val="nil"/>
            </w:tcBorders>
            <w:shd w:val="clear" w:color="auto" w:fill="F2F2F2"/>
            <w:tcMar>
              <w:left w:w="170" w:type="dxa"/>
              <w:right w:w="170" w:type="dxa"/>
            </w:tcMar>
          </w:tcPr>
          <w:p w14:paraId="1FDAD2C6" w14:textId="186EF279" w:rsidR="005B7285" w:rsidRPr="00D41518" w:rsidRDefault="005B7285" w:rsidP="00A92CDE">
            <w:pPr>
              <w:pStyle w:val="Finding"/>
            </w:pPr>
            <w:r w:rsidRPr="00D41518">
              <w:t xml:space="preserve">Return to work for those with a psychological injury or mental illness is difficult if the injury or illness was related to personal conflict or wider cultural issues in that workplace that have not been addressed prior to return to work. These difficulties </w:t>
            </w:r>
            <w:r>
              <w:t>of return to work</w:t>
            </w:r>
            <w:r w:rsidR="00C620F7">
              <w:t>,</w:t>
            </w:r>
            <w:r>
              <w:t xml:space="preserve"> where the illness is workplace-related</w:t>
            </w:r>
            <w:r w:rsidR="00C620F7">
              <w:t>,</w:t>
            </w:r>
            <w:r>
              <w:t xml:space="preserve"> </w:t>
            </w:r>
            <w:r w:rsidRPr="00D41518">
              <w:t>are more acute for smaller businesses operating from a single location</w:t>
            </w:r>
            <w:r>
              <w:t>. U</w:t>
            </w:r>
            <w:r w:rsidRPr="00D41518">
              <w:t xml:space="preserve">nlike larger organisations that have multiple sites, </w:t>
            </w:r>
            <w:r>
              <w:t>smaller</w:t>
            </w:r>
            <w:r w:rsidRPr="00D41518">
              <w:t xml:space="preserve"> business</w:t>
            </w:r>
            <w:r>
              <w:t>es</w:t>
            </w:r>
            <w:r w:rsidRPr="00D41518">
              <w:t xml:space="preserve"> </w:t>
            </w:r>
            <w:r>
              <w:t>are</w:t>
            </w:r>
            <w:r w:rsidRPr="00D41518">
              <w:t xml:space="preserve"> </w:t>
            </w:r>
            <w:r>
              <w:t xml:space="preserve">often </w:t>
            </w:r>
            <w:r w:rsidRPr="00D41518">
              <w:t>unable to provide return to work at a different location</w:t>
            </w:r>
            <w:r>
              <w:t xml:space="preserve"> or for different duties.</w:t>
            </w:r>
          </w:p>
        </w:tc>
      </w:tr>
      <w:tr w:rsidR="005B7285" w:rsidRPr="00D41518" w14:paraId="0B52C4E2" w14:textId="77777777" w:rsidTr="004F5341">
        <w:trPr>
          <w:cantSplit/>
        </w:trPr>
        <w:tc>
          <w:tcPr>
            <w:tcW w:w="5000" w:type="pct"/>
            <w:tcBorders>
              <w:top w:val="nil"/>
              <w:left w:val="nil"/>
              <w:bottom w:val="single" w:sz="6" w:space="0" w:color="78A22F"/>
              <w:right w:val="nil"/>
            </w:tcBorders>
            <w:shd w:val="clear" w:color="auto" w:fill="F2F2F2"/>
            <w:tcMar>
              <w:left w:w="170" w:type="dxa"/>
              <w:right w:w="170" w:type="dxa"/>
            </w:tcMar>
          </w:tcPr>
          <w:p w14:paraId="02F4FB21" w14:textId="77777777" w:rsidR="005B7285" w:rsidRPr="00D41518" w:rsidRDefault="005B7285" w:rsidP="004F5341">
            <w:pPr>
              <w:keepNext/>
              <w:keepLines/>
              <w:spacing w:line="120" w:lineRule="exact"/>
              <w:jc w:val="both"/>
              <w:rPr>
                <w:rFonts w:ascii="Arial" w:hAnsi="Arial"/>
                <w:sz w:val="20"/>
                <w:szCs w:val="20"/>
              </w:rPr>
            </w:pPr>
          </w:p>
        </w:tc>
      </w:tr>
      <w:tr w:rsidR="005B7285" w:rsidRPr="00D41518" w14:paraId="1F4C470C" w14:textId="77777777" w:rsidTr="004F5341">
        <w:trPr>
          <w:cantSplit/>
        </w:trPr>
        <w:tc>
          <w:tcPr>
            <w:tcW w:w="5000" w:type="pct"/>
            <w:tcBorders>
              <w:top w:val="single" w:sz="6" w:space="0" w:color="78A22F"/>
              <w:left w:val="nil"/>
              <w:bottom w:val="nil"/>
              <w:right w:val="nil"/>
            </w:tcBorders>
            <w:tcMar>
              <w:left w:w="170" w:type="dxa"/>
              <w:right w:w="170" w:type="dxa"/>
            </w:tcMar>
          </w:tcPr>
          <w:p w14:paraId="0157C5CF" w14:textId="77777777" w:rsidR="005B7285" w:rsidRPr="00D41518" w:rsidRDefault="005B7285" w:rsidP="004F5341">
            <w:pPr>
              <w:keepLines/>
              <w:spacing w:before="60" w:after="60" w:line="80" w:lineRule="exact"/>
              <w:jc w:val="both"/>
              <w:rPr>
                <w:rFonts w:ascii="Arial" w:hAnsi="Arial"/>
                <w:sz w:val="14"/>
                <w:szCs w:val="20"/>
              </w:rPr>
            </w:pPr>
          </w:p>
        </w:tc>
      </w:tr>
    </w:tbl>
    <w:p w14:paraId="4C4E4C10" w14:textId="77777777" w:rsidR="005B7285" w:rsidRPr="00D41518" w:rsidRDefault="005B7285" w:rsidP="00B80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5B7285" w:rsidRPr="005E64FD" w14:paraId="1FB1EB07" w14:textId="77777777" w:rsidTr="004F5341">
        <w:trPr>
          <w:tblHeader/>
        </w:trPr>
        <w:tc>
          <w:tcPr>
            <w:tcW w:w="5000" w:type="pct"/>
            <w:tcBorders>
              <w:top w:val="single" w:sz="6" w:space="0" w:color="78A22F"/>
              <w:left w:val="nil"/>
              <w:bottom w:val="nil"/>
              <w:right w:val="nil"/>
            </w:tcBorders>
            <w:shd w:val="clear" w:color="auto" w:fill="FFFFFF"/>
            <w:tcMar>
              <w:left w:w="170" w:type="dxa"/>
              <w:right w:w="170" w:type="dxa"/>
            </w:tcMar>
          </w:tcPr>
          <w:p w14:paraId="72C8E2CE" w14:textId="1CBFD20C" w:rsidR="005B7285" w:rsidRPr="005E64FD" w:rsidRDefault="00515C50" w:rsidP="005E64FD">
            <w:pPr>
              <w:pStyle w:val="RecTitle"/>
              <w:spacing w:before="120"/>
              <w:rPr>
                <w:b/>
                <w:color w:val="3B5117"/>
              </w:rPr>
            </w:pPr>
            <w:r w:rsidRPr="005E64FD">
              <w:rPr>
                <w:b/>
                <w:color w:val="3B5117"/>
              </w:rPr>
              <w:t>action</w:t>
            </w:r>
            <w:r w:rsidR="005B7285" w:rsidRPr="005E64FD">
              <w:rPr>
                <w:b/>
                <w:color w:val="3B5117"/>
              </w:rPr>
              <w:t xml:space="preserve"> </w:t>
            </w:r>
            <w:r w:rsidR="00CA1A76" w:rsidRPr="005E64FD">
              <w:rPr>
                <w:b/>
                <w:color w:val="3B5117"/>
              </w:rPr>
              <w:t>7</w:t>
            </w:r>
            <w:r w:rsidR="005B7285" w:rsidRPr="005E64FD">
              <w:rPr>
                <w:b/>
                <w:color w:val="3B5117"/>
              </w:rPr>
              <w:t>.3</w:t>
            </w:r>
            <w:r w:rsidR="00CE7986">
              <w:rPr>
                <w:b/>
                <w:color w:val="3B5117"/>
              </w:rPr>
              <w:t> — </w:t>
            </w:r>
            <w:r w:rsidR="005B7285" w:rsidRPr="005E64FD">
              <w:rPr>
                <w:b/>
                <w:color w:val="3B5117"/>
              </w:rPr>
              <w:t>lower premiums and workplace initiatives</w:t>
            </w:r>
          </w:p>
        </w:tc>
      </w:tr>
      <w:tr w:rsidR="005B7285" w:rsidRPr="00D41518" w14:paraId="51B652E1" w14:textId="77777777" w:rsidTr="004F5341">
        <w:tc>
          <w:tcPr>
            <w:tcW w:w="5000" w:type="pct"/>
            <w:tcBorders>
              <w:top w:val="nil"/>
              <w:left w:val="nil"/>
              <w:bottom w:val="nil"/>
              <w:right w:val="nil"/>
            </w:tcBorders>
            <w:shd w:val="clear" w:color="auto" w:fill="F2F2F2"/>
            <w:tcMar>
              <w:left w:w="170" w:type="dxa"/>
              <w:right w:w="170" w:type="dxa"/>
            </w:tcMar>
          </w:tcPr>
          <w:p w14:paraId="483D17B3" w14:textId="6B89209F" w:rsidR="00515C50" w:rsidRPr="006C3E24" w:rsidRDefault="00515C50" w:rsidP="00A92CDE">
            <w:pPr>
              <w:pStyle w:val="Rec"/>
            </w:pPr>
            <w:r>
              <w:t xml:space="preserve">Incentives </w:t>
            </w:r>
            <w:r w:rsidR="00F07883">
              <w:t xml:space="preserve">for </w:t>
            </w:r>
            <w:r>
              <w:t xml:space="preserve">employers to reduce the risks of </w:t>
            </w:r>
            <w:r w:rsidR="00E135B3">
              <w:t>workplace-</w:t>
            </w:r>
            <w:r>
              <w:t>related psychological injury and mental illness can be improved</w:t>
            </w:r>
            <w:r w:rsidR="00F07883">
              <w:t xml:space="preserve"> through workers compensation schemes.</w:t>
            </w:r>
          </w:p>
          <w:p w14:paraId="07923E7E" w14:textId="4268C43C" w:rsidR="005B7285" w:rsidRPr="00D41518" w:rsidRDefault="002246D6" w:rsidP="00A92CDE">
            <w:pPr>
              <w:pStyle w:val="Rec"/>
              <w:rPr>
                <w:i/>
              </w:rPr>
            </w:pPr>
            <w:r w:rsidRPr="002246D6">
              <w:rPr>
                <w:i/>
              </w:rPr>
              <w:t>Start later</w:t>
            </w:r>
          </w:p>
          <w:p w14:paraId="10741E2D" w14:textId="06B56A01" w:rsidR="005B7285" w:rsidRPr="00D41518" w:rsidRDefault="005B7285" w:rsidP="00A92CDE">
            <w:pPr>
              <w:pStyle w:val="Rec"/>
            </w:pPr>
            <w:r w:rsidRPr="00D41518">
              <w:t xml:space="preserve">Workers compensation schemes should provide </w:t>
            </w:r>
            <w:r>
              <w:t xml:space="preserve">for more flexibility in </w:t>
            </w:r>
            <w:r w:rsidRPr="00D41518">
              <w:t xml:space="preserve">premiums for employers who implement workplace initiatives and programs that have been considered by the relevant Workplace Health and Safety authority to be highly likely to reduce the risks of </w:t>
            </w:r>
            <w:r w:rsidR="00E135B3" w:rsidRPr="00D41518">
              <w:t>workplace</w:t>
            </w:r>
            <w:r w:rsidR="00E135B3">
              <w:t>-</w:t>
            </w:r>
            <w:r w:rsidRPr="00D41518">
              <w:t>related psychological injury and mental illness for that specific workplace.</w:t>
            </w:r>
          </w:p>
        </w:tc>
      </w:tr>
      <w:tr w:rsidR="005B7285" w:rsidRPr="00D41518" w14:paraId="541BFBC2"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5A9653DC" w14:textId="77777777" w:rsidR="005B7285" w:rsidRPr="00D41518" w:rsidRDefault="005B7285" w:rsidP="004F5341">
            <w:pPr>
              <w:keepNext/>
              <w:keepLines/>
              <w:spacing w:line="120" w:lineRule="exact"/>
              <w:jc w:val="both"/>
              <w:rPr>
                <w:rFonts w:ascii="Arial" w:hAnsi="Arial"/>
                <w:sz w:val="20"/>
                <w:szCs w:val="20"/>
              </w:rPr>
            </w:pPr>
          </w:p>
        </w:tc>
      </w:tr>
      <w:tr w:rsidR="005B7285" w:rsidRPr="00D41518" w14:paraId="29F0609C" w14:textId="77777777" w:rsidTr="004F5341">
        <w:tc>
          <w:tcPr>
            <w:tcW w:w="5000" w:type="pct"/>
            <w:tcBorders>
              <w:top w:val="single" w:sz="6" w:space="0" w:color="78A22F"/>
              <w:left w:val="nil"/>
              <w:bottom w:val="nil"/>
              <w:right w:val="nil"/>
            </w:tcBorders>
            <w:tcMar>
              <w:left w:w="170" w:type="dxa"/>
              <w:right w:w="170" w:type="dxa"/>
            </w:tcMar>
          </w:tcPr>
          <w:p w14:paraId="50961D57" w14:textId="77777777" w:rsidR="005B7285" w:rsidRPr="00D41518" w:rsidRDefault="005B7285" w:rsidP="004F5341">
            <w:pPr>
              <w:keepLines/>
              <w:spacing w:before="60" w:after="60" w:line="80" w:lineRule="exact"/>
              <w:jc w:val="both"/>
              <w:rPr>
                <w:rFonts w:ascii="Arial" w:hAnsi="Arial"/>
                <w:sz w:val="14"/>
                <w:szCs w:val="20"/>
              </w:rPr>
            </w:pPr>
          </w:p>
        </w:tc>
      </w:tr>
    </w:tbl>
    <w:p w14:paraId="4427A587" w14:textId="77777777" w:rsidR="005B7285" w:rsidRPr="00D41518" w:rsidRDefault="005B7285" w:rsidP="00B80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5B7285" w:rsidRPr="005E64FD" w14:paraId="42F13734" w14:textId="77777777" w:rsidTr="004F5341">
        <w:trPr>
          <w:tblHeader/>
        </w:trPr>
        <w:tc>
          <w:tcPr>
            <w:tcW w:w="5000" w:type="pct"/>
            <w:tcBorders>
              <w:top w:val="single" w:sz="6" w:space="0" w:color="78A22F"/>
              <w:left w:val="nil"/>
              <w:bottom w:val="nil"/>
              <w:right w:val="nil"/>
            </w:tcBorders>
            <w:shd w:val="clear" w:color="auto" w:fill="FFFFFF"/>
            <w:tcMar>
              <w:left w:w="170" w:type="dxa"/>
              <w:right w:w="170" w:type="dxa"/>
            </w:tcMar>
          </w:tcPr>
          <w:p w14:paraId="40060B6D" w14:textId="77130FD7" w:rsidR="005B7285" w:rsidRPr="005E64FD" w:rsidRDefault="00515C50" w:rsidP="00B5700C">
            <w:pPr>
              <w:pStyle w:val="RecTitle"/>
              <w:spacing w:before="120"/>
              <w:ind w:left="1390" w:hanging="1390"/>
              <w:rPr>
                <w:b/>
                <w:color w:val="3B5117"/>
              </w:rPr>
            </w:pPr>
            <w:r w:rsidRPr="005E64FD">
              <w:rPr>
                <w:b/>
                <w:color w:val="3B5117"/>
              </w:rPr>
              <w:t>action</w:t>
            </w:r>
            <w:r w:rsidR="005B7285" w:rsidRPr="005E64FD">
              <w:rPr>
                <w:b/>
                <w:color w:val="3B5117"/>
              </w:rPr>
              <w:t xml:space="preserve"> </w:t>
            </w:r>
            <w:r w:rsidR="00CA1A76" w:rsidRPr="005E64FD">
              <w:rPr>
                <w:b/>
                <w:color w:val="3B5117"/>
              </w:rPr>
              <w:t>7</w:t>
            </w:r>
            <w:r w:rsidR="005B7285" w:rsidRPr="005E64FD">
              <w:rPr>
                <w:b/>
                <w:color w:val="3B5117"/>
              </w:rPr>
              <w:t>.</w:t>
            </w:r>
            <w:r w:rsidR="00AA695D">
              <w:rPr>
                <w:b/>
                <w:color w:val="3B5117"/>
              </w:rPr>
              <w:t>4</w:t>
            </w:r>
            <w:r w:rsidR="00CE7986">
              <w:rPr>
                <w:b/>
                <w:color w:val="3B5117"/>
              </w:rPr>
              <w:t> — </w:t>
            </w:r>
            <w:r w:rsidR="005B7285" w:rsidRPr="005E64FD">
              <w:rPr>
                <w:b/>
                <w:color w:val="3B5117"/>
              </w:rPr>
              <w:t>no-liability treatment for mental health</w:t>
            </w:r>
            <w:r w:rsidR="00B5700C">
              <w:rPr>
                <w:b/>
                <w:color w:val="3B5117"/>
              </w:rPr>
              <w:t>-</w:t>
            </w:r>
            <w:r w:rsidR="005B7285" w:rsidRPr="005E64FD">
              <w:rPr>
                <w:b/>
                <w:color w:val="3B5117"/>
              </w:rPr>
              <w:t xml:space="preserve">related workers compensation claims </w:t>
            </w:r>
          </w:p>
        </w:tc>
      </w:tr>
      <w:tr w:rsidR="005B7285" w:rsidRPr="00DD508F" w14:paraId="195B4B84" w14:textId="77777777" w:rsidTr="004F5341">
        <w:tc>
          <w:tcPr>
            <w:tcW w:w="5000" w:type="pct"/>
            <w:tcBorders>
              <w:top w:val="nil"/>
              <w:left w:val="nil"/>
              <w:bottom w:val="nil"/>
              <w:right w:val="nil"/>
            </w:tcBorders>
            <w:shd w:val="clear" w:color="auto" w:fill="F2F2F2"/>
            <w:tcMar>
              <w:left w:w="170" w:type="dxa"/>
              <w:right w:w="170" w:type="dxa"/>
            </w:tcMar>
          </w:tcPr>
          <w:p w14:paraId="0617386B" w14:textId="37A3B76B" w:rsidR="00515C50" w:rsidRPr="00DD508F" w:rsidRDefault="006C3E24" w:rsidP="00A92CDE">
            <w:pPr>
              <w:pStyle w:val="Rec"/>
            </w:pPr>
            <w:r>
              <w:t>In dealing with mental health claims, w</w:t>
            </w:r>
            <w:r w:rsidR="00515C50" w:rsidRPr="00D41518">
              <w:t xml:space="preserve">orkers compensation </w:t>
            </w:r>
            <w:r>
              <w:t>schemes can</w:t>
            </w:r>
            <w:r w:rsidR="00515C50" w:rsidRPr="00D41518">
              <w:t xml:space="preserve"> improve outcomes for employers and employees by providing for</w:t>
            </w:r>
            <w:r w:rsidR="00515C50">
              <w:t xml:space="preserve"> </w:t>
            </w:r>
            <w:r w:rsidR="00515C50" w:rsidRPr="00DD508F">
              <w:t>early intervention, early treatment and rehabilitation and successful return to work.</w:t>
            </w:r>
          </w:p>
          <w:p w14:paraId="3ADFA13B" w14:textId="36877819" w:rsidR="005B7285" w:rsidRPr="00DD508F" w:rsidRDefault="002246D6" w:rsidP="00A92CDE">
            <w:pPr>
              <w:pStyle w:val="Rec"/>
              <w:rPr>
                <w:i/>
              </w:rPr>
            </w:pPr>
            <w:r w:rsidRPr="00DD508F">
              <w:rPr>
                <w:i/>
              </w:rPr>
              <w:t>Start now</w:t>
            </w:r>
          </w:p>
          <w:p w14:paraId="30391805" w14:textId="5568136D" w:rsidR="005B7285" w:rsidRPr="00DD508F" w:rsidRDefault="005B7285" w:rsidP="00A92CDE">
            <w:pPr>
              <w:pStyle w:val="Rec"/>
            </w:pPr>
            <w:r w:rsidRPr="00DD508F">
              <w:t xml:space="preserve">Workers compensation schemes should be amended to provide and fund clinical treatment (including any required rehabilitation) for all mental </w:t>
            </w:r>
            <w:r w:rsidR="00E135B3" w:rsidRPr="00DD508F">
              <w:t>health</w:t>
            </w:r>
            <w:r w:rsidR="00E135B3">
              <w:t>-</w:t>
            </w:r>
            <w:r w:rsidRPr="00DD508F">
              <w:t>related workers compensation claims, regardless of liability, until the injured worker returns to work</w:t>
            </w:r>
            <w:r w:rsidR="00E135B3">
              <w:t>,</w:t>
            </w:r>
            <w:r w:rsidRPr="00DD508F">
              <w:t xml:space="preserve"> or up to a period of six months following lodgement of the claim. Similar provisions should be required of </w:t>
            </w:r>
            <w:r w:rsidR="003A2BF1" w:rsidRPr="00DD508F">
              <w:t xml:space="preserve">companies that </w:t>
            </w:r>
            <w:r w:rsidRPr="00DD508F">
              <w:t>self-insure.</w:t>
            </w:r>
          </w:p>
        </w:tc>
      </w:tr>
      <w:tr w:rsidR="005B7285" w:rsidRPr="00D41518" w14:paraId="0B9AC6C0"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5E6CB64E" w14:textId="77777777" w:rsidR="005B7285" w:rsidRPr="00D41518" w:rsidRDefault="005B7285" w:rsidP="004F5341">
            <w:pPr>
              <w:keepNext/>
              <w:keepLines/>
              <w:spacing w:line="120" w:lineRule="exact"/>
              <w:jc w:val="both"/>
              <w:rPr>
                <w:rFonts w:ascii="Arial" w:hAnsi="Arial"/>
                <w:sz w:val="20"/>
                <w:szCs w:val="20"/>
              </w:rPr>
            </w:pPr>
          </w:p>
        </w:tc>
      </w:tr>
      <w:tr w:rsidR="005B7285" w:rsidRPr="00D41518" w14:paraId="3B379499" w14:textId="77777777" w:rsidTr="004F5341">
        <w:tc>
          <w:tcPr>
            <w:tcW w:w="5000" w:type="pct"/>
            <w:tcBorders>
              <w:top w:val="single" w:sz="6" w:space="0" w:color="78A22F"/>
              <w:left w:val="nil"/>
              <w:bottom w:val="nil"/>
              <w:right w:val="nil"/>
            </w:tcBorders>
            <w:tcMar>
              <w:left w:w="170" w:type="dxa"/>
              <w:right w:w="170" w:type="dxa"/>
            </w:tcMar>
          </w:tcPr>
          <w:p w14:paraId="4BC76341" w14:textId="77777777" w:rsidR="005B7285" w:rsidRPr="00D41518" w:rsidRDefault="005B7285" w:rsidP="004F5341">
            <w:pPr>
              <w:keepLines/>
              <w:spacing w:before="60" w:after="60" w:line="80" w:lineRule="exact"/>
              <w:jc w:val="both"/>
              <w:rPr>
                <w:rFonts w:ascii="Arial" w:hAnsi="Arial"/>
                <w:sz w:val="14"/>
                <w:szCs w:val="20"/>
              </w:rPr>
            </w:pPr>
          </w:p>
        </w:tc>
      </w:tr>
    </w:tbl>
    <w:p w14:paraId="37B8F4FD" w14:textId="7B52C619" w:rsidR="005B7285" w:rsidRPr="004E3B94" w:rsidRDefault="005B7285" w:rsidP="00A92CDE">
      <w:pPr>
        <w:pStyle w:val="BoxSpaceAbove"/>
        <w:keepLines/>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5B7285" w:rsidRPr="005E64FD" w14:paraId="5B0543A8" w14:textId="77777777" w:rsidTr="004F5341">
        <w:trPr>
          <w:tblHeader/>
        </w:trPr>
        <w:tc>
          <w:tcPr>
            <w:tcW w:w="5000" w:type="pct"/>
            <w:tcBorders>
              <w:top w:val="single" w:sz="6" w:space="0" w:color="78A22F"/>
              <w:left w:val="nil"/>
              <w:bottom w:val="nil"/>
              <w:right w:val="nil"/>
            </w:tcBorders>
            <w:shd w:val="clear" w:color="auto" w:fill="FFFFFF" w:themeFill="background1"/>
            <w:tcMar>
              <w:left w:w="170" w:type="dxa"/>
              <w:right w:w="170" w:type="dxa"/>
            </w:tcMar>
          </w:tcPr>
          <w:p w14:paraId="4D9B547E" w14:textId="6F72E361" w:rsidR="005B7285" w:rsidRPr="005E64FD" w:rsidRDefault="00515C50" w:rsidP="005E64FD">
            <w:pPr>
              <w:pStyle w:val="RecTitle"/>
              <w:spacing w:before="120"/>
              <w:rPr>
                <w:b/>
                <w:color w:val="3B5117"/>
              </w:rPr>
            </w:pPr>
            <w:r w:rsidRPr="005E64FD">
              <w:rPr>
                <w:b/>
                <w:color w:val="3B5117"/>
              </w:rPr>
              <w:t>Action</w:t>
            </w:r>
            <w:r w:rsidR="005B7285" w:rsidRPr="005E64FD">
              <w:rPr>
                <w:b/>
                <w:color w:val="3B5117"/>
              </w:rPr>
              <w:t xml:space="preserve"> </w:t>
            </w:r>
            <w:r w:rsidR="00CA1A76" w:rsidRPr="005E64FD">
              <w:rPr>
                <w:b/>
                <w:color w:val="3B5117"/>
              </w:rPr>
              <w:t>7</w:t>
            </w:r>
            <w:r w:rsidR="005B7285" w:rsidRPr="005E64FD">
              <w:rPr>
                <w:b/>
                <w:color w:val="3B5117"/>
              </w:rPr>
              <w:t>.</w:t>
            </w:r>
            <w:r w:rsidR="00DD508F" w:rsidRPr="005E64FD">
              <w:rPr>
                <w:b/>
                <w:color w:val="3B5117"/>
              </w:rPr>
              <w:t>5</w:t>
            </w:r>
            <w:r w:rsidR="00CE7986">
              <w:rPr>
                <w:b/>
                <w:color w:val="3B5117"/>
              </w:rPr>
              <w:t> — </w:t>
            </w:r>
            <w:r w:rsidR="005B7285" w:rsidRPr="005E64FD">
              <w:rPr>
                <w:b/>
                <w:color w:val="3B5117"/>
              </w:rPr>
              <w:t>minimum standards for Employee assistance providers</w:t>
            </w:r>
          </w:p>
        </w:tc>
      </w:tr>
      <w:tr w:rsidR="005B7285" w:rsidRPr="00750BE2" w14:paraId="337A0CB1" w14:textId="77777777" w:rsidTr="004F5341">
        <w:tc>
          <w:tcPr>
            <w:tcW w:w="5000" w:type="pct"/>
            <w:tcBorders>
              <w:top w:val="nil"/>
              <w:left w:val="nil"/>
              <w:bottom w:val="nil"/>
              <w:right w:val="nil"/>
            </w:tcBorders>
            <w:shd w:val="clear" w:color="auto" w:fill="F2F2F2" w:themeFill="background1" w:themeFillShade="F2"/>
            <w:tcMar>
              <w:left w:w="170" w:type="dxa"/>
              <w:right w:w="170" w:type="dxa"/>
            </w:tcMar>
          </w:tcPr>
          <w:p w14:paraId="62AC70F9" w14:textId="6CCEEF86" w:rsidR="00515C50" w:rsidRPr="00DD508F" w:rsidRDefault="00B96FF5" w:rsidP="00A92CDE">
            <w:pPr>
              <w:pStyle w:val="Rec"/>
              <w:keepNext/>
            </w:pPr>
            <w:r>
              <w:t>Employee Assistance Programs</w:t>
            </w:r>
            <w:r w:rsidR="0024778E">
              <w:t xml:space="preserve"> can support workplace mental health. But employers need guidance as to which programs are </w:t>
            </w:r>
            <w:r w:rsidR="00F475B2">
              <w:t>likely to be most effective</w:t>
            </w:r>
            <w:r w:rsidR="0024778E">
              <w:t xml:space="preserve"> for their workplace.</w:t>
            </w:r>
          </w:p>
          <w:p w14:paraId="740174B8" w14:textId="02CD55E7" w:rsidR="005B7285" w:rsidRDefault="00515C50" w:rsidP="00A92CDE">
            <w:pPr>
              <w:pStyle w:val="Rec"/>
              <w:keepNext/>
              <w:rPr>
                <w:i/>
              </w:rPr>
            </w:pPr>
            <w:r>
              <w:rPr>
                <w:i/>
              </w:rPr>
              <w:t xml:space="preserve">Start </w:t>
            </w:r>
            <w:r w:rsidR="006C3E24">
              <w:rPr>
                <w:i/>
              </w:rPr>
              <w:t>l</w:t>
            </w:r>
            <w:r>
              <w:rPr>
                <w:i/>
              </w:rPr>
              <w:t xml:space="preserve">ater </w:t>
            </w:r>
          </w:p>
          <w:p w14:paraId="76E7BE3C" w14:textId="005291B6" w:rsidR="005B7285" w:rsidRPr="00CA29EC" w:rsidRDefault="005B7285" w:rsidP="00A92CDE">
            <w:pPr>
              <w:pStyle w:val="Rec"/>
              <w:keepNext/>
            </w:pPr>
            <w:r>
              <w:t>Employee assistance program providers and their industry bodies, in conjunction with employers</w:t>
            </w:r>
            <w:r w:rsidR="003F7FC6">
              <w:t>,</w:t>
            </w:r>
            <w:r>
              <w:t xml:space="preserve"> and </w:t>
            </w:r>
            <w:r w:rsidR="003F7FC6">
              <w:t xml:space="preserve">with </w:t>
            </w:r>
            <w:r>
              <w:t>employer and employee representatives</w:t>
            </w:r>
            <w:r w:rsidR="00E135B3">
              <w:t>,</w:t>
            </w:r>
            <w:r>
              <w:t xml:space="preserve"> should develop minimum standards for employee assistance programs and for the evaluation of these programs</w:t>
            </w:r>
            <w:r w:rsidR="00152467">
              <w:t>.</w:t>
            </w:r>
            <w:r>
              <w:t xml:space="preserve"> </w:t>
            </w:r>
          </w:p>
        </w:tc>
      </w:tr>
      <w:tr w:rsidR="005B7285" w14:paraId="49808C10"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6C45B6BE" w14:textId="77777777" w:rsidR="005B7285" w:rsidRDefault="005B7285" w:rsidP="00A92CDE">
            <w:pPr>
              <w:pStyle w:val="Space"/>
              <w:keepLines/>
            </w:pPr>
          </w:p>
        </w:tc>
      </w:tr>
      <w:tr w:rsidR="005B7285" w:rsidRPr="000863A5" w14:paraId="42C13972" w14:textId="77777777" w:rsidTr="004F5341">
        <w:tc>
          <w:tcPr>
            <w:tcW w:w="5000" w:type="pct"/>
            <w:tcBorders>
              <w:top w:val="single" w:sz="6" w:space="0" w:color="78A22F"/>
              <w:left w:val="nil"/>
              <w:bottom w:val="nil"/>
              <w:right w:val="nil"/>
            </w:tcBorders>
            <w:tcMar>
              <w:left w:w="170" w:type="dxa"/>
              <w:right w:w="170" w:type="dxa"/>
            </w:tcMar>
          </w:tcPr>
          <w:p w14:paraId="638A1129" w14:textId="31869E00" w:rsidR="005B7285" w:rsidRPr="00626D32" w:rsidRDefault="005B7285" w:rsidP="00A92CDE">
            <w:pPr>
              <w:pStyle w:val="BoxSpaceBelow"/>
              <w:keepNext/>
              <w:keepLines/>
            </w:pPr>
          </w:p>
        </w:tc>
      </w:tr>
    </w:tbl>
    <w:p w14:paraId="09C5A54E" w14:textId="77777777" w:rsidR="005B7285" w:rsidRPr="00D41518" w:rsidRDefault="005B7285" w:rsidP="00B80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5B7285" w:rsidRPr="005E64FD" w14:paraId="459F4B61" w14:textId="77777777" w:rsidTr="004F5341">
        <w:trPr>
          <w:tblHeader/>
        </w:trPr>
        <w:tc>
          <w:tcPr>
            <w:tcW w:w="5000" w:type="pct"/>
            <w:tcBorders>
              <w:top w:val="single" w:sz="6" w:space="0" w:color="78A22F"/>
              <w:left w:val="nil"/>
              <w:bottom w:val="nil"/>
              <w:right w:val="nil"/>
            </w:tcBorders>
            <w:shd w:val="clear" w:color="auto" w:fill="FFFFFF"/>
            <w:tcMar>
              <w:left w:w="170" w:type="dxa"/>
              <w:right w:w="170" w:type="dxa"/>
            </w:tcMar>
          </w:tcPr>
          <w:p w14:paraId="7E636179" w14:textId="36A50A63" w:rsidR="005B7285" w:rsidRPr="005E64FD" w:rsidRDefault="00B96FF5" w:rsidP="005E64FD">
            <w:pPr>
              <w:pStyle w:val="RecTitle"/>
              <w:spacing w:before="120"/>
              <w:rPr>
                <w:b/>
                <w:color w:val="3B5117"/>
              </w:rPr>
            </w:pPr>
            <w:r w:rsidRPr="005E64FD">
              <w:rPr>
                <w:b/>
                <w:color w:val="3B5117"/>
              </w:rPr>
              <w:t>Action</w:t>
            </w:r>
            <w:r w:rsidR="005B7285" w:rsidRPr="005E64FD">
              <w:rPr>
                <w:b/>
                <w:color w:val="3B5117"/>
              </w:rPr>
              <w:t xml:space="preserve"> </w:t>
            </w:r>
            <w:r w:rsidR="00CA1A76" w:rsidRPr="005E64FD">
              <w:rPr>
                <w:b/>
                <w:color w:val="3B5117"/>
              </w:rPr>
              <w:t>7</w:t>
            </w:r>
            <w:r w:rsidR="005B7285" w:rsidRPr="005E64FD">
              <w:rPr>
                <w:b/>
                <w:color w:val="3B5117"/>
              </w:rPr>
              <w:t>.6</w:t>
            </w:r>
            <w:r w:rsidR="00CE7986">
              <w:rPr>
                <w:b/>
                <w:color w:val="3B5117"/>
              </w:rPr>
              <w:t> — </w:t>
            </w:r>
            <w:r w:rsidR="005B7285" w:rsidRPr="005E64FD">
              <w:rPr>
                <w:b/>
                <w:color w:val="3B5117"/>
              </w:rPr>
              <w:t>disseminating information on workplace interventions</w:t>
            </w:r>
          </w:p>
        </w:tc>
      </w:tr>
      <w:tr w:rsidR="005B7285" w:rsidRPr="00D41518" w14:paraId="1700D3C4" w14:textId="77777777" w:rsidTr="004F5341">
        <w:tc>
          <w:tcPr>
            <w:tcW w:w="5000" w:type="pct"/>
            <w:tcBorders>
              <w:top w:val="nil"/>
              <w:left w:val="nil"/>
              <w:bottom w:val="nil"/>
              <w:right w:val="nil"/>
            </w:tcBorders>
            <w:shd w:val="clear" w:color="auto" w:fill="F2F2F2"/>
            <w:tcMar>
              <w:left w:w="170" w:type="dxa"/>
              <w:right w:w="170" w:type="dxa"/>
            </w:tcMar>
          </w:tcPr>
          <w:p w14:paraId="053C683A" w14:textId="2956EE64" w:rsidR="00B96FF5" w:rsidRPr="00DD508F" w:rsidRDefault="006C3E24" w:rsidP="00A92CDE">
            <w:pPr>
              <w:pStyle w:val="Rec"/>
              <w:keepNext/>
            </w:pPr>
            <w:r>
              <w:t>C</w:t>
            </w:r>
            <w:r w:rsidR="00B96FF5">
              <w:t xml:space="preserve">reating an evidence base </w:t>
            </w:r>
            <w:r>
              <w:t>on</w:t>
            </w:r>
            <w:r w:rsidR="00B96FF5">
              <w:t xml:space="preserve"> employer-initiated mental health interventions in the workplace</w:t>
            </w:r>
            <w:r>
              <w:t xml:space="preserve"> can help all employers choose the most appropriate intervention for their workplace</w:t>
            </w:r>
            <w:r w:rsidR="00B96FF5">
              <w:t>.</w:t>
            </w:r>
          </w:p>
          <w:p w14:paraId="0B1B9BC9" w14:textId="6D12CC81" w:rsidR="005B7285" w:rsidRPr="00D41518" w:rsidRDefault="002246D6" w:rsidP="00A92CDE">
            <w:pPr>
              <w:pStyle w:val="Rec"/>
              <w:keepNext/>
              <w:rPr>
                <w:i/>
              </w:rPr>
            </w:pPr>
            <w:r w:rsidRPr="002246D6">
              <w:rPr>
                <w:i/>
              </w:rPr>
              <w:t>Start later</w:t>
            </w:r>
          </w:p>
          <w:p w14:paraId="3D3435CD" w14:textId="25AB3C5C" w:rsidR="005B7285" w:rsidRPr="00D41518" w:rsidRDefault="005B7285" w:rsidP="00FF315F">
            <w:pPr>
              <w:pStyle w:val="Rec"/>
              <w:keepNext/>
            </w:pPr>
            <w:r>
              <w:t>Workplace health and safety (WHS)</w:t>
            </w:r>
            <w:r w:rsidRPr="00D41518">
              <w:t xml:space="preserve"> agencies should monitor and collect evidence</w:t>
            </w:r>
            <w:r>
              <w:t xml:space="preserve"> </w:t>
            </w:r>
            <w:r w:rsidRPr="00D41518">
              <w:t xml:space="preserve">from employer initiated interventions to create mentally healthy workplaces and improve and protect the mental health of their employees. </w:t>
            </w:r>
            <w:r>
              <w:t>This evidence should be captured by Safe Work Australia on a national basis, and provided back to WHS agencies in a timely manner and in a form that they can use</w:t>
            </w:r>
            <w:r w:rsidRPr="00D41518" w:rsidDel="008D7A9B">
              <w:t xml:space="preserve"> </w:t>
            </w:r>
            <w:r>
              <w:t xml:space="preserve">to </w:t>
            </w:r>
            <w:r w:rsidRPr="00D41518">
              <w:t>advise employers of effective interventions that would be appropriate for their workplace.</w:t>
            </w:r>
          </w:p>
        </w:tc>
      </w:tr>
      <w:tr w:rsidR="005B7285" w:rsidRPr="00D41518" w14:paraId="4FD30208"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15C8B4F6" w14:textId="77777777" w:rsidR="005B7285" w:rsidRPr="00D41518" w:rsidRDefault="005B7285" w:rsidP="00A92CDE">
            <w:pPr>
              <w:keepNext/>
              <w:keepLines/>
              <w:spacing w:line="120" w:lineRule="exact"/>
              <w:jc w:val="both"/>
              <w:rPr>
                <w:rFonts w:ascii="Arial" w:hAnsi="Arial"/>
                <w:sz w:val="20"/>
                <w:szCs w:val="20"/>
              </w:rPr>
            </w:pPr>
          </w:p>
        </w:tc>
      </w:tr>
      <w:tr w:rsidR="005B7285" w:rsidRPr="00D41518" w14:paraId="76CB0F39" w14:textId="77777777" w:rsidTr="004F5341">
        <w:tc>
          <w:tcPr>
            <w:tcW w:w="5000" w:type="pct"/>
            <w:tcBorders>
              <w:top w:val="single" w:sz="6" w:space="0" w:color="78A22F"/>
              <w:left w:val="nil"/>
              <w:bottom w:val="nil"/>
              <w:right w:val="nil"/>
            </w:tcBorders>
            <w:tcMar>
              <w:left w:w="170" w:type="dxa"/>
              <w:right w:w="170" w:type="dxa"/>
            </w:tcMar>
          </w:tcPr>
          <w:p w14:paraId="6D01BD60" w14:textId="77777777" w:rsidR="005B7285" w:rsidRPr="00D41518" w:rsidRDefault="005B7285" w:rsidP="00A92CDE">
            <w:pPr>
              <w:keepNext/>
              <w:keepLines/>
              <w:spacing w:before="60" w:after="60" w:line="80" w:lineRule="exact"/>
              <w:jc w:val="both"/>
              <w:rPr>
                <w:rFonts w:ascii="Arial" w:hAnsi="Arial"/>
                <w:sz w:val="14"/>
                <w:szCs w:val="20"/>
              </w:rPr>
            </w:pPr>
          </w:p>
        </w:tc>
      </w:tr>
    </w:tbl>
    <w:p w14:paraId="01A80BEF" w14:textId="3B2667BF" w:rsidR="005B7285" w:rsidRPr="004E3B94" w:rsidRDefault="0080280B" w:rsidP="003939FE">
      <w:pPr>
        <w:pStyle w:val="Heading3"/>
      </w:pPr>
      <w:r w:rsidRPr="0080280B">
        <w:t>Social inclusion and stigma reduction</w:t>
      </w:r>
      <w:r w:rsidRPr="0080280B" w:rsidDel="0080280B">
        <w:t xml:space="preserve"> </w:t>
      </w:r>
    </w:p>
    <w:p w14:paraId="632C7236" w14:textId="77777777" w:rsidR="003939FE" w:rsidRPr="003939FE" w:rsidRDefault="003939FE" w:rsidP="00B80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8"/>
      </w:tblGrid>
      <w:tr w:rsidR="005B7285" w14:paraId="426B469E" w14:textId="77777777" w:rsidTr="004F5341">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26DE8A45" w14:textId="4536C880" w:rsidR="005B7285" w:rsidRPr="00CE4C64" w:rsidRDefault="005B7285" w:rsidP="00367435">
            <w:pPr>
              <w:pStyle w:val="FindingTitle"/>
              <w:spacing w:before="120"/>
              <w:ind w:left="1390" w:hanging="1390"/>
              <w:rPr>
                <w:noProof/>
              </w:rPr>
            </w:pPr>
            <w:r>
              <w:t xml:space="preserve">Finding </w:t>
            </w:r>
            <w:r w:rsidR="00152467">
              <w:t>8</w:t>
            </w:r>
            <w:r>
              <w:t>.1</w:t>
            </w:r>
            <w:r w:rsidR="00CE7986">
              <w:t> — </w:t>
            </w:r>
            <w:r>
              <w:t xml:space="preserve">social exclusion and disadvantage are strongly associated with mental </w:t>
            </w:r>
            <w:r w:rsidR="00367435">
              <w:t>ill-</w:t>
            </w:r>
            <w:r>
              <w:t>health</w:t>
            </w:r>
          </w:p>
        </w:tc>
      </w:tr>
      <w:tr w:rsidR="005B7285" w:rsidRPr="00750BE2" w14:paraId="5D633FD7" w14:textId="77777777" w:rsidTr="004F5341">
        <w:trPr>
          <w:cantSplit/>
        </w:trPr>
        <w:tc>
          <w:tcPr>
            <w:tcW w:w="5000" w:type="pct"/>
            <w:tcBorders>
              <w:top w:val="nil"/>
              <w:left w:val="nil"/>
              <w:bottom w:val="nil"/>
              <w:right w:val="nil"/>
            </w:tcBorders>
            <w:shd w:val="clear" w:color="auto" w:fill="F2F2F2"/>
            <w:tcMar>
              <w:left w:w="170" w:type="dxa"/>
              <w:right w:w="170" w:type="dxa"/>
            </w:tcMar>
          </w:tcPr>
          <w:p w14:paraId="288100AA" w14:textId="492AE579" w:rsidR="005B7285" w:rsidRDefault="005B7285" w:rsidP="004F5341">
            <w:pPr>
              <w:pStyle w:val="Finding"/>
              <w:keepNext/>
            </w:pPr>
            <w:r>
              <w:t xml:space="preserve">Social exclusion and disadvantage are strongly associated with </w:t>
            </w:r>
            <w:r w:rsidR="00B33D70">
              <w:t>mental ill</w:t>
            </w:r>
            <w:r w:rsidR="00B33D70">
              <w:noBreakHyphen/>
              <w:t>health</w:t>
            </w:r>
            <w:r>
              <w:t xml:space="preserve">. People with mental illness are likely to be socially excluded, and people facing social exclusion for other reasons are likely to subsequently experience </w:t>
            </w:r>
            <w:r w:rsidR="00B33D70">
              <w:t>mental ill</w:t>
            </w:r>
            <w:r w:rsidR="00B33D70">
              <w:noBreakHyphen/>
              <w:t>health</w:t>
            </w:r>
            <w:r>
              <w:t xml:space="preserve">. </w:t>
            </w:r>
          </w:p>
          <w:p w14:paraId="78035312" w14:textId="0DB23797" w:rsidR="005B7285" w:rsidRDefault="005B7285" w:rsidP="004F5341">
            <w:pPr>
              <w:pStyle w:val="Rec"/>
              <w:keepNext/>
            </w:pPr>
            <w:r>
              <w:t xml:space="preserve">People likely to experience both social exclusion and </w:t>
            </w:r>
            <w:r w:rsidR="00B33D70">
              <w:t>mental ill</w:t>
            </w:r>
            <w:r w:rsidR="00B33D70">
              <w:noBreakHyphen/>
              <w:t xml:space="preserve">health </w:t>
            </w:r>
            <w:r>
              <w:t xml:space="preserve">include those on lower incomes and with poor access to material resources, single parents, Aboriginal and Torres Strait Islander people, people who live in public rental accommodation, and people who </w:t>
            </w:r>
            <w:r w:rsidR="00DB0C03">
              <w:t xml:space="preserve">did </w:t>
            </w:r>
            <w:r>
              <w:t>not complete secondary school.</w:t>
            </w:r>
          </w:p>
          <w:p w14:paraId="3296C729" w14:textId="77777777" w:rsidR="005B7285" w:rsidRDefault="000804DC" w:rsidP="004F5341">
            <w:pPr>
              <w:pStyle w:val="Finding"/>
              <w:keepNext/>
            </w:pPr>
            <w:r>
              <w:t>Recognition in all government policies, payments and programs, of the importance of social exclusion and disadvantage as ongoing risk factors for mental illness, could form a basis for improvement in mental health outcomes.</w:t>
            </w:r>
          </w:p>
        </w:tc>
      </w:tr>
      <w:tr w:rsidR="005B7285" w14:paraId="492EA3EA" w14:textId="77777777" w:rsidTr="004F5341">
        <w:trPr>
          <w:cantSplit/>
        </w:trPr>
        <w:tc>
          <w:tcPr>
            <w:tcW w:w="5000" w:type="pct"/>
            <w:tcBorders>
              <w:top w:val="nil"/>
              <w:left w:val="nil"/>
              <w:bottom w:val="single" w:sz="6" w:space="0" w:color="78A22F"/>
              <w:right w:val="nil"/>
            </w:tcBorders>
            <w:shd w:val="clear" w:color="auto" w:fill="F2F2F2"/>
            <w:tcMar>
              <w:left w:w="170" w:type="dxa"/>
              <w:right w:w="170" w:type="dxa"/>
            </w:tcMar>
          </w:tcPr>
          <w:p w14:paraId="4395140A" w14:textId="77777777" w:rsidR="005B7285" w:rsidRDefault="005B7285" w:rsidP="004F5341">
            <w:pPr>
              <w:pStyle w:val="Space"/>
              <w:keepLines/>
            </w:pPr>
          </w:p>
        </w:tc>
      </w:tr>
      <w:tr w:rsidR="005B7285" w:rsidRPr="000863A5" w14:paraId="1B9F187A" w14:textId="77777777" w:rsidTr="004F5341">
        <w:trPr>
          <w:cantSplit/>
        </w:trPr>
        <w:tc>
          <w:tcPr>
            <w:tcW w:w="5000" w:type="pct"/>
            <w:tcBorders>
              <w:top w:val="single" w:sz="6" w:space="0" w:color="78A22F"/>
              <w:left w:val="nil"/>
              <w:bottom w:val="nil"/>
              <w:right w:val="nil"/>
            </w:tcBorders>
            <w:tcMar>
              <w:left w:w="170" w:type="dxa"/>
              <w:right w:w="170" w:type="dxa"/>
            </w:tcMar>
          </w:tcPr>
          <w:p w14:paraId="1D533182" w14:textId="11D1268E" w:rsidR="005B7285" w:rsidRPr="00626D32" w:rsidRDefault="005B7285" w:rsidP="004F5341">
            <w:pPr>
              <w:pStyle w:val="BoxSpaceBelow"/>
              <w:keepLines/>
            </w:pPr>
          </w:p>
        </w:tc>
      </w:tr>
    </w:tbl>
    <w:p w14:paraId="417AC867" w14:textId="77777777" w:rsidR="005B7285" w:rsidRDefault="005B7285" w:rsidP="00B80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5B7285" w:rsidRPr="005E64FD" w14:paraId="46284658" w14:textId="77777777" w:rsidTr="004F5341">
        <w:trPr>
          <w:tblHeader/>
        </w:trPr>
        <w:tc>
          <w:tcPr>
            <w:tcW w:w="5000" w:type="pct"/>
            <w:tcBorders>
              <w:top w:val="single" w:sz="6" w:space="0" w:color="78A22F"/>
              <w:left w:val="nil"/>
              <w:bottom w:val="nil"/>
              <w:right w:val="nil"/>
            </w:tcBorders>
            <w:shd w:val="clear" w:color="auto" w:fill="auto"/>
            <w:tcMar>
              <w:left w:w="170" w:type="dxa"/>
              <w:right w:w="170" w:type="dxa"/>
            </w:tcMar>
          </w:tcPr>
          <w:p w14:paraId="6CC113FA" w14:textId="394A0343" w:rsidR="005B7285" w:rsidRPr="005E64FD" w:rsidRDefault="008A5757" w:rsidP="005E64FD">
            <w:pPr>
              <w:pStyle w:val="RecTitle"/>
              <w:spacing w:before="120"/>
              <w:rPr>
                <w:b/>
                <w:color w:val="3B5117"/>
              </w:rPr>
            </w:pPr>
            <w:r w:rsidRPr="005E64FD">
              <w:rPr>
                <w:b/>
                <w:color w:val="3B5117"/>
              </w:rPr>
              <w:t>ACTION</w:t>
            </w:r>
            <w:r w:rsidR="005B7285" w:rsidRPr="005E64FD">
              <w:rPr>
                <w:b/>
                <w:color w:val="3B5117"/>
              </w:rPr>
              <w:t xml:space="preserve"> </w:t>
            </w:r>
            <w:r w:rsidR="00CA1A76" w:rsidRPr="005E64FD">
              <w:rPr>
                <w:b/>
                <w:color w:val="3B5117"/>
              </w:rPr>
              <w:t>8</w:t>
            </w:r>
            <w:r w:rsidR="005B7285" w:rsidRPr="005E64FD">
              <w:rPr>
                <w:b/>
                <w:color w:val="3B5117"/>
              </w:rPr>
              <w:t>.1</w:t>
            </w:r>
            <w:r w:rsidR="00CE7986">
              <w:rPr>
                <w:b/>
                <w:color w:val="3B5117"/>
              </w:rPr>
              <w:t> — </w:t>
            </w:r>
            <w:r w:rsidR="005B7285" w:rsidRPr="005E64FD">
              <w:rPr>
                <w:b/>
                <w:color w:val="3B5117"/>
              </w:rPr>
              <w:t>national stigma reduction strategy</w:t>
            </w:r>
          </w:p>
        </w:tc>
      </w:tr>
      <w:tr w:rsidR="005B7285" w:rsidRPr="00750BE2" w14:paraId="0B9062BA" w14:textId="77777777" w:rsidTr="004F5341">
        <w:tc>
          <w:tcPr>
            <w:tcW w:w="5000" w:type="pct"/>
            <w:tcBorders>
              <w:top w:val="nil"/>
              <w:left w:val="nil"/>
              <w:bottom w:val="nil"/>
              <w:right w:val="nil"/>
            </w:tcBorders>
            <w:shd w:val="clear" w:color="auto" w:fill="F2F2F2" w:themeFill="background1" w:themeFillShade="F2"/>
            <w:tcMar>
              <w:left w:w="170" w:type="dxa"/>
              <w:right w:w="170" w:type="dxa"/>
            </w:tcMar>
          </w:tcPr>
          <w:p w14:paraId="121F86CC" w14:textId="0B6CD697" w:rsidR="005B7285" w:rsidRPr="001A4187" w:rsidRDefault="00F839D2" w:rsidP="004F5341">
            <w:pPr>
              <w:pStyle w:val="Rec"/>
              <w:keepNext/>
            </w:pPr>
            <w:r>
              <w:t xml:space="preserve">Much progress has been made over time in reducing the stigma that affects people with mental illness; however, </w:t>
            </w:r>
            <w:r w:rsidR="00425DC4">
              <w:t>more should be done to address the stigma that remains</w:t>
            </w:r>
            <w:r w:rsidR="005B7285" w:rsidRPr="001A4187">
              <w:t>.</w:t>
            </w:r>
          </w:p>
          <w:p w14:paraId="5E82F801" w14:textId="77777777" w:rsidR="005B7285" w:rsidRPr="00DC516C" w:rsidRDefault="002246D6" w:rsidP="004F5341">
            <w:pPr>
              <w:pStyle w:val="Rec"/>
              <w:keepNext/>
              <w:rPr>
                <w:i/>
              </w:rPr>
            </w:pPr>
            <w:r w:rsidRPr="002246D6">
              <w:rPr>
                <w:i/>
              </w:rPr>
              <w:t>Start now</w:t>
            </w:r>
          </w:p>
          <w:p w14:paraId="61712B88" w14:textId="69710571" w:rsidR="005B7285" w:rsidRDefault="005B7285" w:rsidP="00F0323F">
            <w:pPr>
              <w:pStyle w:val="RecBullet"/>
            </w:pPr>
            <w:r w:rsidRPr="00BF73A4">
              <w:t>The National Mental Health Commission should develop</w:t>
            </w:r>
            <w:r w:rsidR="00F839D2">
              <w:t>,</w:t>
            </w:r>
            <w:r w:rsidRPr="00BF73A4">
              <w:t xml:space="preserve"> and </w:t>
            </w:r>
            <w:r w:rsidR="006B74DE">
              <w:t>lead</w:t>
            </w:r>
            <w:r w:rsidR="006B74DE" w:rsidRPr="00BF73A4">
              <w:t xml:space="preserve"> </w:t>
            </w:r>
            <w:r w:rsidRPr="00BF73A4">
              <w:t>the implementation of</w:t>
            </w:r>
            <w:r w:rsidR="00F839D2">
              <w:t>,</w:t>
            </w:r>
            <w:r w:rsidRPr="00BF73A4">
              <w:t xml:space="preserve"> a </w:t>
            </w:r>
            <w:r>
              <w:t>N</w:t>
            </w:r>
            <w:r w:rsidRPr="00BF73A4">
              <w:t xml:space="preserve">ational </w:t>
            </w:r>
            <w:r>
              <w:t>S</w:t>
            </w:r>
            <w:r w:rsidRPr="00BF73A4">
              <w:t xml:space="preserve">tigma </w:t>
            </w:r>
            <w:r>
              <w:t>R</w:t>
            </w:r>
            <w:r w:rsidRPr="00BF73A4">
              <w:t xml:space="preserve">eduction </w:t>
            </w:r>
            <w:r>
              <w:t>S</w:t>
            </w:r>
            <w:r w:rsidRPr="00BF73A4">
              <w:t xml:space="preserve">trategy that </w:t>
            </w:r>
            <w:r>
              <w:t xml:space="preserve">builds on the work started under the Fifth National Mental Health and Suicide Prevention Plan and </w:t>
            </w:r>
            <w:r w:rsidRPr="00BF73A4">
              <w:t xml:space="preserve">focuses on the experiences of people with mental illness that </w:t>
            </w:r>
            <w:r w:rsidR="00E135B3">
              <w:t>are</w:t>
            </w:r>
            <w:r w:rsidR="00E135B3" w:rsidRPr="00BF73A4">
              <w:t xml:space="preserve"> </w:t>
            </w:r>
            <w:r w:rsidRPr="00BF73A4">
              <w:t>poorly understood in the community</w:t>
            </w:r>
            <w:r>
              <w:t>. The N</w:t>
            </w:r>
            <w:r w:rsidRPr="00BF73A4">
              <w:t xml:space="preserve">ational </w:t>
            </w:r>
            <w:r>
              <w:t>S</w:t>
            </w:r>
            <w:r w:rsidRPr="00BF73A4">
              <w:t xml:space="preserve">tigma </w:t>
            </w:r>
            <w:r>
              <w:t>R</w:t>
            </w:r>
            <w:r w:rsidRPr="00BF73A4">
              <w:t>eduction</w:t>
            </w:r>
            <w:r>
              <w:t xml:space="preserve"> Strategy should:</w:t>
            </w:r>
          </w:p>
          <w:p w14:paraId="4D9FF332" w14:textId="77777777" w:rsidR="005B7285" w:rsidRPr="00D77488" w:rsidRDefault="005B7285" w:rsidP="00291482">
            <w:pPr>
              <w:pStyle w:val="BoxListBullet2"/>
              <w:tabs>
                <w:tab w:val="clear" w:pos="567"/>
              </w:tabs>
              <w:ind w:left="680" w:hanging="340"/>
            </w:pPr>
            <w:r w:rsidRPr="00D77488">
              <w:t>rely on the leadership and direction of people with lived experience, including as national ambassadors for mental health</w:t>
            </w:r>
          </w:p>
          <w:p w14:paraId="0C41A97F" w14:textId="77777777" w:rsidR="005B7285" w:rsidRPr="00D77488" w:rsidRDefault="005B7285" w:rsidP="00291482">
            <w:pPr>
              <w:pStyle w:val="BoxListBullet2"/>
              <w:tabs>
                <w:tab w:val="clear" w:pos="567"/>
              </w:tabs>
              <w:ind w:left="680" w:hanging="340"/>
            </w:pPr>
            <w:r w:rsidRPr="00D77488">
              <w:t>promote meaningful interactions between people with and without mental illness</w:t>
            </w:r>
          </w:p>
          <w:p w14:paraId="4E1028EE" w14:textId="77777777" w:rsidR="005B7285" w:rsidRPr="00BF73A4" w:rsidRDefault="005B7285" w:rsidP="00291482">
            <w:pPr>
              <w:pStyle w:val="BoxListBullet2"/>
              <w:tabs>
                <w:tab w:val="clear" w:pos="567"/>
              </w:tabs>
              <w:ind w:left="680" w:hanging="340"/>
            </w:pPr>
            <w:r w:rsidRPr="00D77488">
              <w:t>focus on the experiences of people with mental illness that are poorly understood by the community, including those with schizophrenia and borderline personality disorder</w:t>
            </w:r>
          </w:p>
          <w:p w14:paraId="5CFF0A5A" w14:textId="523D3D81" w:rsidR="005B7285" w:rsidRPr="00BF73A4" w:rsidRDefault="005B7285" w:rsidP="00291482">
            <w:pPr>
              <w:pStyle w:val="BoxListBullet2"/>
              <w:tabs>
                <w:tab w:val="clear" w:pos="567"/>
              </w:tabs>
              <w:ind w:left="680" w:hanging="340"/>
            </w:pPr>
            <w:r w:rsidRPr="00BF73A4">
              <w:t>target stigma reduction messages for different audiences, and address different aspects of stigma</w:t>
            </w:r>
            <w:r>
              <w:t>,</w:t>
            </w:r>
            <w:r w:rsidRPr="00BF73A4">
              <w:t xml:space="preserve"> including the desire for social </w:t>
            </w:r>
            <w:r w:rsidR="00F839D2">
              <w:t>separation</w:t>
            </w:r>
            <w:r w:rsidRPr="00BF73A4">
              <w:t>, and perceptions of danger and unpredictability</w:t>
            </w:r>
          </w:p>
          <w:p w14:paraId="3F3CFB02" w14:textId="77777777" w:rsidR="005B7285" w:rsidRDefault="005B7285" w:rsidP="00291482">
            <w:pPr>
              <w:pStyle w:val="BoxListBullet2"/>
              <w:tabs>
                <w:tab w:val="clear" w:pos="567"/>
              </w:tabs>
              <w:ind w:left="680" w:hanging="340"/>
            </w:pPr>
            <w:r w:rsidRPr="00BF73A4">
              <w:t>develop an evidence base of effective anti</w:t>
            </w:r>
            <w:r>
              <w:noBreakHyphen/>
            </w:r>
            <w:r w:rsidRPr="00BF73A4">
              <w:t>stigma activities, including through the trial and assessment of different interventions in different areas</w:t>
            </w:r>
          </w:p>
          <w:p w14:paraId="21764D2D" w14:textId="1FC0D74D" w:rsidR="005B7285" w:rsidRDefault="005B7285" w:rsidP="00291482">
            <w:pPr>
              <w:pStyle w:val="BoxListBullet2"/>
              <w:tabs>
                <w:tab w:val="clear" w:pos="567"/>
              </w:tabs>
              <w:ind w:left="680" w:hanging="340"/>
            </w:pPr>
            <w:r>
              <w:t>recognise that effective stigma reduction requires a sustained commitment to ensure that reductions in stigma persist.</w:t>
            </w:r>
          </w:p>
          <w:p w14:paraId="527B7BD5" w14:textId="77777777" w:rsidR="005B7285" w:rsidRDefault="005B7285" w:rsidP="00F0323F">
            <w:pPr>
              <w:pStyle w:val="RecBullet"/>
            </w:pPr>
            <w:r>
              <w:t>The Strategy should actively target stigma and discrimination directed towards people with mental illness by health professionals, including by developing contact interventions that involve interactions between health professionals and mental health consumers, on an equal footing outside of a clinical setting. Stigma reduction programs should initially be included in training programs for mental health nurses, with the aim of developing evidence as to their effectiveness.</w:t>
            </w:r>
          </w:p>
          <w:p w14:paraId="3A9F47C0" w14:textId="3F9A41FC" w:rsidR="005B7285" w:rsidRDefault="00EE555F" w:rsidP="00F0323F">
            <w:pPr>
              <w:pStyle w:val="RecBullet"/>
            </w:pPr>
            <w:r>
              <w:t xml:space="preserve">All </w:t>
            </w:r>
            <w:r w:rsidR="005B7285" w:rsidRPr="00CC02D7">
              <w:t>Australian governments should meet their previously agreed commitments to reducing stigma and discrimination made under the Fifth National Mental Health and Suicide Prevention Plan,</w:t>
            </w:r>
            <w:r w:rsidR="00B96FF5" w:rsidRPr="00CC02D7">
              <w:t xml:space="preserve"> </w:t>
            </w:r>
            <w:r w:rsidR="005B7285" w:rsidRPr="00CC02D7">
              <w:t xml:space="preserve">and should adequately resource the National Mental Health Commission </w:t>
            </w:r>
            <w:r w:rsidR="00E135B3">
              <w:t>to</w:t>
            </w:r>
            <w:r w:rsidR="00E135B3" w:rsidRPr="00CC02D7">
              <w:t xml:space="preserve"> </w:t>
            </w:r>
            <w:r w:rsidR="005B7285" w:rsidRPr="00CC02D7">
              <w:t>develop and implement the National Stigma Reduction Strategy.</w:t>
            </w:r>
          </w:p>
        </w:tc>
      </w:tr>
      <w:tr w:rsidR="005B7285" w14:paraId="47B149EA"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3D28221B" w14:textId="77777777" w:rsidR="005B7285" w:rsidRDefault="005B7285" w:rsidP="004F5341">
            <w:pPr>
              <w:pStyle w:val="Space"/>
              <w:keepLines/>
            </w:pPr>
          </w:p>
        </w:tc>
      </w:tr>
      <w:tr w:rsidR="005B7285" w:rsidRPr="000863A5" w14:paraId="3A85BF3B" w14:textId="77777777" w:rsidTr="004F5341">
        <w:tc>
          <w:tcPr>
            <w:tcW w:w="5000" w:type="pct"/>
            <w:tcBorders>
              <w:top w:val="single" w:sz="6" w:space="0" w:color="78A22F"/>
              <w:left w:val="nil"/>
              <w:bottom w:val="nil"/>
              <w:right w:val="nil"/>
            </w:tcBorders>
            <w:tcMar>
              <w:left w:w="170" w:type="dxa"/>
              <w:right w:w="170" w:type="dxa"/>
            </w:tcMar>
          </w:tcPr>
          <w:p w14:paraId="776D6341" w14:textId="77777777" w:rsidR="005B7285" w:rsidRPr="00626D32" w:rsidRDefault="005B7285" w:rsidP="004F5341">
            <w:pPr>
              <w:pStyle w:val="BoxSpaceBelow"/>
              <w:keepLines/>
            </w:pPr>
          </w:p>
        </w:tc>
      </w:tr>
    </w:tbl>
    <w:p w14:paraId="5C7E1083" w14:textId="77777777" w:rsidR="005B7285" w:rsidRDefault="005B7285" w:rsidP="005B728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5B7285" w:rsidRPr="005E64FD" w14:paraId="6DCA9505" w14:textId="77777777" w:rsidTr="004F5341">
        <w:trPr>
          <w:tblHeader/>
        </w:trPr>
        <w:tc>
          <w:tcPr>
            <w:tcW w:w="5000" w:type="pct"/>
            <w:tcBorders>
              <w:top w:val="single" w:sz="6" w:space="0" w:color="78A22F"/>
              <w:left w:val="nil"/>
              <w:bottom w:val="nil"/>
              <w:right w:val="nil"/>
            </w:tcBorders>
            <w:shd w:val="clear" w:color="auto" w:fill="auto"/>
            <w:tcMar>
              <w:left w:w="170" w:type="dxa"/>
              <w:right w:w="170" w:type="dxa"/>
            </w:tcMar>
          </w:tcPr>
          <w:p w14:paraId="6B4C6BA5" w14:textId="30B311DF" w:rsidR="005B7285" w:rsidRPr="005E64FD" w:rsidRDefault="008A5757" w:rsidP="005E64FD">
            <w:pPr>
              <w:pStyle w:val="RecTitle"/>
              <w:spacing w:before="120"/>
              <w:rPr>
                <w:b/>
                <w:color w:val="3B5117"/>
              </w:rPr>
            </w:pPr>
            <w:r w:rsidRPr="005E64FD">
              <w:rPr>
                <w:b/>
                <w:color w:val="3B5117"/>
              </w:rPr>
              <w:t>action</w:t>
            </w:r>
            <w:r w:rsidR="005B7285" w:rsidRPr="005E64FD">
              <w:rPr>
                <w:b/>
                <w:color w:val="3B5117"/>
              </w:rPr>
              <w:t xml:space="preserve"> </w:t>
            </w:r>
            <w:r w:rsidR="00CA1A76" w:rsidRPr="005E64FD">
              <w:rPr>
                <w:b/>
                <w:color w:val="3B5117"/>
              </w:rPr>
              <w:t>8</w:t>
            </w:r>
            <w:r w:rsidR="005B7285" w:rsidRPr="005E64FD">
              <w:rPr>
                <w:b/>
                <w:color w:val="3B5117"/>
              </w:rPr>
              <w:t>.2</w:t>
            </w:r>
            <w:r w:rsidR="00CE7986">
              <w:rPr>
                <w:b/>
                <w:color w:val="3B5117"/>
              </w:rPr>
              <w:t> — </w:t>
            </w:r>
            <w:r w:rsidR="005B7285" w:rsidRPr="005E64FD">
              <w:rPr>
                <w:b/>
                <w:color w:val="3B5117"/>
              </w:rPr>
              <w:t>awareness of mental illness in the insurance sector</w:t>
            </w:r>
          </w:p>
        </w:tc>
      </w:tr>
      <w:tr w:rsidR="005B7285" w:rsidRPr="00750BE2" w14:paraId="0079788C" w14:textId="77777777" w:rsidTr="004F5341">
        <w:trPr>
          <w:trHeight w:val="10021"/>
        </w:trPr>
        <w:tc>
          <w:tcPr>
            <w:tcW w:w="5000" w:type="pct"/>
            <w:tcBorders>
              <w:top w:val="nil"/>
              <w:left w:val="nil"/>
              <w:bottom w:val="nil"/>
              <w:right w:val="nil"/>
            </w:tcBorders>
            <w:shd w:val="clear" w:color="auto" w:fill="F2F2F2" w:themeFill="background1" w:themeFillShade="F2"/>
            <w:tcMar>
              <w:left w:w="170" w:type="dxa"/>
              <w:right w:w="170" w:type="dxa"/>
            </w:tcMar>
          </w:tcPr>
          <w:p w14:paraId="26D798EA" w14:textId="16F78C7E" w:rsidR="006833C1" w:rsidRPr="00F839D2" w:rsidRDefault="006B74DE" w:rsidP="004F5341">
            <w:pPr>
              <w:pStyle w:val="Rec"/>
              <w:keepNext/>
              <w:rPr>
                <w:iCs/>
              </w:rPr>
            </w:pPr>
            <w:r>
              <w:t>The</w:t>
            </w:r>
            <w:r w:rsidR="006833C1" w:rsidRPr="00FA3AE0">
              <w:t xml:space="preserve"> insurance sector </w:t>
            </w:r>
            <w:r>
              <w:t xml:space="preserve">should improve the way it </w:t>
            </w:r>
            <w:r w:rsidR="006833C1">
              <w:t xml:space="preserve">collects information about, and </w:t>
            </w:r>
            <w:r w:rsidR="006833C1" w:rsidRPr="00FA3AE0">
              <w:t>relat</w:t>
            </w:r>
            <w:r>
              <w:t>ing</w:t>
            </w:r>
            <w:r w:rsidR="006833C1" w:rsidRPr="00FA3AE0">
              <w:t xml:space="preserve"> to</w:t>
            </w:r>
            <w:r w:rsidR="006833C1">
              <w:t>,</w:t>
            </w:r>
            <w:r w:rsidR="006833C1" w:rsidRPr="00FA3AE0">
              <w:t xml:space="preserve"> people with mental illness</w:t>
            </w:r>
            <w:r>
              <w:t>.</w:t>
            </w:r>
          </w:p>
          <w:p w14:paraId="0FC3D93B" w14:textId="57F6819F" w:rsidR="005B7285" w:rsidRPr="00D66948" w:rsidRDefault="002246D6" w:rsidP="004F5341">
            <w:pPr>
              <w:pStyle w:val="Rec"/>
              <w:keepNext/>
              <w:rPr>
                <w:i/>
              </w:rPr>
            </w:pPr>
            <w:r w:rsidRPr="002246D6">
              <w:rPr>
                <w:i/>
              </w:rPr>
              <w:t>Start now</w:t>
            </w:r>
          </w:p>
          <w:p w14:paraId="67715C03" w14:textId="77777777" w:rsidR="005B7285" w:rsidRDefault="005B7285" w:rsidP="00F0323F">
            <w:pPr>
              <w:pStyle w:val="RecBullet"/>
            </w:pPr>
            <w:r>
              <w:t>The Financial Services Council (FSC) should update the mental health training requirements for insurers in FSC Standard No. 21, in consultation with a national consumer and carer organisation to reflect contemporary thinking about mental illness. The Financial Services Council should also:</w:t>
            </w:r>
          </w:p>
          <w:p w14:paraId="02E3C60C" w14:textId="593CA464" w:rsidR="005B7285" w:rsidRPr="00A92CDE" w:rsidRDefault="005B7285" w:rsidP="00291482">
            <w:pPr>
              <w:pStyle w:val="BoxListBullet2"/>
              <w:tabs>
                <w:tab w:val="clear" w:pos="567"/>
              </w:tabs>
              <w:ind w:left="680" w:hanging="340"/>
            </w:pPr>
            <w:r w:rsidRPr="00A92CDE">
              <w:t xml:space="preserve">expand the coverage of FSC Standard No. 21 to include all employees of covered insurers to ensure </w:t>
            </w:r>
            <w:r w:rsidR="00EE50FB" w:rsidRPr="00A92CDE">
              <w:t>that</w:t>
            </w:r>
            <w:r w:rsidRPr="00A92CDE">
              <w:t xml:space="preserve"> the industry as a whole has a better understanding of mental illness</w:t>
            </w:r>
          </w:p>
          <w:p w14:paraId="77315D7F" w14:textId="21399D34" w:rsidR="005B7285" w:rsidRDefault="005B7285" w:rsidP="00291482">
            <w:pPr>
              <w:pStyle w:val="BoxListBullet2"/>
              <w:tabs>
                <w:tab w:val="clear" w:pos="567"/>
              </w:tabs>
              <w:ind w:left="680" w:hanging="340"/>
            </w:pPr>
            <w:r w:rsidRPr="00A92CDE">
              <w:t>publish data it receives on industry compliance</w:t>
            </w:r>
            <w:r>
              <w:t xml:space="preserve"> with the Standard</w:t>
            </w:r>
            <w:r w:rsidR="00F0323F">
              <w:t>.</w:t>
            </w:r>
          </w:p>
          <w:p w14:paraId="226EB2D0" w14:textId="23A04BF3" w:rsidR="005B7285" w:rsidRDefault="005B7285" w:rsidP="00F0323F">
            <w:pPr>
              <w:pStyle w:val="RecBullet"/>
            </w:pPr>
            <w:r>
              <w:t xml:space="preserve">The Australian Securities and Investments Commission should </w:t>
            </w:r>
            <w:r w:rsidR="003B29F0">
              <w:t>review</w:t>
            </w:r>
            <w:r w:rsidR="00F0323F">
              <w:t>, within two years,</w:t>
            </w:r>
            <w:r w:rsidR="003B29F0">
              <w:t xml:space="preserve"> </w:t>
            </w:r>
            <w:r>
              <w:t xml:space="preserve">the operation and effectiveness of the insurance industry Codes of Practice and industry standards that relate to the provision of services to people with mental illness. The </w:t>
            </w:r>
            <w:r w:rsidR="003B29F0">
              <w:t xml:space="preserve">review </w:t>
            </w:r>
            <w:r>
              <w:t xml:space="preserve">should consider whether the insurance industry: </w:t>
            </w:r>
          </w:p>
          <w:p w14:paraId="0BCE9CBF" w14:textId="77777777" w:rsidR="005B7285" w:rsidRDefault="005B7285" w:rsidP="00291482">
            <w:pPr>
              <w:pStyle w:val="BoxListBullet2"/>
              <w:tabs>
                <w:tab w:val="clear" w:pos="567"/>
              </w:tabs>
              <w:ind w:left="680" w:hanging="340"/>
            </w:pPr>
            <w:r>
              <w:t>has removed blanket exclusions relating to mental illness</w:t>
            </w:r>
          </w:p>
          <w:p w14:paraId="1060144C" w14:textId="77777777" w:rsidR="005B7285" w:rsidRDefault="005B7285" w:rsidP="00291482">
            <w:pPr>
              <w:pStyle w:val="BoxListBullet2"/>
              <w:tabs>
                <w:tab w:val="clear" w:pos="567"/>
              </w:tabs>
              <w:ind w:left="680" w:hanging="340"/>
            </w:pPr>
            <w:r>
              <w:t>differentiates between types of mental illness, takes into account the history, severity and prognosis of individual applicants or claimants and uses up</w:t>
            </w:r>
            <w:r>
              <w:noBreakHyphen/>
              <w:t>to</w:t>
            </w:r>
            <w:r>
              <w:noBreakHyphen/>
              <w:t>date prevalence, prognosis and pricing information to assess risk and make decisions about claims</w:t>
            </w:r>
          </w:p>
          <w:p w14:paraId="3AEA1E20" w14:textId="77777777" w:rsidR="005B7285" w:rsidRDefault="005B7285" w:rsidP="00291482">
            <w:pPr>
              <w:pStyle w:val="BoxListBullet2"/>
              <w:tabs>
                <w:tab w:val="clear" w:pos="567"/>
              </w:tabs>
              <w:ind w:left="680" w:hanging="340"/>
            </w:pPr>
            <w:r>
              <w:t>meets maximum timeframes for the resolution of insurance claims consistently and whether these timeframes are adequate</w:t>
            </w:r>
          </w:p>
          <w:p w14:paraId="429277E8" w14:textId="43D5D1AA" w:rsidR="005B7285" w:rsidRDefault="005B7285" w:rsidP="00291482">
            <w:pPr>
              <w:pStyle w:val="BoxListBullet2"/>
              <w:tabs>
                <w:tab w:val="clear" w:pos="567"/>
              </w:tabs>
              <w:ind w:left="680" w:hanging="340"/>
            </w:pPr>
            <w:r>
              <w:t>has implemented industry guidelines that require claimants and applicants be provided with written advice when insurance coverage is declined or a claim refused on the basis of mental illness.</w:t>
            </w:r>
          </w:p>
          <w:p w14:paraId="080EE7A9" w14:textId="64D4C011" w:rsidR="005B7285" w:rsidRDefault="005B7285" w:rsidP="00112630">
            <w:pPr>
              <w:pStyle w:val="RecBullet"/>
              <w:tabs>
                <w:tab w:val="clear" w:pos="340"/>
              </w:tabs>
            </w:pPr>
            <w:r w:rsidRPr="00A82F99">
              <w:t xml:space="preserve">Where </w:t>
            </w:r>
            <w:r w:rsidR="00F0323F">
              <w:t xml:space="preserve">the review finds </w:t>
            </w:r>
            <w:r w:rsidR="00F0323F" w:rsidRPr="00A82F99">
              <w:t xml:space="preserve">these changes have not been achieved, </w:t>
            </w:r>
            <w:r w:rsidR="00F0323F">
              <w:t>regulation</w:t>
            </w:r>
            <w:r w:rsidR="00F0323F" w:rsidRPr="00A82F99">
              <w:t xml:space="preserve"> </w:t>
            </w:r>
            <w:r w:rsidR="00F0323F">
              <w:t>should be used to require change.</w:t>
            </w:r>
          </w:p>
          <w:p w14:paraId="3ED9F2D8" w14:textId="1CC06964" w:rsidR="005B7285" w:rsidRDefault="005B7285" w:rsidP="00F0323F">
            <w:pPr>
              <w:pStyle w:val="RecBullet"/>
            </w:pPr>
            <w:r>
              <w:t xml:space="preserve">The </w:t>
            </w:r>
            <w:r w:rsidR="003D1DB4">
              <w:t>Australian Law Reform Commission</w:t>
            </w:r>
            <w:r>
              <w:t xml:space="preserve"> </w:t>
            </w:r>
            <w:r w:rsidR="003D1DB4">
              <w:t>should</w:t>
            </w:r>
            <w:r>
              <w:t xml:space="preserve"> review whether the protocols for insurer access to clinical records have resulted in more targeted requests for clinical information</w:t>
            </w:r>
            <w:r w:rsidR="00EE50FB">
              <w:t>,</w:t>
            </w:r>
            <w:r>
              <w:t xml:space="preserve"> and whether they give sufficient protections to people with histories that include seeking psychological treatment or counselling. The review should include consideration of whether the protocols are sufficient, whether there is a need for </w:t>
            </w:r>
            <w:r w:rsidR="00EE555F">
              <w:t xml:space="preserve">legislative </w:t>
            </w:r>
            <w:r>
              <w:t xml:space="preserve">change and whether insurance premiums are actuarially fair. </w:t>
            </w:r>
          </w:p>
          <w:p w14:paraId="4A462801" w14:textId="5B3E173F" w:rsidR="005B7285" w:rsidRPr="00A82F99" w:rsidRDefault="005B7285" w:rsidP="00112630">
            <w:pPr>
              <w:pStyle w:val="RecBullet"/>
              <w:numPr>
                <w:ilvl w:val="0"/>
                <w:numId w:val="0"/>
              </w:numPr>
              <w:ind w:left="340"/>
            </w:pPr>
            <w:r>
              <w:t>This review should be conducted in 2022</w:t>
            </w:r>
            <w:r w:rsidR="00EE50FB">
              <w:t>,</w:t>
            </w:r>
            <w:r>
              <w:t xml:space="preserve"> after the protocols have been operating for two years.</w:t>
            </w:r>
          </w:p>
        </w:tc>
      </w:tr>
      <w:tr w:rsidR="005B7285" w14:paraId="0A1E6E8F"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4F123F97" w14:textId="77777777" w:rsidR="005B7285" w:rsidRDefault="005B7285" w:rsidP="004F5341">
            <w:pPr>
              <w:pStyle w:val="Space"/>
              <w:keepLines/>
            </w:pPr>
          </w:p>
        </w:tc>
      </w:tr>
      <w:tr w:rsidR="005B7285" w:rsidRPr="000863A5" w14:paraId="02416540" w14:textId="77777777" w:rsidTr="004F5341">
        <w:tc>
          <w:tcPr>
            <w:tcW w:w="5000" w:type="pct"/>
            <w:tcBorders>
              <w:top w:val="single" w:sz="6" w:space="0" w:color="78A22F"/>
              <w:left w:val="nil"/>
              <w:bottom w:val="nil"/>
              <w:right w:val="nil"/>
            </w:tcBorders>
            <w:tcMar>
              <w:left w:w="170" w:type="dxa"/>
              <w:right w:w="170" w:type="dxa"/>
            </w:tcMar>
          </w:tcPr>
          <w:p w14:paraId="4C8415B3" w14:textId="77777777" w:rsidR="005B7285" w:rsidRPr="00626D32" w:rsidRDefault="005B7285" w:rsidP="004F5341">
            <w:pPr>
              <w:pStyle w:val="BoxSpaceBelow"/>
              <w:keepLines/>
            </w:pPr>
          </w:p>
        </w:tc>
      </w:tr>
    </w:tbl>
    <w:p w14:paraId="260AA412" w14:textId="77777777" w:rsidR="005B7285" w:rsidRDefault="005B7285" w:rsidP="005B728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5B7285" w:rsidRPr="005E64FD" w14:paraId="5032265D" w14:textId="77777777" w:rsidTr="004F5341">
        <w:trPr>
          <w:tblHeader/>
        </w:trPr>
        <w:tc>
          <w:tcPr>
            <w:tcW w:w="5000" w:type="pct"/>
            <w:tcBorders>
              <w:top w:val="single" w:sz="6" w:space="0" w:color="78A22F"/>
              <w:left w:val="nil"/>
              <w:bottom w:val="nil"/>
              <w:right w:val="nil"/>
            </w:tcBorders>
            <w:shd w:val="clear" w:color="auto" w:fill="auto"/>
            <w:tcMar>
              <w:left w:w="170" w:type="dxa"/>
              <w:right w:w="170" w:type="dxa"/>
            </w:tcMar>
          </w:tcPr>
          <w:p w14:paraId="01450735" w14:textId="77E34DBE" w:rsidR="005B7285" w:rsidRPr="005E64FD" w:rsidRDefault="008A5757" w:rsidP="005E64FD">
            <w:pPr>
              <w:pStyle w:val="RecTitle"/>
              <w:spacing w:before="120"/>
              <w:rPr>
                <w:b/>
                <w:color w:val="3B5117"/>
              </w:rPr>
            </w:pPr>
            <w:r w:rsidRPr="005E64FD">
              <w:rPr>
                <w:b/>
                <w:color w:val="3B5117"/>
              </w:rPr>
              <w:t>action</w:t>
            </w:r>
            <w:r w:rsidR="005B7285" w:rsidRPr="005E64FD">
              <w:rPr>
                <w:b/>
                <w:color w:val="3B5117"/>
              </w:rPr>
              <w:t xml:space="preserve"> </w:t>
            </w:r>
            <w:r w:rsidR="00CA1A76" w:rsidRPr="005E64FD">
              <w:rPr>
                <w:b/>
                <w:color w:val="3B5117"/>
              </w:rPr>
              <w:t>8</w:t>
            </w:r>
            <w:r w:rsidR="005B7285" w:rsidRPr="005E64FD">
              <w:rPr>
                <w:b/>
                <w:color w:val="3B5117"/>
              </w:rPr>
              <w:t>.3</w:t>
            </w:r>
            <w:r w:rsidR="00CE7986">
              <w:rPr>
                <w:b/>
                <w:color w:val="3B5117"/>
              </w:rPr>
              <w:t> — </w:t>
            </w:r>
            <w:r w:rsidR="005B7285" w:rsidRPr="005E64FD">
              <w:rPr>
                <w:b/>
                <w:color w:val="3B5117"/>
              </w:rPr>
              <w:t>TRADitional healers</w:t>
            </w:r>
          </w:p>
        </w:tc>
      </w:tr>
      <w:tr w:rsidR="005B7285" w:rsidRPr="00750BE2" w14:paraId="01A6BCD9" w14:textId="77777777" w:rsidTr="004F5341">
        <w:tc>
          <w:tcPr>
            <w:tcW w:w="5000" w:type="pct"/>
            <w:tcBorders>
              <w:top w:val="nil"/>
              <w:left w:val="nil"/>
              <w:bottom w:val="nil"/>
              <w:right w:val="nil"/>
            </w:tcBorders>
            <w:shd w:val="clear" w:color="auto" w:fill="F2F2F2" w:themeFill="background1" w:themeFillShade="F2"/>
            <w:tcMar>
              <w:left w:w="170" w:type="dxa"/>
              <w:right w:w="170" w:type="dxa"/>
            </w:tcMar>
          </w:tcPr>
          <w:p w14:paraId="2EF69AC6" w14:textId="77777777" w:rsidR="005B7285" w:rsidRPr="001A4187" w:rsidRDefault="005B7285" w:rsidP="004F5341">
            <w:pPr>
              <w:pStyle w:val="Rec"/>
              <w:keepNext/>
            </w:pPr>
            <w:r w:rsidRPr="001A4187">
              <w:t>Traditional healers have the potential to help improve the social and emotional wellbeing of Aboriginal and Torres Strait Islander people.</w:t>
            </w:r>
          </w:p>
          <w:p w14:paraId="459C6CD4" w14:textId="77777777" w:rsidR="005B7285" w:rsidRPr="009238E2" w:rsidRDefault="002246D6" w:rsidP="004F5341">
            <w:pPr>
              <w:pStyle w:val="Rec"/>
              <w:rPr>
                <w:i/>
              </w:rPr>
            </w:pPr>
            <w:r w:rsidRPr="002246D6">
              <w:rPr>
                <w:i/>
              </w:rPr>
              <w:t>Start later</w:t>
            </w:r>
          </w:p>
          <w:p w14:paraId="1D07E51F" w14:textId="77777777" w:rsidR="005B7285" w:rsidRPr="00BF73A4" w:rsidRDefault="005B7285" w:rsidP="00237C51">
            <w:pPr>
              <w:pStyle w:val="RecBullet"/>
            </w:pPr>
            <w:r w:rsidRPr="008744C2">
              <w:t xml:space="preserve">The </w:t>
            </w:r>
            <w:r>
              <w:t>Australian Government should evaluate best practices</w:t>
            </w:r>
            <w:r w:rsidRPr="008744C2">
              <w:t xml:space="preserve"> </w:t>
            </w:r>
            <w:r>
              <w:t>for partnerships</w:t>
            </w:r>
            <w:r w:rsidRPr="008744C2">
              <w:t xml:space="preserve"> </w:t>
            </w:r>
            <w:r>
              <w:t>between</w:t>
            </w:r>
            <w:r w:rsidRPr="008744C2">
              <w:t xml:space="preserve"> traditional healers </w:t>
            </w:r>
            <w:r>
              <w:t>and mainstream</w:t>
            </w:r>
            <w:r w:rsidRPr="003838A4">
              <w:t xml:space="preserve"> mental health services for Aboriginal and Torres Strait Islander people.</w:t>
            </w:r>
          </w:p>
          <w:p w14:paraId="52EDA383" w14:textId="72898067" w:rsidR="005B7285" w:rsidRDefault="005B7285" w:rsidP="00237C51">
            <w:pPr>
              <w:pStyle w:val="RecBullet"/>
            </w:pPr>
            <w:r w:rsidRPr="00BF73A4">
              <w:t xml:space="preserve">This evaluation should incorporate the knowledge and views of Aboriginal and Torres Strait Islander people and seek to improve the evidence about how </w:t>
            </w:r>
            <w:r>
              <w:t>a partnership</w:t>
            </w:r>
            <w:r w:rsidRPr="00BF73A4">
              <w:t xml:space="preserve"> between traditional healers and </w:t>
            </w:r>
            <w:r>
              <w:t>mainstream</w:t>
            </w:r>
            <w:r w:rsidRPr="00BF73A4">
              <w:t xml:space="preserve"> mental health</w:t>
            </w:r>
            <w:r>
              <w:t>care</w:t>
            </w:r>
            <w:r w:rsidRPr="00BF73A4">
              <w:t xml:space="preserve"> can </w:t>
            </w:r>
            <w:r>
              <w:t>most effectively</w:t>
            </w:r>
            <w:r w:rsidRPr="00BF73A4">
              <w:t xml:space="preserve"> support Aboriginal and Torres Strait Islander people with mental illness and facilitate </w:t>
            </w:r>
            <w:r>
              <w:t xml:space="preserve">their </w:t>
            </w:r>
            <w:r w:rsidRPr="00BF73A4">
              <w:t>recovery in their community.</w:t>
            </w:r>
          </w:p>
        </w:tc>
      </w:tr>
      <w:tr w:rsidR="005B7285" w14:paraId="59BF5A0B"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74A785A7" w14:textId="77777777" w:rsidR="005B7285" w:rsidRDefault="005B7285" w:rsidP="004F5341">
            <w:pPr>
              <w:pStyle w:val="Space"/>
              <w:keepLines/>
            </w:pPr>
          </w:p>
        </w:tc>
      </w:tr>
      <w:tr w:rsidR="005B7285" w:rsidRPr="000863A5" w14:paraId="7B05D8E0" w14:textId="77777777" w:rsidTr="004F5341">
        <w:tc>
          <w:tcPr>
            <w:tcW w:w="5000" w:type="pct"/>
            <w:tcBorders>
              <w:top w:val="single" w:sz="6" w:space="0" w:color="78A22F"/>
              <w:left w:val="nil"/>
              <w:bottom w:val="nil"/>
              <w:right w:val="nil"/>
            </w:tcBorders>
            <w:tcMar>
              <w:left w:w="170" w:type="dxa"/>
              <w:right w:w="170" w:type="dxa"/>
            </w:tcMar>
          </w:tcPr>
          <w:p w14:paraId="1CEE3F79" w14:textId="77777777" w:rsidR="005B7285" w:rsidRPr="00626D32" w:rsidRDefault="005B7285" w:rsidP="004F5341">
            <w:pPr>
              <w:pStyle w:val="BoxSpaceBelow"/>
              <w:keepLines/>
            </w:pPr>
          </w:p>
        </w:tc>
      </w:tr>
    </w:tbl>
    <w:p w14:paraId="2A5DF400" w14:textId="77777777" w:rsidR="005B7285" w:rsidRPr="004E3B94" w:rsidRDefault="005B7285" w:rsidP="00B808D1">
      <w:pPr>
        <w:pStyle w:val="BoxSpaceAbove"/>
      </w:pPr>
    </w:p>
    <w:tbl>
      <w:tblPr>
        <w:tblW w:w="8915" w:type="dxa"/>
        <w:tblInd w:w="25" w:type="dxa"/>
        <w:tblBorders>
          <w:top w:val="single" w:sz="6" w:space="0" w:color="78A22F"/>
          <w:left w:val="single" w:sz="6" w:space="0" w:color="78A22F"/>
          <w:bottom w:val="single" w:sz="6" w:space="0" w:color="78A22F"/>
          <w:right w:val="single" w:sz="6" w:space="0" w:color="78A22F"/>
        </w:tblBorders>
        <w:shd w:val="clear" w:color="auto" w:fill="F2F2F2" w:themeFill="background1" w:themeFillShade="F2"/>
        <w:tblLayout w:type="fixed"/>
        <w:tblCellMar>
          <w:left w:w="142" w:type="dxa"/>
          <w:right w:w="142" w:type="dxa"/>
        </w:tblCellMar>
        <w:tblLook w:val="0000" w:firstRow="0" w:lastRow="0" w:firstColumn="0" w:lastColumn="0" w:noHBand="0" w:noVBand="0"/>
        <w:tblDescription w:val="Table used for design layout: finding"/>
      </w:tblPr>
      <w:tblGrid>
        <w:gridCol w:w="8915"/>
      </w:tblGrid>
      <w:tr w:rsidR="005B7285" w14:paraId="00F41571" w14:textId="77777777" w:rsidTr="004F5341">
        <w:trPr>
          <w:cantSplit/>
          <w:tblHeader/>
        </w:trPr>
        <w:tc>
          <w:tcPr>
            <w:tcW w:w="8915" w:type="dxa"/>
            <w:tcBorders>
              <w:top w:val="single" w:sz="6" w:space="0" w:color="78A22F"/>
              <w:left w:val="nil"/>
              <w:bottom w:val="nil"/>
              <w:right w:val="nil"/>
            </w:tcBorders>
            <w:shd w:val="clear" w:color="auto" w:fill="F2F2F2" w:themeFill="background1" w:themeFillShade="F2"/>
            <w:tcMar>
              <w:left w:w="170" w:type="dxa"/>
              <w:right w:w="170" w:type="dxa"/>
            </w:tcMar>
          </w:tcPr>
          <w:p w14:paraId="716669C1" w14:textId="06A35EDB" w:rsidR="005B7285" w:rsidRDefault="005B7285" w:rsidP="00112630">
            <w:pPr>
              <w:pStyle w:val="FindingTitle"/>
              <w:spacing w:before="120"/>
              <w:ind w:left="1418" w:hanging="1418"/>
            </w:pPr>
            <w:r>
              <w:t xml:space="preserve">Finding </w:t>
            </w:r>
            <w:r w:rsidR="00A25641">
              <w:t>8</w:t>
            </w:r>
            <w:r>
              <w:t>.2</w:t>
            </w:r>
            <w:r w:rsidR="00CE7986">
              <w:t> — </w:t>
            </w:r>
            <w:r>
              <w:t>social and emotional wellbeing of aboriginal and torres strait islander people</w:t>
            </w:r>
          </w:p>
        </w:tc>
      </w:tr>
      <w:tr w:rsidR="005B7285" w14:paraId="7A0E2AC9" w14:textId="77777777" w:rsidTr="004F5341">
        <w:trPr>
          <w:cantSplit/>
          <w:tblHeader/>
        </w:trPr>
        <w:tc>
          <w:tcPr>
            <w:tcW w:w="8915" w:type="dxa"/>
            <w:tcBorders>
              <w:top w:val="nil"/>
              <w:left w:val="nil"/>
              <w:bottom w:val="nil"/>
              <w:right w:val="nil"/>
            </w:tcBorders>
            <w:shd w:val="clear" w:color="auto" w:fill="F2F2F2" w:themeFill="background1" w:themeFillShade="F2"/>
            <w:tcMar>
              <w:left w:w="170" w:type="dxa"/>
              <w:right w:w="170" w:type="dxa"/>
            </w:tcMar>
          </w:tcPr>
          <w:p w14:paraId="2EE73B23" w14:textId="77777777" w:rsidR="005B7285" w:rsidRDefault="005B7285" w:rsidP="004F5341">
            <w:pPr>
              <w:pStyle w:val="Finding"/>
            </w:pPr>
            <w:r>
              <w:t xml:space="preserve">The social and emotional wellbeing of Aboriginal and Torres Strait Islander people is profoundly influenced by their connection to land, culture, spirituality, family and community, in addition to the broader social determinants of health and wellbeing. The accumulated effects of traumatic experiences over many generations, and racism and discrimination that are endemic in many communities, can impede efforts to improve wellbeing. </w:t>
            </w:r>
          </w:p>
          <w:p w14:paraId="77D47233" w14:textId="2B30CD1B" w:rsidR="005B7285" w:rsidRDefault="005B7285" w:rsidP="004F5341">
            <w:pPr>
              <w:pStyle w:val="Finding"/>
            </w:pPr>
            <w:r>
              <w:t xml:space="preserve">Improvements in </w:t>
            </w:r>
            <w:r w:rsidR="00A80DFA">
              <w:t>the</w:t>
            </w:r>
            <w:r>
              <w:t xml:space="preserve"> mental health </w:t>
            </w:r>
            <w:r w:rsidR="00F02433">
              <w:t xml:space="preserve">and social and emotional wellbeing </w:t>
            </w:r>
            <w:r>
              <w:t xml:space="preserve">of Aboriginal and Torres Strait Islander people require improvements in the conditions of daily life, as well as actions to promote healing of past traumas and address discrimination. </w:t>
            </w:r>
          </w:p>
          <w:p w14:paraId="2C2DF49E" w14:textId="77777777" w:rsidR="005B7285" w:rsidRPr="00CE4C64" w:rsidRDefault="005B7285" w:rsidP="004F5341">
            <w:pPr>
              <w:pStyle w:val="Finding"/>
            </w:pPr>
            <w:r>
              <w:t>Government actions that support inclusion and empowerment of Aboriginal and Torres Strait Islander people to positively shape and control their futures are likely to improve social and emotional wellbeing both for Aboriginal and Torres Strait Islander people and the broader community.</w:t>
            </w:r>
          </w:p>
        </w:tc>
      </w:tr>
      <w:tr w:rsidR="005B7285" w14:paraId="7EBD0D6C" w14:textId="77777777" w:rsidTr="00AA695D">
        <w:trPr>
          <w:cantSplit/>
          <w:tblHeader/>
        </w:trPr>
        <w:tc>
          <w:tcPr>
            <w:tcW w:w="8915" w:type="dxa"/>
            <w:tcBorders>
              <w:top w:val="nil"/>
              <w:left w:val="nil"/>
              <w:bottom w:val="single" w:sz="6" w:space="0" w:color="78A22F"/>
              <w:right w:val="nil"/>
            </w:tcBorders>
            <w:shd w:val="clear" w:color="auto" w:fill="F2F2F2" w:themeFill="background1" w:themeFillShade="F2"/>
            <w:tcMar>
              <w:left w:w="170" w:type="dxa"/>
              <w:right w:w="170" w:type="dxa"/>
            </w:tcMar>
          </w:tcPr>
          <w:p w14:paraId="0C8C559D" w14:textId="77777777" w:rsidR="005B7285" w:rsidRDefault="005B7285" w:rsidP="004F5341">
            <w:pPr>
              <w:pStyle w:val="Space"/>
              <w:keepLines/>
            </w:pPr>
          </w:p>
        </w:tc>
      </w:tr>
      <w:tr w:rsidR="00AA695D" w14:paraId="66362493" w14:textId="77777777" w:rsidTr="00AA695D">
        <w:trPr>
          <w:cantSplit/>
          <w:tblHeader/>
        </w:trPr>
        <w:tc>
          <w:tcPr>
            <w:tcW w:w="8915" w:type="dxa"/>
            <w:tcBorders>
              <w:top w:val="single" w:sz="6" w:space="0" w:color="78A22F"/>
              <w:left w:val="nil"/>
              <w:bottom w:val="nil"/>
              <w:right w:val="nil"/>
            </w:tcBorders>
            <w:shd w:val="clear" w:color="auto" w:fill="auto"/>
            <w:tcMar>
              <w:left w:w="170" w:type="dxa"/>
              <w:right w:w="170" w:type="dxa"/>
            </w:tcMar>
          </w:tcPr>
          <w:p w14:paraId="182BDFD1" w14:textId="77777777" w:rsidR="00AA695D" w:rsidRDefault="00AA695D" w:rsidP="00AA695D">
            <w:pPr>
              <w:pStyle w:val="BoxSpaceBelow"/>
            </w:pPr>
          </w:p>
        </w:tc>
      </w:tr>
    </w:tbl>
    <w:p w14:paraId="35B8DA93" w14:textId="77777777" w:rsidR="005B7285" w:rsidRPr="00D41518" w:rsidRDefault="005B7285" w:rsidP="005B7285">
      <w:pPr>
        <w:spacing w:before="60" w:after="60" w:line="80" w:lineRule="exact"/>
        <w:jc w:val="both"/>
        <w:rPr>
          <w:rFonts w:ascii="Arial" w:hAnsi="Arial"/>
          <w:sz w:val="14"/>
          <w:szCs w:val="20"/>
        </w:rPr>
      </w:pPr>
    </w:p>
    <w:p w14:paraId="7250F6C7" w14:textId="77777777" w:rsidR="005B7285" w:rsidRPr="001B4578" w:rsidRDefault="005B7285" w:rsidP="00C56499">
      <w:pPr>
        <w:pStyle w:val="Heading3"/>
        <w:pageBreakBefore/>
      </w:pPr>
      <w:r w:rsidRPr="001B4578">
        <w:lastRenderedPageBreak/>
        <w:t>Suicide prevention</w:t>
      </w:r>
    </w:p>
    <w:p w14:paraId="2718240F" w14:textId="77777777" w:rsidR="005B7285" w:rsidRPr="00D41518" w:rsidRDefault="005B7285" w:rsidP="00B80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5B7285" w:rsidRPr="00D41518" w14:paraId="0BBB999D" w14:textId="77777777" w:rsidTr="004F5341">
        <w:trPr>
          <w:tblHeader/>
        </w:trPr>
        <w:tc>
          <w:tcPr>
            <w:tcW w:w="5000" w:type="pct"/>
            <w:tcBorders>
              <w:top w:val="single" w:sz="6" w:space="0" w:color="78A22F"/>
              <w:left w:val="nil"/>
              <w:bottom w:val="nil"/>
              <w:right w:val="nil"/>
            </w:tcBorders>
            <w:shd w:val="clear" w:color="auto" w:fill="F2F2F2"/>
            <w:tcMar>
              <w:left w:w="170" w:type="dxa"/>
              <w:right w:w="170" w:type="dxa"/>
            </w:tcMar>
          </w:tcPr>
          <w:p w14:paraId="642C1F5A" w14:textId="2E850686" w:rsidR="005B7285" w:rsidRPr="00D41518" w:rsidRDefault="005B7285" w:rsidP="00F839D2">
            <w:pPr>
              <w:keepNext/>
              <w:keepLines/>
              <w:spacing w:before="120" w:line="280" w:lineRule="atLeast"/>
              <w:jc w:val="both"/>
              <w:rPr>
                <w:rFonts w:ascii="Arial" w:hAnsi="Arial"/>
                <w:caps/>
                <w:noProof/>
                <w:sz w:val="18"/>
                <w:szCs w:val="20"/>
              </w:rPr>
            </w:pPr>
            <w:r w:rsidRPr="00D41518">
              <w:rPr>
                <w:rFonts w:ascii="Arial" w:hAnsi="Arial"/>
                <w:caps/>
                <w:sz w:val="18"/>
                <w:szCs w:val="20"/>
              </w:rPr>
              <w:t xml:space="preserve">finding </w:t>
            </w:r>
            <w:r w:rsidR="000D5983">
              <w:rPr>
                <w:rFonts w:ascii="Arial" w:hAnsi="Arial"/>
                <w:caps/>
                <w:sz w:val="18"/>
                <w:szCs w:val="20"/>
              </w:rPr>
              <w:t>9</w:t>
            </w:r>
            <w:r w:rsidRPr="00D41518">
              <w:rPr>
                <w:rFonts w:ascii="Arial" w:hAnsi="Arial"/>
                <w:caps/>
                <w:sz w:val="18"/>
                <w:szCs w:val="20"/>
              </w:rPr>
              <w:t>.1</w:t>
            </w:r>
            <w:r w:rsidR="00CE7986">
              <w:rPr>
                <w:rFonts w:ascii="Arial" w:hAnsi="Arial"/>
                <w:caps/>
                <w:noProof/>
                <w:sz w:val="18"/>
                <w:szCs w:val="20"/>
              </w:rPr>
              <w:t> — </w:t>
            </w:r>
            <w:r w:rsidRPr="00C93B26">
              <w:rPr>
                <w:rFonts w:ascii="Arial" w:hAnsi="Arial"/>
                <w:caps/>
                <w:noProof/>
                <w:sz w:val="18"/>
                <w:szCs w:val="20"/>
              </w:rPr>
              <w:t>SUICIDAL BEHAVIOU</w:t>
            </w:r>
            <w:r>
              <w:rPr>
                <w:rFonts w:ascii="Arial" w:hAnsi="Arial"/>
                <w:caps/>
                <w:noProof/>
                <w:sz w:val="18"/>
                <w:szCs w:val="20"/>
              </w:rPr>
              <w:t>r</w:t>
            </w:r>
            <w:r w:rsidRPr="00C93B26">
              <w:rPr>
                <w:rFonts w:ascii="Arial" w:hAnsi="Arial"/>
                <w:caps/>
                <w:noProof/>
                <w:sz w:val="18"/>
                <w:szCs w:val="20"/>
              </w:rPr>
              <w:t>S ARE COSTLY</w:t>
            </w:r>
            <w:r w:rsidR="00F839D2">
              <w:rPr>
                <w:rFonts w:ascii="Arial" w:hAnsi="Arial"/>
                <w:caps/>
                <w:noProof/>
                <w:sz w:val="18"/>
                <w:szCs w:val="20"/>
              </w:rPr>
              <w:t xml:space="preserve"> for everyone</w:t>
            </w:r>
          </w:p>
        </w:tc>
      </w:tr>
      <w:tr w:rsidR="005B7285" w:rsidRPr="00D41518" w14:paraId="34F7A855" w14:textId="77777777" w:rsidTr="004F5341">
        <w:tc>
          <w:tcPr>
            <w:tcW w:w="5000" w:type="pct"/>
            <w:tcBorders>
              <w:top w:val="nil"/>
              <w:left w:val="nil"/>
              <w:bottom w:val="nil"/>
              <w:right w:val="nil"/>
            </w:tcBorders>
            <w:shd w:val="clear" w:color="auto" w:fill="F2F2F2"/>
            <w:tcMar>
              <w:left w:w="170" w:type="dxa"/>
              <w:right w:w="170" w:type="dxa"/>
            </w:tcMar>
          </w:tcPr>
          <w:p w14:paraId="3700CE50" w14:textId="34140C34" w:rsidR="005B7285" w:rsidRPr="00D41518" w:rsidRDefault="005B7285" w:rsidP="00C56499">
            <w:pPr>
              <w:pStyle w:val="Finding"/>
            </w:pPr>
            <w:r w:rsidRPr="00D41518">
              <w:t xml:space="preserve">Suicide and suicide attempts </w:t>
            </w:r>
            <w:r w:rsidR="00475AC5">
              <w:t>have</w:t>
            </w:r>
            <w:r w:rsidRPr="00D41518">
              <w:t xml:space="preserve"> enormous social</w:t>
            </w:r>
            <w:r>
              <w:t>,</w:t>
            </w:r>
            <w:r w:rsidRPr="00D41518">
              <w:t xml:space="preserve"> emotional </w:t>
            </w:r>
            <w:r>
              <w:t xml:space="preserve">and economic </w:t>
            </w:r>
            <w:r w:rsidR="002914B3">
              <w:t>effects</w:t>
            </w:r>
            <w:r w:rsidRPr="00D41518">
              <w:t xml:space="preserve"> on individuals, families and the broader Australian community. </w:t>
            </w:r>
            <w:r w:rsidR="00791699" w:rsidRPr="00791699">
              <w:t xml:space="preserve">The quantifiable cost of suicide and suicide attempts in Australia is estimated to be </w:t>
            </w:r>
            <w:r w:rsidR="006F222E">
              <w:t>about</w:t>
            </w:r>
            <w:r w:rsidR="006F222E" w:rsidRPr="00791699">
              <w:t xml:space="preserve"> </w:t>
            </w:r>
            <w:r w:rsidR="00791699" w:rsidRPr="00791699">
              <w:t>$30 billion each year.</w:t>
            </w:r>
          </w:p>
        </w:tc>
      </w:tr>
      <w:tr w:rsidR="005B7285" w:rsidRPr="00D41518" w14:paraId="03839DEB" w14:textId="77777777" w:rsidTr="004F5341">
        <w:tc>
          <w:tcPr>
            <w:tcW w:w="5000" w:type="pct"/>
            <w:tcBorders>
              <w:top w:val="nil"/>
              <w:left w:val="nil"/>
              <w:bottom w:val="single" w:sz="6" w:space="0" w:color="78A22F"/>
              <w:right w:val="nil"/>
            </w:tcBorders>
            <w:shd w:val="clear" w:color="auto" w:fill="F2F2F2"/>
            <w:tcMar>
              <w:left w:w="170" w:type="dxa"/>
              <w:right w:w="170" w:type="dxa"/>
            </w:tcMar>
          </w:tcPr>
          <w:p w14:paraId="1C01937B" w14:textId="77777777" w:rsidR="005B7285" w:rsidRPr="00D41518" w:rsidRDefault="005B7285" w:rsidP="00C56499">
            <w:pPr>
              <w:pStyle w:val="Space"/>
            </w:pPr>
          </w:p>
        </w:tc>
      </w:tr>
      <w:tr w:rsidR="005B7285" w:rsidRPr="00D41518" w14:paraId="292616C8" w14:textId="77777777" w:rsidTr="004F5341">
        <w:tc>
          <w:tcPr>
            <w:tcW w:w="5000" w:type="pct"/>
            <w:tcBorders>
              <w:top w:val="single" w:sz="6" w:space="0" w:color="78A22F"/>
              <w:left w:val="nil"/>
              <w:bottom w:val="nil"/>
              <w:right w:val="nil"/>
            </w:tcBorders>
          </w:tcPr>
          <w:p w14:paraId="6B4DF7BE" w14:textId="77777777" w:rsidR="005B7285" w:rsidRPr="00D41518" w:rsidRDefault="005B7285" w:rsidP="004F5341">
            <w:pPr>
              <w:keepNext/>
              <w:keepLines/>
              <w:spacing w:before="60" w:after="60" w:line="80" w:lineRule="exact"/>
              <w:jc w:val="both"/>
              <w:rPr>
                <w:rFonts w:ascii="Arial" w:hAnsi="Arial"/>
                <w:sz w:val="14"/>
                <w:szCs w:val="20"/>
              </w:rPr>
            </w:pPr>
          </w:p>
        </w:tc>
      </w:tr>
    </w:tbl>
    <w:p w14:paraId="3544B9B8" w14:textId="77777777" w:rsidR="005B7285" w:rsidRPr="00D41518" w:rsidRDefault="005B7285" w:rsidP="00B80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5B7285" w:rsidRPr="00D41518" w14:paraId="0CED44D5" w14:textId="77777777" w:rsidTr="004F5341">
        <w:trPr>
          <w:tblHeader/>
        </w:trPr>
        <w:tc>
          <w:tcPr>
            <w:tcW w:w="5000" w:type="pct"/>
            <w:tcBorders>
              <w:top w:val="single" w:sz="6" w:space="0" w:color="78A22F"/>
              <w:left w:val="nil"/>
              <w:bottom w:val="nil"/>
              <w:right w:val="nil"/>
            </w:tcBorders>
            <w:shd w:val="clear" w:color="auto" w:fill="F2F2F2"/>
            <w:tcMar>
              <w:left w:w="170" w:type="dxa"/>
              <w:right w:w="170" w:type="dxa"/>
            </w:tcMar>
          </w:tcPr>
          <w:p w14:paraId="28959120" w14:textId="0DBB5DF8" w:rsidR="005B7285" w:rsidRPr="00D41518" w:rsidRDefault="005B7285" w:rsidP="00475AC5">
            <w:pPr>
              <w:keepNext/>
              <w:keepLines/>
              <w:spacing w:before="120" w:line="280" w:lineRule="atLeast"/>
              <w:jc w:val="both"/>
              <w:rPr>
                <w:rFonts w:ascii="Arial" w:hAnsi="Arial"/>
                <w:caps/>
                <w:noProof/>
                <w:sz w:val="18"/>
                <w:szCs w:val="20"/>
              </w:rPr>
            </w:pPr>
            <w:r w:rsidRPr="00D41518">
              <w:rPr>
                <w:rFonts w:ascii="Arial" w:hAnsi="Arial"/>
                <w:caps/>
                <w:sz w:val="18"/>
                <w:szCs w:val="20"/>
              </w:rPr>
              <w:t xml:space="preserve">finding </w:t>
            </w:r>
            <w:r w:rsidR="00475AC5">
              <w:rPr>
                <w:rFonts w:ascii="Arial" w:hAnsi="Arial"/>
                <w:caps/>
                <w:sz w:val="18"/>
                <w:szCs w:val="20"/>
              </w:rPr>
              <w:t>9</w:t>
            </w:r>
            <w:r w:rsidRPr="00D41518">
              <w:rPr>
                <w:rFonts w:ascii="Arial" w:hAnsi="Arial"/>
                <w:caps/>
                <w:sz w:val="18"/>
                <w:szCs w:val="20"/>
              </w:rPr>
              <w:t>.2</w:t>
            </w:r>
            <w:r w:rsidR="00CE7986">
              <w:rPr>
                <w:rFonts w:ascii="Arial" w:hAnsi="Arial"/>
                <w:caps/>
                <w:noProof/>
                <w:sz w:val="18"/>
                <w:szCs w:val="20"/>
              </w:rPr>
              <w:t> — </w:t>
            </w:r>
            <w:r w:rsidRPr="00D41518">
              <w:rPr>
                <w:rFonts w:ascii="Arial" w:hAnsi="Arial"/>
                <w:caps/>
                <w:noProof/>
                <w:sz w:val="18"/>
                <w:szCs w:val="20"/>
              </w:rPr>
              <w:t>School-based awareness programs can be cost-effective</w:t>
            </w:r>
          </w:p>
        </w:tc>
      </w:tr>
      <w:tr w:rsidR="005B7285" w:rsidRPr="00D41518" w14:paraId="25C5DF35" w14:textId="77777777" w:rsidTr="004F5341">
        <w:tc>
          <w:tcPr>
            <w:tcW w:w="5000" w:type="pct"/>
            <w:tcBorders>
              <w:top w:val="nil"/>
              <w:left w:val="nil"/>
              <w:bottom w:val="nil"/>
              <w:right w:val="nil"/>
            </w:tcBorders>
            <w:shd w:val="clear" w:color="auto" w:fill="F2F2F2"/>
            <w:tcMar>
              <w:left w:w="170" w:type="dxa"/>
              <w:right w:w="170" w:type="dxa"/>
            </w:tcMar>
          </w:tcPr>
          <w:p w14:paraId="05764872" w14:textId="4361E6DC" w:rsidR="005B7285" w:rsidRPr="00D41518" w:rsidRDefault="005B7285" w:rsidP="00C56499">
            <w:pPr>
              <w:pStyle w:val="Finding"/>
            </w:pPr>
            <w:r>
              <w:t>Universal, s</w:t>
            </w:r>
            <w:r w:rsidRPr="00D41518">
              <w:t>chool</w:t>
            </w:r>
            <w:r w:rsidRPr="00D41518">
              <w:noBreakHyphen/>
              <w:t>based suicide prevention awareness programs can be effective at reducing suicide attempts and are likely to be cost</w:t>
            </w:r>
            <w:r w:rsidRPr="00D41518">
              <w:noBreakHyphen/>
              <w:t>effective. Governments can encourage the use of these programs by accrediting evidence</w:t>
            </w:r>
            <w:r w:rsidRPr="00D41518">
              <w:noBreakHyphen/>
              <w:t xml:space="preserve">based programs through the process outlined in </w:t>
            </w:r>
            <w:r w:rsidR="00F839D2">
              <w:t>A</w:t>
            </w:r>
            <w:r w:rsidR="006F222E">
              <w:t>ction</w:t>
            </w:r>
            <w:r w:rsidR="006F222E" w:rsidRPr="00D41518">
              <w:t> </w:t>
            </w:r>
            <w:r w:rsidR="006F222E">
              <w:t>5.5</w:t>
            </w:r>
            <w:r w:rsidRPr="00D41518">
              <w:t>.</w:t>
            </w:r>
          </w:p>
        </w:tc>
      </w:tr>
      <w:tr w:rsidR="005B7285" w:rsidRPr="00D41518" w14:paraId="264965B2" w14:textId="77777777" w:rsidTr="004F5341">
        <w:tc>
          <w:tcPr>
            <w:tcW w:w="5000" w:type="pct"/>
            <w:tcBorders>
              <w:top w:val="nil"/>
              <w:left w:val="nil"/>
              <w:bottom w:val="single" w:sz="6" w:space="0" w:color="78A22F"/>
              <w:right w:val="nil"/>
            </w:tcBorders>
            <w:shd w:val="clear" w:color="auto" w:fill="F2F2F2"/>
            <w:tcMar>
              <w:left w:w="170" w:type="dxa"/>
              <w:right w:w="170" w:type="dxa"/>
            </w:tcMar>
          </w:tcPr>
          <w:p w14:paraId="3310CB06" w14:textId="77777777" w:rsidR="005B7285" w:rsidRPr="00D41518" w:rsidRDefault="005B7285" w:rsidP="00C56499">
            <w:pPr>
              <w:pStyle w:val="Space"/>
            </w:pPr>
          </w:p>
        </w:tc>
      </w:tr>
      <w:tr w:rsidR="005B7285" w:rsidRPr="00D41518" w14:paraId="6D1329C1" w14:textId="77777777" w:rsidTr="004F5341">
        <w:tc>
          <w:tcPr>
            <w:tcW w:w="5000" w:type="pct"/>
            <w:tcBorders>
              <w:top w:val="single" w:sz="6" w:space="0" w:color="78A22F"/>
              <w:left w:val="nil"/>
              <w:bottom w:val="nil"/>
              <w:right w:val="nil"/>
            </w:tcBorders>
          </w:tcPr>
          <w:p w14:paraId="68CF2033" w14:textId="77777777" w:rsidR="005B7285" w:rsidRPr="00D41518" w:rsidRDefault="005B7285" w:rsidP="004F5341">
            <w:pPr>
              <w:keepLines/>
              <w:spacing w:before="60" w:after="60" w:line="80" w:lineRule="exact"/>
              <w:jc w:val="both"/>
              <w:rPr>
                <w:rFonts w:ascii="Arial" w:hAnsi="Arial"/>
                <w:sz w:val="14"/>
                <w:szCs w:val="20"/>
              </w:rPr>
            </w:pPr>
          </w:p>
        </w:tc>
      </w:tr>
    </w:tbl>
    <w:p w14:paraId="1335BA2A" w14:textId="77777777" w:rsidR="005B7285" w:rsidRPr="00D41518" w:rsidRDefault="005B7285" w:rsidP="00B80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5B7285" w:rsidRPr="005E64FD" w14:paraId="4C15A1FF" w14:textId="77777777" w:rsidTr="004F5341">
        <w:trPr>
          <w:tblHeader/>
        </w:trPr>
        <w:tc>
          <w:tcPr>
            <w:tcW w:w="5000" w:type="pct"/>
            <w:tcBorders>
              <w:top w:val="single" w:sz="6" w:space="0" w:color="78A22F"/>
              <w:left w:val="nil"/>
              <w:bottom w:val="nil"/>
              <w:right w:val="nil"/>
            </w:tcBorders>
            <w:shd w:val="clear" w:color="auto" w:fill="auto"/>
            <w:tcMar>
              <w:left w:w="170" w:type="dxa"/>
              <w:right w:w="170" w:type="dxa"/>
            </w:tcMar>
          </w:tcPr>
          <w:p w14:paraId="0F33AA36" w14:textId="615D2603" w:rsidR="005B7285" w:rsidRPr="005E64FD" w:rsidRDefault="008A5757" w:rsidP="005E64FD">
            <w:pPr>
              <w:pStyle w:val="RecTitle"/>
              <w:spacing w:before="120"/>
              <w:rPr>
                <w:b/>
                <w:color w:val="3B5117"/>
              </w:rPr>
            </w:pPr>
            <w:r w:rsidRPr="005E64FD">
              <w:rPr>
                <w:b/>
                <w:color w:val="3B5117"/>
              </w:rPr>
              <w:t>action</w:t>
            </w:r>
            <w:r w:rsidR="005B7285" w:rsidRPr="005E64FD">
              <w:rPr>
                <w:b/>
                <w:color w:val="3B5117"/>
              </w:rPr>
              <w:t xml:space="preserve"> </w:t>
            </w:r>
            <w:r w:rsidR="00CA1A76" w:rsidRPr="005E64FD">
              <w:rPr>
                <w:b/>
                <w:color w:val="3B5117"/>
              </w:rPr>
              <w:t>9</w:t>
            </w:r>
            <w:r w:rsidR="005B7285" w:rsidRPr="005E64FD">
              <w:rPr>
                <w:b/>
                <w:color w:val="3B5117"/>
              </w:rPr>
              <w:t>.1</w:t>
            </w:r>
            <w:r w:rsidR="00CE7986">
              <w:rPr>
                <w:b/>
                <w:color w:val="3B5117"/>
              </w:rPr>
              <w:t> — </w:t>
            </w:r>
            <w:r w:rsidR="005B7285" w:rsidRPr="005E64FD">
              <w:rPr>
                <w:b/>
                <w:color w:val="3B5117"/>
              </w:rPr>
              <w:t>UNIVERSAL ACCESS TO AFTERCARE</w:t>
            </w:r>
          </w:p>
        </w:tc>
      </w:tr>
      <w:tr w:rsidR="005B7285" w:rsidRPr="00D14994" w14:paraId="2BC725A4" w14:textId="77777777" w:rsidTr="00D14994">
        <w:tc>
          <w:tcPr>
            <w:tcW w:w="5000" w:type="pct"/>
            <w:tcBorders>
              <w:top w:val="nil"/>
              <w:left w:val="nil"/>
              <w:bottom w:val="nil"/>
              <w:right w:val="nil"/>
            </w:tcBorders>
            <w:shd w:val="clear" w:color="auto" w:fill="F2F2F2" w:themeFill="background1" w:themeFillShade="F2"/>
            <w:tcMar>
              <w:left w:w="170" w:type="dxa"/>
              <w:right w:w="170" w:type="dxa"/>
            </w:tcMar>
          </w:tcPr>
          <w:p w14:paraId="759A63D8" w14:textId="77777777" w:rsidR="006F222E" w:rsidRDefault="006F222E" w:rsidP="006F222E">
            <w:pPr>
              <w:pStyle w:val="Rec"/>
            </w:pPr>
            <w:r>
              <w:t>T</w:t>
            </w:r>
            <w:r w:rsidRPr="003937B4">
              <w:t xml:space="preserve">he Australian, State and Territory Governments should offer effective aftercare to anyone who presents to a </w:t>
            </w:r>
            <w:r>
              <w:t>hospital, GP or community mental health service</w:t>
            </w:r>
            <w:r w:rsidRPr="003937B4">
              <w:t xml:space="preserve"> following a suicide attempt.</w:t>
            </w:r>
          </w:p>
          <w:p w14:paraId="3EF551ED" w14:textId="77777777" w:rsidR="006F222E" w:rsidRPr="00383739" w:rsidRDefault="006F222E" w:rsidP="006F222E">
            <w:pPr>
              <w:keepLines/>
              <w:spacing w:before="120" w:line="280" w:lineRule="atLeast"/>
              <w:jc w:val="both"/>
              <w:rPr>
                <w:rFonts w:ascii="Arial" w:hAnsi="Arial"/>
                <w:i/>
                <w:sz w:val="22"/>
                <w:szCs w:val="22"/>
              </w:rPr>
            </w:pPr>
            <w:r w:rsidRPr="00383739">
              <w:rPr>
                <w:rFonts w:ascii="Arial" w:hAnsi="Arial"/>
                <w:i/>
                <w:sz w:val="22"/>
                <w:szCs w:val="22"/>
              </w:rPr>
              <w:t>Start now</w:t>
            </w:r>
          </w:p>
          <w:p w14:paraId="6454BFB2" w14:textId="77777777" w:rsidR="006F222E" w:rsidRPr="00601058" w:rsidRDefault="006F222E" w:rsidP="00475AC5">
            <w:pPr>
              <w:pStyle w:val="RecBullet"/>
            </w:pPr>
            <w:r w:rsidRPr="00601058">
              <w:t>Effective aftercare should be directly provided or the consumer referred to support.</w:t>
            </w:r>
          </w:p>
          <w:p w14:paraId="0DD30534" w14:textId="77777777" w:rsidR="00FF1A6B" w:rsidRPr="00FF1A6B" w:rsidRDefault="006F222E" w:rsidP="00475AC5">
            <w:pPr>
              <w:pStyle w:val="RecBullet"/>
            </w:pPr>
            <w:r w:rsidRPr="00601058">
              <w:t>Effective aftercare should be provided</w:t>
            </w:r>
            <w:r w:rsidRPr="00D14994">
              <w:t xml:space="preserve"> before </w:t>
            </w:r>
            <w:r w:rsidRPr="00601058">
              <w:t>people are discharged or leave a service, with proactive follow</w:t>
            </w:r>
            <w:r w:rsidRPr="00601058">
              <w:noBreakHyphen/>
              <w:t>up support within the first day, week and three months of discharge.</w:t>
            </w:r>
          </w:p>
          <w:p w14:paraId="67907436" w14:textId="3723D9D7" w:rsidR="005B7285" w:rsidRPr="00D14994" w:rsidRDefault="00FF1A6B" w:rsidP="00475AC5">
            <w:pPr>
              <w:pStyle w:val="RecBullet"/>
            </w:pPr>
            <w:r w:rsidRPr="00D14994">
              <w:t xml:space="preserve">Aftercare </w:t>
            </w:r>
            <w:r w:rsidRPr="00601058">
              <w:t>should include culturally capable support</w:t>
            </w:r>
            <w:r>
              <w:t>.</w:t>
            </w:r>
          </w:p>
        </w:tc>
      </w:tr>
      <w:tr w:rsidR="005B7285" w:rsidRPr="00D41518" w14:paraId="06B01F20"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11FBDF3F" w14:textId="77777777" w:rsidR="005B7285" w:rsidRPr="00D41518" w:rsidRDefault="005B7285" w:rsidP="004F5341">
            <w:pPr>
              <w:keepNext/>
              <w:keepLines/>
              <w:spacing w:line="120" w:lineRule="exact"/>
              <w:jc w:val="both"/>
              <w:rPr>
                <w:rFonts w:ascii="Arial" w:hAnsi="Arial"/>
                <w:sz w:val="20"/>
                <w:szCs w:val="20"/>
              </w:rPr>
            </w:pPr>
          </w:p>
        </w:tc>
      </w:tr>
      <w:tr w:rsidR="005B7285" w:rsidRPr="00D41518" w14:paraId="70549DEB" w14:textId="77777777" w:rsidTr="004F5341">
        <w:tc>
          <w:tcPr>
            <w:tcW w:w="5000" w:type="pct"/>
            <w:tcBorders>
              <w:top w:val="single" w:sz="6" w:space="0" w:color="78A22F"/>
              <w:left w:val="nil"/>
              <w:bottom w:val="nil"/>
              <w:right w:val="nil"/>
            </w:tcBorders>
          </w:tcPr>
          <w:p w14:paraId="2DA6BAAF" w14:textId="77777777" w:rsidR="005B7285" w:rsidRPr="00D41518" w:rsidRDefault="005B7285" w:rsidP="004F5341">
            <w:pPr>
              <w:keepLines/>
              <w:spacing w:before="60" w:after="60" w:line="80" w:lineRule="exact"/>
              <w:jc w:val="both"/>
              <w:rPr>
                <w:rFonts w:ascii="Arial" w:hAnsi="Arial"/>
                <w:sz w:val="14"/>
                <w:szCs w:val="20"/>
              </w:rPr>
            </w:pPr>
          </w:p>
        </w:tc>
      </w:tr>
    </w:tbl>
    <w:p w14:paraId="793B321C" w14:textId="77777777" w:rsidR="005B7285" w:rsidRPr="00D41518" w:rsidRDefault="005B7285" w:rsidP="00FB35D4">
      <w:pPr>
        <w:pStyle w:val="BoxSpaceAbove"/>
        <w:keepLines/>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5B7285" w:rsidRPr="005E64FD" w14:paraId="2DA3B236" w14:textId="77777777" w:rsidTr="004F5341">
        <w:trPr>
          <w:tblHeader/>
        </w:trPr>
        <w:tc>
          <w:tcPr>
            <w:tcW w:w="5000" w:type="pct"/>
            <w:tcBorders>
              <w:top w:val="single" w:sz="6" w:space="0" w:color="78A22F"/>
              <w:left w:val="nil"/>
              <w:bottom w:val="nil"/>
              <w:right w:val="nil"/>
            </w:tcBorders>
            <w:shd w:val="clear" w:color="auto" w:fill="auto"/>
            <w:tcMar>
              <w:left w:w="170" w:type="dxa"/>
              <w:right w:w="170" w:type="dxa"/>
            </w:tcMar>
          </w:tcPr>
          <w:p w14:paraId="6EFE522E" w14:textId="7BBFB423" w:rsidR="005B7285" w:rsidRPr="005E64FD" w:rsidRDefault="008A5757" w:rsidP="005E64FD">
            <w:pPr>
              <w:pStyle w:val="RecTitle"/>
              <w:spacing w:before="120"/>
              <w:rPr>
                <w:b/>
                <w:color w:val="3B5117"/>
              </w:rPr>
            </w:pPr>
            <w:r w:rsidRPr="005E64FD">
              <w:rPr>
                <w:b/>
                <w:color w:val="3B5117"/>
              </w:rPr>
              <w:t>action</w:t>
            </w:r>
            <w:r w:rsidR="005B7285" w:rsidRPr="005E64FD">
              <w:rPr>
                <w:b/>
                <w:color w:val="3B5117"/>
              </w:rPr>
              <w:t xml:space="preserve"> </w:t>
            </w:r>
            <w:r w:rsidR="00CA1A76" w:rsidRPr="005E64FD">
              <w:rPr>
                <w:b/>
                <w:color w:val="3B5117"/>
              </w:rPr>
              <w:t>9</w:t>
            </w:r>
            <w:r w:rsidR="005B7285" w:rsidRPr="005E64FD">
              <w:rPr>
                <w:b/>
                <w:color w:val="3B5117"/>
              </w:rPr>
              <w:t>.2</w:t>
            </w:r>
            <w:r w:rsidR="00CE7986">
              <w:rPr>
                <w:b/>
                <w:color w:val="3B5117"/>
              </w:rPr>
              <w:t> — </w:t>
            </w:r>
            <w:r w:rsidR="005B7285" w:rsidRPr="005E64FD">
              <w:rPr>
                <w:b/>
                <w:color w:val="3B5117"/>
              </w:rPr>
              <w:t>EMPOWER INDIGENOUS COMMUNITIES TO PREVENT SUICIDE</w:t>
            </w:r>
          </w:p>
        </w:tc>
      </w:tr>
      <w:tr w:rsidR="005B7285" w:rsidRPr="00D41518" w14:paraId="278D55EB" w14:textId="77777777" w:rsidTr="004F5341">
        <w:tc>
          <w:tcPr>
            <w:tcW w:w="5000" w:type="pct"/>
            <w:tcBorders>
              <w:top w:val="nil"/>
              <w:left w:val="nil"/>
              <w:bottom w:val="nil"/>
              <w:right w:val="nil"/>
            </w:tcBorders>
            <w:shd w:val="clear" w:color="auto" w:fill="F2F2F2"/>
            <w:tcMar>
              <w:left w:w="170" w:type="dxa"/>
              <w:right w:w="170" w:type="dxa"/>
            </w:tcMar>
          </w:tcPr>
          <w:p w14:paraId="51B27EAF" w14:textId="1F697C99" w:rsidR="006A0858" w:rsidRPr="004A5C7F" w:rsidRDefault="006A0858" w:rsidP="00FB35D4">
            <w:pPr>
              <w:pStyle w:val="Rec"/>
              <w:keepNext/>
              <w:rPr>
                <w:iCs/>
              </w:rPr>
            </w:pPr>
            <w:r w:rsidRPr="003937B4">
              <w:t>Indigenous communities should be empowered to prevent suicide</w:t>
            </w:r>
            <w:r w:rsidR="007C4A13">
              <w:t>.</w:t>
            </w:r>
          </w:p>
          <w:p w14:paraId="7BF89310" w14:textId="3F58EE15" w:rsidR="005B7285" w:rsidRPr="00112630" w:rsidRDefault="002246D6" w:rsidP="00112630">
            <w:pPr>
              <w:pStyle w:val="Rec"/>
              <w:rPr>
                <w:i/>
              </w:rPr>
            </w:pPr>
            <w:r w:rsidRPr="00112630">
              <w:rPr>
                <w:i/>
              </w:rPr>
              <w:t>Start now</w:t>
            </w:r>
          </w:p>
          <w:p w14:paraId="0A2EB7AA" w14:textId="1112FB19" w:rsidR="00534154" w:rsidRPr="00AE2DCE" w:rsidRDefault="00534154" w:rsidP="00475AC5">
            <w:pPr>
              <w:pStyle w:val="RecBullet"/>
            </w:pPr>
            <w:r w:rsidRPr="0073154F">
              <w:t xml:space="preserve">The </w:t>
            </w:r>
            <w:r w:rsidR="004A5C7F" w:rsidRPr="0073154F">
              <w:t>Australian, State and Territory Governments</w:t>
            </w:r>
            <w:r w:rsidRPr="0073154F">
              <w:t xml:space="preserve"> should </w:t>
            </w:r>
            <w:r w:rsidR="004A5C7F" w:rsidRPr="007824C8">
              <w:t xml:space="preserve">support </w:t>
            </w:r>
            <w:r w:rsidRPr="00AE2DCE">
              <w:t>develop</w:t>
            </w:r>
            <w:r w:rsidR="004A5C7F" w:rsidRPr="00203C0F">
              <w:t>ment of</w:t>
            </w:r>
            <w:r w:rsidRPr="0073154F">
              <w:t xml:space="preserve"> a renewed </w:t>
            </w:r>
            <w:r w:rsidRPr="00475AC5">
              <w:rPr>
                <w:i/>
              </w:rPr>
              <w:t>National Aboriginal and Torres Strait Islander Suicide Prevention Strategy</w:t>
            </w:r>
            <w:r w:rsidRPr="0073154F">
              <w:t xml:space="preserve"> and associated </w:t>
            </w:r>
            <w:r w:rsidRPr="00475AC5">
              <w:rPr>
                <w:i/>
              </w:rPr>
              <w:t>Implementation Plan</w:t>
            </w:r>
            <w:r w:rsidRPr="0073154F">
              <w:t xml:space="preserve"> to guide suicide prevention activities in Indigenous communities.</w:t>
            </w:r>
            <w:r w:rsidR="007C4A13" w:rsidRPr="0073154F">
              <w:t xml:space="preserve"> The development of this strategy and its implementation plan should be led by Aboriginal </w:t>
            </w:r>
            <w:r w:rsidR="007C4A13" w:rsidRPr="007824C8">
              <w:t>and Torres Strait Islander people.</w:t>
            </w:r>
          </w:p>
          <w:p w14:paraId="2C4AACD5" w14:textId="77777777" w:rsidR="009F1E45" w:rsidRPr="0073154F" w:rsidRDefault="00534154" w:rsidP="00475AC5">
            <w:pPr>
              <w:pStyle w:val="RecBullet"/>
            </w:pPr>
            <w:r w:rsidRPr="00203C0F">
              <w:t xml:space="preserve">Indigenous organisations should be the preferred providers of local suicide prevention activities for Aboriginal and Torres Strait Islander people. </w:t>
            </w:r>
          </w:p>
          <w:p w14:paraId="123B583D" w14:textId="6ECAC5E4" w:rsidR="006A0858" w:rsidRPr="0073154F" w:rsidRDefault="00534154" w:rsidP="00475AC5">
            <w:pPr>
              <w:pStyle w:val="RecBullet"/>
            </w:pPr>
            <w:r w:rsidRPr="0073154F">
              <w:t xml:space="preserve">All organisations providing suicide prevention programs or activities in Indigenous communities should recognise the importance of building on existing capabilities </w:t>
            </w:r>
            <w:r w:rsidR="00475AC5">
              <w:t>within</w:t>
            </w:r>
            <w:r w:rsidRPr="0073154F">
              <w:t xml:space="preserve"> the Indigenous workforce. </w:t>
            </w:r>
          </w:p>
          <w:p w14:paraId="3D48A922" w14:textId="56A7ACC9" w:rsidR="005B7285" w:rsidRPr="00D41518" w:rsidRDefault="007C4A13" w:rsidP="00475AC5">
            <w:pPr>
              <w:pStyle w:val="RecBullet"/>
            </w:pPr>
            <w:r w:rsidRPr="0073154F">
              <w:t xml:space="preserve">Performance monitoring, reporting and evaluation requirements for programs to prevent </w:t>
            </w:r>
            <w:r w:rsidR="00C556C2" w:rsidRPr="0073154F">
              <w:t xml:space="preserve">suicide </w:t>
            </w:r>
            <w:r w:rsidR="00C556C2">
              <w:t xml:space="preserve">among </w:t>
            </w:r>
            <w:r w:rsidRPr="0073154F">
              <w:t xml:space="preserve">Aboriginal and Torres Strait Islander </w:t>
            </w:r>
            <w:r w:rsidR="00C556C2">
              <w:t>people</w:t>
            </w:r>
            <w:r w:rsidRPr="0073154F">
              <w:t xml:space="preserve"> should be adapted to ensure they are appropriate</w:t>
            </w:r>
            <w:r w:rsidRPr="001C1B65">
              <w:t xml:space="preserve"> to the cultural context in which they are delivered</w:t>
            </w:r>
            <w:r>
              <w:t xml:space="preserve"> and consistent with Indigenous evaluation principles</w:t>
            </w:r>
            <w:r w:rsidRPr="001C1B65">
              <w:t>.</w:t>
            </w:r>
          </w:p>
        </w:tc>
      </w:tr>
      <w:tr w:rsidR="005B7285" w:rsidRPr="00D41518" w14:paraId="6D0F2734"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7425E6AB" w14:textId="77777777" w:rsidR="005B7285" w:rsidRPr="00D41518" w:rsidRDefault="005B7285" w:rsidP="00FB35D4">
            <w:pPr>
              <w:keepNext/>
              <w:keepLines/>
              <w:spacing w:line="120" w:lineRule="exact"/>
              <w:jc w:val="both"/>
              <w:rPr>
                <w:rFonts w:ascii="Arial" w:hAnsi="Arial"/>
                <w:sz w:val="20"/>
                <w:szCs w:val="20"/>
              </w:rPr>
            </w:pPr>
          </w:p>
        </w:tc>
      </w:tr>
      <w:tr w:rsidR="005B7285" w:rsidRPr="00D41518" w14:paraId="6EBEE780" w14:textId="77777777" w:rsidTr="004F5341">
        <w:tc>
          <w:tcPr>
            <w:tcW w:w="5000" w:type="pct"/>
            <w:tcBorders>
              <w:top w:val="single" w:sz="6" w:space="0" w:color="78A22F"/>
              <w:left w:val="nil"/>
              <w:bottom w:val="nil"/>
              <w:right w:val="nil"/>
            </w:tcBorders>
          </w:tcPr>
          <w:p w14:paraId="795FE41B" w14:textId="77777777" w:rsidR="005B7285" w:rsidRPr="00D41518" w:rsidRDefault="005B7285" w:rsidP="00FB35D4">
            <w:pPr>
              <w:keepNext/>
              <w:keepLines/>
              <w:spacing w:before="60" w:after="60" w:line="80" w:lineRule="exact"/>
              <w:jc w:val="both"/>
              <w:rPr>
                <w:rFonts w:ascii="Arial" w:hAnsi="Arial"/>
                <w:sz w:val="14"/>
                <w:szCs w:val="20"/>
              </w:rPr>
            </w:pPr>
          </w:p>
        </w:tc>
      </w:tr>
    </w:tbl>
    <w:p w14:paraId="2CC417E8" w14:textId="77777777" w:rsidR="005B7285" w:rsidRPr="00D41518" w:rsidRDefault="005B7285" w:rsidP="00B80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5B7285" w:rsidRPr="005E64FD" w14:paraId="1D7B91B3" w14:textId="77777777" w:rsidTr="004F5341">
        <w:trPr>
          <w:tblHeader/>
        </w:trPr>
        <w:tc>
          <w:tcPr>
            <w:tcW w:w="5000" w:type="pct"/>
            <w:tcBorders>
              <w:top w:val="single" w:sz="6" w:space="0" w:color="78A22F"/>
              <w:left w:val="nil"/>
              <w:bottom w:val="nil"/>
              <w:right w:val="nil"/>
            </w:tcBorders>
            <w:shd w:val="clear" w:color="auto" w:fill="auto"/>
            <w:tcMar>
              <w:left w:w="170" w:type="dxa"/>
              <w:right w:w="170" w:type="dxa"/>
            </w:tcMar>
          </w:tcPr>
          <w:p w14:paraId="79D5E33D" w14:textId="1FF4AB28" w:rsidR="005B7285" w:rsidRPr="005E64FD" w:rsidRDefault="008A5757" w:rsidP="005E64FD">
            <w:pPr>
              <w:pStyle w:val="RecTitle"/>
              <w:spacing w:before="120"/>
              <w:rPr>
                <w:b/>
                <w:color w:val="3B5117"/>
              </w:rPr>
            </w:pPr>
            <w:r w:rsidRPr="005E64FD">
              <w:rPr>
                <w:b/>
                <w:color w:val="3B5117"/>
              </w:rPr>
              <w:t>action</w:t>
            </w:r>
            <w:r w:rsidR="005B7285" w:rsidRPr="005E64FD">
              <w:rPr>
                <w:b/>
                <w:color w:val="3B5117"/>
              </w:rPr>
              <w:t xml:space="preserve"> </w:t>
            </w:r>
            <w:r w:rsidR="00CA1A76" w:rsidRPr="005E64FD">
              <w:rPr>
                <w:b/>
                <w:color w:val="3B5117"/>
              </w:rPr>
              <w:t>9</w:t>
            </w:r>
            <w:r w:rsidR="005B7285" w:rsidRPr="005E64FD">
              <w:rPr>
                <w:b/>
                <w:color w:val="3B5117"/>
              </w:rPr>
              <w:t>.3</w:t>
            </w:r>
            <w:r w:rsidR="00CE7986">
              <w:rPr>
                <w:b/>
                <w:color w:val="3B5117"/>
              </w:rPr>
              <w:t> — </w:t>
            </w:r>
            <w:r w:rsidR="005B7285" w:rsidRPr="005E64FD">
              <w:rPr>
                <w:b/>
                <w:color w:val="3B5117"/>
              </w:rPr>
              <w:t>approach to suicide prevention</w:t>
            </w:r>
          </w:p>
        </w:tc>
      </w:tr>
      <w:tr w:rsidR="005B7285" w:rsidRPr="00D41518" w14:paraId="20CBDC23" w14:textId="77777777" w:rsidTr="004F5341">
        <w:tc>
          <w:tcPr>
            <w:tcW w:w="5000" w:type="pct"/>
            <w:tcBorders>
              <w:top w:val="nil"/>
              <w:left w:val="nil"/>
              <w:bottom w:val="nil"/>
              <w:right w:val="nil"/>
            </w:tcBorders>
            <w:shd w:val="clear" w:color="auto" w:fill="F2F2F2"/>
            <w:tcMar>
              <w:left w:w="170" w:type="dxa"/>
              <w:right w:w="170" w:type="dxa"/>
            </w:tcMar>
          </w:tcPr>
          <w:p w14:paraId="2891414B" w14:textId="170EE2CA" w:rsidR="005B7285" w:rsidRPr="00D41518" w:rsidRDefault="005B7285" w:rsidP="00FB35D4">
            <w:pPr>
              <w:pStyle w:val="Rec"/>
            </w:pPr>
            <w:r w:rsidRPr="00D41518">
              <w:t xml:space="preserve">Australia’s approach to suicide prevention holds promise, but there are opportunities </w:t>
            </w:r>
            <w:r w:rsidR="00C556C2">
              <w:t>for improvement</w:t>
            </w:r>
            <w:r w:rsidRPr="00D41518">
              <w:t>.</w:t>
            </w:r>
            <w:r w:rsidR="006A0858">
              <w:t xml:space="preserve"> </w:t>
            </w:r>
            <w:r w:rsidR="007C4A13" w:rsidRPr="004A5C7F">
              <w:t>G</w:t>
            </w:r>
            <w:r w:rsidR="006A0858" w:rsidRPr="004A5C7F">
              <w:t>overnments</w:t>
            </w:r>
            <w:r w:rsidR="007C4A13" w:rsidRPr="004A5C7F">
              <w:t xml:space="preserve"> </w:t>
            </w:r>
            <w:r w:rsidR="004A5C7F">
              <w:t>should</w:t>
            </w:r>
            <w:r w:rsidR="007C4A13" w:rsidRPr="004A5C7F">
              <w:t xml:space="preserve"> make changes</w:t>
            </w:r>
            <w:r w:rsidR="006A0858" w:rsidRPr="004A5C7F">
              <w:t xml:space="preserve"> to </w:t>
            </w:r>
            <w:r w:rsidR="004A5C7F">
              <w:t xml:space="preserve">ensure a cross-portfolio approach to </w:t>
            </w:r>
            <w:r w:rsidR="006A0858" w:rsidRPr="004A5C7F">
              <w:t xml:space="preserve">suicide </w:t>
            </w:r>
            <w:r w:rsidR="004A5C7F">
              <w:t>prevention in</w:t>
            </w:r>
            <w:r w:rsidR="006A0858" w:rsidRPr="004A5C7F">
              <w:t xml:space="preserve"> Australia.</w:t>
            </w:r>
          </w:p>
          <w:p w14:paraId="678295BD" w14:textId="77777777" w:rsidR="005B7285" w:rsidRPr="00D41518" w:rsidRDefault="002246D6" w:rsidP="00FB35D4">
            <w:pPr>
              <w:pStyle w:val="Rec"/>
              <w:rPr>
                <w:i/>
              </w:rPr>
            </w:pPr>
            <w:r w:rsidRPr="002246D6">
              <w:rPr>
                <w:i/>
              </w:rPr>
              <w:t>Start now</w:t>
            </w:r>
          </w:p>
          <w:p w14:paraId="17B7560B" w14:textId="5EFEECAC" w:rsidR="005B7285" w:rsidRPr="00D41518" w:rsidRDefault="005B7285" w:rsidP="00475AC5">
            <w:pPr>
              <w:pStyle w:val="RecBullet"/>
            </w:pPr>
            <w:r w:rsidRPr="00D41518">
              <w:t xml:space="preserve">The </w:t>
            </w:r>
            <w:r w:rsidR="00105E0E">
              <w:t>recommended</w:t>
            </w:r>
            <w:r w:rsidR="00105E0E" w:rsidRPr="00D41518">
              <w:t xml:space="preserve"> </w:t>
            </w:r>
            <w:r w:rsidRPr="00D41518">
              <w:t>National Mental Health and Suicide Prevention Agreement (</w:t>
            </w:r>
            <w:r w:rsidR="00013BF5">
              <w:t>Action</w:t>
            </w:r>
            <w:r w:rsidR="00013BF5" w:rsidRPr="00D41518">
              <w:t> </w:t>
            </w:r>
            <w:r w:rsidRPr="00D41518">
              <w:t>2</w:t>
            </w:r>
            <w:r w:rsidR="00FA1A9B">
              <w:t>3</w:t>
            </w:r>
            <w:r w:rsidRPr="00D41518">
              <w:t>.</w:t>
            </w:r>
            <w:r w:rsidR="00FA1A9B">
              <w:t>3</w:t>
            </w:r>
            <w:r w:rsidRPr="00D41518">
              <w:t>) should identify responsibilities for suicide prevention activities across different levels of government and across portfolios to create a truly whole</w:t>
            </w:r>
            <w:r w:rsidRPr="00D41518">
              <w:noBreakHyphen/>
              <w:t>of</w:t>
            </w:r>
            <w:r w:rsidRPr="00D41518">
              <w:noBreakHyphen/>
              <w:t xml:space="preserve">government approach to suicide prevention. </w:t>
            </w:r>
            <w:r w:rsidRPr="00D41518">
              <w:rPr>
                <w:spacing w:val="-4"/>
              </w:rPr>
              <w:t xml:space="preserve">Responsibilities should be informed by, and consistent with, the </w:t>
            </w:r>
            <w:r w:rsidRPr="00D41518">
              <w:rPr>
                <w:i/>
              </w:rPr>
              <w:t>National Suicide Prevention Implementation Strategy</w:t>
            </w:r>
            <w:r w:rsidRPr="00D41518">
              <w:t xml:space="preserve"> under development.</w:t>
            </w:r>
          </w:p>
          <w:p w14:paraId="6F6CAA6D" w14:textId="77777777" w:rsidR="005B7285" w:rsidRPr="00D41518" w:rsidRDefault="005B7285" w:rsidP="00475AC5">
            <w:pPr>
              <w:pStyle w:val="RecBullet"/>
            </w:pPr>
            <w:r w:rsidRPr="00D41518">
              <w:t xml:space="preserve">The </w:t>
            </w:r>
            <w:r w:rsidRPr="00D41518">
              <w:rPr>
                <w:i/>
              </w:rPr>
              <w:t>National Suicide Prevention Implementation Strategy</w:t>
            </w:r>
            <w:r w:rsidRPr="00D41518">
              <w:t xml:space="preserve"> should be extended to include strategic direction for non</w:t>
            </w:r>
            <w:r w:rsidRPr="00D41518">
              <w:noBreakHyphen/>
              <w:t>health government portfolios that have influence over suicide prevention activities.</w:t>
            </w:r>
          </w:p>
          <w:p w14:paraId="36D30DE9" w14:textId="77777777" w:rsidR="005B7285" w:rsidRPr="00D41518" w:rsidRDefault="002246D6" w:rsidP="00FB35D4">
            <w:pPr>
              <w:pStyle w:val="Rec"/>
              <w:rPr>
                <w:i/>
              </w:rPr>
            </w:pPr>
            <w:r w:rsidRPr="002246D6">
              <w:rPr>
                <w:i/>
              </w:rPr>
              <w:t>Start later</w:t>
            </w:r>
          </w:p>
          <w:p w14:paraId="59C9764A" w14:textId="185959CF" w:rsidR="005B7285" w:rsidRPr="00D41518" w:rsidRDefault="00F82550" w:rsidP="00475AC5">
            <w:pPr>
              <w:pStyle w:val="RecBullet"/>
            </w:pPr>
            <w:r w:rsidRPr="00D41518">
              <w:t xml:space="preserve">The National Mental Health Commission should assess </w:t>
            </w:r>
            <w:r>
              <w:t>the results of the trials of a ‘systems approach’ to suicide prevention that are currently underway.</w:t>
            </w:r>
            <w:r w:rsidRPr="00D41518">
              <w:t xml:space="preserve"> It should consider whether </w:t>
            </w:r>
            <w:r>
              <w:t>they</w:t>
            </w:r>
            <w:r w:rsidRPr="00D41518">
              <w:t xml:space="preserve"> are likely to be successful at reducing suicide rates and behaviours in Australia. If </w:t>
            </w:r>
            <w:r>
              <w:t>this is found to be the case</w:t>
            </w:r>
            <w:r w:rsidRPr="00D41518">
              <w:t xml:space="preserve">, </w:t>
            </w:r>
            <w:r>
              <w:t>a systems</w:t>
            </w:r>
            <w:r w:rsidRPr="00D41518">
              <w:t xml:space="preserve"> approach </w:t>
            </w:r>
            <w:r>
              <w:t>to suicide prevention should</w:t>
            </w:r>
            <w:r w:rsidRPr="00D41518">
              <w:t xml:space="preserve"> be implemented across all Australian regions.</w:t>
            </w:r>
          </w:p>
        </w:tc>
      </w:tr>
      <w:tr w:rsidR="005B7285" w:rsidRPr="00D41518" w14:paraId="01BB7B90"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47C8E9BB" w14:textId="77777777" w:rsidR="005B7285" w:rsidRPr="00D41518" w:rsidRDefault="005B7285" w:rsidP="004F5341">
            <w:pPr>
              <w:keepNext/>
              <w:keepLines/>
              <w:tabs>
                <w:tab w:val="left" w:pos="5640"/>
              </w:tabs>
              <w:spacing w:line="120" w:lineRule="exact"/>
              <w:jc w:val="both"/>
              <w:rPr>
                <w:rFonts w:ascii="Arial" w:hAnsi="Arial"/>
                <w:sz w:val="20"/>
                <w:szCs w:val="20"/>
              </w:rPr>
            </w:pPr>
          </w:p>
        </w:tc>
      </w:tr>
      <w:tr w:rsidR="005B7285" w:rsidRPr="00D41518" w14:paraId="14FB19CA" w14:textId="77777777" w:rsidTr="004F5341">
        <w:tc>
          <w:tcPr>
            <w:tcW w:w="5000" w:type="pct"/>
            <w:tcBorders>
              <w:top w:val="single" w:sz="6" w:space="0" w:color="78A22F"/>
              <w:left w:val="nil"/>
              <w:bottom w:val="nil"/>
              <w:right w:val="nil"/>
            </w:tcBorders>
          </w:tcPr>
          <w:p w14:paraId="107FE183" w14:textId="77777777" w:rsidR="005B7285" w:rsidRPr="00D41518" w:rsidRDefault="005B7285" w:rsidP="004F5341">
            <w:pPr>
              <w:keepLines/>
              <w:spacing w:before="60" w:after="60" w:line="80" w:lineRule="exact"/>
              <w:jc w:val="both"/>
              <w:rPr>
                <w:rFonts w:ascii="Arial" w:hAnsi="Arial"/>
                <w:sz w:val="14"/>
                <w:szCs w:val="20"/>
              </w:rPr>
            </w:pPr>
          </w:p>
        </w:tc>
      </w:tr>
    </w:tbl>
    <w:p w14:paraId="00191189" w14:textId="2E5D3B00" w:rsidR="00D41518" w:rsidRPr="00CE7986" w:rsidRDefault="00D41518" w:rsidP="001B4578">
      <w:pPr>
        <w:keepNext/>
        <w:tabs>
          <w:tab w:val="left" w:pos="1701"/>
        </w:tabs>
        <w:spacing w:before="360" w:after="120" w:line="400" w:lineRule="exact"/>
        <w:ind w:left="907" w:hanging="907"/>
        <w:outlineLvl w:val="1"/>
        <w:rPr>
          <w:rFonts w:ascii="Arial" w:hAnsi="Arial"/>
          <w:b/>
          <w:color w:val="3B5117"/>
          <w:sz w:val="32"/>
          <w:szCs w:val="20"/>
        </w:rPr>
      </w:pPr>
      <w:r w:rsidRPr="00CE7986">
        <w:rPr>
          <w:rFonts w:ascii="Arial" w:hAnsi="Arial"/>
          <w:b/>
          <w:color w:val="3B5117"/>
          <w:sz w:val="32"/>
          <w:szCs w:val="20"/>
        </w:rPr>
        <w:lastRenderedPageBreak/>
        <w:t>PART II</w:t>
      </w:r>
      <w:r w:rsidR="005B7285" w:rsidRPr="00CE7986">
        <w:rPr>
          <w:rFonts w:ascii="Arial" w:hAnsi="Arial"/>
          <w:b/>
          <w:color w:val="3B5117"/>
          <w:sz w:val="32"/>
          <w:szCs w:val="20"/>
        </w:rPr>
        <w:t>I</w:t>
      </w:r>
      <w:r w:rsidRPr="00CE7986">
        <w:rPr>
          <w:rFonts w:ascii="Arial" w:hAnsi="Arial"/>
          <w:b/>
          <w:color w:val="3B5117"/>
          <w:sz w:val="32"/>
          <w:szCs w:val="20"/>
        </w:rPr>
        <w:tab/>
        <w:t>Re</w:t>
      </w:r>
      <w:r w:rsidR="001B4578" w:rsidRPr="00CE7986">
        <w:rPr>
          <w:rFonts w:ascii="Arial" w:hAnsi="Arial"/>
          <w:b/>
          <w:color w:val="3B5117"/>
          <w:sz w:val="32"/>
          <w:szCs w:val="20"/>
        </w:rPr>
        <w:t>-</w:t>
      </w:r>
      <w:r w:rsidRPr="00CE7986">
        <w:rPr>
          <w:rFonts w:ascii="Arial" w:hAnsi="Arial"/>
          <w:b/>
          <w:color w:val="3B5117"/>
          <w:sz w:val="32"/>
          <w:szCs w:val="20"/>
        </w:rPr>
        <w:t>orienting health</w:t>
      </w:r>
      <w:r w:rsidR="00CE1144" w:rsidRPr="00CE7986">
        <w:rPr>
          <w:rFonts w:ascii="Arial" w:hAnsi="Arial"/>
          <w:b/>
          <w:color w:val="3B5117"/>
          <w:sz w:val="32"/>
          <w:szCs w:val="20"/>
        </w:rPr>
        <w:t>care</w:t>
      </w:r>
      <w:r w:rsidRPr="00CE7986">
        <w:rPr>
          <w:rFonts w:ascii="Arial" w:hAnsi="Arial"/>
          <w:b/>
          <w:color w:val="3B5117"/>
          <w:sz w:val="32"/>
          <w:szCs w:val="20"/>
        </w:rPr>
        <w:t xml:space="preserve"> </w:t>
      </w:r>
    </w:p>
    <w:p w14:paraId="5CC25C41" w14:textId="04563D40" w:rsidR="00036E5B" w:rsidRDefault="00CE1144" w:rsidP="007D4680">
      <w:pPr>
        <w:pStyle w:val="Heading3"/>
      </w:pPr>
      <w:r>
        <w:t>Informed access to mental healthcare</w:t>
      </w:r>
    </w:p>
    <w:p w14:paraId="275A1F41" w14:textId="4B43811E" w:rsidR="001D400C" w:rsidRPr="001D400C" w:rsidRDefault="001D400C" w:rsidP="00B80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8"/>
      </w:tblGrid>
      <w:tr w:rsidR="001D400C" w:rsidRPr="00CE7986" w14:paraId="59B084D9" w14:textId="77777777" w:rsidTr="00685D7D">
        <w:trPr>
          <w:tblHeader/>
        </w:trPr>
        <w:tc>
          <w:tcPr>
            <w:tcW w:w="5000" w:type="pct"/>
            <w:tcBorders>
              <w:top w:val="single" w:sz="6" w:space="0" w:color="78A22F"/>
              <w:left w:val="nil"/>
              <w:bottom w:val="nil"/>
              <w:right w:val="nil"/>
            </w:tcBorders>
            <w:shd w:val="clear" w:color="auto" w:fill="FFFFFF" w:themeFill="background1"/>
            <w:tcMar>
              <w:left w:w="170" w:type="dxa"/>
              <w:right w:w="170" w:type="dxa"/>
            </w:tcMar>
          </w:tcPr>
          <w:p w14:paraId="476DC878" w14:textId="08BF0752" w:rsidR="001D400C" w:rsidRPr="00CE7986" w:rsidRDefault="00155092" w:rsidP="005E64FD">
            <w:pPr>
              <w:pStyle w:val="RecTitle"/>
              <w:spacing w:before="120"/>
              <w:rPr>
                <w:b/>
                <w:color w:val="3B5117"/>
              </w:rPr>
            </w:pPr>
            <w:r w:rsidRPr="00CE7986">
              <w:rPr>
                <w:b/>
                <w:color w:val="3B5117"/>
              </w:rPr>
              <w:t xml:space="preserve">ACTION </w:t>
            </w:r>
            <w:r w:rsidR="001D400C" w:rsidRPr="00CE7986">
              <w:rPr>
                <w:b/>
                <w:color w:val="3B5117"/>
              </w:rPr>
              <w:fldChar w:fldCharType="begin"/>
            </w:r>
            <w:r w:rsidR="001D400C" w:rsidRPr="00CE7986">
              <w:rPr>
                <w:b/>
                <w:color w:val="3B5117"/>
              </w:rPr>
              <w:instrText xml:space="preserve"> COMMENTS  \* MERGEFORMAT </w:instrText>
            </w:r>
            <w:r w:rsidR="001D400C" w:rsidRPr="00CE7986">
              <w:rPr>
                <w:b/>
                <w:color w:val="3B5117"/>
              </w:rPr>
              <w:fldChar w:fldCharType="end"/>
            </w:r>
            <w:r w:rsidR="00CA1A76" w:rsidRPr="00CE7986">
              <w:rPr>
                <w:b/>
                <w:color w:val="3B5117"/>
              </w:rPr>
              <w:t>10</w:t>
            </w:r>
            <w:r w:rsidR="001D400C" w:rsidRPr="00CE7986" w:rsidDel="00CE1002">
              <w:rPr>
                <w:b/>
                <w:color w:val="3B5117"/>
              </w:rPr>
              <w:t>.</w:t>
            </w:r>
            <w:r w:rsidR="00F532C4" w:rsidRPr="00CE7986">
              <w:rPr>
                <w:b/>
                <w:color w:val="3B5117"/>
              </w:rPr>
              <w:t>1</w:t>
            </w:r>
            <w:r w:rsidR="00CE7986">
              <w:rPr>
                <w:b/>
                <w:color w:val="3B5117"/>
              </w:rPr>
              <w:t> — </w:t>
            </w:r>
            <w:r w:rsidR="001D400C" w:rsidRPr="00CE7986">
              <w:rPr>
                <w:b/>
                <w:color w:val="3B5117"/>
              </w:rPr>
              <w:t>INCREASE CONSUMER CHOICE WITH REFERRALS</w:t>
            </w:r>
          </w:p>
        </w:tc>
      </w:tr>
      <w:tr w:rsidR="001D400C" w:rsidRPr="001D400C" w14:paraId="3975A8ED" w14:textId="77777777" w:rsidTr="00685D7D">
        <w:tc>
          <w:tcPr>
            <w:tcW w:w="5000" w:type="pct"/>
            <w:tcBorders>
              <w:top w:val="nil"/>
              <w:left w:val="nil"/>
              <w:bottom w:val="nil"/>
              <w:right w:val="nil"/>
            </w:tcBorders>
            <w:shd w:val="clear" w:color="auto" w:fill="F2F2F2" w:themeFill="background1" w:themeFillShade="F2"/>
            <w:tcMar>
              <w:left w:w="170" w:type="dxa"/>
              <w:right w:w="170" w:type="dxa"/>
            </w:tcMar>
          </w:tcPr>
          <w:p w14:paraId="1DE36C2B" w14:textId="1BB3F06A" w:rsidR="00B43945" w:rsidRPr="00334E00" w:rsidRDefault="00B43945" w:rsidP="00FB35D4">
            <w:pPr>
              <w:pStyle w:val="Rec"/>
            </w:pPr>
            <w:r>
              <w:t>Australians have the right to choose their preferred mental health specialist, but the referral system masks these rights and</w:t>
            </w:r>
            <w:r w:rsidR="008C47D6">
              <w:t>, in effect,</w:t>
            </w:r>
            <w:r>
              <w:t xml:space="preserve"> limits consumer </w:t>
            </w:r>
            <w:r w:rsidR="008C47D6">
              <w:t>choice</w:t>
            </w:r>
            <w:r>
              <w:t>.</w:t>
            </w:r>
          </w:p>
          <w:p w14:paraId="63E57031" w14:textId="47583483" w:rsidR="001D400C" w:rsidRPr="004064C1" w:rsidRDefault="00F532C4" w:rsidP="00FB35D4">
            <w:pPr>
              <w:pStyle w:val="Rec"/>
              <w:rPr>
                <w:i/>
              </w:rPr>
            </w:pPr>
            <w:r>
              <w:rPr>
                <w:i/>
              </w:rPr>
              <w:t>Start now</w:t>
            </w:r>
          </w:p>
          <w:p w14:paraId="740DEF33" w14:textId="167FD874" w:rsidR="001D400C" w:rsidRPr="001D400C" w:rsidRDefault="001D400C" w:rsidP="00FB35D4">
            <w:pPr>
              <w:pStyle w:val="Rec"/>
            </w:pPr>
            <w:r w:rsidRPr="001D400C">
              <w:t xml:space="preserve">The Australian Government should amend the </w:t>
            </w:r>
            <w:r w:rsidR="00890882" w:rsidRPr="001E07E1">
              <w:t>M</w:t>
            </w:r>
            <w:r w:rsidR="00890882">
              <w:t xml:space="preserve">edicare </w:t>
            </w:r>
            <w:r w:rsidR="00890882" w:rsidRPr="001E07E1">
              <w:t>B</w:t>
            </w:r>
            <w:r w:rsidR="00890882">
              <w:t xml:space="preserve">enefits </w:t>
            </w:r>
            <w:r w:rsidR="00890882" w:rsidRPr="001E07E1">
              <w:t>S</w:t>
            </w:r>
            <w:r w:rsidR="00890882">
              <w:t>chedule</w:t>
            </w:r>
            <w:r w:rsidR="00890882" w:rsidRPr="001E07E1">
              <w:t xml:space="preserve"> </w:t>
            </w:r>
            <w:r w:rsidR="00890882">
              <w:t>(</w:t>
            </w:r>
            <w:r w:rsidRPr="001D400C">
              <w:t>MBS</w:t>
            </w:r>
            <w:r w:rsidR="00890882">
              <w:t>)</w:t>
            </w:r>
            <w:r w:rsidRPr="001D400C">
              <w:t xml:space="preserve"> regulations to require that all referrals to psychiatrists and allied health professionals providing mental health services include a prominent and easy to understand statement advising people that they can use an alternative to any provider mentioned in the referral.</w:t>
            </w:r>
          </w:p>
          <w:p w14:paraId="559E6AD7" w14:textId="419FA3FC" w:rsidR="001D400C" w:rsidRPr="001D400C" w:rsidRDefault="001D400C" w:rsidP="00890882">
            <w:pPr>
              <w:pStyle w:val="Rec"/>
            </w:pPr>
            <w:r w:rsidRPr="001D400C">
              <w:t xml:space="preserve">The Australian Government should include on the Medical Costs Finder website the fees </w:t>
            </w:r>
            <w:r w:rsidR="007A6AF8">
              <w:t xml:space="preserve">and areas of specialty practice </w:t>
            </w:r>
            <w:r w:rsidRPr="001D400C">
              <w:t>of all individual psychiatrists, paediatricians and allied health providers of MBS</w:t>
            </w:r>
            <w:r w:rsidRPr="001D400C">
              <w:noBreakHyphen/>
              <w:t xml:space="preserve">rebated therapy. It should also consider including information about </w:t>
            </w:r>
            <w:r w:rsidR="000126F2">
              <w:t>how long people must wait for an appointment</w:t>
            </w:r>
            <w:r w:rsidR="003037DD">
              <w:t xml:space="preserve"> with each clinician</w:t>
            </w:r>
            <w:r w:rsidRPr="001D400C">
              <w:t>.</w:t>
            </w:r>
          </w:p>
        </w:tc>
      </w:tr>
      <w:tr w:rsidR="001D400C" w:rsidRPr="001D400C" w14:paraId="79F13144"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71DE585F" w14:textId="77777777" w:rsidR="001D400C" w:rsidRPr="001D400C" w:rsidRDefault="001D400C" w:rsidP="001D400C">
            <w:pPr>
              <w:keepNext/>
              <w:keepLines/>
              <w:spacing w:line="120" w:lineRule="exact"/>
              <w:jc w:val="both"/>
              <w:rPr>
                <w:rFonts w:ascii="Arial" w:hAnsi="Arial"/>
                <w:sz w:val="20"/>
                <w:szCs w:val="20"/>
              </w:rPr>
            </w:pPr>
          </w:p>
        </w:tc>
      </w:tr>
      <w:tr w:rsidR="001D400C" w:rsidRPr="001D400C" w14:paraId="3F06E488" w14:textId="77777777" w:rsidTr="00D63A16">
        <w:tc>
          <w:tcPr>
            <w:tcW w:w="5000" w:type="pct"/>
            <w:tcBorders>
              <w:top w:val="single" w:sz="6" w:space="0" w:color="78A22F"/>
              <w:left w:val="nil"/>
              <w:bottom w:val="nil"/>
              <w:right w:val="nil"/>
            </w:tcBorders>
            <w:tcMar>
              <w:left w:w="170" w:type="dxa"/>
              <w:right w:w="170" w:type="dxa"/>
            </w:tcMar>
          </w:tcPr>
          <w:p w14:paraId="34FBE82D" w14:textId="77BD2806" w:rsidR="001D400C" w:rsidRPr="001D400C" w:rsidRDefault="001D400C" w:rsidP="001D400C">
            <w:pPr>
              <w:keepLines/>
              <w:spacing w:before="59" w:after="59" w:line="80" w:lineRule="exact"/>
              <w:jc w:val="both"/>
              <w:rPr>
                <w:rFonts w:ascii="Arial" w:hAnsi="Arial"/>
                <w:sz w:val="14"/>
                <w:szCs w:val="20"/>
              </w:rPr>
            </w:pPr>
          </w:p>
        </w:tc>
      </w:tr>
    </w:tbl>
    <w:p w14:paraId="6985085E" w14:textId="2EB55D00" w:rsidR="00E82CE5" w:rsidRPr="005668AA" w:rsidRDefault="00E82CE5" w:rsidP="00B808D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8"/>
      </w:tblGrid>
      <w:tr w:rsidR="00E82CE5" w:rsidRPr="005E64FD" w14:paraId="7E68D8B4" w14:textId="77777777" w:rsidTr="0041796D">
        <w:trPr>
          <w:tblHeader/>
        </w:trPr>
        <w:tc>
          <w:tcPr>
            <w:tcW w:w="5000" w:type="pct"/>
            <w:tcBorders>
              <w:top w:val="single" w:sz="6" w:space="0" w:color="78A22F"/>
              <w:left w:val="nil"/>
              <w:bottom w:val="nil"/>
              <w:right w:val="nil"/>
            </w:tcBorders>
            <w:shd w:val="clear" w:color="auto" w:fill="FFFFFF" w:themeFill="background1"/>
            <w:tcMar>
              <w:left w:w="170" w:type="dxa"/>
              <w:right w:w="170" w:type="dxa"/>
            </w:tcMar>
          </w:tcPr>
          <w:p w14:paraId="2F9EE94C" w14:textId="47FA4936" w:rsidR="00E82CE5" w:rsidRPr="005E64FD" w:rsidRDefault="00E82CE5" w:rsidP="005E64FD">
            <w:pPr>
              <w:pStyle w:val="RecTitle"/>
              <w:spacing w:before="120"/>
              <w:rPr>
                <w:b/>
                <w:color w:val="3B5117"/>
              </w:rPr>
            </w:pPr>
            <w:r w:rsidRPr="005E64FD">
              <w:rPr>
                <w:b/>
                <w:color w:val="3B5117"/>
              </w:rPr>
              <w:t xml:space="preserve">ACTION </w:t>
            </w:r>
            <w:r w:rsidRPr="005E64FD">
              <w:rPr>
                <w:b/>
                <w:color w:val="3B5117"/>
              </w:rPr>
              <w:fldChar w:fldCharType="begin"/>
            </w:r>
            <w:r w:rsidRPr="005E64FD">
              <w:rPr>
                <w:b/>
                <w:color w:val="3B5117"/>
              </w:rPr>
              <w:instrText xml:space="preserve"> COMMENTS  \* MERGEFORMAT </w:instrText>
            </w:r>
            <w:r w:rsidRPr="005E64FD">
              <w:rPr>
                <w:b/>
                <w:color w:val="3B5117"/>
              </w:rPr>
              <w:fldChar w:fldCharType="end"/>
            </w:r>
            <w:r w:rsidRPr="005E64FD">
              <w:rPr>
                <w:b/>
                <w:color w:val="3B5117"/>
              </w:rPr>
              <w:t>10.2</w:t>
            </w:r>
            <w:r w:rsidR="00CE7986">
              <w:rPr>
                <w:b/>
                <w:color w:val="3B5117"/>
              </w:rPr>
              <w:t> — </w:t>
            </w:r>
            <w:r w:rsidRPr="005E64FD">
              <w:rPr>
                <w:b/>
                <w:color w:val="3B5117"/>
              </w:rPr>
              <w:t>mental health related prescribing</w:t>
            </w:r>
          </w:p>
        </w:tc>
      </w:tr>
      <w:tr w:rsidR="00E82CE5" w:rsidRPr="005668AA" w14:paraId="05440167" w14:textId="77777777" w:rsidTr="0041796D">
        <w:tc>
          <w:tcPr>
            <w:tcW w:w="5000" w:type="pct"/>
            <w:tcBorders>
              <w:top w:val="nil"/>
              <w:left w:val="nil"/>
              <w:bottom w:val="nil"/>
              <w:right w:val="nil"/>
            </w:tcBorders>
            <w:shd w:val="clear" w:color="auto" w:fill="F2F2F2" w:themeFill="background1" w:themeFillShade="F2"/>
            <w:tcMar>
              <w:left w:w="170" w:type="dxa"/>
              <w:right w:w="170" w:type="dxa"/>
            </w:tcMar>
          </w:tcPr>
          <w:p w14:paraId="174E7844" w14:textId="77777777" w:rsidR="00E82CE5" w:rsidRPr="0041796D" w:rsidRDefault="00E82CE5" w:rsidP="00FB35D4">
            <w:pPr>
              <w:pStyle w:val="Rec"/>
              <w:keepNext/>
            </w:pPr>
            <w:r w:rsidRPr="0041796D">
              <w:t>The prescribing of mental health medications should be based on informed consumer choice and follow evidence-based guidelines.</w:t>
            </w:r>
          </w:p>
          <w:p w14:paraId="38687A62" w14:textId="77777777" w:rsidR="00E82CE5" w:rsidRPr="0041796D" w:rsidRDefault="00E82CE5" w:rsidP="00FB35D4">
            <w:pPr>
              <w:pStyle w:val="Rec"/>
              <w:keepNext/>
              <w:rPr>
                <w:i/>
                <w:iCs/>
              </w:rPr>
            </w:pPr>
            <w:r>
              <w:rPr>
                <w:i/>
                <w:iCs/>
              </w:rPr>
              <w:t>Start now</w:t>
            </w:r>
          </w:p>
          <w:p w14:paraId="1EA9EE0C" w14:textId="77777777" w:rsidR="00AB09C7" w:rsidRDefault="00E82CE5" w:rsidP="00FB35D4">
            <w:pPr>
              <w:pStyle w:val="Rec"/>
              <w:keepNext/>
            </w:pPr>
            <w:r w:rsidRPr="0041796D">
              <w:t xml:space="preserve">The Australian Government should require that all mental health prescriptions include a clear and prominent statement saying that clinicians </w:t>
            </w:r>
            <w:r w:rsidR="00970B18">
              <w:t xml:space="preserve">should </w:t>
            </w:r>
            <w:r w:rsidRPr="0041796D">
              <w:t>have discussed possible side effects and proposed evidence</w:t>
            </w:r>
            <w:r w:rsidRPr="0041796D">
              <w:noBreakHyphen/>
              <w:t>based alternatives to medication, prior to prescribing.</w:t>
            </w:r>
            <w:r w:rsidR="00F56FB2">
              <w:t xml:space="preserve"> </w:t>
            </w:r>
          </w:p>
          <w:p w14:paraId="7944159D" w14:textId="781E16E0" w:rsidR="00E82CE5" w:rsidRPr="0041796D" w:rsidRDefault="00E82CE5" w:rsidP="00FB35D4">
            <w:pPr>
              <w:pStyle w:val="Rec"/>
              <w:keepNext/>
              <w:rPr>
                <w:i/>
                <w:iCs/>
              </w:rPr>
            </w:pPr>
            <w:r>
              <w:rPr>
                <w:i/>
                <w:iCs/>
              </w:rPr>
              <w:t>Start later</w:t>
            </w:r>
          </w:p>
          <w:p w14:paraId="43FE13A2" w14:textId="2E1D2EDC" w:rsidR="00E82CE5" w:rsidRPr="005668AA" w:rsidRDefault="00E82CE5" w:rsidP="00FB35D4">
            <w:pPr>
              <w:pStyle w:val="Rec"/>
              <w:keepNext/>
            </w:pPr>
            <w:r>
              <w:t xml:space="preserve">The Australian Government should commission a review </w:t>
            </w:r>
            <w:r w:rsidRPr="005668AA">
              <w:t>into off</w:t>
            </w:r>
            <w:r w:rsidRPr="005668AA">
              <w:noBreakHyphen/>
              <w:t>label prescribing of mental health medications in Australia</w:t>
            </w:r>
            <w:r>
              <w:t>.</w:t>
            </w:r>
          </w:p>
        </w:tc>
      </w:tr>
      <w:tr w:rsidR="00E82CE5" w:rsidRPr="005668AA" w14:paraId="34E08508"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1CF66DD7" w14:textId="77777777" w:rsidR="00E82CE5" w:rsidRPr="005668AA" w:rsidRDefault="00E82CE5" w:rsidP="00FB35D4">
            <w:pPr>
              <w:keepNext/>
              <w:keepLines/>
              <w:spacing w:line="120" w:lineRule="exact"/>
              <w:jc w:val="both"/>
              <w:rPr>
                <w:rFonts w:ascii="Arial" w:hAnsi="Arial"/>
                <w:sz w:val="20"/>
                <w:szCs w:val="20"/>
              </w:rPr>
            </w:pPr>
          </w:p>
        </w:tc>
      </w:tr>
      <w:tr w:rsidR="00E82CE5" w:rsidRPr="005668AA" w14:paraId="05D02236" w14:textId="77777777" w:rsidTr="0041796D">
        <w:tc>
          <w:tcPr>
            <w:tcW w:w="5000" w:type="pct"/>
            <w:tcBorders>
              <w:top w:val="single" w:sz="6" w:space="0" w:color="78A22F"/>
              <w:left w:val="nil"/>
              <w:bottom w:val="nil"/>
              <w:right w:val="nil"/>
            </w:tcBorders>
            <w:tcMar>
              <w:left w:w="170" w:type="dxa"/>
              <w:right w:w="170" w:type="dxa"/>
            </w:tcMar>
          </w:tcPr>
          <w:p w14:paraId="245C5907" w14:textId="7EBD9559" w:rsidR="00E82CE5" w:rsidRPr="005668AA" w:rsidRDefault="00E82CE5" w:rsidP="00B808D1">
            <w:pPr>
              <w:spacing w:before="60" w:after="60" w:line="80" w:lineRule="exact"/>
              <w:jc w:val="both"/>
              <w:rPr>
                <w:rFonts w:ascii="Arial" w:hAnsi="Arial"/>
                <w:sz w:val="14"/>
                <w:szCs w:val="20"/>
              </w:rPr>
            </w:pPr>
          </w:p>
        </w:tc>
      </w:tr>
    </w:tbl>
    <w:p w14:paraId="4E2D7D03" w14:textId="77777777" w:rsidR="00E82CE5" w:rsidRDefault="00E82CE5" w:rsidP="00B808D1">
      <w:pPr>
        <w:pStyle w:val="BoxSpaceAbove"/>
        <w:keepLines/>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8"/>
      </w:tblGrid>
      <w:tr w:rsidR="00FB35D4" w:rsidRPr="005E64FD" w14:paraId="57A640CD" w14:textId="77777777" w:rsidTr="001A5E28">
        <w:trPr>
          <w:tblHeader/>
        </w:trPr>
        <w:tc>
          <w:tcPr>
            <w:tcW w:w="5000" w:type="pct"/>
            <w:tcBorders>
              <w:top w:val="single" w:sz="6" w:space="0" w:color="78A22F"/>
              <w:left w:val="nil"/>
              <w:bottom w:val="nil"/>
              <w:right w:val="nil"/>
            </w:tcBorders>
            <w:shd w:val="clear" w:color="auto" w:fill="FFFFFF" w:themeFill="background1"/>
            <w:tcMar>
              <w:left w:w="170" w:type="dxa"/>
              <w:right w:w="170" w:type="dxa"/>
            </w:tcMar>
          </w:tcPr>
          <w:p w14:paraId="29A5C5E9" w14:textId="5007D6C1" w:rsidR="00FB35D4" w:rsidRPr="005E64FD" w:rsidRDefault="00FB35D4" w:rsidP="00B808D1">
            <w:pPr>
              <w:pStyle w:val="RecTitle"/>
              <w:spacing w:before="120"/>
              <w:rPr>
                <w:b/>
                <w:color w:val="3B5117"/>
              </w:rPr>
            </w:pPr>
            <w:r w:rsidRPr="005E64FD">
              <w:rPr>
                <w:b/>
                <w:color w:val="3B5117"/>
              </w:rPr>
              <w:t>Action 10.3</w:t>
            </w:r>
            <w:r w:rsidR="00CE7986">
              <w:rPr>
                <w:b/>
                <w:color w:val="3B5117"/>
              </w:rPr>
              <w:t> — </w:t>
            </w:r>
            <w:r w:rsidRPr="005E64FD">
              <w:rPr>
                <w:b/>
                <w:color w:val="3B5117"/>
              </w:rPr>
              <w:t xml:space="preserve">psychiatric advice </w:t>
            </w:r>
            <w:r w:rsidR="004D7783">
              <w:rPr>
                <w:b/>
                <w:color w:val="3B5117"/>
              </w:rPr>
              <w:t>for</w:t>
            </w:r>
            <w:r w:rsidRPr="005E64FD">
              <w:rPr>
                <w:b/>
                <w:color w:val="3B5117"/>
              </w:rPr>
              <w:t xml:space="preserve"> GPS and paediatricians</w:t>
            </w:r>
          </w:p>
        </w:tc>
      </w:tr>
      <w:tr w:rsidR="00FB35D4" w:rsidRPr="005668AA" w14:paraId="6792F6B9" w14:textId="77777777" w:rsidTr="001A5E28">
        <w:tc>
          <w:tcPr>
            <w:tcW w:w="5000" w:type="pct"/>
            <w:tcBorders>
              <w:top w:val="nil"/>
              <w:left w:val="nil"/>
              <w:bottom w:val="nil"/>
              <w:right w:val="nil"/>
            </w:tcBorders>
            <w:shd w:val="clear" w:color="auto" w:fill="F2F2F2" w:themeFill="background1" w:themeFillShade="F2"/>
            <w:tcMar>
              <w:left w:w="170" w:type="dxa"/>
              <w:right w:w="170" w:type="dxa"/>
            </w:tcMar>
          </w:tcPr>
          <w:p w14:paraId="2CB0B085" w14:textId="41F3E17A" w:rsidR="00FB35D4" w:rsidRPr="0041796D" w:rsidRDefault="00FB35D4" w:rsidP="00B808D1">
            <w:pPr>
              <w:pStyle w:val="Rec"/>
              <w:keepNext/>
              <w:rPr>
                <w:iCs/>
              </w:rPr>
            </w:pPr>
            <w:r>
              <w:rPr>
                <w:iCs/>
              </w:rPr>
              <w:t>GPs and paediatricians should be able to access psychiatric advice when they need it, to assist with the care of people with mental ill</w:t>
            </w:r>
            <w:r w:rsidR="006C0569">
              <w:rPr>
                <w:iCs/>
              </w:rPr>
              <w:t>ness</w:t>
            </w:r>
            <w:r>
              <w:rPr>
                <w:iCs/>
              </w:rPr>
              <w:t>.</w:t>
            </w:r>
          </w:p>
          <w:p w14:paraId="1170B83C" w14:textId="77777777" w:rsidR="00FB35D4" w:rsidRPr="00ED6994" w:rsidRDefault="00FB35D4" w:rsidP="00B808D1">
            <w:pPr>
              <w:pStyle w:val="Rec"/>
              <w:keepNext/>
              <w:rPr>
                <w:i/>
              </w:rPr>
            </w:pPr>
            <w:r>
              <w:rPr>
                <w:i/>
              </w:rPr>
              <w:t>Start now</w:t>
            </w:r>
          </w:p>
          <w:p w14:paraId="2C588813" w14:textId="0B979F5E" w:rsidR="00FB35D4" w:rsidRPr="00ED6994" w:rsidRDefault="00FB35D4" w:rsidP="00B808D1">
            <w:pPr>
              <w:pStyle w:val="Rec"/>
              <w:keepNext/>
            </w:pPr>
            <w:r w:rsidRPr="00ED6994">
              <w:t xml:space="preserve">The Australian Government should introduce an MBS item for psychiatrists to provide advice to a GP or a paediatrician over the phone on diagnosis and management issues for a </w:t>
            </w:r>
            <w:r>
              <w:t>person</w:t>
            </w:r>
            <w:r w:rsidRPr="00ED6994">
              <w:t xml:space="preserve"> </w:t>
            </w:r>
            <w:r w:rsidR="00F56FB2">
              <w:t xml:space="preserve">who is </w:t>
            </w:r>
            <w:r>
              <w:t>receiving care from</w:t>
            </w:r>
            <w:r w:rsidRPr="00ED6994">
              <w:t xml:space="preserve"> the GP or paediatrician. </w:t>
            </w:r>
          </w:p>
          <w:p w14:paraId="5B69162B" w14:textId="10B0AC68" w:rsidR="00FB35D4" w:rsidRPr="0041796D" w:rsidRDefault="0047372D" w:rsidP="00B808D1">
            <w:pPr>
              <w:pStyle w:val="RecBullet"/>
              <w:keepNext/>
            </w:pPr>
            <w:r w:rsidRPr="0047372D">
              <w:t>The MBS item would be available only in relation to a consumer who is not receiving treatment from any psychiatrists</w:t>
            </w:r>
            <w:r>
              <w:t>.</w:t>
            </w:r>
          </w:p>
          <w:p w14:paraId="69846495" w14:textId="43F9BFF0" w:rsidR="00FB35D4" w:rsidRPr="0041796D" w:rsidRDefault="0047372D" w:rsidP="00B808D1">
            <w:pPr>
              <w:pStyle w:val="RecBullet"/>
              <w:keepNext/>
            </w:pPr>
            <w:r w:rsidRPr="0047372D">
              <w:t>The consumer may or may not be present for the call. In either case, the consumer should be not be charged a co-payment for the call.</w:t>
            </w:r>
            <w:r w:rsidR="006C0569">
              <w:t xml:space="preserve"> </w:t>
            </w:r>
          </w:p>
          <w:p w14:paraId="171396BA" w14:textId="77777777" w:rsidR="00FB35D4" w:rsidRPr="00556B37" w:rsidRDefault="00FB35D4" w:rsidP="00B808D1">
            <w:pPr>
              <w:pStyle w:val="Rec"/>
              <w:keepNext/>
              <w:rPr>
                <w:i/>
              </w:rPr>
            </w:pPr>
            <w:r w:rsidRPr="00556B37">
              <w:rPr>
                <w:i/>
              </w:rPr>
              <w:t>Start later</w:t>
            </w:r>
          </w:p>
          <w:p w14:paraId="312806A0" w14:textId="658A14F1" w:rsidR="00FB35D4" w:rsidRPr="005668AA" w:rsidRDefault="00FB35D4" w:rsidP="00B808D1">
            <w:pPr>
              <w:pStyle w:val="Rec"/>
              <w:keepNext/>
            </w:pPr>
            <w:r w:rsidRPr="00ED6994">
              <w:t xml:space="preserve">The effectiveness </w:t>
            </w:r>
            <w:r>
              <w:t>and ongoing need for this MBS item should be evaluated after three</w:t>
            </w:r>
            <w:r w:rsidRPr="00ED6994">
              <w:t xml:space="preserve"> years.</w:t>
            </w:r>
          </w:p>
        </w:tc>
      </w:tr>
      <w:tr w:rsidR="00FB35D4" w:rsidRPr="005668AA" w14:paraId="5DBB6735"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0C1005CE" w14:textId="77777777" w:rsidR="00FB35D4" w:rsidRPr="005668AA" w:rsidRDefault="00FB35D4" w:rsidP="00B808D1">
            <w:pPr>
              <w:keepNext/>
              <w:keepLines/>
              <w:spacing w:line="120" w:lineRule="exact"/>
              <w:jc w:val="both"/>
              <w:rPr>
                <w:rFonts w:ascii="Arial" w:hAnsi="Arial"/>
                <w:sz w:val="20"/>
                <w:szCs w:val="20"/>
              </w:rPr>
            </w:pPr>
          </w:p>
        </w:tc>
      </w:tr>
      <w:tr w:rsidR="00FB35D4" w:rsidRPr="005668AA" w14:paraId="55451900" w14:textId="77777777" w:rsidTr="001A5E28">
        <w:tc>
          <w:tcPr>
            <w:tcW w:w="5000" w:type="pct"/>
            <w:tcBorders>
              <w:top w:val="single" w:sz="6" w:space="0" w:color="78A22F"/>
              <w:left w:val="nil"/>
              <w:bottom w:val="nil"/>
              <w:right w:val="nil"/>
            </w:tcBorders>
            <w:tcMar>
              <w:left w:w="170" w:type="dxa"/>
              <w:right w:w="170" w:type="dxa"/>
            </w:tcMar>
          </w:tcPr>
          <w:p w14:paraId="79733F02" w14:textId="77777777" w:rsidR="00FB35D4" w:rsidRPr="005668AA" w:rsidRDefault="00FB35D4" w:rsidP="00B808D1">
            <w:pPr>
              <w:spacing w:before="60" w:after="60" w:line="80" w:lineRule="exact"/>
              <w:jc w:val="both"/>
              <w:rPr>
                <w:rFonts w:ascii="Arial" w:hAnsi="Arial"/>
                <w:sz w:val="14"/>
                <w:szCs w:val="20"/>
              </w:rPr>
            </w:pPr>
          </w:p>
        </w:tc>
      </w:tr>
    </w:tbl>
    <w:p w14:paraId="15820039" w14:textId="1476AA7A" w:rsidR="00513BE6" w:rsidRPr="004E3B94" w:rsidRDefault="00513BE6" w:rsidP="00B808D1">
      <w:pPr>
        <w:pStyle w:val="BoxSpaceAbove"/>
        <w:keepLines/>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513BE6" w:rsidRPr="005E64FD" w14:paraId="77957149" w14:textId="77777777" w:rsidTr="00685D7D">
        <w:trPr>
          <w:tblHeader/>
        </w:trPr>
        <w:tc>
          <w:tcPr>
            <w:tcW w:w="5000" w:type="pct"/>
            <w:tcBorders>
              <w:top w:val="single" w:sz="6" w:space="0" w:color="78A22F"/>
              <w:left w:val="nil"/>
              <w:bottom w:val="nil"/>
              <w:right w:val="nil"/>
            </w:tcBorders>
            <w:shd w:val="clear" w:color="auto" w:fill="FFFFFF" w:themeFill="background1"/>
            <w:tcMar>
              <w:left w:w="170" w:type="dxa"/>
              <w:right w:w="170" w:type="dxa"/>
            </w:tcMar>
          </w:tcPr>
          <w:p w14:paraId="374F484D" w14:textId="74A4661D" w:rsidR="00513BE6" w:rsidRPr="005E64FD" w:rsidRDefault="009B273D" w:rsidP="00B808D1">
            <w:pPr>
              <w:pStyle w:val="RecTitle"/>
              <w:spacing w:before="120"/>
              <w:rPr>
                <w:b/>
                <w:color w:val="3B5117"/>
              </w:rPr>
            </w:pPr>
            <w:r w:rsidRPr="005E64FD">
              <w:rPr>
                <w:b/>
                <w:color w:val="3B5117"/>
              </w:rPr>
              <w:t xml:space="preserve">ACTION </w:t>
            </w:r>
            <w:r w:rsidR="00CA1A76" w:rsidRPr="005E64FD">
              <w:rPr>
                <w:b/>
                <w:color w:val="3B5117"/>
              </w:rPr>
              <w:t>10</w:t>
            </w:r>
            <w:r w:rsidR="00CE1002" w:rsidRPr="005E64FD">
              <w:rPr>
                <w:b/>
                <w:color w:val="3B5117"/>
              </w:rPr>
              <w:t>.</w:t>
            </w:r>
            <w:r w:rsidR="00A552E5" w:rsidRPr="005E64FD">
              <w:rPr>
                <w:b/>
                <w:color w:val="3B5117"/>
              </w:rPr>
              <w:t>4</w:t>
            </w:r>
            <w:r w:rsidR="00CE7986">
              <w:rPr>
                <w:b/>
                <w:color w:val="3B5117"/>
              </w:rPr>
              <w:t> — </w:t>
            </w:r>
            <w:r w:rsidR="00513BE6" w:rsidRPr="005E64FD">
              <w:rPr>
                <w:b/>
                <w:color w:val="3B5117"/>
              </w:rPr>
              <w:t>MENTAL HEALTH ASSESSMENT AND REFERRAL TOOL</w:t>
            </w:r>
          </w:p>
        </w:tc>
      </w:tr>
      <w:tr w:rsidR="00513BE6" w:rsidRPr="00750BE2" w14:paraId="76965654" w14:textId="77777777" w:rsidTr="00685D7D">
        <w:tc>
          <w:tcPr>
            <w:tcW w:w="5000" w:type="pct"/>
            <w:tcBorders>
              <w:top w:val="nil"/>
              <w:left w:val="nil"/>
              <w:bottom w:val="nil"/>
              <w:right w:val="nil"/>
            </w:tcBorders>
            <w:shd w:val="clear" w:color="auto" w:fill="F2F2F2" w:themeFill="background1" w:themeFillShade="F2"/>
            <w:tcMar>
              <w:left w:w="170" w:type="dxa"/>
              <w:right w:w="170" w:type="dxa"/>
            </w:tcMar>
          </w:tcPr>
          <w:p w14:paraId="3D73C027" w14:textId="2C020422" w:rsidR="001B022A" w:rsidRDefault="001B022A" w:rsidP="00B808D1">
            <w:pPr>
              <w:pStyle w:val="Rec"/>
              <w:keepNext/>
            </w:pPr>
            <w:r>
              <w:rPr>
                <w:iCs/>
              </w:rPr>
              <w:t xml:space="preserve">A new assessment tool, that is </w:t>
            </w:r>
            <w:r>
              <w:t xml:space="preserve">consistent with the Australian </w:t>
            </w:r>
            <w:r w:rsidR="00383739">
              <w:t xml:space="preserve">Government </w:t>
            </w:r>
            <w:r>
              <w:t>Department of Health Guidance on Initial Assessment and Referral, should be developed and implemented across the mental health system, to ensure a robust and person-centred approach to assessment and referrals.</w:t>
            </w:r>
          </w:p>
          <w:p w14:paraId="1C9F766E" w14:textId="77777777" w:rsidR="001B022A" w:rsidRPr="00CE7AEE" w:rsidRDefault="001B022A" w:rsidP="00B808D1">
            <w:pPr>
              <w:pStyle w:val="Rec"/>
              <w:keepNext/>
              <w:rPr>
                <w:i/>
              </w:rPr>
            </w:pPr>
            <w:r w:rsidRPr="00CE7AEE">
              <w:rPr>
                <w:i/>
              </w:rPr>
              <w:t>Start now</w:t>
            </w:r>
          </w:p>
          <w:p w14:paraId="2C8F20C5" w14:textId="77777777" w:rsidR="001B022A" w:rsidRDefault="001B022A" w:rsidP="00B808D1">
            <w:pPr>
              <w:pStyle w:val="RecBullet"/>
              <w:keepNext/>
            </w:pPr>
            <w:r>
              <w:t>The Australian Government should fund the development and ongoing provision of a national digital mental health platform. The platform should provide:</w:t>
            </w:r>
          </w:p>
          <w:p w14:paraId="09E8F1FF" w14:textId="3E2018EA" w:rsidR="001B022A" w:rsidRPr="001B022A" w:rsidRDefault="001B022A" w:rsidP="00B808D1">
            <w:pPr>
              <w:pStyle w:val="BoxListBullet2"/>
              <w:keepLines/>
              <w:tabs>
                <w:tab w:val="clear" w:pos="567"/>
              </w:tabs>
              <w:ind w:left="680" w:hanging="340"/>
            </w:pPr>
            <w:r w:rsidRPr="001B022A">
              <w:t>a tool for free person</w:t>
            </w:r>
            <w:r w:rsidRPr="001B022A">
              <w:noBreakHyphen/>
              <w:t>centred assessment and referral, to be used by GPs and by individuals to access online assessment and referral, underpinned by a mental health clinician</w:t>
            </w:r>
            <w:r w:rsidR="00E37138">
              <w:t>. T</w:t>
            </w:r>
            <w:r w:rsidRPr="001B022A">
              <w:t>he assessment and referral tool should</w:t>
            </w:r>
            <w:r w:rsidR="00E37138">
              <w:t>:</w:t>
            </w:r>
          </w:p>
          <w:p w14:paraId="4898819A" w14:textId="77777777" w:rsidR="001B022A" w:rsidRPr="001B022A" w:rsidRDefault="001B022A" w:rsidP="00B808D1">
            <w:pPr>
              <w:pStyle w:val="BoxListBullet3"/>
              <w:keepNext/>
              <w:keepLines/>
              <w:tabs>
                <w:tab w:val="clear" w:pos="907"/>
              </w:tabs>
              <w:ind w:left="1020"/>
            </w:pPr>
            <w:r w:rsidRPr="001B022A">
              <w:t>provide clear guidance to referring clinicians and consumers about the evidence-based interventions and services that are likely to best meet the consumer’s needs, as well as those that are not recommended, given the consumer’s circumstances</w:t>
            </w:r>
          </w:p>
          <w:p w14:paraId="1DB0D31B" w14:textId="77777777" w:rsidR="001B022A" w:rsidRPr="001B022A" w:rsidRDefault="001B022A" w:rsidP="00B808D1">
            <w:pPr>
              <w:pStyle w:val="BoxListBullet3"/>
              <w:keepNext/>
              <w:keepLines/>
              <w:tabs>
                <w:tab w:val="clear" w:pos="907"/>
              </w:tabs>
              <w:ind w:left="1020"/>
            </w:pPr>
            <w:r w:rsidRPr="001B022A">
              <w:t>enhance consumer choice, by recommending a broad range of services and modes of delivery, including clinical and non-clinical services delivered digitally and face-to-face.</w:t>
            </w:r>
          </w:p>
          <w:p w14:paraId="239F6457" w14:textId="77777777" w:rsidR="001B022A" w:rsidRPr="001B022A" w:rsidRDefault="001B022A" w:rsidP="00B808D1">
            <w:pPr>
              <w:pStyle w:val="BoxListBullet3"/>
              <w:keepNext/>
              <w:keepLines/>
              <w:tabs>
                <w:tab w:val="clear" w:pos="907"/>
              </w:tabs>
              <w:ind w:left="1020"/>
            </w:pPr>
            <w:r w:rsidRPr="001B022A">
              <w:t>be given to the consumer, to share with providers of their choice</w:t>
            </w:r>
          </w:p>
          <w:p w14:paraId="34D9138E" w14:textId="13CEB097" w:rsidR="001B022A" w:rsidRPr="001B022A" w:rsidRDefault="001B022A" w:rsidP="00B808D1">
            <w:pPr>
              <w:pStyle w:val="BoxListBullet3"/>
              <w:keepNext/>
              <w:keepLines/>
              <w:tabs>
                <w:tab w:val="clear" w:pos="907"/>
              </w:tabs>
              <w:ind w:left="1020"/>
            </w:pPr>
            <w:r w:rsidRPr="001B022A">
              <w:t>replace the Mental Health Treatment Plan as a requirement for accessing MBS</w:t>
            </w:r>
            <w:r w:rsidRPr="001B022A">
              <w:noBreakHyphen/>
              <w:t>rebated Psychological Therapy Services and Focused Psychological Strategies.</w:t>
            </w:r>
          </w:p>
          <w:p w14:paraId="06D00009" w14:textId="6BABB287" w:rsidR="001B022A" w:rsidRPr="001B022A" w:rsidRDefault="001B022A" w:rsidP="00B808D1">
            <w:pPr>
              <w:pStyle w:val="BoxListBullet2"/>
              <w:keepLines/>
              <w:tabs>
                <w:tab w:val="clear" w:pos="567"/>
              </w:tabs>
              <w:ind w:left="680" w:hanging="340"/>
            </w:pPr>
            <w:r w:rsidRPr="001B022A">
              <w:t>low-cost, accessible and evidence-based digital low</w:t>
            </w:r>
            <w:r w:rsidRPr="001B022A">
              <w:noBreakHyphen/>
              <w:t>intensity services; at launch</w:t>
            </w:r>
            <w:r w:rsidR="00E540B0">
              <w:t>,</w:t>
            </w:r>
            <w:r w:rsidRPr="001B022A">
              <w:t xml:space="preserve"> this should include supported online treatment (Action 11.1) and short</w:t>
            </w:r>
            <w:r w:rsidRPr="001B022A">
              <w:noBreakHyphen/>
              <w:t>course, structured therapy delivered by videoconference or phone</w:t>
            </w:r>
          </w:p>
          <w:p w14:paraId="749E1DC0" w14:textId="7A2FE378" w:rsidR="001B022A" w:rsidRPr="001B022A" w:rsidRDefault="001B022A" w:rsidP="00B808D1">
            <w:pPr>
              <w:pStyle w:val="BoxListBullet2"/>
              <w:keepLines/>
              <w:tabs>
                <w:tab w:val="clear" w:pos="567"/>
              </w:tabs>
              <w:ind w:left="680" w:hanging="340"/>
            </w:pPr>
            <w:r w:rsidRPr="001B022A">
              <w:t xml:space="preserve">be capable of being connected to </w:t>
            </w:r>
            <w:r>
              <w:t xml:space="preserve">the recommended </w:t>
            </w:r>
            <w:r w:rsidRPr="001B022A">
              <w:t>navigation portals to draw on links to other digital and face</w:t>
            </w:r>
            <w:r w:rsidRPr="001B022A">
              <w:noBreakHyphen/>
              <w:t>to</w:t>
            </w:r>
            <w:r w:rsidRPr="001B022A">
              <w:noBreakHyphen/>
              <w:t>face treatment and support services (Action 15.2)</w:t>
            </w:r>
          </w:p>
          <w:p w14:paraId="70E84FB3" w14:textId="7B595A35" w:rsidR="001B022A" w:rsidRPr="001B022A" w:rsidRDefault="001B022A" w:rsidP="00B808D1">
            <w:pPr>
              <w:pStyle w:val="BoxListBullet2"/>
              <w:keepLines/>
              <w:tabs>
                <w:tab w:val="clear" w:pos="567"/>
              </w:tabs>
              <w:ind w:left="680" w:hanging="340"/>
            </w:pPr>
            <w:r w:rsidRPr="001B022A">
              <w:t>provide data on assessment and referral practices to enable the Australian Government Department of Health to observe how GP treatment and referral practices align with the tool’s recommendations, to inform ongoing improvements to the tool, and indicate where additional GP education and training is required.</w:t>
            </w:r>
          </w:p>
          <w:p w14:paraId="30102634" w14:textId="1B467719" w:rsidR="00513BE6" w:rsidRPr="001B022A" w:rsidRDefault="001B022A" w:rsidP="00B808D1">
            <w:pPr>
              <w:pStyle w:val="RecBullet"/>
              <w:keepNext/>
            </w:pPr>
            <w:r w:rsidRPr="001B022A">
              <w:t>The Australian Government should appoint an expert panel to oversee the development of the new mental health assessment and referral tool, to be co</w:t>
            </w:r>
            <w:r w:rsidRPr="001B022A">
              <w:noBreakHyphen/>
              <w:t>designed with consumers and clinicians. The Government should tender for the construction of the platform, and for a small number of digital low</w:t>
            </w:r>
            <w:r w:rsidRPr="001B022A">
              <w:noBreakHyphen/>
              <w:t>intensity services to be provided on the platform.</w:t>
            </w:r>
          </w:p>
        </w:tc>
      </w:tr>
      <w:tr w:rsidR="00513BE6" w14:paraId="02EEEC37"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007AD2A0" w14:textId="77777777" w:rsidR="00513BE6" w:rsidRDefault="00513BE6" w:rsidP="00B808D1">
            <w:pPr>
              <w:pStyle w:val="Space"/>
              <w:keepLines/>
            </w:pPr>
          </w:p>
        </w:tc>
      </w:tr>
      <w:tr w:rsidR="00513BE6" w:rsidRPr="000863A5" w14:paraId="5458D2E8" w14:textId="77777777" w:rsidTr="00A8238A">
        <w:tc>
          <w:tcPr>
            <w:tcW w:w="5000" w:type="pct"/>
            <w:tcBorders>
              <w:top w:val="single" w:sz="6" w:space="0" w:color="78A22F"/>
              <w:left w:val="nil"/>
              <w:bottom w:val="nil"/>
              <w:right w:val="nil"/>
            </w:tcBorders>
            <w:tcMar>
              <w:left w:w="170" w:type="dxa"/>
              <w:right w:w="170" w:type="dxa"/>
            </w:tcMar>
          </w:tcPr>
          <w:p w14:paraId="22E8B447" w14:textId="2DE69CCA" w:rsidR="00513BE6" w:rsidRPr="00626D32" w:rsidRDefault="00513BE6" w:rsidP="00FB35D4">
            <w:pPr>
              <w:pStyle w:val="BoxSpaceBelow"/>
            </w:pPr>
          </w:p>
        </w:tc>
      </w:tr>
    </w:tbl>
    <w:p w14:paraId="26B950D7" w14:textId="3A67832E" w:rsidR="00CE1144" w:rsidRDefault="00CE1144" w:rsidP="00CE1144">
      <w:pPr>
        <w:pStyle w:val="Heading3"/>
      </w:pPr>
      <w:r>
        <w:lastRenderedPageBreak/>
        <w:t>Supported online treatment</w:t>
      </w:r>
    </w:p>
    <w:p w14:paraId="6E9FE7EE" w14:textId="77777777" w:rsidR="00362DFF" w:rsidRDefault="00362DFF" w:rsidP="00FB35D4">
      <w:pPr>
        <w:pStyle w:val="BoxSpaceAbove"/>
        <w:keepLines/>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7F242B" w:rsidRPr="005E64FD" w14:paraId="33A89C4C" w14:textId="77777777" w:rsidTr="001504E9">
        <w:trPr>
          <w:tblHeader/>
        </w:trPr>
        <w:tc>
          <w:tcPr>
            <w:tcW w:w="5000" w:type="pct"/>
            <w:tcBorders>
              <w:top w:val="single" w:sz="6" w:space="0" w:color="78A22F"/>
              <w:left w:val="nil"/>
              <w:bottom w:val="nil"/>
              <w:right w:val="nil"/>
            </w:tcBorders>
            <w:shd w:val="clear" w:color="auto" w:fill="auto"/>
            <w:tcMar>
              <w:left w:w="170" w:type="dxa"/>
              <w:right w:w="170" w:type="dxa"/>
            </w:tcMar>
          </w:tcPr>
          <w:p w14:paraId="08C97560" w14:textId="0FBD6B72" w:rsidR="007F242B" w:rsidRPr="005E64FD" w:rsidRDefault="00AA695D" w:rsidP="00AA695D">
            <w:pPr>
              <w:pStyle w:val="RecTitle"/>
              <w:spacing w:before="120"/>
              <w:ind w:left="1390" w:hanging="1390"/>
              <w:rPr>
                <w:b/>
                <w:color w:val="3B5117"/>
              </w:rPr>
            </w:pPr>
            <w:r>
              <w:rPr>
                <w:b/>
                <w:color w:val="3B5117"/>
              </w:rPr>
              <w:t>Action 11.1</w:t>
            </w:r>
            <w:r w:rsidR="00CE7986">
              <w:t> — </w:t>
            </w:r>
            <w:r w:rsidR="007F242B" w:rsidRPr="005E64FD">
              <w:rPr>
                <w:b/>
                <w:color w:val="3B5117"/>
              </w:rPr>
              <w:t xml:space="preserve">SUPPORTED online treatment options should be integrated and expanded </w:t>
            </w:r>
          </w:p>
        </w:tc>
      </w:tr>
      <w:tr w:rsidR="007F242B" w:rsidRPr="005F2477" w14:paraId="40B86481" w14:textId="77777777" w:rsidTr="001504E9">
        <w:tc>
          <w:tcPr>
            <w:tcW w:w="5000" w:type="pct"/>
            <w:tcBorders>
              <w:top w:val="nil"/>
              <w:left w:val="nil"/>
              <w:bottom w:val="nil"/>
              <w:right w:val="nil"/>
            </w:tcBorders>
            <w:shd w:val="clear" w:color="auto" w:fill="F2F2F2" w:themeFill="background1" w:themeFillShade="F2"/>
            <w:tcMar>
              <w:left w:w="170" w:type="dxa"/>
              <w:right w:w="170" w:type="dxa"/>
            </w:tcMar>
          </w:tcPr>
          <w:p w14:paraId="6680E0D4" w14:textId="77777777" w:rsidR="007F242B" w:rsidRPr="001628A8" w:rsidRDefault="007F242B" w:rsidP="00FB35D4">
            <w:pPr>
              <w:pStyle w:val="Rec"/>
              <w:keepNext/>
            </w:pPr>
            <w:r w:rsidRPr="001628A8">
              <w:t>The Australian Government should facilitate greater integration of, and access to, supported online treatment.</w:t>
            </w:r>
          </w:p>
          <w:p w14:paraId="793E2152" w14:textId="77777777" w:rsidR="007F242B" w:rsidRPr="001628A8" w:rsidRDefault="007F242B" w:rsidP="00FB35D4">
            <w:pPr>
              <w:pStyle w:val="Rec"/>
              <w:keepNext/>
              <w:rPr>
                <w:i/>
              </w:rPr>
            </w:pPr>
            <w:r w:rsidRPr="001628A8">
              <w:rPr>
                <w:i/>
              </w:rPr>
              <w:t>Start now</w:t>
            </w:r>
          </w:p>
          <w:p w14:paraId="5F912DBD" w14:textId="77777777" w:rsidR="007F242B" w:rsidRPr="001628A8" w:rsidRDefault="007F242B" w:rsidP="00FB35D4">
            <w:pPr>
              <w:pStyle w:val="Rec"/>
              <w:keepNext/>
            </w:pPr>
            <w:r w:rsidRPr="001628A8">
              <w:t xml:space="preserve">The Australian Government should: </w:t>
            </w:r>
          </w:p>
          <w:p w14:paraId="5F949BAD" w14:textId="77777777" w:rsidR="007F242B" w:rsidRPr="001628A8" w:rsidRDefault="007F242B" w:rsidP="00FB35D4">
            <w:pPr>
              <w:pStyle w:val="RecBullet"/>
              <w:keepNext/>
              <w:rPr>
                <w:rFonts w:cs="Arial"/>
              </w:rPr>
            </w:pPr>
            <w:r w:rsidRPr="001628A8">
              <w:rPr>
                <w:rFonts w:cs="Arial"/>
              </w:rPr>
              <w:t>increase the number of supported online treatment services available for people with high prevalence mental illness and distress</w:t>
            </w:r>
          </w:p>
          <w:p w14:paraId="63252AE4" w14:textId="77777777" w:rsidR="007F242B" w:rsidRPr="001628A8" w:rsidRDefault="007F242B" w:rsidP="00FB35D4">
            <w:pPr>
              <w:pStyle w:val="RecBullet"/>
              <w:keepNext/>
              <w:rPr>
                <w:rFonts w:cs="Arial"/>
              </w:rPr>
            </w:pPr>
            <w:r w:rsidRPr="001628A8">
              <w:rPr>
                <w:rFonts w:cs="Arial"/>
              </w:rPr>
              <w:t xml:space="preserve">collect and publish data on the use, type and outcomes of supported online treatment </w:t>
            </w:r>
          </w:p>
          <w:p w14:paraId="23EB4E03" w14:textId="77777777" w:rsidR="007F242B" w:rsidRPr="001628A8" w:rsidRDefault="007F242B" w:rsidP="00FB35D4">
            <w:pPr>
              <w:pStyle w:val="RecBullet"/>
              <w:keepNext/>
              <w:rPr>
                <w:rFonts w:cs="Arial"/>
              </w:rPr>
            </w:pPr>
            <w:bookmarkStart w:id="4" w:name="OLE_LINK2"/>
            <w:r w:rsidRPr="001628A8">
              <w:rPr>
                <w:rFonts w:cs="Arial"/>
              </w:rPr>
              <w:t>instigate two separate information campaigns for consumers and health professionals to raise awareness of the effectiveness, quality and safety of government funded supported online treatment.</w:t>
            </w:r>
          </w:p>
          <w:bookmarkEnd w:id="4"/>
          <w:p w14:paraId="151C931F" w14:textId="77777777" w:rsidR="007F242B" w:rsidRPr="001628A8" w:rsidRDefault="007F242B" w:rsidP="00FB35D4">
            <w:pPr>
              <w:pStyle w:val="Rec"/>
              <w:keepNext/>
              <w:rPr>
                <w:rFonts w:cs="Arial"/>
              </w:rPr>
            </w:pPr>
            <w:r w:rsidRPr="001628A8">
              <w:rPr>
                <w:rFonts w:cs="Arial"/>
              </w:rPr>
              <w:t>It should require supported online treatment providers to offer treatment:</w:t>
            </w:r>
          </w:p>
          <w:p w14:paraId="0444D16D" w14:textId="77777777" w:rsidR="007F242B" w:rsidRPr="001628A8" w:rsidRDefault="007F242B" w:rsidP="00FB35D4">
            <w:pPr>
              <w:pStyle w:val="RecBullet"/>
              <w:keepNext/>
              <w:rPr>
                <w:rFonts w:cs="Arial"/>
              </w:rPr>
            </w:pPr>
            <w:r w:rsidRPr="001628A8">
              <w:rPr>
                <w:rFonts w:cs="Arial"/>
              </w:rPr>
              <w:t xml:space="preserve">only if it has demonstrated efficacy </w:t>
            </w:r>
          </w:p>
          <w:p w14:paraId="5F22E8CF" w14:textId="77777777" w:rsidR="007F242B" w:rsidRPr="001628A8" w:rsidRDefault="007F242B" w:rsidP="00FB35D4">
            <w:pPr>
              <w:pStyle w:val="RecBullet"/>
              <w:keepNext/>
              <w:rPr>
                <w:rFonts w:cs="Arial"/>
              </w:rPr>
            </w:pPr>
            <w:r w:rsidRPr="001628A8">
              <w:rPr>
                <w:rFonts w:cs="Arial"/>
              </w:rPr>
              <w:t xml:space="preserve">to children, youth and/or adults </w:t>
            </w:r>
          </w:p>
          <w:p w14:paraId="594A3F77" w14:textId="5339FF5B" w:rsidR="007F242B" w:rsidRPr="001628A8" w:rsidRDefault="007F242B" w:rsidP="00FB35D4">
            <w:pPr>
              <w:pStyle w:val="RecBullet"/>
              <w:keepNext/>
              <w:rPr>
                <w:rFonts w:cs="Arial"/>
              </w:rPr>
            </w:pPr>
            <w:r w:rsidRPr="001628A8">
              <w:rPr>
                <w:rFonts w:cs="Arial"/>
              </w:rPr>
              <w:t xml:space="preserve">for people </w:t>
            </w:r>
            <w:r w:rsidR="00E540B0">
              <w:rPr>
                <w:rFonts w:cs="Arial"/>
              </w:rPr>
              <w:t>from</w:t>
            </w:r>
            <w:r w:rsidR="00E540B0" w:rsidRPr="001628A8">
              <w:rPr>
                <w:rFonts w:cs="Arial"/>
              </w:rPr>
              <w:t xml:space="preserve"> </w:t>
            </w:r>
            <w:r w:rsidRPr="001628A8">
              <w:rPr>
                <w:rFonts w:cs="Arial"/>
              </w:rPr>
              <w:t xml:space="preserve">culturally and linguistically diverse backgrounds, subject to demand </w:t>
            </w:r>
          </w:p>
          <w:p w14:paraId="10719226" w14:textId="77777777" w:rsidR="007F242B" w:rsidRPr="001628A8" w:rsidRDefault="007F242B" w:rsidP="00FB35D4">
            <w:pPr>
              <w:pStyle w:val="RecBullet"/>
              <w:keepNext/>
              <w:rPr>
                <w:rFonts w:cs="Arial"/>
              </w:rPr>
            </w:pPr>
            <w:r w:rsidRPr="001628A8">
              <w:rPr>
                <w:rFonts w:cs="Arial"/>
              </w:rPr>
              <w:t xml:space="preserve">at minimal cost to the consumer </w:t>
            </w:r>
          </w:p>
          <w:p w14:paraId="70006E14" w14:textId="77777777" w:rsidR="007F242B" w:rsidRPr="001628A8" w:rsidRDefault="007F242B" w:rsidP="00FB35D4">
            <w:pPr>
              <w:pStyle w:val="RecBullet"/>
              <w:keepNext/>
              <w:rPr>
                <w:rFonts w:cs="Arial"/>
              </w:rPr>
            </w:pPr>
            <w:r w:rsidRPr="001628A8">
              <w:rPr>
                <w:rFonts w:cs="Arial"/>
              </w:rPr>
              <w:t xml:space="preserve">that includes the option for outcomes data to be forwarded to a nominated GP or other treating health professional. </w:t>
            </w:r>
          </w:p>
          <w:p w14:paraId="5B8BF0E5" w14:textId="77777777" w:rsidR="007F242B" w:rsidRPr="00FB35D4" w:rsidRDefault="007F242B" w:rsidP="00FB35D4">
            <w:pPr>
              <w:pStyle w:val="Rec"/>
              <w:keepNext/>
              <w:rPr>
                <w:i/>
              </w:rPr>
            </w:pPr>
            <w:r w:rsidRPr="00FB35D4">
              <w:rPr>
                <w:i/>
              </w:rPr>
              <w:t>Start later</w:t>
            </w:r>
          </w:p>
          <w:p w14:paraId="22A5764E" w14:textId="77777777" w:rsidR="007F242B" w:rsidRPr="00CA4C9B" w:rsidRDefault="007F242B" w:rsidP="00FB35D4">
            <w:pPr>
              <w:pStyle w:val="Rec"/>
              <w:keepNext/>
              <w:rPr>
                <w:rFonts w:asciiTheme="majorHAnsi" w:hAnsiTheme="majorHAnsi" w:cstheme="majorHAnsi"/>
              </w:rPr>
            </w:pPr>
            <w:r w:rsidRPr="001628A8">
              <w:t xml:space="preserve">The Australian Government should, within five years, commission an independent evaluation of online treatment services, examining </w:t>
            </w:r>
            <w:r w:rsidRPr="001628A8">
              <w:rPr>
                <w:szCs w:val="22"/>
              </w:rPr>
              <w:t>performance of supported online services and technological developments in online treatment approaches.</w:t>
            </w:r>
            <w:r w:rsidRPr="001628A8" w:rsidDel="00EC69A0">
              <w:rPr>
                <w:szCs w:val="22"/>
              </w:rPr>
              <w:t xml:space="preserve"> </w:t>
            </w:r>
          </w:p>
        </w:tc>
      </w:tr>
      <w:tr w:rsidR="007F242B" w:rsidRPr="005F2477" w14:paraId="4AA04C90"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7CF47E5A" w14:textId="77777777" w:rsidR="007F242B" w:rsidRPr="005F2477" w:rsidRDefault="007F242B" w:rsidP="00FB35D4">
            <w:pPr>
              <w:keepNext/>
              <w:keepLines/>
              <w:spacing w:line="120" w:lineRule="exact"/>
              <w:jc w:val="both"/>
              <w:rPr>
                <w:rFonts w:ascii="Arial" w:hAnsi="Arial"/>
                <w:sz w:val="20"/>
                <w:szCs w:val="20"/>
              </w:rPr>
            </w:pPr>
          </w:p>
        </w:tc>
      </w:tr>
      <w:tr w:rsidR="007F242B" w:rsidRPr="005F2477" w14:paraId="38223D5B" w14:textId="77777777" w:rsidTr="001504E9">
        <w:tc>
          <w:tcPr>
            <w:tcW w:w="5000" w:type="pct"/>
            <w:tcBorders>
              <w:top w:val="single" w:sz="6" w:space="0" w:color="78A22F"/>
              <w:left w:val="nil"/>
              <w:bottom w:val="nil"/>
              <w:right w:val="nil"/>
            </w:tcBorders>
            <w:tcMar>
              <w:left w:w="170" w:type="dxa"/>
              <w:right w:w="170" w:type="dxa"/>
            </w:tcMar>
          </w:tcPr>
          <w:p w14:paraId="02A6128C" w14:textId="77777777" w:rsidR="007F242B" w:rsidRPr="005F2477" w:rsidRDefault="007F242B" w:rsidP="00FB35D4">
            <w:pPr>
              <w:spacing w:before="60" w:after="60" w:line="80" w:lineRule="exact"/>
              <w:jc w:val="both"/>
              <w:rPr>
                <w:rFonts w:ascii="Arial" w:hAnsi="Arial"/>
                <w:sz w:val="14"/>
                <w:szCs w:val="20"/>
              </w:rPr>
            </w:pPr>
          </w:p>
        </w:tc>
      </w:tr>
    </w:tbl>
    <w:p w14:paraId="03C92C8E" w14:textId="7FD5CCFC" w:rsidR="00CE1144" w:rsidRDefault="00CE1144" w:rsidP="00CE1144">
      <w:pPr>
        <w:pStyle w:val="Heading3"/>
      </w:pPr>
      <w:r>
        <w:lastRenderedPageBreak/>
        <w:t>Bridging the mental healthcare gaps</w:t>
      </w:r>
    </w:p>
    <w:p w14:paraId="61149E40" w14:textId="77777777" w:rsidR="007F242B" w:rsidRDefault="007F242B" w:rsidP="00FB35D4">
      <w:pPr>
        <w:pStyle w:val="BoxSpaceAbove"/>
        <w:keepLines/>
      </w:pPr>
    </w:p>
    <w:tbl>
      <w:tblPr>
        <w:tblW w:w="5000" w:type="pct"/>
        <w:tblBorders>
          <w:top w:val="single" w:sz="6" w:space="0" w:color="78A22F"/>
          <w:left w:val="single" w:sz="6" w:space="0" w:color="78A22F"/>
          <w:bottom w:val="single" w:sz="6" w:space="0" w:color="78A22F"/>
          <w:right w:val="single" w:sz="6" w:space="0" w:color="78A22F"/>
        </w:tblBorders>
        <w:shd w:val="clear" w:color="auto" w:fill="FFFFFF" w:themeFill="background1"/>
        <w:tblCellMar>
          <w:left w:w="142" w:type="dxa"/>
          <w:right w:w="142" w:type="dxa"/>
        </w:tblCellMar>
        <w:tblLook w:val="0000" w:firstRow="0" w:lastRow="0" w:firstColumn="0" w:lastColumn="0" w:noHBand="0" w:noVBand="0"/>
        <w:tblDescription w:val="Table used for design layout: recommendation"/>
      </w:tblPr>
      <w:tblGrid>
        <w:gridCol w:w="8788"/>
      </w:tblGrid>
      <w:tr w:rsidR="00950FA1" w:rsidRPr="005E64FD" w14:paraId="4CEB0861" w14:textId="77777777" w:rsidTr="00B476E9">
        <w:trPr>
          <w:tblHeader/>
        </w:trPr>
        <w:tc>
          <w:tcPr>
            <w:tcW w:w="5000" w:type="pct"/>
            <w:tcBorders>
              <w:top w:val="single" w:sz="6" w:space="0" w:color="78A22F"/>
              <w:left w:val="nil"/>
              <w:bottom w:val="nil"/>
              <w:right w:val="nil"/>
            </w:tcBorders>
            <w:shd w:val="clear" w:color="auto" w:fill="FFFFFF" w:themeFill="background1"/>
            <w:tcMar>
              <w:left w:w="170" w:type="dxa"/>
              <w:right w:w="170" w:type="dxa"/>
            </w:tcMar>
          </w:tcPr>
          <w:p w14:paraId="7BA6E6A3" w14:textId="69E441F0" w:rsidR="00950FA1" w:rsidRPr="005E64FD" w:rsidRDefault="00155092" w:rsidP="00970B18">
            <w:pPr>
              <w:pStyle w:val="RecTitle"/>
              <w:spacing w:before="120"/>
              <w:rPr>
                <w:b/>
                <w:color w:val="3B5117"/>
              </w:rPr>
            </w:pPr>
            <w:r w:rsidRPr="005E64FD">
              <w:rPr>
                <w:b/>
                <w:color w:val="3B5117"/>
              </w:rPr>
              <w:t xml:space="preserve">ACTION </w:t>
            </w:r>
            <w:r w:rsidR="00CA1A76" w:rsidRPr="005E64FD">
              <w:rPr>
                <w:b/>
                <w:color w:val="3B5117"/>
              </w:rPr>
              <w:t>1</w:t>
            </w:r>
            <w:r w:rsidR="00950FA1" w:rsidRPr="005E64FD">
              <w:rPr>
                <w:b/>
                <w:color w:val="3B5117"/>
              </w:rPr>
              <w:fldChar w:fldCharType="begin"/>
            </w:r>
            <w:r w:rsidR="00950FA1" w:rsidRPr="005E64FD">
              <w:rPr>
                <w:b/>
                <w:color w:val="3B5117"/>
              </w:rPr>
              <w:instrText xml:space="preserve"> COMMENTS  \* MERGEFORMAT </w:instrText>
            </w:r>
            <w:r w:rsidR="00950FA1" w:rsidRPr="005E64FD">
              <w:rPr>
                <w:b/>
                <w:color w:val="3B5117"/>
              </w:rPr>
              <w:fldChar w:fldCharType="end"/>
            </w:r>
            <w:r w:rsidR="001E57F4" w:rsidRPr="005E64FD">
              <w:rPr>
                <w:b/>
                <w:color w:val="3B5117"/>
              </w:rPr>
              <w:t>2</w:t>
            </w:r>
            <w:r w:rsidR="00CE1002" w:rsidRPr="005E64FD">
              <w:rPr>
                <w:b/>
                <w:color w:val="3B5117"/>
              </w:rPr>
              <w:t>.</w:t>
            </w:r>
            <w:r w:rsidR="00CA1A76" w:rsidRPr="005E64FD">
              <w:rPr>
                <w:b/>
                <w:color w:val="3B5117"/>
              </w:rPr>
              <w:t>1</w:t>
            </w:r>
            <w:r w:rsidR="00CE7986">
              <w:rPr>
                <w:b/>
                <w:color w:val="3B5117"/>
              </w:rPr>
              <w:t> — </w:t>
            </w:r>
            <w:r w:rsidR="00950FA1" w:rsidRPr="005E64FD">
              <w:rPr>
                <w:b/>
                <w:color w:val="3B5117"/>
              </w:rPr>
              <w:t>ENCOURAGE MORE GROUP PSYCHOLOGICAL THERAPY</w:t>
            </w:r>
          </w:p>
        </w:tc>
      </w:tr>
      <w:tr w:rsidR="00950FA1" w:rsidRPr="00950FA1" w14:paraId="314200D3" w14:textId="77777777" w:rsidTr="00B476E9">
        <w:tc>
          <w:tcPr>
            <w:tcW w:w="5000" w:type="pct"/>
            <w:tcBorders>
              <w:top w:val="nil"/>
              <w:left w:val="nil"/>
              <w:bottom w:val="nil"/>
              <w:right w:val="nil"/>
            </w:tcBorders>
            <w:shd w:val="clear" w:color="auto" w:fill="F2F2F2" w:themeFill="background1" w:themeFillShade="F2"/>
            <w:tcMar>
              <w:left w:w="170" w:type="dxa"/>
              <w:right w:w="170" w:type="dxa"/>
            </w:tcMar>
          </w:tcPr>
          <w:p w14:paraId="6FAD532B" w14:textId="0020080A" w:rsidR="00950FA1" w:rsidRPr="00950FA1" w:rsidRDefault="001E57F4" w:rsidP="00FB35D4">
            <w:pPr>
              <w:pStyle w:val="Rec"/>
              <w:keepNext/>
            </w:pPr>
            <w:r>
              <w:t xml:space="preserve">The Australian Government </w:t>
            </w:r>
            <w:r w:rsidR="00950FA1" w:rsidRPr="00950FA1">
              <w:t xml:space="preserve">should </w:t>
            </w:r>
            <w:r>
              <w:t xml:space="preserve">change </w:t>
            </w:r>
            <w:r w:rsidR="007F4B73">
              <w:t xml:space="preserve">the </w:t>
            </w:r>
            <w:r w:rsidR="00950FA1" w:rsidRPr="00950FA1">
              <w:t>M</w:t>
            </w:r>
            <w:r w:rsidR="007F4B73">
              <w:t>edicare Benefits Schedule (MBS)</w:t>
            </w:r>
            <w:r w:rsidR="00950FA1" w:rsidRPr="00950FA1">
              <w:t xml:space="preserve"> to encourage more group therapy.</w:t>
            </w:r>
          </w:p>
          <w:p w14:paraId="675C81F8" w14:textId="77777777" w:rsidR="00950FA1" w:rsidRPr="00950FA1" w:rsidRDefault="002246D6" w:rsidP="00FB35D4">
            <w:pPr>
              <w:pStyle w:val="Rec"/>
              <w:keepNext/>
              <w:rPr>
                <w:i/>
              </w:rPr>
            </w:pPr>
            <w:r w:rsidRPr="002246D6">
              <w:rPr>
                <w:i/>
              </w:rPr>
              <w:t>Start now</w:t>
            </w:r>
          </w:p>
          <w:p w14:paraId="62F2EFEB" w14:textId="77777777" w:rsidR="00950FA1" w:rsidRPr="00112630" w:rsidRDefault="00950FA1" w:rsidP="00112630">
            <w:pPr>
              <w:pStyle w:val="RecBullet"/>
            </w:pPr>
            <w:r w:rsidRPr="00950FA1">
              <w:t xml:space="preserve">The Australian Government should change </w:t>
            </w:r>
            <w:r w:rsidR="007F4B73">
              <w:t>the MBS</w:t>
            </w:r>
            <w:r w:rsidRPr="00950FA1">
              <w:t xml:space="preserve"> so that group therapy is allowed with </w:t>
            </w:r>
            <w:r w:rsidRPr="00112630">
              <w:t xml:space="preserve">a minimum of 4 people (instead of 6 people), and with </w:t>
            </w:r>
            <w:r w:rsidR="00B476E9" w:rsidRPr="00112630">
              <w:t>fewer</w:t>
            </w:r>
            <w:r w:rsidRPr="00112630">
              <w:t xml:space="preserve"> than 4 people, as long as the course of group therapy began with at least 4 in the group.</w:t>
            </w:r>
          </w:p>
          <w:p w14:paraId="1CEAE8A2" w14:textId="77777777" w:rsidR="00950FA1" w:rsidRPr="00112630" w:rsidRDefault="00950FA1" w:rsidP="00112630">
            <w:pPr>
              <w:pStyle w:val="RecBullet"/>
            </w:pPr>
            <w:r w:rsidRPr="00112630">
              <w:t xml:space="preserve">The Australian Government should create new </w:t>
            </w:r>
            <w:r w:rsidR="007F4B73" w:rsidRPr="00112630">
              <w:t xml:space="preserve">MBS </w:t>
            </w:r>
            <w:r w:rsidRPr="00112630">
              <w:t>items for group sessions that run for ‘at least 90 minutes’ and ‘at least 120 minutes’.</w:t>
            </w:r>
          </w:p>
          <w:p w14:paraId="7AEB55A8" w14:textId="6425FBA4" w:rsidR="00950FA1" w:rsidRPr="00950FA1" w:rsidRDefault="00950FA1" w:rsidP="00112630">
            <w:pPr>
              <w:pStyle w:val="RecBullet"/>
            </w:pPr>
            <w:r w:rsidRPr="00112630">
              <w:t>The Australian Government should clarify that unless explicitly stated otherwise, referrals for MBS</w:t>
            </w:r>
            <w:r w:rsidRPr="00112630">
              <w:noBreakHyphen/>
              <w:t>rebated Psychological Therapy Services and Focused Psychological Strategies can be used for either group therapy or individual therapy</w:t>
            </w:r>
            <w:r w:rsidR="00CE7986" w:rsidRPr="00112630">
              <w:t> — </w:t>
            </w:r>
            <w:r w:rsidRPr="00112630">
              <w:t xml:space="preserve">at the discretion of </w:t>
            </w:r>
            <w:r w:rsidR="005F7422" w:rsidRPr="00112630">
              <w:t>the consumer</w:t>
            </w:r>
            <w:r w:rsidRPr="00112630">
              <w:t>, after discussion with the</w:t>
            </w:r>
            <w:r w:rsidR="005F7422" w:rsidRPr="00112630">
              <w:t>ir</w:t>
            </w:r>
            <w:r w:rsidRPr="00112630">
              <w:t xml:space="preserve"> </w:t>
            </w:r>
            <w:r w:rsidR="005F7422" w:rsidRPr="00112630">
              <w:t>referring clinician</w:t>
            </w:r>
            <w:r w:rsidRPr="00112630">
              <w:t>. The Government should communicate this to clinicians that refer to or provide these services</w:t>
            </w:r>
            <w:r w:rsidRPr="0039289F">
              <w:t xml:space="preserve">. </w:t>
            </w:r>
          </w:p>
        </w:tc>
      </w:tr>
      <w:tr w:rsidR="00FB35D4" w:rsidRPr="005F2477" w14:paraId="6DC4DE30" w14:textId="77777777" w:rsidTr="003B3426">
        <w:tblPrEx>
          <w:shd w:val="clear" w:color="auto" w:fill="auto"/>
        </w:tblPrEx>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0E04EB55" w14:textId="77777777" w:rsidR="00FB35D4" w:rsidRPr="005F2477" w:rsidRDefault="00FB35D4" w:rsidP="00FB35D4">
            <w:pPr>
              <w:keepNext/>
              <w:keepLines/>
              <w:spacing w:line="120" w:lineRule="exact"/>
              <w:jc w:val="both"/>
              <w:rPr>
                <w:rFonts w:ascii="Arial" w:hAnsi="Arial"/>
                <w:sz w:val="20"/>
                <w:szCs w:val="20"/>
              </w:rPr>
            </w:pPr>
          </w:p>
        </w:tc>
      </w:tr>
      <w:tr w:rsidR="00FB35D4" w:rsidRPr="005F2477" w14:paraId="18CC70AD" w14:textId="77777777" w:rsidTr="001A5E28">
        <w:tblPrEx>
          <w:shd w:val="clear" w:color="auto" w:fill="auto"/>
        </w:tblPrEx>
        <w:tc>
          <w:tcPr>
            <w:tcW w:w="5000" w:type="pct"/>
            <w:tcBorders>
              <w:top w:val="single" w:sz="6" w:space="0" w:color="78A22F"/>
              <w:left w:val="nil"/>
              <w:bottom w:val="nil"/>
              <w:right w:val="nil"/>
            </w:tcBorders>
            <w:tcMar>
              <w:left w:w="170" w:type="dxa"/>
              <w:right w:w="170" w:type="dxa"/>
            </w:tcMar>
          </w:tcPr>
          <w:p w14:paraId="348CCE20" w14:textId="77777777" w:rsidR="00FB35D4" w:rsidRPr="005F2477" w:rsidRDefault="00FB35D4" w:rsidP="00FB35D4">
            <w:pPr>
              <w:keepNext/>
              <w:keepLines/>
              <w:spacing w:before="60" w:after="60" w:line="80" w:lineRule="exact"/>
              <w:jc w:val="both"/>
              <w:rPr>
                <w:rFonts w:ascii="Arial" w:hAnsi="Arial"/>
                <w:sz w:val="14"/>
                <w:szCs w:val="20"/>
              </w:rPr>
            </w:pPr>
          </w:p>
        </w:tc>
      </w:tr>
    </w:tbl>
    <w:p w14:paraId="44869B7C" w14:textId="77777777" w:rsidR="004D7783" w:rsidRPr="004E3B94" w:rsidRDefault="004D7783" w:rsidP="004D778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4D7783" w:rsidRPr="005E64FD" w14:paraId="74798EB6" w14:textId="77777777" w:rsidTr="005028B3">
        <w:trPr>
          <w:tblHeader/>
        </w:trPr>
        <w:tc>
          <w:tcPr>
            <w:tcW w:w="5000" w:type="pct"/>
            <w:tcBorders>
              <w:top w:val="single" w:sz="6" w:space="0" w:color="78A22F"/>
              <w:left w:val="nil"/>
              <w:bottom w:val="nil"/>
              <w:right w:val="nil"/>
            </w:tcBorders>
            <w:shd w:val="clear" w:color="auto" w:fill="FFFFFF" w:themeFill="background1"/>
            <w:tcMar>
              <w:left w:w="170" w:type="dxa"/>
              <w:right w:w="170" w:type="dxa"/>
            </w:tcMar>
          </w:tcPr>
          <w:p w14:paraId="7B07C766" w14:textId="7A576042" w:rsidR="004D7783" w:rsidRPr="005E64FD" w:rsidRDefault="004D7783" w:rsidP="005028B3">
            <w:pPr>
              <w:pStyle w:val="RecTitle"/>
              <w:spacing w:before="120"/>
              <w:rPr>
                <w:b/>
                <w:color w:val="3B5117"/>
              </w:rPr>
            </w:pPr>
            <w:r w:rsidRPr="005E64FD">
              <w:rPr>
                <w:b/>
                <w:color w:val="3B5117"/>
              </w:rPr>
              <w:t>ACTION 12.2</w:t>
            </w:r>
            <w:r w:rsidR="00CE7986">
              <w:rPr>
                <w:b/>
                <w:color w:val="3B5117"/>
              </w:rPr>
              <w:t> — </w:t>
            </w:r>
            <w:r w:rsidRPr="005E64FD">
              <w:rPr>
                <w:b/>
                <w:color w:val="3B5117"/>
              </w:rPr>
              <w:t>psychological THERAPY and psychiatry by TELEHEALTH</w:t>
            </w:r>
          </w:p>
        </w:tc>
      </w:tr>
      <w:tr w:rsidR="004D7783" w:rsidRPr="00750BE2" w14:paraId="53AD1133" w14:textId="77777777" w:rsidTr="005028B3">
        <w:tc>
          <w:tcPr>
            <w:tcW w:w="5000" w:type="pct"/>
            <w:tcBorders>
              <w:top w:val="nil"/>
              <w:left w:val="nil"/>
              <w:bottom w:val="nil"/>
              <w:right w:val="nil"/>
            </w:tcBorders>
            <w:shd w:val="clear" w:color="auto" w:fill="F2F2F2" w:themeFill="background1" w:themeFillShade="F2"/>
            <w:tcMar>
              <w:left w:w="170" w:type="dxa"/>
              <w:right w:w="170" w:type="dxa"/>
            </w:tcMar>
          </w:tcPr>
          <w:p w14:paraId="7664C34A" w14:textId="77777777" w:rsidR="004D7783" w:rsidRPr="00912E96" w:rsidRDefault="004D7783" w:rsidP="005028B3">
            <w:pPr>
              <w:pStyle w:val="Rec"/>
              <w:keepNext/>
            </w:pPr>
            <w:r w:rsidRPr="00912E96">
              <w:t xml:space="preserve">Widening access to </w:t>
            </w:r>
            <w:r>
              <w:t>psychological therapy and psychiatry</w:t>
            </w:r>
            <w:r w:rsidRPr="00912E96">
              <w:t xml:space="preserve"> by videoconference</w:t>
            </w:r>
            <w:r>
              <w:t xml:space="preserve"> and telephone would offer significant benefits for consumers.</w:t>
            </w:r>
          </w:p>
          <w:p w14:paraId="12A4F2BC" w14:textId="77777777" w:rsidR="004D7783" w:rsidRPr="009558A9" w:rsidRDefault="004D7783" w:rsidP="005028B3">
            <w:pPr>
              <w:pStyle w:val="Rec"/>
              <w:keepNext/>
              <w:rPr>
                <w:i/>
              </w:rPr>
            </w:pPr>
            <w:r w:rsidRPr="002246D6">
              <w:rPr>
                <w:i/>
              </w:rPr>
              <w:t>Start now</w:t>
            </w:r>
          </w:p>
          <w:p w14:paraId="5D00CBB8" w14:textId="77777777" w:rsidR="004D7783" w:rsidRDefault="004D7783" w:rsidP="00AB09C7">
            <w:pPr>
              <w:pStyle w:val="RecBullet"/>
            </w:pPr>
            <w:r>
              <w:t>The Australian Government should make permanent the MBS items introduced during the COVID</w:t>
            </w:r>
            <w:r>
              <w:noBreakHyphen/>
              <w:t>19 pandemic that allowed people in any part of Australia to access:</w:t>
            </w:r>
          </w:p>
          <w:p w14:paraId="02943F3E" w14:textId="61FA1D75" w:rsidR="004D7783" w:rsidRDefault="004D7783" w:rsidP="00291482">
            <w:pPr>
              <w:pStyle w:val="BoxListBullet2"/>
              <w:tabs>
                <w:tab w:val="clear" w:pos="567"/>
              </w:tabs>
              <w:ind w:left="680" w:hanging="340"/>
            </w:pPr>
            <w:r>
              <w:t xml:space="preserve">MBS-rebated </w:t>
            </w:r>
            <w:r w:rsidR="00B73049">
              <w:t>F</w:t>
            </w:r>
            <w:r>
              <w:t>ocused Psychological Therapies and Psychological Therapy Services by videoconference and by telephone from clinical and registered psychologists, and credentialed social workers, occupational therapists, GPs and other medical practitioners</w:t>
            </w:r>
          </w:p>
          <w:p w14:paraId="0C4AE87F" w14:textId="6174EB78" w:rsidR="004D7783" w:rsidRDefault="004D7783" w:rsidP="00291482">
            <w:pPr>
              <w:pStyle w:val="BoxListBullet2"/>
              <w:tabs>
                <w:tab w:val="clear" w:pos="567"/>
              </w:tabs>
              <w:ind w:left="680" w:hanging="340"/>
            </w:pPr>
            <w:r>
              <w:t xml:space="preserve">certain MBS-rebated psychiatric services by videoconference </w:t>
            </w:r>
            <w:r w:rsidR="00B73049" w:rsidRPr="00B36AA0">
              <w:rPr>
                <w:szCs w:val="22"/>
              </w:rPr>
              <w:t>(and by telephone where videoconference is unavailable)</w:t>
            </w:r>
            <w:r>
              <w:t>.</w:t>
            </w:r>
          </w:p>
          <w:p w14:paraId="30C601BE" w14:textId="418F0996" w:rsidR="004D7783" w:rsidRDefault="00E540B0" w:rsidP="00AB09C7">
            <w:pPr>
              <w:pStyle w:val="RecBullet"/>
            </w:pPr>
            <w:r>
              <w:t>S</w:t>
            </w:r>
            <w:r w:rsidR="004D7783">
              <w:t xml:space="preserve">tandard </w:t>
            </w:r>
            <w:r>
              <w:t>psychiatry</w:t>
            </w:r>
            <w:r w:rsidR="004D7783">
              <w:t xml:space="preserve"> consultations by videoconference and phone should be limited to 12 MBS-rebated consultations per year. </w:t>
            </w:r>
          </w:p>
          <w:p w14:paraId="373DA9EF" w14:textId="34401E43" w:rsidR="004D7783" w:rsidRDefault="004D7783" w:rsidP="00AB09C7">
            <w:pPr>
              <w:pStyle w:val="RecBullet"/>
            </w:pPr>
            <w:r w:rsidRPr="003A226D">
              <w:t xml:space="preserve">These </w:t>
            </w:r>
            <w:r w:rsidR="00B73049">
              <w:t xml:space="preserve">new </w:t>
            </w:r>
            <w:r>
              <w:t xml:space="preserve">MBS </w:t>
            </w:r>
            <w:r w:rsidRPr="003A226D">
              <w:t>items</w:t>
            </w:r>
            <w:r w:rsidR="00CE7986">
              <w:t> — </w:t>
            </w:r>
            <w:r w:rsidRPr="003A226D">
              <w:t>which expand access to telehealth</w:t>
            </w:r>
            <w:r w:rsidR="00CE7986">
              <w:t> — </w:t>
            </w:r>
            <w:r w:rsidRPr="003A226D">
              <w:t>should replace existing telehealth items</w:t>
            </w:r>
            <w:r w:rsidR="0047372D">
              <w:t xml:space="preserve">, </w:t>
            </w:r>
            <w:r w:rsidR="0047372D" w:rsidRPr="00AB09C7">
              <w:t>including those that provide higher rebates to psychiatrists for telehealth services than for face-to-face services</w:t>
            </w:r>
            <w:r w:rsidRPr="003A226D">
              <w:t>.</w:t>
            </w:r>
          </w:p>
        </w:tc>
      </w:tr>
      <w:tr w:rsidR="004D7783" w14:paraId="23BE662D"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3179ABBE" w14:textId="77777777" w:rsidR="004D7783" w:rsidRDefault="004D7783" w:rsidP="005028B3">
            <w:pPr>
              <w:pStyle w:val="Space"/>
              <w:keepLines/>
            </w:pPr>
          </w:p>
        </w:tc>
      </w:tr>
      <w:tr w:rsidR="004D7783" w:rsidRPr="000863A5" w14:paraId="12669574" w14:textId="77777777" w:rsidTr="005028B3">
        <w:tc>
          <w:tcPr>
            <w:tcW w:w="5000" w:type="pct"/>
            <w:tcBorders>
              <w:top w:val="single" w:sz="6" w:space="0" w:color="78A22F"/>
              <w:left w:val="nil"/>
              <w:bottom w:val="nil"/>
              <w:right w:val="nil"/>
            </w:tcBorders>
            <w:tcMar>
              <w:left w:w="170" w:type="dxa"/>
              <w:right w:w="170" w:type="dxa"/>
            </w:tcMar>
          </w:tcPr>
          <w:p w14:paraId="5A629121" w14:textId="77777777" w:rsidR="004D7783" w:rsidRPr="00626D32" w:rsidRDefault="004D7783" w:rsidP="005028B3">
            <w:pPr>
              <w:pStyle w:val="BoxSpaceBelow"/>
              <w:keepLines/>
            </w:pPr>
          </w:p>
        </w:tc>
      </w:tr>
    </w:tbl>
    <w:p w14:paraId="3B7A981C" w14:textId="77777777" w:rsidR="00CE7986" w:rsidRDefault="00CE7986" w:rsidP="00F00D7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347683" w:rsidRPr="005E64FD" w14:paraId="58B669F9" w14:textId="77777777" w:rsidTr="006311FC">
        <w:trPr>
          <w:tblHeader/>
        </w:trPr>
        <w:tc>
          <w:tcPr>
            <w:tcW w:w="5000" w:type="pct"/>
            <w:tcBorders>
              <w:top w:val="single" w:sz="6" w:space="0" w:color="78A22F"/>
              <w:left w:val="nil"/>
              <w:bottom w:val="nil"/>
              <w:right w:val="nil"/>
            </w:tcBorders>
            <w:shd w:val="clear" w:color="auto" w:fill="FFFFFF" w:themeFill="background1"/>
            <w:tcMar>
              <w:left w:w="170" w:type="dxa"/>
              <w:right w:w="170" w:type="dxa"/>
            </w:tcMar>
          </w:tcPr>
          <w:p w14:paraId="370BBF4B" w14:textId="14B1CFCB" w:rsidR="00347683" w:rsidRPr="005E64FD" w:rsidRDefault="00155092" w:rsidP="00CE7986">
            <w:pPr>
              <w:pStyle w:val="RecTitle"/>
              <w:spacing w:before="120"/>
              <w:rPr>
                <w:b/>
                <w:color w:val="3B5117"/>
              </w:rPr>
            </w:pPr>
            <w:r w:rsidRPr="005E64FD">
              <w:rPr>
                <w:b/>
                <w:color w:val="3B5117"/>
              </w:rPr>
              <w:t xml:space="preserve">ACTION </w:t>
            </w:r>
            <w:r w:rsidR="00CA1A76" w:rsidRPr="005E64FD">
              <w:rPr>
                <w:b/>
                <w:color w:val="3B5117"/>
              </w:rPr>
              <w:t>1</w:t>
            </w:r>
            <w:r w:rsidR="00347683" w:rsidRPr="005E64FD">
              <w:rPr>
                <w:b/>
                <w:color w:val="3B5117"/>
              </w:rPr>
              <w:fldChar w:fldCharType="begin"/>
            </w:r>
            <w:r w:rsidR="00347683" w:rsidRPr="005E64FD">
              <w:rPr>
                <w:b/>
                <w:color w:val="3B5117"/>
              </w:rPr>
              <w:instrText xml:space="preserve"> COMMENTS  \* MERGEFORMAT </w:instrText>
            </w:r>
            <w:r w:rsidR="00347683" w:rsidRPr="005E64FD">
              <w:rPr>
                <w:b/>
                <w:color w:val="3B5117"/>
              </w:rPr>
              <w:fldChar w:fldCharType="end"/>
            </w:r>
            <w:r w:rsidR="00D27EC6" w:rsidRPr="005E64FD">
              <w:rPr>
                <w:b/>
                <w:color w:val="3B5117"/>
              </w:rPr>
              <w:t>2.3</w:t>
            </w:r>
            <w:r w:rsidR="00CE7986">
              <w:rPr>
                <w:b/>
                <w:color w:val="3B5117"/>
              </w:rPr>
              <w:t> — </w:t>
            </w:r>
            <w:r w:rsidR="00347683" w:rsidRPr="005E64FD">
              <w:rPr>
                <w:b/>
                <w:color w:val="3B5117"/>
              </w:rPr>
              <w:t>psychological therapy</w:t>
            </w:r>
            <w:r w:rsidR="00D27EC6" w:rsidRPr="005E64FD">
              <w:rPr>
                <w:b/>
                <w:color w:val="3B5117"/>
              </w:rPr>
              <w:t xml:space="preserve"> </w:t>
            </w:r>
            <w:r w:rsidR="00B73049">
              <w:rPr>
                <w:b/>
                <w:color w:val="3B5117"/>
              </w:rPr>
              <w:t xml:space="preserve">trials </w:t>
            </w:r>
            <w:r w:rsidR="00D27EC6" w:rsidRPr="005E64FD">
              <w:rPr>
                <w:b/>
                <w:color w:val="3B5117"/>
              </w:rPr>
              <w:t>and evaluation</w:t>
            </w:r>
          </w:p>
        </w:tc>
      </w:tr>
      <w:tr w:rsidR="00347683" w:rsidRPr="00347683" w14:paraId="404E7F8A" w14:textId="77777777" w:rsidTr="006311FC">
        <w:tc>
          <w:tcPr>
            <w:tcW w:w="5000" w:type="pct"/>
            <w:tcBorders>
              <w:top w:val="nil"/>
              <w:left w:val="nil"/>
              <w:bottom w:val="nil"/>
              <w:right w:val="nil"/>
            </w:tcBorders>
            <w:shd w:val="clear" w:color="auto" w:fill="F2F2F2" w:themeFill="background1" w:themeFillShade="F2"/>
            <w:tcMar>
              <w:left w:w="170" w:type="dxa"/>
              <w:right w:w="170" w:type="dxa"/>
            </w:tcMar>
          </w:tcPr>
          <w:p w14:paraId="690C6B78" w14:textId="77777777" w:rsidR="00347683" w:rsidRPr="00347683" w:rsidRDefault="00347683" w:rsidP="00C26DD8">
            <w:pPr>
              <w:pStyle w:val="Rec"/>
              <w:keepNext/>
            </w:pPr>
            <w:r w:rsidRPr="00347683">
              <w:t>MBS</w:t>
            </w:r>
            <w:r w:rsidRPr="00347683">
              <w:noBreakHyphen/>
              <w:t>rebated psychological therapy should be evaluated, and additional sessions trialled.</w:t>
            </w:r>
          </w:p>
          <w:p w14:paraId="1C83B7A8" w14:textId="77777777" w:rsidR="00347683" w:rsidRPr="00347683" w:rsidRDefault="002246D6" w:rsidP="00C26DD8">
            <w:pPr>
              <w:pStyle w:val="Rec"/>
              <w:keepNext/>
              <w:rPr>
                <w:i/>
              </w:rPr>
            </w:pPr>
            <w:r w:rsidRPr="002246D6">
              <w:rPr>
                <w:i/>
              </w:rPr>
              <w:t>Start now</w:t>
            </w:r>
          </w:p>
          <w:p w14:paraId="341621F9" w14:textId="77777777" w:rsidR="00B73049" w:rsidRPr="00B73466" w:rsidRDefault="00B73049" w:rsidP="00B73049">
            <w:pPr>
              <w:pStyle w:val="Rec"/>
            </w:pPr>
            <w:r w:rsidRPr="00CD43D8">
              <w:t>The Australian Government should commission an evaluation of the effectiveness of MBS</w:t>
            </w:r>
            <w:r w:rsidRPr="00CD43D8">
              <w:noBreakHyphen/>
              <w:t xml:space="preserve">rebated psychological therapy. </w:t>
            </w:r>
            <w:r w:rsidRPr="00AC3D2C">
              <w:t>The evaluation should consider the effectiveness of therapy delivered in different ways (including group therapy and telehealth), and should include a long</w:t>
            </w:r>
            <w:r w:rsidRPr="00AC3D2C">
              <w:noBreakHyphen/>
              <w:t>term follow</w:t>
            </w:r>
            <w:r w:rsidRPr="00AC3D2C">
              <w:noBreakHyphen/>
              <w:t>up.</w:t>
            </w:r>
          </w:p>
          <w:p w14:paraId="50220CD9" w14:textId="77777777" w:rsidR="00B73049" w:rsidRPr="00A077EB" w:rsidRDefault="00B73049" w:rsidP="00B73049">
            <w:pPr>
              <w:pStyle w:val="Rec"/>
            </w:pPr>
            <w:r w:rsidRPr="00B73466">
              <w:t>As part of this evaluation, the Australian Government should trial:</w:t>
            </w:r>
          </w:p>
          <w:p w14:paraId="4553ADEF" w14:textId="77777777" w:rsidR="00B73049" w:rsidRDefault="00B73049" w:rsidP="00B73049">
            <w:pPr>
              <w:pStyle w:val="RecBullet"/>
            </w:pPr>
            <w:r w:rsidRPr="00CD43D8">
              <w:t xml:space="preserve">allowing consumers to </w:t>
            </w:r>
            <w:r>
              <w:t>choose to access</w:t>
            </w:r>
            <w:r w:rsidRPr="00CD43D8">
              <w:t xml:space="preserve"> up to 20 </w:t>
            </w:r>
            <w:r>
              <w:t xml:space="preserve">MBS-rebated </w:t>
            </w:r>
            <w:r w:rsidRPr="00CD43D8">
              <w:t xml:space="preserve">sessions of individual or group therapy over </w:t>
            </w:r>
            <w:r>
              <w:t>a 12</w:t>
            </w:r>
            <w:r>
              <w:noBreakHyphen/>
            </w:r>
            <w:r w:rsidRPr="00CD43D8">
              <w:t>month period, if their clinical condition has been assessed as requiring mor</w:t>
            </w:r>
            <w:r>
              <w:t>e than the current 10 MBS-rebated sessions</w:t>
            </w:r>
          </w:p>
          <w:p w14:paraId="36448024" w14:textId="77777777" w:rsidR="00B73049" w:rsidRPr="00CF45D3" w:rsidRDefault="00B73049" w:rsidP="00B73049">
            <w:pPr>
              <w:pStyle w:val="RecBullet"/>
            </w:pPr>
            <w:r w:rsidRPr="00CD43D8">
              <w:t>allow referring clinicians to delay the need for re</w:t>
            </w:r>
            <w:r w:rsidRPr="00CD43D8">
              <w:noBreakHyphen/>
              <w:t>referral of a consumer to be after the first 10 sessio</w:t>
            </w:r>
            <w:r>
              <w:t>ns rather than after 6 MBS-rebated sessions</w:t>
            </w:r>
          </w:p>
          <w:p w14:paraId="7CF4C881" w14:textId="71718776" w:rsidR="00B73049" w:rsidRDefault="00B73049" w:rsidP="00B73049">
            <w:pPr>
              <w:pStyle w:val="RecBullet"/>
            </w:pPr>
            <w:r>
              <w:t>the use of</w:t>
            </w:r>
            <w:r w:rsidRPr="00CD43D8">
              <w:t xml:space="preserve"> feedback</w:t>
            </w:r>
            <w:r>
              <w:noBreakHyphen/>
            </w:r>
            <w:r w:rsidRPr="00CD43D8">
              <w:t>informed practice</w:t>
            </w:r>
            <w:r w:rsidR="00E540B0">
              <w:t>.</w:t>
            </w:r>
          </w:p>
          <w:p w14:paraId="55BCFE7D" w14:textId="77777777" w:rsidR="00B73049" w:rsidRPr="00CD43D8" w:rsidRDefault="00B73049" w:rsidP="00B73049">
            <w:pPr>
              <w:pStyle w:val="Rec"/>
            </w:pPr>
            <w:r>
              <w:t>Prior to the evaluation, t</w:t>
            </w:r>
            <w:r w:rsidRPr="00CD43D8">
              <w:t>he Australian Government should change the MBS so that the maximum number of sessions of MBS</w:t>
            </w:r>
            <w:r w:rsidRPr="00CD43D8">
              <w:noBreakHyphen/>
              <w:t>rebated psychological therapy (Psychological Therapy Services and Focused Psychological Strategies) is per 12</w:t>
            </w:r>
            <w:r w:rsidRPr="00CD43D8">
              <w:noBreakHyphen/>
              <w:t>month period, as opposed to per calendar year.</w:t>
            </w:r>
          </w:p>
          <w:p w14:paraId="55711DBA" w14:textId="77777777" w:rsidR="00347683" w:rsidRPr="00347683" w:rsidRDefault="002246D6" w:rsidP="00C26DD8">
            <w:pPr>
              <w:pStyle w:val="Rec"/>
              <w:keepNext/>
              <w:rPr>
                <w:i/>
              </w:rPr>
            </w:pPr>
            <w:r w:rsidRPr="002246D6">
              <w:rPr>
                <w:i/>
              </w:rPr>
              <w:t>Start later</w:t>
            </w:r>
          </w:p>
          <w:p w14:paraId="6F8E4734" w14:textId="79CBCADE" w:rsidR="00347683" w:rsidRPr="00347683" w:rsidRDefault="00347683" w:rsidP="00C26DD8">
            <w:pPr>
              <w:pStyle w:val="Rec"/>
              <w:keepNext/>
            </w:pPr>
            <w:r w:rsidRPr="00347683">
              <w:t>Based on the results of these trials and evaluation, the Australian Governm</w:t>
            </w:r>
            <w:r w:rsidR="004A6589">
              <w:t xml:space="preserve">ent should determine whether to </w:t>
            </w:r>
            <w:r w:rsidRPr="00347683">
              <w:t>roll ou</w:t>
            </w:r>
            <w:r w:rsidR="004A6589">
              <w:t xml:space="preserve">t </w:t>
            </w:r>
            <w:r w:rsidR="005F7422">
              <w:t xml:space="preserve">the above </w:t>
            </w:r>
            <w:r w:rsidR="004A6589">
              <w:t>changes</w:t>
            </w:r>
            <w:r w:rsidR="005F7422">
              <w:t xml:space="preserve"> to the MBS</w:t>
            </w:r>
            <w:r w:rsidR="004A6589">
              <w:t xml:space="preserve"> more widel</w:t>
            </w:r>
            <w:r w:rsidR="00DF190B">
              <w:t>y</w:t>
            </w:r>
            <w:r w:rsidR="00B73049">
              <w:t>.</w:t>
            </w:r>
          </w:p>
        </w:tc>
      </w:tr>
      <w:tr w:rsidR="00347683" w:rsidRPr="00347683" w14:paraId="237B5C5F"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1E7FAF78" w14:textId="77777777" w:rsidR="00347683" w:rsidRPr="00347683" w:rsidRDefault="00347683" w:rsidP="00C26DD8">
            <w:pPr>
              <w:keepNext/>
              <w:keepLines/>
              <w:spacing w:line="120" w:lineRule="exact"/>
              <w:jc w:val="both"/>
              <w:rPr>
                <w:rFonts w:ascii="Arial" w:hAnsi="Arial"/>
                <w:sz w:val="20"/>
                <w:szCs w:val="20"/>
              </w:rPr>
            </w:pPr>
          </w:p>
        </w:tc>
      </w:tr>
      <w:tr w:rsidR="00347683" w:rsidRPr="00347683" w14:paraId="095BE6A2" w14:textId="77777777" w:rsidTr="00347683">
        <w:tc>
          <w:tcPr>
            <w:tcW w:w="5000" w:type="pct"/>
            <w:tcBorders>
              <w:top w:val="single" w:sz="6" w:space="0" w:color="78A22F"/>
              <w:left w:val="nil"/>
              <w:bottom w:val="nil"/>
              <w:right w:val="nil"/>
            </w:tcBorders>
            <w:tcMar>
              <w:left w:w="170" w:type="dxa"/>
              <w:right w:w="170" w:type="dxa"/>
            </w:tcMar>
          </w:tcPr>
          <w:p w14:paraId="4E9370D1" w14:textId="6F9818AE" w:rsidR="00347683" w:rsidRPr="00347683" w:rsidRDefault="00347683" w:rsidP="00C26DD8">
            <w:pPr>
              <w:spacing w:before="60" w:after="60" w:line="80" w:lineRule="exact"/>
              <w:jc w:val="both"/>
              <w:rPr>
                <w:rFonts w:ascii="Arial" w:hAnsi="Arial"/>
                <w:sz w:val="14"/>
                <w:szCs w:val="20"/>
              </w:rPr>
            </w:pPr>
          </w:p>
        </w:tc>
      </w:tr>
    </w:tbl>
    <w:p w14:paraId="19A98A1D" w14:textId="77777777" w:rsidR="004D7783" w:rsidRPr="004E3B94" w:rsidRDefault="004D7783" w:rsidP="0009494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09494C" w:rsidRPr="005E64FD" w14:paraId="582758CD" w14:textId="77777777" w:rsidTr="00472798">
        <w:trPr>
          <w:tblHeader/>
        </w:trPr>
        <w:tc>
          <w:tcPr>
            <w:tcW w:w="5000" w:type="pct"/>
            <w:tcBorders>
              <w:top w:val="single" w:sz="6" w:space="0" w:color="78A22F"/>
              <w:left w:val="nil"/>
              <w:bottom w:val="nil"/>
              <w:right w:val="nil"/>
            </w:tcBorders>
            <w:shd w:val="clear" w:color="auto" w:fill="FFFFFF" w:themeFill="background1"/>
            <w:tcMar>
              <w:left w:w="170" w:type="dxa"/>
              <w:right w:w="170" w:type="dxa"/>
            </w:tcMar>
          </w:tcPr>
          <w:p w14:paraId="23FA65FD" w14:textId="594369CC" w:rsidR="0009494C" w:rsidRPr="005E64FD" w:rsidRDefault="00155092" w:rsidP="00B73049">
            <w:pPr>
              <w:pStyle w:val="RecTitle"/>
              <w:spacing w:before="120"/>
              <w:rPr>
                <w:b/>
                <w:color w:val="3B5117"/>
              </w:rPr>
            </w:pPr>
            <w:r w:rsidRPr="005E64FD">
              <w:rPr>
                <w:b/>
                <w:color w:val="3B5117"/>
              </w:rPr>
              <w:t xml:space="preserve">ACTION </w:t>
            </w:r>
            <w:r w:rsidR="00CA1A76" w:rsidRPr="005E64FD">
              <w:rPr>
                <w:b/>
                <w:color w:val="3B5117"/>
              </w:rPr>
              <w:t>12</w:t>
            </w:r>
            <w:r w:rsidR="00D27EC6" w:rsidRPr="005E64FD">
              <w:rPr>
                <w:b/>
                <w:color w:val="3B5117"/>
              </w:rPr>
              <w:t>.4</w:t>
            </w:r>
            <w:r w:rsidR="00CE7986">
              <w:rPr>
                <w:b/>
                <w:color w:val="3B5117"/>
              </w:rPr>
              <w:t> — </w:t>
            </w:r>
            <w:r w:rsidR="0009494C" w:rsidRPr="005E64FD">
              <w:rPr>
                <w:b/>
                <w:color w:val="3B5117"/>
              </w:rPr>
              <w:t xml:space="preserve">DELIVERING COMMUNITY </w:t>
            </w:r>
            <w:r w:rsidR="00B73049">
              <w:rPr>
                <w:b/>
                <w:color w:val="3B5117"/>
              </w:rPr>
              <w:t>ambulatory</w:t>
            </w:r>
            <w:r w:rsidR="0009494C" w:rsidRPr="005E64FD">
              <w:rPr>
                <w:b/>
                <w:color w:val="3B5117"/>
              </w:rPr>
              <w:t xml:space="preserve"> SERVICES</w:t>
            </w:r>
          </w:p>
        </w:tc>
      </w:tr>
      <w:tr w:rsidR="0009494C" w:rsidRPr="00750BE2" w14:paraId="045D0CD8" w14:textId="77777777" w:rsidTr="00472798">
        <w:tc>
          <w:tcPr>
            <w:tcW w:w="5000" w:type="pct"/>
            <w:tcBorders>
              <w:top w:val="nil"/>
              <w:left w:val="nil"/>
              <w:bottom w:val="nil"/>
              <w:right w:val="nil"/>
            </w:tcBorders>
            <w:shd w:val="clear" w:color="auto" w:fill="F2F2F2" w:themeFill="background1" w:themeFillShade="F2"/>
            <w:tcMar>
              <w:left w:w="170" w:type="dxa"/>
              <w:right w:w="170" w:type="dxa"/>
            </w:tcMar>
          </w:tcPr>
          <w:p w14:paraId="78868BA8" w14:textId="77777777" w:rsidR="0009494C" w:rsidRPr="002D3305" w:rsidRDefault="0009494C" w:rsidP="00BC48C9">
            <w:pPr>
              <w:pStyle w:val="Rec"/>
              <w:keepNext/>
            </w:pPr>
            <w:r>
              <w:t xml:space="preserve">Across Australia, community ambulatory services </w:t>
            </w:r>
            <w:r w:rsidR="005365C0" w:rsidRPr="009B5098">
              <w:t>fall well short of population needs.</w:t>
            </w:r>
            <w:r w:rsidR="005365C0">
              <w:t xml:space="preserve"> Addressing this shortfall requires both more resources and greater productivity.</w:t>
            </w:r>
          </w:p>
          <w:p w14:paraId="5CA8AE68" w14:textId="77777777" w:rsidR="0009494C" w:rsidRPr="007F14BC" w:rsidRDefault="00C833C5" w:rsidP="00BC48C9">
            <w:pPr>
              <w:pStyle w:val="Rec"/>
              <w:keepNext/>
              <w:rPr>
                <w:i/>
              </w:rPr>
            </w:pPr>
            <w:r>
              <w:rPr>
                <w:i/>
              </w:rPr>
              <w:t>Start now</w:t>
            </w:r>
          </w:p>
          <w:p w14:paraId="03BDEA9F" w14:textId="77777777" w:rsidR="00CC55DB" w:rsidRPr="009E7B0F" w:rsidRDefault="00CC55DB" w:rsidP="00CC55DB">
            <w:pPr>
              <w:pStyle w:val="RecBullet"/>
            </w:pPr>
            <w:r w:rsidRPr="009E7B0F">
              <w:t>State and Territory Governments should investigate and address the reasons for the disparity between the amount of time that community ambulatory clinical staff in their jurisdiction actually spend on consumer</w:t>
            </w:r>
            <w:r w:rsidRPr="009E7B0F">
              <w:noBreakHyphen/>
              <w:t>related activities, and what is considered optimal (assumed to be 67% in the National Mental Health Service Planning Framework).</w:t>
            </w:r>
          </w:p>
          <w:p w14:paraId="0C31BC48" w14:textId="108FB0A7" w:rsidR="00E042DD" w:rsidRPr="009E7B0F" w:rsidRDefault="00E042DD" w:rsidP="00CC55DB">
            <w:pPr>
              <w:pStyle w:val="RecBullet"/>
            </w:pPr>
            <w:r>
              <w:t>The</w:t>
            </w:r>
            <w:r w:rsidRPr="00EC54D0">
              <w:t xml:space="preserve"> </w:t>
            </w:r>
            <w:r>
              <w:t>Australian Institute of Health and Welfare</w:t>
            </w:r>
            <w:r w:rsidRPr="00EC54D0">
              <w:t xml:space="preserve"> should estimate</w:t>
            </w:r>
            <w:r>
              <w:t xml:space="preserve"> and make public the shortfalls in </w:t>
            </w:r>
            <w:r w:rsidRPr="009E7B0F">
              <w:t xml:space="preserve">specialist mental health community ambulatory services </w:t>
            </w:r>
            <w:r>
              <w:t>for each State and Territory, with the agreement of these jurisdictions</w:t>
            </w:r>
            <w:r w:rsidRPr="00EC54D0">
              <w:t>.</w:t>
            </w:r>
          </w:p>
          <w:p w14:paraId="290D7563" w14:textId="4CD87E9C" w:rsidR="0009494C" w:rsidRDefault="00CC55DB" w:rsidP="00CC55DB">
            <w:pPr>
              <w:pStyle w:val="RecBullet"/>
            </w:pPr>
            <w:r w:rsidRPr="009E7B0F">
              <w:t>State and Territory Governments, with support from the Australian Government, should, over time, increase funding for these services to the level required to meet population needs.</w:t>
            </w:r>
          </w:p>
        </w:tc>
      </w:tr>
      <w:tr w:rsidR="0009494C" w14:paraId="3BB36919"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00C25E97" w14:textId="77777777" w:rsidR="0009494C" w:rsidRDefault="0009494C" w:rsidP="00BC48C9">
            <w:pPr>
              <w:pStyle w:val="Space"/>
              <w:keepLines/>
            </w:pPr>
          </w:p>
        </w:tc>
      </w:tr>
      <w:tr w:rsidR="0009494C" w:rsidRPr="000863A5" w14:paraId="1238433A" w14:textId="77777777" w:rsidTr="00BC48C9">
        <w:tc>
          <w:tcPr>
            <w:tcW w:w="5000" w:type="pct"/>
            <w:tcBorders>
              <w:top w:val="single" w:sz="6" w:space="0" w:color="78A22F"/>
              <w:left w:val="nil"/>
              <w:bottom w:val="nil"/>
              <w:right w:val="nil"/>
            </w:tcBorders>
            <w:tcMar>
              <w:left w:w="170" w:type="dxa"/>
              <w:right w:w="170" w:type="dxa"/>
            </w:tcMar>
          </w:tcPr>
          <w:p w14:paraId="6CD3BE4B" w14:textId="11E8CBEE" w:rsidR="0009494C" w:rsidRPr="00626D32" w:rsidRDefault="0009494C" w:rsidP="00BC48C9">
            <w:pPr>
              <w:pStyle w:val="BoxSpaceBelow"/>
              <w:keepLines/>
            </w:pPr>
          </w:p>
        </w:tc>
      </w:tr>
    </w:tbl>
    <w:p w14:paraId="4825D6FB" w14:textId="204F0839" w:rsidR="00CE1144" w:rsidRDefault="00CE1144" w:rsidP="00CE1144">
      <w:pPr>
        <w:pStyle w:val="Heading3"/>
      </w:pPr>
      <w:r>
        <w:lastRenderedPageBreak/>
        <w:t>Mental healthcare for people in crisis</w:t>
      </w:r>
    </w:p>
    <w:p w14:paraId="17DC743E" w14:textId="77777777" w:rsidR="00D41518" w:rsidRPr="00D41518" w:rsidRDefault="00D41518" w:rsidP="00C26DD8">
      <w:pPr>
        <w:pStyle w:val="BoxSpaceAbove"/>
        <w:keepLines/>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D41518" w:rsidRPr="005E64FD" w14:paraId="3EF4F19F" w14:textId="77777777" w:rsidTr="00462628">
        <w:trPr>
          <w:tblHeader/>
        </w:trPr>
        <w:tc>
          <w:tcPr>
            <w:tcW w:w="5000" w:type="pct"/>
            <w:tcBorders>
              <w:top w:val="single" w:sz="6" w:space="0" w:color="78A22F"/>
              <w:left w:val="nil"/>
              <w:bottom w:val="nil"/>
              <w:right w:val="nil"/>
            </w:tcBorders>
            <w:shd w:val="clear" w:color="auto" w:fill="FFFFFF"/>
            <w:tcMar>
              <w:left w:w="170" w:type="dxa"/>
              <w:right w:w="170" w:type="dxa"/>
            </w:tcMar>
          </w:tcPr>
          <w:p w14:paraId="7F641E8D" w14:textId="1EB89B87" w:rsidR="00D41518" w:rsidRPr="005E64FD" w:rsidRDefault="007968ED" w:rsidP="005E64FD">
            <w:pPr>
              <w:pStyle w:val="RecTitle"/>
              <w:spacing w:before="120"/>
              <w:rPr>
                <w:b/>
                <w:color w:val="3B5117"/>
              </w:rPr>
            </w:pPr>
            <w:r w:rsidRPr="005E64FD">
              <w:rPr>
                <w:b/>
                <w:color w:val="3B5117"/>
              </w:rPr>
              <w:t xml:space="preserve">ACtion </w:t>
            </w:r>
            <w:r w:rsidR="00CA1A76" w:rsidRPr="005E64FD">
              <w:rPr>
                <w:b/>
                <w:color w:val="3B5117"/>
              </w:rPr>
              <w:t>13</w:t>
            </w:r>
            <w:r w:rsidR="00D41518" w:rsidRPr="005E64FD">
              <w:rPr>
                <w:b/>
                <w:color w:val="3B5117"/>
              </w:rPr>
              <w:t>.1</w:t>
            </w:r>
            <w:r w:rsidR="00CE7986">
              <w:rPr>
                <w:b/>
                <w:color w:val="3B5117"/>
              </w:rPr>
              <w:t> — </w:t>
            </w:r>
            <w:r w:rsidR="00D41518" w:rsidRPr="005E64FD">
              <w:rPr>
                <w:b/>
                <w:color w:val="3B5117"/>
              </w:rPr>
              <w:t>Improve emergency mental health service experiences</w:t>
            </w:r>
          </w:p>
        </w:tc>
      </w:tr>
      <w:tr w:rsidR="00D41518" w:rsidRPr="00D41518" w14:paraId="6B9875B0" w14:textId="77777777" w:rsidTr="00462628">
        <w:tc>
          <w:tcPr>
            <w:tcW w:w="5000" w:type="pct"/>
            <w:tcBorders>
              <w:top w:val="nil"/>
              <w:left w:val="nil"/>
              <w:bottom w:val="nil"/>
              <w:right w:val="nil"/>
            </w:tcBorders>
            <w:shd w:val="clear" w:color="auto" w:fill="F2F2F2"/>
            <w:tcMar>
              <w:left w:w="170" w:type="dxa"/>
              <w:right w:w="170" w:type="dxa"/>
            </w:tcMar>
          </w:tcPr>
          <w:p w14:paraId="17A59335" w14:textId="39C284D2" w:rsidR="00E304C4" w:rsidRPr="009F772F" w:rsidRDefault="00E304C4" w:rsidP="00C26DD8">
            <w:pPr>
              <w:pStyle w:val="Rec"/>
              <w:keepNext/>
            </w:pPr>
            <w:r w:rsidRPr="00C115FA">
              <w:t xml:space="preserve">Hospitals </w:t>
            </w:r>
            <w:r>
              <w:t xml:space="preserve">and crisis response services should be able to support a person’s recovery in a safe environment </w:t>
            </w:r>
            <w:r w:rsidR="00B51AE3">
              <w:t>that</w:t>
            </w:r>
            <w:r>
              <w:t xml:space="preserve"> meets their needs.</w:t>
            </w:r>
          </w:p>
          <w:p w14:paraId="55E637E7" w14:textId="02F1F736" w:rsidR="00D41518" w:rsidRPr="00D41518" w:rsidRDefault="002246D6" w:rsidP="00C26DD8">
            <w:pPr>
              <w:pStyle w:val="Rec"/>
              <w:keepNext/>
              <w:rPr>
                <w:i/>
              </w:rPr>
            </w:pPr>
            <w:r w:rsidRPr="002246D6">
              <w:rPr>
                <w:i/>
              </w:rPr>
              <w:t>Start now</w:t>
            </w:r>
          </w:p>
          <w:p w14:paraId="7BFB7C45" w14:textId="77777777" w:rsidR="00D41518" w:rsidRPr="00D41518" w:rsidRDefault="00D41518" w:rsidP="00CC55DB">
            <w:pPr>
              <w:pStyle w:val="RecBullet"/>
            </w:pPr>
            <w:r w:rsidRPr="00D41518">
              <w:t>State and Territory Governments should provide more and improved alternatives to hospital emergency departments for people with acute mental illness, including peer</w:t>
            </w:r>
            <w:r w:rsidRPr="00D41518">
              <w:noBreakHyphen/>
              <w:t xml:space="preserve"> and clinician</w:t>
            </w:r>
            <w:r w:rsidRPr="00D41518">
              <w:noBreakHyphen/>
              <w:t>led after-hours services and mobile crisis services.</w:t>
            </w:r>
          </w:p>
          <w:p w14:paraId="79DB5DB9" w14:textId="77777777" w:rsidR="00D41518" w:rsidRPr="00D41518" w:rsidRDefault="00D41518" w:rsidP="00CC55DB">
            <w:pPr>
              <w:pStyle w:val="RecBullet"/>
            </w:pPr>
            <w:r w:rsidRPr="00D41518">
              <w:t xml:space="preserve">State and Territory Governments should consider best practice approaches to </w:t>
            </w:r>
            <w:r w:rsidR="009D0D74">
              <w:t xml:space="preserve">improving the </w:t>
            </w:r>
            <w:r w:rsidR="00EE0B8D">
              <w:t>interactions</w:t>
            </w:r>
            <w:r w:rsidR="009D0D74">
              <w:t xml:space="preserve"> of people with mental illness with</w:t>
            </w:r>
            <w:r w:rsidRPr="00D41518">
              <w:t xml:space="preserve"> paramedics</w:t>
            </w:r>
            <w:r w:rsidR="009D0D74">
              <w:t>, including providing paramedics</w:t>
            </w:r>
            <w:r w:rsidRPr="00D41518">
              <w:t xml:space="preserve"> with access to mental health resources when undertaking medical assessments in the field.</w:t>
            </w:r>
          </w:p>
          <w:p w14:paraId="6FA76961" w14:textId="64D82FEE" w:rsidR="00D41518" w:rsidRPr="00D41518" w:rsidRDefault="00D41518" w:rsidP="00CC55DB">
            <w:pPr>
              <w:pStyle w:val="RecBullet"/>
            </w:pPr>
            <w:r w:rsidRPr="00D41518">
              <w:t>Public and private hospitals should take steps to improve the emergency department experience they provide for people with mental illness. This could include providing separate spaces for people with mental illness, or otherwise creating environment</w:t>
            </w:r>
            <w:r w:rsidR="0028569E">
              <w:t>s</w:t>
            </w:r>
            <w:r w:rsidRPr="00D41518">
              <w:t xml:space="preserve"> </w:t>
            </w:r>
            <w:r w:rsidR="00EE0B8D">
              <w:t>that do not escalate the severity of their illness</w:t>
            </w:r>
            <w:r w:rsidRPr="00D41518">
              <w:t xml:space="preserve">. </w:t>
            </w:r>
          </w:p>
          <w:p w14:paraId="0482B317" w14:textId="77777777" w:rsidR="00D41518" w:rsidRPr="00D41518" w:rsidRDefault="002246D6" w:rsidP="00C26DD8">
            <w:pPr>
              <w:pStyle w:val="Rec"/>
              <w:keepNext/>
              <w:rPr>
                <w:i/>
              </w:rPr>
            </w:pPr>
            <w:r>
              <w:rPr>
                <w:i/>
              </w:rPr>
              <w:t>Start later</w:t>
            </w:r>
          </w:p>
          <w:p w14:paraId="251D2EC8" w14:textId="0753049F" w:rsidR="00D41518" w:rsidRPr="00D41518" w:rsidRDefault="00D41518" w:rsidP="00CC55DB">
            <w:pPr>
              <w:pStyle w:val="RecBullet"/>
            </w:pPr>
            <w:r w:rsidRPr="00D41518">
              <w:t>State and Territory Governments should, when building or renovating emergency departments, design them to take account of the needs of people with mental illness</w:t>
            </w:r>
            <w:r w:rsidR="00F627E4">
              <w:t xml:space="preserve"> </w:t>
            </w:r>
            <w:r w:rsidR="00F627E4" w:rsidRPr="00F627E4">
              <w:t>by collaborating with</w:t>
            </w:r>
            <w:r w:rsidR="0028569E">
              <w:t>,</w:t>
            </w:r>
            <w:r w:rsidR="00F627E4" w:rsidRPr="00F627E4">
              <w:t xml:space="preserve"> and incorporating the lived experience of consumers and carers as part of the process</w:t>
            </w:r>
            <w:r w:rsidRPr="00D41518">
              <w:t>.</w:t>
            </w:r>
          </w:p>
        </w:tc>
      </w:tr>
      <w:tr w:rsidR="00D41518" w:rsidRPr="00D41518" w14:paraId="2014A91C"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52E7C245" w14:textId="77777777" w:rsidR="00D41518" w:rsidRPr="00D41518" w:rsidRDefault="00D41518" w:rsidP="00C26DD8">
            <w:pPr>
              <w:keepNext/>
              <w:keepLines/>
              <w:spacing w:line="120" w:lineRule="exact"/>
              <w:jc w:val="both"/>
              <w:rPr>
                <w:rFonts w:ascii="Arial" w:hAnsi="Arial"/>
                <w:sz w:val="20"/>
                <w:szCs w:val="20"/>
              </w:rPr>
            </w:pPr>
          </w:p>
        </w:tc>
      </w:tr>
      <w:tr w:rsidR="00D41518" w:rsidRPr="00D41518" w14:paraId="7CBA17A7" w14:textId="77777777" w:rsidTr="00462628">
        <w:tc>
          <w:tcPr>
            <w:tcW w:w="5000" w:type="pct"/>
            <w:tcBorders>
              <w:top w:val="single" w:sz="6" w:space="0" w:color="78A22F"/>
              <w:left w:val="nil"/>
              <w:bottom w:val="nil"/>
              <w:right w:val="nil"/>
            </w:tcBorders>
            <w:tcMar>
              <w:left w:w="170" w:type="dxa"/>
              <w:right w:w="170" w:type="dxa"/>
            </w:tcMar>
          </w:tcPr>
          <w:p w14:paraId="53A85B0E" w14:textId="77777777" w:rsidR="00D41518" w:rsidRPr="00D41518" w:rsidRDefault="00D41518" w:rsidP="00C26DD8">
            <w:pPr>
              <w:keepNext/>
              <w:keepLines/>
              <w:spacing w:before="60" w:after="60" w:line="80" w:lineRule="exact"/>
              <w:jc w:val="both"/>
              <w:rPr>
                <w:rFonts w:ascii="Arial" w:hAnsi="Arial"/>
                <w:sz w:val="14"/>
                <w:szCs w:val="20"/>
              </w:rPr>
            </w:pPr>
          </w:p>
        </w:tc>
      </w:tr>
    </w:tbl>
    <w:p w14:paraId="0A2A4D45" w14:textId="77777777" w:rsidR="00435DCD" w:rsidRPr="00D41518" w:rsidRDefault="00435DCD" w:rsidP="00C26DD8">
      <w:pPr>
        <w:pStyle w:val="BoxSpaceAbove"/>
        <w:keepLines/>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435DCD" w:rsidRPr="005E64FD" w14:paraId="061A4809" w14:textId="77777777" w:rsidTr="00F25939">
        <w:trPr>
          <w:tblHeader/>
        </w:trPr>
        <w:tc>
          <w:tcPr>
            <w:tcW w:w="5000" w:type="pct"/>
            <w:tcBorders>
              <w:top w:val="single" w:sz="6" w:space="0" w:color="78A22F"/>
              <w:left w:val="nil"/>
              <w:bottom w:val="nil"/>
              <w:right w:val="nil"/>
            </w:tcBorders>
            <w:shd w:val="clear" w:color="auto" w:fill="FFFFFF"/>
            <w:tcMar>
              <w:left w:w="170" w:type="dxa"/>
              <w:right w:w="170" w:type="dxa"/>
            </w:tcMar>
          </w:tcPr>
          <w:p w14:paraId="13E2FD40" w14:textId="69C8B218" w:rsidR="00435DCD" w:rsidRPr="005E64FD" w:rsidRDefault="007968ED" w:rsidP="005E64FD">
            <w:pPr>
              <w:pStyle w:val="RecTitle"/>
              <w:spacing w:before="120"/>
              <w:rPr>
                <w:b/>
                <w:color w:val="3B5117"/>
              </w:rPr>
            </w:pPr>
            <w:r w:rsidRPr="005E64FD">
              <w:rPr>
                <w:b/>
                <w:color w:val="3B5117"/>
              </w:rPr>
              <w:t xml:space="preserve">ACtion </w:t>
            </w:r>
            <w:r w:rsidR="00CA1A76" w:rsidRPr="005E64FD">
              <w:rPr>
                <w:b/>
                <w:color w:val="3B5117"/>
              </w:rPr>
              <w:t>13</w:t>
            </w:r>
            <w:r w:rsidR="00435DCD" w:rsidRPr="005E64FD">
              <w:rPr>
                <w:b/>
                <w:color w:val="3B5117"/>
              </w:rPr>
              <w:t>.2</w:t>
            </w:r>
            <w:r w:rsidR="00CE7986">
              <w:rPr>
                <w:b/>
                <w:color w:val="3B5117"/>
              </w:rPr>
              <w:t> — </w:t>
            </w:r>
            <w:r w:rsidR="00435DCD" w:rsidRPr="005E64FD">
              <w:rPr>
                <w:b/>
                <w:color w:val="3B5117"/>
              </w:rPr>
              <w:t>mental health beds</w:t>
            </w:r>
            <w:r w:rsidR="00EE0B8D" w:rsidRPr="005E64FD">
              <w:rPr>
                <w:b/>
                <w:color w:val="3B5117"/>
              </w:rPr>
              <w:t xml:space="preserve"> for </w:t>
            </w:r>
            <w:r w:rsidR="00C5523C" w:rsidRPr="005E64FD">
              <w:rPr>
                <w:b/>
                <w:color w:val="3B5117"/>
              </w:rPr>
              <w:t>people</w:t>
            </w:r>
            <w:r w:rsidR="008714EA" w:rsidRPr="005E64FD">
              <w:rPr>
                <w:b/>
                <w:color w:val="3B5117"/>
              </w:rPr>
              <w:t xml:space="preserve"> </w:t>
            </w:r>
            <w:r w:rsidR="00EE0B8D" w:rsidRPr="005E64FD">
              <w:rPr>
                <w:b/>
                <w:color w:val="3B5117"/>
              </w:rPr>
              <w:t xml:space="preserve">with acute </w:t>
            </w:r>
            <w:r w:rsidR="008714EA" w:rsidRPr="005E64FD">
              <w:rPr>
                <w:b/>
                <w:color w:val="3B5117"/>
              </w:rPr>
              <w:t xml:space="preserve">care </w:t>
            </w:r>
            <w:r w:rsidR="00EE0B8D" w:rsidRPr="005E64FD">
              <w:rPr>
                <w:b/>
                <w:color w:val="3B5117"/>
              </w:rPr>
              <w:t>needs</w:t>
            </w:r>
          </w:p>
        </w:tc>
      </w:tr>
      <w:tr w:rsidR="00435DCD" w:rsidRPr="00D41518" w14:paraId="484A23B7" w14:textId="77777777" w:rsidTr="00F25939">
        <w:tc>
          <w:tcPr>
            <w:tcW w:w="5000" w:type="pct"/>
            <w:tcBorders>
              <w:top w:val="nil"/>
              <w:left w:val="nil"/>
              <w:bottom w:val="nil"/>
              <w:right w:val="nil"/>
            </w:tcBorders>
            <w:shd w:val="clear" w:color="auto" w:fill="F2F2F2"/>
            <w:tcMar>
              <w:left w:w="170" w:type="dxa"/>
              <w:right w:w="170" w:type="dxa"/>
            </w:tcMar>
          </w:tcPr>
          <w:p w14:paraId="4EE98019" w14:textId="444E54CA" w:rsidR="0071313B" w:rsidRPr="009F772F" w:rsidRDefault="0071313B" w:rsidP="00C26DD8">
            <w:pPr>
              <w:pStyle w:val="Rec"/>
              <w:keepNext/>
              <w:rPr>
                <w:iCs/>
              </w:rPr>
            </w:pPr>
            <w:r>
              <w:t xml:space="preserve">Inpatient services need to </w:t>
            </w:r>
            <w:r w:rsidR="009F772F">
              <w:t>be safe spaces for</w:t>
            </w:r>
            <w:r w:rsidRPr="00C115FA">
              <w:t xml:space="preserve"> children, adolescents, and women</w:t>
            </w:r>
            <w:r w:rsidR="00B51AE3">
              <w:t>.</w:t>
            </w:r>
          </w:p>
          <w:p w14:paraId="394A3532" w14:textId="7F17CB91" w:rsidR="00435DCD" w:rsidRPr="00D41518" w:rsidRDefault="002246D6" w:rsidP="00C26DD8">
            <w:pPr>
              <w:pStyle w:val="Rec"/>
              <w:keepNext/>
              <w:rPr>
                <w:i/>
              </w:rPr>
            </w:pPr>
            <w:r w:rsidRPr="002246D6">
              <w:rPr>
                <w:i/>
              </w:rPr>
              <w:t>Start now</w:t>
            </w:r>
          </w:p>
          <w:p w14:paraId="6EE79448" w14:textId="77777777" w:rsidR="00435DCD" w:rsidRDefault="00435DCD" w:rsidP="00C26DD8">
            <w:pPr>
              <w:pStyle w:val="Rec"/>
              <w:keepNext/>
            </w:pPr>
            <w:r w:rsidRPr="00D41518">
              <w:t xml:space="preserve">State and Territory Governments should provide child and adolescent mental health beds that are separate to adult mental health wards. If it is not possible to provide these beds in public hospitals, State and Territory Governments should </w:t>
            </w:r>
            <w:r>
              <w:t>create the capacity to offer alternative services</w:t>
            </w:r>
            <w:r w:rsidR="008714EA">
              <w:t xml:space="preserve"> for children and adolescents</w:t>
            </w:r>
            <w:r>
              <w:t xml:space="preserve">, such as </w:t>
            </w:r>
            <w:r w:rsidRPr="00D41518">
              <w:t>hospital</w:t>
            </w:r>
            <w:r w:rsidRPr="00D41518">
              <w:noBreakHyphen/>
              <w:t>in</w:t>
            </w:r>
            <w:r w:rsidRPr="00D41518">
              <w:noBreakHyphen/>
              <w:t>the</w:t>
            </w:r>
            <w:r w:rsidRPr="00D41518">
              <w:noBreakHyphen/>
              <w:t>home</w:t>
            </w:r>
            <w:r>
              <w:t xml:space="preserve"> or day programs</w:t>
            </w:r>
            <w:r w:rsidR="008714EA">
              <w:t xml:space="preserve">, or explore options for contracting the services from </w:t>
            </w:r>
            <w:r w:rsidR="00701477">
              <w:t xml:space="preserve">private </w:t>
            </w:r>
            <w:r w:rsidR="008714EA">
              <w:t>providers</w:t>
            </w:r>
            <w:r w:rsidRPr="00D41518">
              <w:t>.</w:t>
            </w:r>
          </w:p>
          <w:p w14:paraId="4530752F" w14:textId="77777777" w:rsidR="00EE0B8D" w:rsidRDefault="002246D6" w:rsidP="00C26DD8">
            <w:pPr>
              <w:pStyle w:val="Rec"/>
              <w:keepNext/>
              <w:rPr>
                <w:i/>
              </w:rPr>
            </w:pPr>
            <w:r>
              <w:rPr>
                <w:i/>
              </w:rPr>
              <w:t>Start later</w:t>
            </w:r>
          </w:p>
          <w:p w14:paraId="6F0C5C9F" w14:textId="7C6D4AC1" w:rsidR="00EE0B8D" w:rsidRPr="00D41518" w:rsidRDefault="00EE0B8D" w:rsidP="00C26DD8">
            <w:pPr>
              <w:pStyle w:val="Rec"/>
              <w:keepNext/>
            </w:pPr>
            <w:r w:rsidRPr="00EE0B8D">
              <w:t xml:space="preserve">When designing and renovating acute inpatient wards, State and Territory Governments should establish wards </w:t>
            </w:r>
            <w:r w:rsidR="0028569E">
              <w:t>that</w:t>
            </w:r>
            <w:r w:rsidR="0028569E" w:rsidRPr="00EE0B8D">
              <w:t xml:space="preserve"> </w:t>
            </w:r>
            <w:r w:rsidRPr="00EE0B8D">
              <w:t>can be configured to allow for gender segregation.</w:t>
            </w:r>
          </w:p>
        </w:tc>
      </w:tr>
      <w:tr w:rsidR="00435DCD" w:rsidRPr="00D41518" w14:paraId="0FF6EFC6"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5F49094E" w14:textId="77777777" w:rsidR="00435DCD" w:rsidRPr="00D41518" w:rsidRDefault="00435DCD" w:rsidP="00C26DD8">
            <w:pPr>
              <w:keepNext/>
              <w:keepLines/>
              <w:spacing w:line="120" w:lineRule="exact"/>
              <w:jc w:val="both"/>
              <w:rPr>
                <w:rFonts w:ascii="Arial" w:hAnsi="Arial"/>
                <w:sz w:val="20"/>
                <w:szCs w:val="20"/>
              </w:rPr>
            </w:pPr>
          </w:p>
        </w:tc>
      </w:tr>
      <w:tr w:rsidR="00435DCD" w:rsidRPr="00D41518" w14:paraId="6ACA5EA4" w14:textId="77777777" w:rsidTr="00F25939">
        <w:tc>
          <w:tcPr>
            <w:tcW w:w="5000" w:type="pct"/>
            <w:tcBorders>
              <w:top w:val="single" w:sz="6" w:space="0" w:color="78A22F"/>
              <w:left w:val="nil"/>
              <w:bottom w:val="nil"/>
              <w:right w:val="nil"/>
            </w:tcBorders>
            <w:tcMar>
              <w:left w:w="170" w:type="dxa"/>
              <w:right w:w="170" w:type="dxa"/>
            </w:tcMar>
          </w:tcPr>
          <w:p w14:paraId="0F592AC4" w14:textId="77777777" w:rsidR="00435DCD" w:rsidRPr="00D41518" w:rsidRDefault="00435DCD" w:rsidP="0033685D">
            <w:pPr>
              <w:spacing w:before="60" w:after="60" w:line="80" w:lineRule="exact"/>
              <w:jc w:val="both"/>
              <w:rPr>
                <w:rFonts w:ascii="Arial" w:hAnsi="Arial"/>
                <w:sz w:val="14"/>
                <w:szCs w:val="20"/>
              </w:rPr>
            </w:pPr>
          </w:p>
        </w:tc>
      </w:tr>
    </w:tbl>
    <w:p w14:paraId="709DB7AE" w14:textId="2AE415AC" w:rsidR="007968ED" w:rsidRPr="004E3B94" w:rsidRDefault="007968ED" w:rsidP="0033685D">
      <w:pPr>
        <w:pStyle w:val="BoxSpaceAbove"/>
        <w:keepLines/>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7968ED" w:rsidRPr="005E64FD" w14:paraId="285B5DEA" w14:textId="77777777" w:rsidTr="007968ED">
        <w:trPr>
          <w:tblHeader/>
        </w:trPr>
        <w:tc>
          <w:tcPr>
            <w:tcW w:w="5000" w:type="pct"/>
            <w:tcBorders>
              <w:top w:val="single" w:sz="6" w:space="0" w:color="78A22F"/>
              <w:left w:val="nil"/>
              <w:bottom w:val="nil"/>
              <w:right w:val="nil"/>
            </w:tcBorders>
            <w:shd w:val="clear" w:color="auto" w:fill="FFFFFF" w:themeFill="background1"/>
            <w:tcMar>
              <w:left w:w="170" w:type="dxa"/>
              <w:right w:w="170" w:type="dxa"/>
            </w:tcMar>
          </w:tcPr>
          <w:p w14:paraId="6D9C8306" w14:textId="6E9FCB16" w:rsidR="007968ED" w:rsidRPr="005E64FD" w:rsidRDefault="007968ED" w:rsidP="0033685D">
            <w:pPr>
              <w:pStyle w:val="RecTitle"/>
              <w:spacing w:before="120"/>
              <w:rPr>
                <w:b/>
                <w:color w:val="3B5117"/>
              </w:rPr>
            </w:pPr>
            <w:r w:rsidRPr="005E64FD">
              <w:rPr>
                <w:b/>
                <w:color w:val="3B5117"/>
              </w:rPr>
              <w:t xml:space="preserve">Action </w:t>
            </w:r>
            <w:r w:rsidR="00CA1A76" w:rsidRPr="005E64FD">
              <w:rPr>
                <w:b/>
                <w:color w:val="3B5117"/>
              </w:rPr>
              <w:t>13</w:t>
            </w:r>
            <w:r w:rsidRPr="005E64FD">
              <w:rPr>
                <w:b/>
                <w:color w:val="3B5117"/>
              </w:rPr>
              <w:t>.3</w:t>
            </w:r>
            <w:r w:rsidR="00CE7986">
              <w:rPr>
                <w:b/>
                <w:color w:val="3B5117"/>
              </w:rPr>
              <w:t> — </w:t>
            </w:r>
            <w:r w:rsidRPr="005E64FD">
              <w:rPr>
                <w:b/>
                <w:color w:val="3B5117"/>
              </w:rPr>
              <w:t>Delivering bed-based mental health services</w:t>
            </w:r>
          </w:p>
        </w:tc>
      </w:tr>
      <w:tr w:rsidR="007968ED" w:rsidRPr="00750BE2" w14:paraId="439A1365" w14:textId="77777777" w:rsidTr="007968ED">
        <w:tc>
          <w:tcPr>
            <w:tcW w:w="5000" w:type="pct"/>
            <w:tcBorders>
              <w:top w:val="nil"/>
              <w:left w:val="nil"/>
              <w:bottom w:val="nil"/>
              <w:right w:val="nil"/>
            </w:tcBorders>
            <w:shd w:val="clear" w:color="auto" w:fill="F2F2F2" w:themeFill="background1" w:themeFillShade="F2"/>
            <w:tcMar>
              <w:left w:w="170" w:type="dxa"/>
              <w:right w:w="170" w:type="dxa"/>
            </w:tcMar>
          </w:tcPr>
          <w:p w14:paraId="77A9D792" w14:textId="1E6105F3" w:rsidR="0071313B" w:rsidRPr="009F772F" w:rsidRDefault="0071313B" w:rsidP="00CC55DB">
            <w:pPr>
              <w:pStyle w:val="Rec"/>
              <w:keepNext/>
              <w:rPr>
                <w:iCs/>
              </w:rPr>
            </w:pPr>
            <w:r>
              <w:t xml:space="preserve">People who require treatment </w:t>
            </w:r>
            <w:r w:rsidR="00B51AE3">
              <w:t>provided by</w:t>
            </w:r>
            <w:r>
              <w:t xml:space="preserve"> bed-based services should be able to access these services</w:t>
            </w:r>
            <w:r w:rsidR="00B51AE3">
              <w:t>.</w:t>
            </w:r>
          </w:p>
          <w:p w14:paraId="542EA0AA" w14:textId="53802F77" w:rsidR="007968ED" w:rsidRPr="00CC55DB" w:rsidRDefault="002246D6" w:rsidP="0033685D">
            <w:pPr>
              <w:keepNext/>
              <w:keepLines/>
              <w:spacing w:before="120" w:line="280" w:lineRule="atLeast"/>
              <w:jc w:val="both"/>
              <w:rPr>
                <w:rFonts w:ascii="Arial" w:hAnsi="Arial"/>
                <w:i/>
                <w:sz w:val="22"/>
                <w:szCs w:val="22"/>
              </w:rPr>
            </w:pPr>
            <w:r w:rsidRPr="00CC55DB">
              <w:rPr>
                <w:rFonts w:ascii="Arial" w:hAnsi="Arial"/>
                <w:i/>
                <w:sz w:val="22"/>
                <w:szCs w:val="22"/>
              </w:rPr>
              <w:t>Start now</w:t>
            </w:r>
          </w:p>
          <w:p w14:paraId="010B013C" w14:textId="77777777" w:rsidR="00900FD6" w:rsidRDefault="00900FD6" w:rsidP="00900FD6">
            <w:pPr>
              <w:pStyle w:val="Rec"/>
              <w:keepNext/>
              <w:rPr>
                <w:i/>
              </w:rPr>
            </w:pPr>
            <w:r>
              <w:t>The shortfalls in sub</w:t>
            </w:r>
            <w:r>
              <w:noBreakHyphen/>
              <w:t>acute and non</w:t>
            </w:r>
            <w:r>
              <w:noBreakHyphen/>
              <w:t>acute mental health bed</w:t>
            </w:r>
            <w:r>
              <w:noBreakHyphen/>
            </w:r>
            <w:r w:rsidRPr="00EC54D0">
              <w:t xml:space="preserve">based services </w:t>
            </w:r>
            <w:r>
              <w:t>should be estimated and published at both State and Territory and regional levels</w:t>
            </w:r>
            <w:r w:rsidRPr="00EC54D0">
              <w:t>.</w:t>
            </w:r>
          </w:p>
          <w:p w14:paraId="0EC4133F" w14:textId="77777777" w:rsidR="007968ED" w:rsidRDefault="002246D6" w:rsidP="00900FD6">
            <w:pPr>
              <w:pStyle w:val="Rec"/>
              <w:keepNext/>
              <w:tabs>
                <w:tab w:val="left" w:pos="5304"/>
              </w:tabs>
              <w:rPr>
                <w:i/>
              </w:rPr>
            </w:pPr>
            <w:r>
              <w:rPr>
                <w:i/>
              </w:rPr>
              <w:t>Start later</w:t>
            </w:r>
          </w:p>
          <w:p w14:paraId="132312EF" w14:textId="77777777" w:rsidR="007968ED" w:rsidRPr="0061344E" w:rsidRDefault="007968ED" w:rsidP="0033685D">
            <w:pPr>
              <w:pStyle w:val="Rec"/>
              <w:keepNext/>
              <w:rPr>
                <w:i/>
              </w:rPr>
            </w:pPr>
            <w:r w:rsidRPr="00EC54D0">
              <w:t>State and Territory Governments, with support from the Australian Government, should increase funding for these services, in line with agreed commitments to rectify service shortfalls over time.</w:t>
            </w:r>
          </w:p>
        </w:tc>
      </w:tr>
      <w:tr w:rsidR="007968ED" w14:paraId="1D7FC0E6"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08E6E8DB" w14:textId="77777777" w:rsidR="007968ED" w:rsidRDefault="007968ED" w:rsidP="0033685D">
            <w:pPr>
              <w:pStyle w:val="Space"/>
              <w:keepLines/>
            </w:pPr>
          </w:p>
        </w:tc>
      </w:tr>
      <w:tr w:rsidR="007968ED" w:rsidRPr="000863A5" w14:paraId="37B42BA7" w14:textId="77777777" w:rsidTr="007968ED">
        <w:tc>
          <w:tcPr>
            <w:tcW w:w="5000" w:type="pct"/>
            <w:tcBorders>
              <w:top w:val="single" w:sz="6" w:space="0" w:color="78A22F"/>
              <w:left w:val="nil"/>
              <w:bottom w:val="nil"/>
              <w:right w:val="nil"/>
            </w:tcBorders>
            <w:tcMar>
              <w:left w:w="170" w:type="dxa"/>
              <w:right w:w="170" w:type="dxa"/>
            </w:tcMar>
          </w:tcPr>
          <w:p w14:paraId="4917F8E4" w14:textId="0B202168" w:rsidR="007968ED" w:rsidRPr="00626D32" w:rsidRDefault="007968ED" w:rsidP="0033685D">
            <w:pPr>
              <w:pStyle w:val="BoxSpaceBelow"/>
            </w:pPr>
          </w:p>
        </w:tc>
      </w:tr>
    </w:tbl>
    <w:p w14:paraId="12FB3625" w14:textId="7FF07D96" w:rsidR="00CE1144" w:rsidRDefault="00CE1144" w:rsidP="00CE1144">
      <w:pPr>
        <w:pStyle w:val="Heading3"/>
      </w:pPr>
      <w:r>
        <w:lastRenderedPageBreak/>
        <w:t>Comorbidity</w:t>
      </w:r>
    </w:p>
    <w:p w14:paraId="6D010844" w14:textId="77777777" w:rsidR="00152486" w:rsidRPr="00626FC1" w:rsidRDefault="00152486" w:rsidP="0033685D">
      <w:pPr>
        <w:pStyle w:val="BoxSpaceAbove"/>
        <w:keepLines/>
        <w:spacing w:before="120" w:line="200" w:lineRule="atLeast"/>
        <w:jc w:val="both"/>
        <w:rPr>
          <w:b/>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152486" w:rsidRPr="005E64FD" w14:paraId="3270C51B" w14:textId="77777777" w:rsidTr="00152486">
        <w:trPr>
          <w:tblHeader/>
        </w:trPr>
        <w:tc>
          <w:tcPr>
            <w:tcW w:w="5000" w:type="pct"/>
            <w:tcBorders>
              <w:top w:val="single" w:sz="6" w:space="0" w:color="78A22F"/>
              <w:left w:val="nil"/>
              <w:bottom w:val="nil"/>
              <w:right w:val="nil"/>
            </w:tcBorders>
            <w:shd w:val="clear" w:color="auto" w:fill="FFFFFF" w:themeFill="background1"/>
            <w:tcMar>
              <w:left w:w="170" w:type="dxa"/>
              <w:right w:w="170" w:type="dxa"/>
            </w:tcMar>
          </w:tcPr>
          <w:p w14:paraId="5BA70B7E" w14:textId="2113D793" w:rsidR="00152486" w:rsidRPr="005E64FD" w:rsidRDefault="00F05C0E" w:rsidP="0033685D">
            <w:pPr>
              <w:pStyle w:val="RecTitle"/>
              <w:spacing w:before="120"/>
              <w:ind w:left="1390" w:hanging="1390"/>
              <w:rPr>
                <w:b/>
                <w:color w:val="3B5117"/>
              </w:rPr>
            </w:pPr>
            <w:r w:rsidRPr="005E64FD">
              <w:rPr>
                <w:b/>
                <w:color w:val="3B5117"/>
              </w:rPr>
              <w:t xml:space="preserve">action </w:t>
            </w:r>
            <w:r w:rsidR="00CA1A76" w:rsidRPr="005E64FD">
              <w:rPr>
                <w:b/>
                <w:color w:val="3B5117"/>
              </w:rPr>
              <w:t>14</w:t>
            </w:r>
            <w:r w:rsidR="00AA695D">
              <w:rPr>
                <w:b/>
                <w:color w:val="3B5117"/>
              </w:rPr>
              <w:t>.1</w:t>
            </w:r>
            <w:r w:rsidR="00CE7986">
              <w:rPr>
                <w:b/>
                <w:color w:val="3B5117"/>
              </w:rPr>
              <w:t> — </w:t>
            </w:r>
            <w:r w:rsidR="00152486" w:rsidRPr="005E64FD">
              <w:rPr>
                <w:b/>
                <w:color w:val="3B5117"/>
              </w:rPr>
              <w:t xml:space="preserve">Improving care for people with </w:t>
            </w:r>
            <w:r w:rsidR="009F772F" w:rsidRPr="005E64FD">
              <w:rPr>
                <w:b/>
                <w:color w:val="3B5117"/>
              </w:rPr>
              <w:t>concurrent</w:t>
            </w:r>
            <w:r w:rsidR="00152486" w:rsidRPr="005E64FD">
              <w:rPr>
                <w:b/>
                <w:color w:val="3B5117"/>
              </w:rPr>
              <w:t xml:space="preserve"> mental illness and physical health conditions</w:t>
            </w:r>
          </w:p>
        </w:tc>
      </w:tr>
      <w:tr w:rsidR="00152486" w:rsidRPr="0083243C" w14:paraId="11A83DE3" w14:textId="77777777" w:rsidTr="00152486">
        <w:tc>
          <w:tcPr>
            <w:tcW w:w="5000" w:type="pct"/>
            <w:tcBorders>
              <w:top w:val="nil"/>
              <w:left w:val="nil"/>
              <w:bottom w:val="nil"/>
              <w:right w:val="nil"/>
            </w:tcBorders>
            <w:shd w:val="clear" w:color="auto" w:fill="F2F2F2" w:themeFill="background1" w:themeFillShade="F2"/>
            <w:tcMar>
              <w:left w:w="170" w:type="dxa"/>
              <w:right w:w="170" w:type="dxa"/>
            </w:tcMar>
          </w:tcPr>
          <w:p w14:paraId="2B46589A" w14:textId="77777777" w:rsidR="00534702" w:rsidRDefault="00534702" w:rsidP="0033685D">
            <w:pPr>
              <w:pStyle w:val="Rec"/>
              <w:keepNext/>
            </w:pPr>
            <w:r>
              <w:t xml:space="preserve">The Australian, State and Territory Governments </w:t>
            </w:r>
            <w:r w:rsidR="00EE0B8D">
              <w:t>should</w:t>
            </w:r>
            <w:r>
              <w:t xml:space="preserve"> introduce the reforms outlined in the </w:t>
            </w:r>
            <w:r>
              <w:rPr>
                <w:i/>
              </w:rPr>
              <w:t>Equally Well Consensus Statement</w:t>
            </w:r>
            <w:r>
              <w:t>.</w:t>
            </w:r>
          </w:p>
          <w:p w14:paraId="44C1E3D6" w14:textId="77777777" w:rsidR="00534702" w:rsidRPr="009558A9" w:rsidRDefault="002246D6" w:rsidP="0033685D">
            <w:pPr>
              <w:pStyle w:val="Rec"/>
              <w:keepNext/>
              <w:rPr>
                <w:i/>
              </w:rPr>
            </w:pPr>
            <w:r w:rsidRPr="002246D6">
              <w:rPr>
                <w:i/>
              </w:rPr>
              <w:t>Start now</w:t>
            </w:r>
          </w:p>
          <w:p w14:paraId="5D4E650D" w14:textId="052609DD" w:rsidR="00381915" w:rsidRPr="00381915" w:rsidRDefault="00CE0B88" w:rsidP="00CC55DB">
            <w:pPr>
              <w:pStyle w:val="RecBullet"/>
            </w:pPr>
            <w:r>
              <w:t xml:space="preserve">As part of </w:t>
            </w:r>
            <w:r w:rsidR="0047372D">
              <w:t>the broader target-setting process</w:t>
            </w:r>
            <w:r>
              <w:t xml:space="preserve"> (</w:t>
            </w:r>
            <w:r w:rsidR="00CC55DB">
              <w:t>A</w:t>
            </w:r>
            <w:r>
              <w:t>ction </w:t>
            </w:r>
            <w:r w:rsidR="009D0BA5">
              <w:t>24</w:t>
            </w:r>
            <w:r>
              <w:t xml:space="preserve">.4), the </w:t>
            </w:r>
            <w:r w:rsidR="00D848CF">
              <w:t>Australian, State and Territory Governments</w:t>
            </w:r>
            <w:r w:rsidR="0098203E">
              <w:t xml:space="preserve"> </w:t>
            </w:r>
            <w:r w:rsidRPr="00534891">
              <w:t xml:space="preserve">should agree to a target to reduce the gap in life expectancy between people with </w:t>
            </w:r>
            <w:r w:rsidR="00A46851">
              <w:t xml:space="preserve">severe </w:t>
            </w:r>
            <w:r w:rsidRPr="00534891">
              <w:t>mental ill</w:t>
            </w:r>
            <w:r>
              <w:t>ness and the general population.</w:t>
            </w:r>
          </w:p>
          <w:p w14:paraId="23879B89" w14:textId="77777777" w:rsidR="00534702" w:rsidRPr="000130FD" w:rsidRDefault="00534702" w:rsidP="00CC55DB">
            <w:pPr>
              <w:pStyle w:val="RecBullet"/>
            </w:pPr>
            <w:r>
              <w:t xml:space="preserve">The Australian, State and Territory Governments should release clear statements covering how they intend to implement the initiatives in the Equally Well Consensus Statement, </w:t>
            </w:r>
            <w:r w:rsidRPr="000130FD">
              <w:t>including time frames and outcomes against which progress can be measured</w:t>
            </w:r>
            <w:r>
              <w:t>.</w:t>
            </w:r>
          </w:p>
          <w:p w14:paraId="24669B42" w14:textId="50283B2E" w:rsidR="00534702" w:rsidRPr="009558A9" w:rsidRDefault="0098203E" w:rsidP="0033685D">
            <w:pPr>
              <w:pStyle w:val="Rec"/>
              <w:keepNext/>
              <w:rPr>
                <w:i/>
              </w:rPr>
            </w:pPr>
            <w:r>
              <w:rPr>
                <w:i/>
              </w:rPr>
              <w:t>Start later</w:t>
            </w:r>
          </w:p>
          <w:p w14:paraId="0F5EE734" w14:textId="77777777" w:rsidR="00534702" w:rsidRDefault="00534702" w:rsidP="00CC55DB">
            <w:pPr>
              <w:pStyle w:val="RecBullet"/>
            </w:pPr>
            <w:r>
              <w:t>The Australian, State and Territory Governments should implement all the actions in the Equally Well Consensus Statement, including:</w:t>
            </w:r>
          </w:p>
          <w:p w14:paraId="46D88085" w14:textId="49FE9CDE" w:rsidR="00534702" w:rsidRDefault="00534702" w:rsidP="00291482">
            <w:pPr>
              <w:pStyle w:val="BoxListBullet2"/>
              <w:tabs>
                <w:tab w:val="clear" w:pos="567"/>
              </w:tabs>
              <w:ind w:left="680" w:hanging="340"/>
            </w:pPr>
            <w:r>
              <w:t>requiring all mental health services to screen for physical health conditions that people with mental ill</w:t>
            </w:r>
            <w:r w:rsidR="00AC64B0">
              <w:t>ness</w:t>
            </w:r>
            <w:r>
              <w:t xml:space="preserve"> are at </w:t>
            </w:r>
            <w:r w:rsidR="0011146C">
              <w:t xml:space="preserve">higher </w:t>
            </w:r>
            <w:r>
              <w:t>risk of developing</w:t>
            </w:r>
          </w:p>
          <w:p w14:paraId="7AC744DB" w14:textId="6B9CACEE" w:rsidR="00534702" w:rsidRDefault="00534702" w:rsidP="00291482">
            <w:pPr>
              <w:pStyle w:val="BoxListBullet2"/>
              <w:tabs>
                <w:tab w:val="clear" w:pos="567"/>
              </w:tabs>
              <w:ind w:left="680" w:hanging="340"/>
            </w:pPr>
            <w:r>
              <w:t xml:space="preserve">requiring all mental health services to directly provide, or refer consumers to other services </w:t>
            </w:r>
            <w:r w:rsidR="0028569E">
              <w:t>that provide</w:t>
            </w:r>
            <w:r>
              <w:t xml:space="preserve"> prevention and lifestyle interventions, including interventions aimed at improving diet and increasing physical activity</w:t>
            </w:r>
          </w:p>
          <w:p w14:paraId="49A97DE5" w14:textId="77777777" w:rsidR="00534702" w:rsidRDefault="00534702" w:rsidP="00291482">
            <w:pPr>
              <w:pStyle w:val="BoxListBullet2"/>
              <w:tabs>
                <w:tab w:val="clear" w:pos="567"/>
              </w:tabs>
              <w:ind w:left="680" w:hanging="340"/>
            </w:pPr>
            <w:r>
              <w:t>requiring all mental health services to provide smoking cessation support tailored to people with mental illness</w:t>
            </w:r>
          </w:p>
          <w:p w14:paraId="064F893F" w14:textId="77777777" w:rsidR="00534702" w:rsidRDefault="00534702" w:rsidP="00291482">
            <w:pPr>
              <w:pStyle w:val="BoxListBullet2"/>
              <w:tabs>
                <w:tab w:val="clear" w:pos="567"/>
              </w:tabs>
              <w:ind w:left="680" w:hanging="340"/>
            </w:pPr>
            <w:r>
              <w:t>ensuring workers in the mental health sector have access to the training and support they need to provide person</w:t>
            </w:r>
            <w:r>
              <w:noBreakHyphen/>
              <w:t>centred, effective and coordinated care to people with comorbidities</w:t>
            </w:r>
          </w:p>
          <w:p w14:paraId="3450DB34" w14:textId="488EA4F5" w:rsidR="00534702" w:rsidRDefault="00534702" w:rsidP="00291482">
            <w:pPr>
              <w:pStyle w:val="BoxListBullet2"/>
              <w:tabs>
                <w:tab w:val="clear" w:pos="567"/>
              </w:tabs>
              <w:ind w:left="680" w:hanging="340"/>
            </w:pPr>
            <w:r>
              <w:t xml:space="preserve">working </w:t>
            </w:r>
            <w:r w:rsidRPr="000A1944">
              <w:t xml:space="preserve">with professional colleges, associations, and education providers </w:t>
            </w:r>
            <w:r w:rsidR="0011146C">
              <w:t>to</w:t>
            </w:r>
            <w:r w:rsidR="0011146C" w:rsidRPr="000A1944">
              <w:t xml:space="preserve"> </w:t>
            </w:r>
            <w:r w:rsidRPr="000A1944">
              <w:t xml:space="preserve">ensure that mental health services and </w:t>
            </w:r>
            <w:r>
              <w:t>workers</w:t>
            </w:r>
            <w:r w:rsidRPr="000A1944">
              <w:t xml:space="preserve"> have access to comprehensive guidelines and other resources on physical h</w:t>
            </w:r>
            <w:r>
              <w:t>ealth in people with mental ill</w:t>
            </w:r>
            <w:r w:rsidR="00AC64B0">
              <w:t>ness</w:t>
            </w:r>
          </w:p>
          <w:p w14:paraId="1CF61EE7" w14:textId="5610A54F" w:rsidR="00534702" w:rsidRDefault="00534702" w:rsidP="00291482">
            <w:pPr>
              <w:pStyle w:val="BoxListBullet2"/>
              <w:tabs>
                <w:tab w:val="clear" w:pos="567"/>
              </w:tabs>
              <w:ind w:left="680" w:hanging="340"/>
            </w:pPr>
            <w:r>
              <w:t>ensuring people with mental ill</w:t>
            </w:r>
            <w:r w:rsidR="00AC64B0">
              <w:t>ness</w:t>
            </w:r>
            <w:r>
              <w:t xml:space="preserve"> and their carers have access to information on physical health problems, managing medications and their side-effects, and the </w:t>
            </w:r>
            <w:r w:rsidR="0011146C">
              <w:t xml:space="preserve">range of </w:t>
            </w:r>
            <w:r>
              <w:t>care and treatment options available to them</w:t>
            </w:r>
          </w:p>
          <w:p w14:paraId="290C428F" w14:textId="6E2AFE7E" w:rsidR="00534702" w:rsidRDefault="00534702" w:rsidP="00291482">
            <w:pPr>
              <w:pStyle w:val="BoxListBullet2"/>
              <w:tabs>
                <w:tab w:val="clear" w:pos="567"/>
              </w:tabs>
              <w:ind w:left="680" w:hanging="340"/>
            </w:pPr>
            <w:r>
              <w:t>implementing effective and person</w:t>
            </w:r>
            <w:r>
              <w:noBreakHyphen/>
              <w:t xml:space="preserve">centred monitoring and reporting, </w:t>
            </w:r>
            <w:r w:rsidR="00EE0B8D">
              <w:t>as would be required under</w:t>
            </w:r>
            <w:r>
              <w:t xml:space="preserve"> the </w:t>
            </w:r>
            <w:r w:rsidR="00EE0B8D">
              <w:t>recommended</w:t>
            </w:r>
            <w:r>
              <w:t xml:space="preserve"> monitoring and reporting framework (</w:t>
            </w:r>
            <w:r w:rsidR="00CC55DB">
              <w:t>A</w:t>
            </w:r>
            <w:r w:rsidR="00230A65">
              <w:t>ction 24.</w:t>
            </w:r>
            <w:r w:rsidR="00D848CF">
              <w:t>10</w:t>
            </w:r>
            <w:r>
              <w:t>).</w:t>
            </w:r>
          </w:p>
          <w:p w14:paraId="56623C18" w14:textId="6C86E80E" w:rsidR="00152486" w:rsidRPr="0083243C" w:rsidRDefault="00534702" w:rsidP="00CC55DB">
            <w:pPr>
              <w:pStyle w:val="RecBullet"/>
              <w:rPr>
                <w:szCs w:val="22"/>
              </w:rPr>
            </w:pPr>
            <w:r>
              <w:t>The National Mental Health Commission should report annually on Australian, State and Territory Governments’ progress in implementing the Equally Well Consensus Statement</w:t>
            </w:r>
            <w:r w:rsidR="00230A65">
              <w:t xml:space="preserve"> and reducing the gap in life expectancy between people with severe mental illness and the general population</w:t>
            </w:r>
            <w:r>
              <w:t>.</w:t>
            </w:r>
          </w:p>
        </w:tc>
      </w:tr>
      <w:tr w:rsidR="00152486" w14:paraId="00548524" w14:textId="77777777" w:rsidTr="003B3426">
        <w:trPr>
          <w:trHeight w:val="80"/>
        </w:trPr>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7E5AE6C8" w14:textId="77777777" w:rsidR="00152486" w:rsidRDefault="00152486" w:rsidP="00C26DD8">
            <w:pPr>
              <w:pStyle w:val="Space"/>
              <w:keepLines/>
            </w:pPr>
          </w:p>
        </w:tc>
      </w:tr>
      <w:tr w:rsidR="00C26DD8" w:rsidRPr="000863A5" w14:paraId="7BCD55A0" w14:textId="77777777" w:rsidTr="00C26DD8">
        <w:trPr>
          <w:trHeight w:val="80"/>
        </w:trPr>
        <w:tc>
          <w:tcPr>
            <w:tcW w:w="5000" w:type="pct"/>
            <w:tcBorders>
              <w:top w:val="single" w:sz="6" w:space="0" w:color="78A22F"/>
              <w:left w:val="nil"/>
              <w:bottom w:val="nil"/>
              <w:right w:val="nil"/>
            </w:tcBorders>
            <w:shd w:val="clear" w:color="auto" w:fill="FFFFFF" w:themeFill="background1"/>
            <w:tcMar>
              <w:left w:w="170" w:type="dxa"/>
              <w:right w:w="170" w:type="dxa"/>
            </w:tcMar>
          </w:tcPr>
          <w:p w14:paraId="14AAE985" w14:textId="77777777" w:rsidR="00C26DD8" w:rsidRPr="00626D32" w:rsidRDefault="00C26DD8" w:rsidP="00C26DD8">
            <w:pPr>
              <w:pStyle w:val="BoxSpaceBelow"/>
            </w:pPr>
          </w:p>
        </w:tc>
      </w:tr>
    </w:tbl>
    <w:p w14:paraId="3A7ED483" w14:textId="77777777" w:rsidR="00C26DD8" w:rsidRDefault="00C26DD8" w:rsidP="00C26DD8">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DD2523" w:rsidRPr="005E64FD" w14:paraId="0CA897A0" w14:textId="77777777" w:rsidTr="00DD2523">
        <w:trPr>
          <w:tblHeader/>
        </w:trPr>
        <w:tc>
          <w:tcPr>
            <w:tcW w:w="5000" w:type="pct"/>
            <w:tcBorders>
              <w:top w:val="single" w:sz="6" w:space="0" w:color="78A22F"/>
              <w:left w:val="nil"/>
              <w:bottom w:val="nil"/>
              <w:right w:val="nil"/>
            </w:tcBorders>
            <w:shd w:val="clear" w:color="auto" w:fill="auto"/>
            <w:tcMar>
              <w:left w:w="170" w:type="dxa"/>
              <w:right w:w="170" w:type="dxa"/>
            </w:tcMar>
          </w:tcPr>
          <w:p w14:paraId="01935821" w14:textId="2A76EAB6" w:rsidR="00DD2523" w:rsidRPr="005E64FD" w:rsidRDefault="00F05C0E" w:rsidP="00CC55DB">
            <w:pPr>
              <w:pStyle w:val="RecTitle"/>
              <w:spacing w:before="120"/>
              <w:ind w:left="1531" w:hanging="1531"/>
              <w:rPr>
                <w:b/>
                <w:color w:val="3B5117"/>
              </w:rPr>
            </w:pPr>
            <w:r w:rsidRPr="005E64FD">
              <w:rPr>
                <w:b/>
                <w:color w:val="3B5117"/>
              </w:rPr>
              <w:t xml:space="preserve">action </w:t>
            </w:r>
            <w:r w:rsidR="00CA1A76" w:rsidRPr="005E64FD">
              <w:rPr>
                <w:b/>
                <w:color w:val="3B5117"/>
              </w:rPr>
              <w:t>14</w:t>
            </w:r>
            <w:r w:rsidR="002263D3" w:rsidRPr="005E64FD">
              <w:rPr>
                <w:b/>
                <w:color w:val="3B5117"/>
              </w:rPr>
              <w:t>.</w:t>
            </w:r>
            <w:r w:rsidR="00152486" w:rsidRPr="005E64FD">
              <w:rPr>
                <w:b/>
                <w:color w:val="3B5117"/>
              </w:rPr>
              <w:t>2</w:t>
            </w:r>
            <w:r w:rsidR="00CE7986">
              <w:rPr>
                <w:b/>
                <w:color w:val="3B5117"/>
              </w:rPr>
              <w:t> — </w:t>
            </w:r>
            <w:r w:rsidR="00CC55DB" w:rsidRPr="00A148D4">
              <w:rPr>
                <w:b/>
                <w:noProof/>
                <w:color w:val="4D7028"/>
              </w:rPr>
              <w:t>Integrating mental health and substance use planning, commissioning and service provision</w:t>
            </w:r>
          </w:p>
        </w:tc>
      </w:tr>
      <w:tr w:rsidR="00DD2523" w:rsidRPr="00750BE2" w14:paraId="5C532156" w14:textId="77777777" w:rsidTr="00DD2523">
        <w:tc>
          <w:tcPr>
            <w:tcW w:w="5000" w:type="pct"/>
            <w:tcBorders>
              <w:top w:val="nil"/>
              <w:left w:val="nil"/>
              <w:bottom w:val="nil"/>
              <w:right w:val="nil"/>
            </w:tcBorders>
            <w:shd w:val="clear" w:color="auto" w:fill="F2F2F2" w:themeFill="background1" w:themeFillShade="F2"/>
            <w:tcMar>
              <w:left w:w="170" w:type="dxa"/>
              <w:right w:w="170" w:type="dxa"/>
            </w:tcMar>
          </w:tcPr>
          <w:p w14:paraId="49A0FA3A" w14:textId="1D6C59AA" w:rsidR="00007165" w:rsidRPr="0098203E" w:rsidRDefault="00D623B8" w:rsidP="00173054">
            <w:pPr>
              <w:pStyle w:val="Rec"/>
              <w:keepNext/>
              <w:rPr>
                <w:iCs/>
              </w:rPr>
            </w:pPr>
            <w:r>
              <w:rPr>
                <w:iCs/>
              </w:rPr>
              <w:t xml:space="preserve">Many people with mental illness also have a substance use disorder. </w:t>
            </w:r>
            <w:r w:rsidR="00007165">
              <w:rPr>
                <w:iCs/>
              </w:rPr>
              <w:t>Services to deal with both these conditions should be seamless from the consumers’ perspective.</w:t>
            </w:r>
          </w:p>
          <w:p w14:paraId="3ACD79FE" w14:textId="6FA9369C" w:rsidR="00173054" w:rsidRDefault="002246D6" w:rsidP="00173054">
            <w:pPr>
              <w:pStyle w:val="Rec"/>
              <w:keepNext/>
              <w:rPr>
                <w:i/>
              </w:rPr>
            </w:pPr>
            <w:r w:rsidRPr="002246D6">
              <w:rPr>
                <w:i/>
              </w:rPr>
              <w:t>Start now</w:t>
            </w:r>
          </w:p>
          <w:p w14:paraId="77CDD256" w14:textId="2D89538B" w:rsidR="00173054" w:rsidRPr="00D41AC5" w:rsidRDefault="0028569E" w:rsidP="00C26DD8">
            <w:pPr>
              <w:pStyle w:val="Rec"/>
            </w:pPr>
            <w:r>
              <w:t>R</w:t>
            </w:r>
            <w:r w:rsidR="00173054">
              <w:t xml:space="preserve">egional commissioning bodies, in conjunction with the relevant State and Territory Government departments, should integrate commissioning of substance use and mental health services. </w:t>
            </w:r>
          </w:p>
          <w:p w14:paraId="2E0B134C" w14:textId="77777777" w:rsidR="00173054" w:rsidRDefault="002246D6" w:rsidP="00173054">
            <w:pPr>
              <w:pStyle w:val="Rec"/>
              <w:rPr>
                <w:i/>
              </w:rPr>
            </w:pPr>
            <w:r w:rsidRPr="002246D6">
              <w:rPr>
                <w:i/>
              </w:rPr>
              <w:t>Start later</w:t>
            </w:r>
          </w:p>
          <w:p w14:paraId="79F00D5E" w14:textId="60B8A107" w:rsidR="00173054" w:rsidRDefault="00173054" w:rsidP="00CC55DB">
            <w:pPr>
              <w:pStyle w:val="RecBullet"/>
            </w:pPr>
            <w:r>
              <w:t xml:space="preserve">Governments should require mental health services, including hospitals and clinical community health services, to </w:t>
            </w:r>
            <w:r w:rsidR="0011146C">
              <w:t xml:space="preserve">ensure </w:t>
            </w:r>
            <w:r>
              <w:t xml:space="preserve">treatment </w:t>
            </w:r>
            <w:r w:rsidR="00531131">
              <w:t>is provided for both</w:t>
            </w:r>
            <w:r>
              <w:t xml:space="preserve"> substance use </w:t>
            </w:r>
            <w:r w:rsidR="00D623B8">
              <w:t>and other mental</w:t>
            </w:r>
            <w:r>
              <w:t xml:space="preserve"> disorder</w:t>
            </w:r>
            <w:r w:rsidR="00D623B8">
              <w:t>s</w:t>
            </w:r>
            <w:r>
              <w:t xml:space="preserve"> for</w:t>
            </w:r>
            <w:r w:rsidR="00531131">
              <w:t xml:space="preserve"> people with</w:t>
            </w:r>
            <w:r>
              <w:t xml:space="preserve"> both conditions.</w:t>
            </w:r>
          </w:p>
          <w:p w14:paraId="093DC949" w14:textId="77777777" w:rsidR="00173054" w:rsidRDefault="00173054" w:rsidP="00CC55DB">
            <w:pPr>
              <w:pStyle w:val="RecBullet"/>
            </w:pPr>
            <w:r>
              <w:t xml:space="preserve">Governments should </w:t>
            </w:r>
            <w:r w:rsidR="00531131">
              <w:t xml:space="preserve">provide for this treatment within </w:t>
            </w:r>
            <w:r>
              <w:t>specialised, integrated mental illness and substance use disorder services (‘dual diagnosis’ services) to meet regional needs</w:t>
            </w:r>
            <w:r w:rsidR="00531131">
              <w:t xml:space="preserve"> or by ensuring integrated treatment and care delivery where the mental health service and the alcohol and other drug services are organisationally separated</w:t>
            </w:r>
            <w:r>
              <w:t>.</w:t>
            </w:r>
          </w:p>
          <w:p w14:paraId="225FABFF" w14:textId="77777777" w:rsidR="00173054" w:rsidRDefault="00173054" w:rsidP="00CC55DB">
            <w:pPr>
              <w:pStyle w:val="RecBullet"/>
            </w:pPr>
            <w:r>
              <w:t xml:space="preserve">Governments should </w:t>
            </w:r>
            <w:r w:rsidR="00531131">
              <w:t>require</w:t>
            </w:r>
            <w:r>
              <w:t xml:space="preserve"> mental health services and alcohol and other drug services </w:t>
            </w:r>
            <w:r w:rsidR="00531131">
              <w:t>to jointly develop and implement operational</w:t>
            </w:r>
            <w:r>
              <w:t xml:space="preserve"> guidelines, including:</w:t>
            </w:r>
          </w:p>
          <w:p w14:paraId="4B560B23" w14:textId="77777777" w:rsidR="00173054" w:rsidRDefault="00173054" w:rsidP="00291482">
            <w:pPr>
              <w:pStyle w:val="BoxListBullet2"/>
              <w:tabs>
                <w:tab w:val="clear" w:pos="567"/>
              </w:tabs>
              <w:ind w:left="680" w:hanging="340"/>
            </w:pPr>
            <w:r>
              <w:t>screening for substance use and mental illness</w:t>
            </w:r>
          </w:p>
          <w:p w14:paraId="3EF60BB7" w14:textId="26067451" w:rsidR="00173054" w:rsidRDefault="00531131" w:rsidP="00291482">
            <w:pPr>
              <w:pStyle w:val="BoxListBullet2"/>
              <w:tabs>
                <w:tab w:val="clear" w:pos="567"/>
              </w:tabs>
              <w:ind w:left="680" w:hanging="340"/>
            </w:pPr>
            <w:r>
              <w:t>referral pathways between</w:t>
            </w:r>
            <w:r w:rsidR="00173054">
              <w:t xml:space="preserve"> </w:t>
            </w:r>
            <w:r w:rsidR="0098203E">
              <w:t>alcohol</w:t>
            </w:r>
            <w:r w:rsidR="00D623B8">
              <w:t xml:space="preserve"> and other drug</w:t>
            </w:r>
            <w:r w:rsidR="00173054">
              <w:t xml:space="preserve"> </w:t>
            </w:r>
            <w:r>
              <w:t xml:space="preserve">and </w:t>
            </w:r>
            <w:r w:rsidR="00173054">
              <w:t>mental health services, where</w:t>
            </w:r>
            <w:r>
              <w:t xml:space="preserve"> service arrangements exist for</w:t>
            </w:r>
            <w:r w:rsidR="00173054">
              <w:t xml:space="preserve"> the consumer </w:t>
            </w:r>
            <w:r>
              <w:t xml:space="preserve">with </w:t>
            </w:r>
            <w:r w:rsidR="00173054">
              <w:t>a comorbid condition</w:t>
            </w:r>
          </w:p>
          <w:p w14:paraId="002C48B2" w14:textId="3D22E89F" w:rsidR="00DD2523" w:rsidRDefault="00173054" w:rsidP="00291482">
            <w:pPr>
              <w:pStyle w:val="BoxListBullet2"/>
              <w:tabs>
                <w:tab w:val="clear" w:pos="567"/>
              </w:tabs>
              <w:ind w:left="680" w:hanging="340"/>
            </w:pPr>
            <w:r w:rsidRPr="0054726B">
              <w:t xml:space="preserve">working with professional colleges, associations, and bodies, and education providers to develop and provide training, guidelines and other resources for mental health and </w:t>
            </w:r>
            <w:r w:rsidR="00D623B8">
              <w:t>alcohol and other drug</w:t>
            </w:r>
            <w:r w:rsidRPr="0054726B">
              <w:t xml:space="preserve"> workers so they can provide </w:t>
            </w:r>
            <w:r w:rsidR="00531131">
              <w:t xml:space="preserve">evidence-based, </w:t>
            </w:r>
            <w:r w:rsidRPr="0054726B">
              <w:t>coordinated care for comorbid conditions</w:t>
            </w:r>
            <w:r>
              <w:t>.</w:t>
            </w:r>
          </w:p>
          <w:p w14:paraId="3DED86A4" w14:textId="0856B4F8" w:rsidR="00A46800" w:rsidRPr="00D41AC5" w:rsidRDefault="00A46800" w:rsidP="00105E0E">
            <w:pPr>
              <w:pStyle w:val="RecBullet"/>
            </w:pPr>
            <w:r>
              <w:t>Governments should continue to monitor and report on outcomes for people with substance use comorbidities, consistent with the Productivity Commission’s framework for monitoring, evaluation and research (chapter </w:t>
            </w:r>
            <w:r w:rsidR="00D623B8">
              <w:t>24</w:t>
            </w:r>
            <w:r>
              <w:t>).</w:t>
            </w:r>
          </w:p>
        </w:tc>
      </w:tr>
      <w:tr w:rsidR="00DD2523" w14:paraId="440AA76B" w14:textId="77777777" w:rsidTr="00DD2523">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7C32CDB6" w14:textId="77777777" w:rsidR="00DD2523" w:rsidRDefault="00DD2523" w:rsidP="00DD2523">
            <w:pPr>
              <w:pStyle w:val="Space"/>
              <w:keepLines/>
            </w:pPr>
          </w:p>
        </w:tc>
      </w:tr>
      <w:tr w:rsidR="00DD2523" w:rsidRPr="000863A5" w14:paraId="1FF45B23" w14:textId="77777777" w:rsidTr="00AA695D">
        <w:tc>
          <w:tcPr>
            <w:tcW w:w="5000" w:type="pct"/>
            <w:tcBorders>
              <w:top w:val="single" w:sz="6" w:space="0" w:color="78A22F"/>
              <w:left w:val="nil"/>
              <w:bottom w:val="nil"/>
              <w:right w:val="nil"/>
            </w:tcBorders>
            <w:shd w:val="clear" w:color="auto" w:fill="auto"/>
            <w:tcMar>
              <w:left w:w="170" w:type="dxa"/>
              <w:right w:w="170" w:type="dxa"/>
            </w:tcMar>
          </w:tcPr>
          <w:p w14:paraId="67C587B7" w14:textId="77777777" w:rsidR="00DD2523" w:rsidRPr="00626D32" w:rsidRDefault="00DD2523" w:rsidP="00DD2523">
            <w:pPr>
              <w:pStyle w:val="BoxSpaceBelow"/>
              <w:keepLines/>
            </w:pPr>
          </w:p>
        </w:tc>
      </w:tr>
    </w:tbl>
    <w:p w14:paraId="4A0AEB95" w14:textId="2F80E771" w:rsidR="00CE1144" w:rsidRDefault="00CE1144" w:rsidP="00CE1144">
      <w:pPr>
        <w:pStyle w:val="Heading3"/>
      </w:pPr>
      <w:r>
        <w:lastRenderedPageBreak/>
        <w:t>Towards integrated care</w:t>
      </w:r>
    </w:p>
    <w:p w14:paraId="1FFC9D74" w14:textId="77777777" w:rsidR="00CE1144" w:rsidRPr="00D41518" w:rsidRDefault="00CE1144" w:rsidP="00F00D7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8"/>
      </w:tblGrid>
      <w:tr w:rsidR="00CE1144" w:rsidRPr="005E64FD" w14:paraId="30BD538A" w14:textId="77777777" w:rsidTr="00B20151">
        <w:trPr>
          <w:cantSplit/>
          <w:tblHeader/>
        </w:trPr>
        <w:tc>
          <w:tcPr>
            <w:tcW w:w="5000" w:type="pct"/>
            <w:tcBorders>
              <w:top w:val="single" w:sz="6" w:space="0" w:color="78A22F"/>
              <w:left w:val="nil"/>
              <w:bottom w:val="nil"/>
              <w:right w:val="nil"/>
            </w:tcBorders>
            <w:shd w:val="clear" w:color="auto" w:fill="auto"/>
            <w:tcMar>
              <w:left w:w="170" w:type="dxa"/>
              <w:right w:w="170" w:type="dxa"/>
            </w:tcMar>
          </w:tcPr>
          <w:p w14:paraId="39313B51" w14:textId="218AB333" w:rsidR="00CE1144" w:rsidRPr="005E64FD" w:rsidRDefault="00CE1144" w:rsidP="00B20151">
            <w:pPr>
              <w:pStyle w:val="RecTitle"/>
              <w:spacing w:before="120"/>
              <w:rPr>
                <w:b/>
                <w:color w:val="3B5117"/>
              </w:rPr>
            </w:pPr>
            <w:r w:rsidRPr="005E64FD">
              <w:rPr>
                <w:b/>
                <w:color w:val="3B5117"/>
              </w:rPr>
              <w:t>action 15.1</w:t>
            </w:r>
            <w:r w:rsidR="00CE7986">
              <w:rPr>
                <w:b/>
                <w:color w:val="3B5117"/>
              </w:rPr>
              <w:t> — </w:t>
            </w:r>
            <w:r w:rsidRPr="005E64FD">
              <w:rPr>
                <w:b/>
                <w:color w:val="3B5117"/>
              </w:rPr>
              <w:t>linking people to the services they need</w:t>
            </w:r>
          </w:p>
        </w:tc>
      </w:tr>
      <w:tr w:rsidR="00CE1144" w:rsidRPr="00D41518" w14:paraId="1CE107CA" w14:textId="77777777" w:rsidTr="00B20151">
        <w:trPr>
          <w:cantSplit/>
        </w:trPr>
        <w:tc>
          <w:tcPr>
            <w:tcW w:w="5000" w:type="pct"/>
            <w:tcBorders>
              <w:top w:val="nil"/>
              <w:left w:val="nil"/>
              <w:bottom w:val="nil"/>
              <w:right w:val="nil"/>
            </w:tcBorders>
            <w:shd w:val="clear" w:color="auto" w:fill="F2F2F2"/>
            <w:tcMar>
              <w:left w:w="170" w:type="dxa"/>
              <w:right w:w="170" w:type="dxa"/>
            </w:tcMar>
          </w:tcPr>
          <w:p w14:paraId="6A3AA90D" w14:textId="3BF9190C" w:rsidR="00CE1144" w:rsidRDefault="00CE1144" w:rsidP="00B20151">
            <w:pPr>
              <w:pStyle w:val="Rec0"/>
            </w:pPr>
            <w:r>
              <w:t>Assistance phone lines and websites offering support for people with mental ill-health and their carers should improve the</w:t>
            </w:r>
            <w:r w:rsidRPr="00723540">
              <w:t xml:space="preserve"> information </w:t>
            </w:r>
            <w:r>
              <w:t xml:space="preserve">provided </w:t>
            </w:r>
            <w:r w:rsidRPr="00723540">
              <w:t xml:space="preserve">on the services available and </w:t>
            </w:r>
            <w:r>
              <w:t xml:space="preserve">facilitate </w:t>
            </w:r>
            <w:r w:rsidR="002B1DF7">
              <w:t xml:space="preserve">better </w:t>
            </w:r>
            <w:r>
              <w:t xml:space="preserve">exchanges of information between service providers. </w:t>
            </w:r>
          </w:p>
          <w:p w14:paraId="598F1555" w14:textId="77777777" w:rsidR="00FC03F0" w:rsidRDefault="00FC03F0" w:rsidP="00FC03F0">
            <w:pPr>
              <w:pStyle w:val="Rec"/>
              <w:tabs>
                <w:tab w:val="left" w:pos="1416"/>
              </w:tabs>
              <w:rPr>
                <w:i/>
              </w:rPr>
            </w:pPr>
            <w:r w:rsidRPr="00EC6951">
              <w:rPr>
                <w:i/>
              </w:rPr>
              <w:t xml:space="preserve">Start </w:t>
            </w:r>
            <w:r>
              <w:rPr>
                <w:i/>
              </w:rPr>
              <w:t>now</w:t>
            </w:r>
          </w:p>
          <w:p w14:paraId="61324CEC" w14:textId="77777777" w:rsidR="00FC03F0" w:rsidRPr="007604F2" w:rsidRDefault="00FC03F0" w:rsidP="00FC03F0">
            <w:pPr>
              <w:pStyle w:val="RecBullet"/>
            </w:pPr>
            <w:r>
              <w:t>The Australian Government should continue to develop and improve Head to Health, including expanding t</w:t>
            </w:r>
            <w:r w:rsidRPr="00E76165">
              <w:t>he range of services listed</w:t>
            </w:r>
            <w:r>
              <w:t>.</w:t>
            </w:r>
          </w:p>
          <w:p w14:paraId="61BDDAEA" w14:textId="77777777" w:rsidR="00FC03F0" w:rsidRPr="00EC6951" w:rsidRDefault="00FC03F0" w:rsidP="00FC03F0">
            <w:pPr>
              <w:pStyle w:val="Rec"/>
              <w:tabs>
                <w:tab w:val="left" w:pos="1416"/>
              </w:tabs>
              <w:rPr>
                <w:i/>
              </w:rPr>
            </w:pPr>
            <w:r w:rsidRPr="00EC6951">
              <w:rPr>
                <w:i/>
              </w:rPr>
              <w:t>Start later</w:t>
            </w:r>
          </w:p>
          <w:p w14:paraId="4B843366" w14:textId="0168BC9C" w:rsidR="00FC03F0" w:rsidRDefault="00FC03F0" w:rsidP="00FC03F0">
            <w:pPr>
              <w:pStyle w:val="RecBullet"/>
            </w:pPr>
            <w:r>
              <w:t>Head to Health could eventually be integrated with the national digital mental health platform (action 10.4) to provide a one</w:t>
            </w:r>
            <w:r>
              <w:noBreakHyphen/>
              <w:t>stop</w:t>
            </w:r>
            <w:r>
              <w:noBreakHyphen/>
              <w:t xml:space="preserve">shop for digital mental health resources. </w:t>
            </w:r>
          </w:p>
          <w:p w14:paraId="29B4BB94" w14:textId="77777777" w:rsidR="00FC03F0" w:rsidRDefault="00FC03F0" w:rsidP="00FC03F0">
            <w:pPr>
              <w:pStyle w:val="RecBullet"/>
            </w:pPr>
            <w:r>
              <w:t>The Australian, State and Territory Governments should ensure that government</w:t>
            </w:r>
            <w:r>
              <w:noBreakHyphen/>
              <w:t xml:space="preserve">funded </w:t>
            </w:r>
            <w:r w:rsidRPr="00082F0C">
              <w:t>real time consumer assistance services provided by voice or text</w:t>
            </w:r>
            <w:r>
              <w:t xml:space="preserve"> are receiving sufficient funding to meet consumer demand. </w:t>
            </w:r>
          </w:p>
          <w:p w14:paraId="1EA0E0E9" w14:textId="158CE958" w:rsidR="00CE1144" w:rsidRPr="00D41518" w:rsidRDefault="00FC03F0" w:rsidP="00FC03F0">
            <w:pPr>
              <w:pStyle w:val="RecBullet"/>
            </w:pPr>
            <w:r>
              <w:t xml:space="preserve">The Australian, State and Territory Governments should include in contracts with </w:t>
            </w:r>
            <w:r w:rsidRPr="00082F0C">
              <w:t xml:space="preserve">real time consumer assistance services </w:t>
            </w:r>
            <w:r>
              <w:t>a requirement to implement warm referral processes that minimise the need for consumers to repeat information.</w:t>
            </w:r>
          </w:p>
        </w:tc>
      </w:tr>
      <w:tr w:rsidR="00CE1144" w:rsidRPr="00D41518" w14:paraId="63B5521B" w14:textId="77777777" w:rsidTr="00B20151">
        <w:trPr>
          <w:cantSplit/>
        </w:trPr>
        <w:tc>
          <w:tcPr>
            <w:tcW w:w="5000" w:type="pct"/>
            <w:tcBorders>
              <w:top w:val="nil"/>
              <w:left w:val="nil"/>
              <w:bottom w:val="single" w:sz="6" w:space="0" w:color="78A22F"/>
              <w:right w:val="nil"/>
            </w:tcBorders>
            <w:shd w:val="clear" w:color="auto" w:fill="F2F2F2"/>
            <w:tcMar>
              <w:left w:w="170" w:type="dxa"/>
              <w:right w:w="170" w:type="dxa"/>
            </w:tcMar>
          </w:tcPr>
          <w:p w14:paraId="7FF48C3F" w14:textId="77777777" w:rsidR="00CE1144" w:rsidRPr="00D41518" w:rsidRDefault="00CE1144" w:rsidP="00B20151">
            <w:pPr>
              <w:keepNext/>
              <w:keepLines/>
              <w:spacing w:line="120" w:lineRule="exact"/>
              <w:jc w:val="both"/>
              <w:rPr>
                <w:rFonts w:ascii="Arial" w:hAnsi="Arial"/>
                <w:sz w:val="20"/>
                <w:szCs w:val="20"/>
              </w:rPr>
            </w:pPr>
          </w:p>
        </w:tc>
      </w:tr>
      <w:tr w:rsidR="00CE1144" w:rsidRPr="00D41518" w14:paraId="4CB48559" w14:textId="77777777" w:rsidTr="00B20151">
        <w:trPr>
          <w:cantSplit/>
        </w:trPr>
        <w:tc>
          <w:tcPr>
            <w:tcW w:w="5000" w:type="pct"/>
            <w:tcBorders>
              <w:top w:val="single" w:sz="6" w:space="0" w:color="78A22F"/>
              <w:left w:val="nil"/>
              <w:bottom w:val="nil"/>
              <w:right w:val="nil"/>
            </w:tcBorders>
            <w:tcMar>
              <w:left w:w="170" w:type="dxa"/>
              <w:right w:w="170" w:type="dxa"/>
            </w:tcMar>
          </w:tcPr>
          <w:p w14:paraId="3E1BD483" w14:textId="77777777" w:rsidR="00CE1144" w:rsidRPr="00D41518" w:rsidRDefault="00CE1144" w:rsidP="00B20151">
            <w:pPr>
              <w:keepNext/>
              <w:keepLines/>
              <w:spacing w:before="60" w:after="60" w:line="80" w:lineRule="exact"/>
              <w:jc w:val="both"/>
              <w:rPr>
                <w:rFonts w:ascii="Arial" w:hAnsi="Arial"/>
                <w:sz w:val="14"/>
                <w:szCs w:val="20"/>
              </w:rPr>
            </w:pPr>
          </w:p>
        </w:tc>
      </w:tr>
    </w:tbl>
    <w:p w14:paraId="7DAD243E" w14:textId="77777777" w:rsidR="00E4071C" w:rsidRPr="00D41518" w:rsidRDefault="00E4071C" w:rsidP="00F00D7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8"/>
      </w:tblGrid>
      <w:tr w:rsidR="00E4071C" w:rsidRPr="005E64FD" w14:paraId="1EF3899C" w14:textId="77777777" w:rsidTr="005028B3">
        <w:trPr>
          <w:tblHeader/>
        </w:trPr>
        <w:tc>
          <w:tcPr>
            <w:tcW w:w="5000" w:type="pct"/>
            <w:tcBorders>
              <w:top w:val="single" w:sz="6" w:space="0" w:color="78A22F"/>
              <w:left w:val="nil"/>
              <w:bottom w:val="nil"/>
              <w:right w:val="nil"/>
            </w:tcBorders>
            <w:shd w:val="clear" w:color="auto" w:fill="auto"/>
            <w:tcMar>
              <w:left w:w="170" w:type="dxa"/>
              <w:right w:w="170" w:type="dxa"/>
            </w:tcMar>
          </w:tcPr>
          <w:p w14:paraId="765466AA" w14:textId="44290603" w:rsidR="00E4071C" w:rsidRPr="005E64FD" w:rsidRDefault="00E4071C" w:rsidP="005028B3">
            <w:pPr>
              <w:pStyle w:val="RecTitle"/>
              <w:spacing w:before="120"/>
              <w:rPr>
                <w:b/>
                <w:color w:val="3B5117"/>
              </w:rPr>
            </w:pPr>
            <w:r w:rsidRPr="005E64FD">
              <w:rPr>
                <w:b/>
                <w:color w:val="3B5117"/>
              </w:rPr>
              <w:t>action 15.2</w:t>
            </w:r>
            <w:r w:rsidR="00CE7986">
              <w:rPr>
                <w:b/>
                <w:color w:val="3B5117"/>
              </w:rPr>
              <w:t> — </w:t>
            </w:r>
            <w:r w:rsidRPr="005E64FD">
              <w:rPr>
                <w:b/>
                <w:color w:val="3B5117"/>
              </w:rPr>
              <w:t>online navigation portals to support referral Pathways</w:t>
            </w:r>
          </w:p>
        </w:tc>
      </w:tr>
      <w:tr w:rsidR="00E4071C" w:rsidRPr="00D41518" w14:paraId="5DBF536B" w14:textId="77777777" w:rsidTr="005028B3">
        <w:tc>
          <w:tcPr>
            <w:tcW w:w="5000" w:type="pct"/>
            <w:tcBorders>
              <w:top w:val="nil"/>
              <w:left w:val="nil"/>
              <w:bottom w:val="nil"/>
              <w:right w:val="nil"/>
            </w:tcBorders>
            <w:shd w:val="clear" w:color="auto" w:fill="F2F2F2"/>
            <w:tcMar>
              <w:left w:w="170" w:type="dxa"/>
              <w:right w:w="170" w:type="dxa"/>
            </w:tcMar>
          </w:tcPr>
          <w:p w14:paraId="7FF2F744" w14:textId="77777777" w:rsidR="00E4071C" w:rsidRPr="0072529F" w:rsidRDefault="00E4071C" w:rsidP="005028B3">
            <w:pPr>
              <w:pStyle w:val="Rec"/>
              <w:keepNext/>
            </w:pPr>
            <w:r>
              <w:t>C</w:t>
            </w:r>
            <w:r w:rsidRPr="0072529F">
              <w:t xml:space="preserve">ommissioning </w:t>
            </w:r>
            <w:r>
              <w:t>agencies</w:t>
            </w:r>
            <w:r w:rsidRPr="0072529F">
              <w:t xml:space="preserve"> should ensure service providers have access to online navigation </w:t>
            </w:r>
            <w:r>
              <w:t xml:space="preserve">portals </w:t>
            </w:r>
            <w:r w:rsidRPr="0072529F">
              <w:t>offering information on pathways in the mental health system.</w:t>
            </w:r>
          </w:p>
          <w:p w14:paraId="2704E47D" w14:textId="77777777" w:rsidR="00E4071C" w:rsidRPr="009558A9" w:rsidRDefault="00E4071C" w:rsidP="005028B3">
            <w:pPr>
              <w:pStyle w:val="Rec"/>
              <w:rPr>
                <w:i/>
              </w:rPr>
            </w:pPr>
            <w:r w:rsidRPr="002246D6">
              <w:rPr>
                <w:i/>
              </w:rPr>
              <w:t>Start now</w:t>
            </w:r>
          </w:p>
          <w:p w14:paraId="01BE61C3" w14:textId="3C064A2C" w:rsidR="00E4071C" w:rsidRPr="00340B29" w:rsidRDefault="00E4071C" w:rsidP="006D58FF">
            <w:pPr>
              <w:pStyle w:val="RecBullet"/>
            </w:pPr>
            <w:r w:rsidRPr="00340B29">
              <w:t xml:space="preserve">All regional commissioning bodies should, either individually or collaboratively, develop and maintain an online </w:t>
            </w:r>
            <w:r w:rsidRPr="00203C0F">
              <w:t xml:space="preserve">navigation </w:t>
            </w:r>
            <w:r w:rsidRPr="00340B29">
              <w:t>portal, including detailed clinical and non</w:t>
            </w:r>
            <w:r w:rsidRPr="00340B29">
              <w:noBreakHyphen/>
              <w:t xml:space="preserve">clinical referral pathways. The </w:t>
            </w:r>
            <w:proofErr w:type="spellStart"/>
            <w:r w:rsidRPr="00340B29">
              <w:t>HealthPathways</w:t>
            </w:r>
            <w:proofErr w:type="spellEnd"/>
            <w:r w:rsidRPr="00340B29">
              <w:t xml:space="preserve"> portal model, which is already used by most PHNs, could be used as a basis. </w:t>
            </w:r>
          </w:p>
          <w:p w14:paraId="7FB91ADA" w14:textId="77777777" w:rsidR="00E4071C" w:rsidRPr="00151525" w:rsidRDefault="00E4071C" w:rsidP="006D58FF">
            <w:pPr>
              <w:pStyle w:val="RecBullet"/>
            </w:pPr>
            <w:r w:rsidRPr="00340B29">
              <w:t>Access to these portals should be expanded beyond the health sector, in particular to schools and psychosocial service providers. Each regional commissioning body should also, either individually or collaboratively, fund a small dedicated team supporting the users of the online portals.</w:t>
            </w:r>
          </w:p>
          <w:p w14:paraId="7B48130E" w14:textId="77777777" w:rsidR="00E4071C" w:rsidRPr="00F05C5E" w:rsidRDefault="00E4071C" w:rsidP="005028B3">
            <w:pPr>
              <w:pStyle w:val="Rec"/>
              <w:rPr>
                <w:i/>
              </w:rPr>
            </w:pPr>
            <w:r w:rsidRPr="002246D6">
              <w:rPr>
                <w:i/>
              </w:rPr>
              <w:t>Start later</w:t>
            </w:r>
          </w:p>
          <w:p w14:paraId="17100C94" w14:textId="42921217" w:rsidR="00E4071C" w:rsidRPr="00D41518" w:rsidRDefault="00E4071C" w:rsidP="00AB1586">
            <w:pPr>
              <w:pStyle w:val="RecBullet"/>
            </w:pPr>
            <w:r w:rsidRPr="00DA7625">
              <w:t xml:space="preserve">All online navigation </w:t>
            </w:r>
            <w:r>
              <w:t>portals</w:t>
            </w:r>
            <w:r w:rsidRPr="00DA7625">
              <w:t xml:space="preserve"> </w:t>
            </w:r>
            <w:r w:rsidR="00AB1586">
              <w:t xml:space="preserve">should </w:t>
            </w:r>
            <w:r>
              <w:t>be integrated with the national digital mental health platform (Action 10.4) and support</w:t>
            </w:r>
            <w:r w:rsidRPr="00DA7625">
              <w:t xml:space="preserve"> </w:t>
            </w:r>
            <w:r>
              <w:t>the</w:t>
            </w:r>
            <w:r w:rsidRPr="00DA7625">
              <w:t xml:space="preserve"> ability to book consultation</w:t>
            </w:r>
            <w:r>
              <w:t>s</w:t>
            </w:r>
            <w:r w:rsidRPr="00DA7625">
              <w:t xml:space="preserve"> with service providers directly from the platform.</w:t>
            </w:r>
          </w:p>
        </w:tc>
      </w:tr>
      <w:tr w:rsidR="00E4071C" w:rsidRPr="00D41518" w14:paraId="09DED832"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0FF01EEB" w14:textId="77777777" w:rsidR="00E4071C" w:rsidRPr="00D41518" w:rsidRDefault="00E4071C" w:rsidP="005028B3">
            <w:pPr>
              <w:keepNext/>
              <w:keepLines/>
              <w:spacing w:line="120" w:lineRule="exact"/>
              <w:jc w:val="both"/>
              <w:rPr>
                <w:rFonts w:ascii="Arial" w:hAnsi="Arial"/>
                <w:sz w:val="20"/>
                <w:szCs w:val="20"/>
              </w:rPr>
            </w:pPr>
          </w:p>
        </w:tc>
      </w:tr>
      <w:tr w:rsidR="00E4071C" w:rsidRPr="00D41518" w14:paraId="5BD24589" w14:textId="77777777" w:rsidTr="005028B3">
        <w:tc>
          <w:tcPr>
            <w:tcW w:w="5000" w:type="pct"/>
            <w:tcBorders>
              <w:top w:val="single" w:sz="6" w:space="0" w:color="78A22F"/>
              <w:left w:val="nil"/>
              <w:bottom w:val="nil"/>
              <w:right w:val="nil"/>
            </w:tcBorders>
            <w:shd w:val="clear" w:color="auto" w:fill="auto"/>
            <w:tcMar>
              <w:left w:w="170" w:type="dxa"/>
              <w:right w:w="170" w:type="dxa"/>
            </w:tcMar>
          </w:tcPr>
          <w:p w14:paraId="451899D4" w14:textId="77777777" w:rsidR="00E4071C" w:rsidRPr="00D41518" w:rsidRDefault="00E4071C" w:rsidP="005028B3">
            <w:pPr>
              <w:pStyle w:val="BoxSpaceBelow"/>
            </w:pPr>
          </w:p>
        </w:tc>
      </w:tr>
    </w:tbl>
    <w:p w14:paraId="0B5DBC31" w14:textId="77777777" w:rsidR="00E4071C" w:rsidRPr="00D41518" w:rsidRDefault="00E4071C" w:rsidP="00F00D7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8"/>
      </w:tblGrid>
      <w:tr w:rsidR="00CE1144" w:rsidRPr="00D41518" w14:paraId="0D7868C5" w14:textId="77777777" w:rsidTr="00B20151">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126D7D9B" w14:textId="2FA051C1" w:rsidR="00CE1144" w:rsidRPr="00D41518" w:rsidRDefault="00CE1144" w:rsidP="00B20151">
            <w:pPr>
              <w:keepNext/>
              <w:keepLines/>
              <w:spacing w:before="120" w:line="280" w:lineRule="atLeast"/>
              <w:jc w:val="both"/>
              <w:rPr>
                <w:rFonts w:ascii="Arial" w:hAnsi="Arial"/>
                <w:caps/>
                <w:noProof/>
                <w:sz w:val="18"/>
                <w:szCs w:val="20"/>
              </w:rPr>
            </w:pPr>
            <w:r w:rsidRPr="00D41518">
              <w:rPr>
                <w:rFonts w:ascii="Arial" w:hAnsi="Arial"/>
                <w:caps/>
                <w:sz w:val="18"/>
                <w:szCs w:val="20"/>
              </w:rPr>
              <w:t>Finding 1</w:t>
            </w:r>
            <w:r>
              <w:rPr>
                <w:rFonts w:ascii="Arial" w:hAnsi="Arial"/>
                <w:caps/>
                <w:sz w:val="18"/>
                <w:szCs w:val="20"/>
              </w:rPr>
              <w:t>5</w:t>
            </w:r>
            <w:r w:rsidRPr="00D41518">
              <w:rPr>
                <w:rFonts w:ascii="Arial" w:hAnsi="Arial"/>
                <w:caps/>
                <w:sz w:val="18"/>
                <w:szCs w:val="20"/>
              </w:rPr>
              <w:t>.1</w:t>
            </w:r>
            <w:r w:rsidR="00CE7986">
              <w:rPr>
                <w:rFonts w:ascii="Arial" w:hAnsi="Arial"/>
                <w:caps/>
                <w:sz w:val="18"/>
                <w:szCs w:val="20"/>
              </w:rPr>
              <w:t> — </w:t>
            </w:r>
            <w:r w:rsidRPr="00D41518">
              <w:rPr>
                <w:rFonts w:ascii="Arial" w:hAnsi="Arial"/>
                <w:caps/>
                <w:sz w:val="18"/>
                <w:szCs w:val="20"/>
              </w:rPr>
              <w:t>digital records would facilitate information sharing</w:t>
            </w:r>
          </w:p>
        </w:tc>
      </w:tr>
      <w:tr w:rsidR="00CE1144" w:rsidRPr="00D41518" w14:paraId="505D5B73" w14:textId="77777777" w:rsidTr="00B20151">
        <w:trPr>
          <w:cantSplit/>
        </w:trPr>
        <w:tc>
          <w:tcPr>
            <w:tcW w:w="5000" w:type="pct"/>
            <w:tcBorders>
              <w:top w:val="nil"/>
              <w:left w:val="nil"/>
              <w:bottom w:val="nil"/>
              <w:right w:val="nil"/>
            </w:tcBorders>
            <w:shd w:val="clear" w:color="auto" w:fill="F2F2F2"/>
            <w:tcMar>
              <w:left w:w="170" w:type="dxa"/>
              <w:right w:w="170" w:type="dxa"/>
            </w:tcMar>
          </w:tcPr>
          <w:p w14:paraId="5F580FA7" w14:textId="77777777" w:rsidR="00CE1144" w:rsidRPr="00D41518" w:rsidRDefault="00CE1144" w:rsidP="00B20151">
            <w:pPr>
              <w:pStyle w:val="Finding"/>
            </w:pPr>
            <w:r w:rsidRPr="00D41518">
              <w:t xml:space="preserve">Expanding the use of digital records in the mental healthcare system would facilitate greater information sharing and improve consumer experience. </w:t>
            </w:r>
            <w:r w:rsidRPr="00552358">
              <w:t>Existing digital health record systems, such as My Health Record, would provide an adequate platform for information sharing between providers of mental healthcare services, but only if consumers and service providers use them consistently.</w:t>
            </w:r>
          </w:p>
        </w:tc>
      </w:tr>
      <w:tr w:rsidR="00CE1144" w:rsidRPr="00D41518" w14:paraId="56E7F05A" w14:textId="77777777" w:rsidTr="00B20151">
        <w:trPr>
          <w:cantSplit/>
        </w:trPr>
        <w:tc>
          <w:tcPr>
            <w:tcW w:w="5000" w:type="pct"/>
            <w:tcBorders>
              <w:top w:val="nil"/>
              <w:left w:val="nil"/>
              <w:bottom w:val="single" w:sz="6" w:space="0" w:color="78A22F"/>
              <w:right w:val="nil"/>
            </w:tcBorders>
            <w:shd w:val="clear" w:color="auto" w:fill="F2F2F2"/>
            <w:tcMar>
              <w:left w:w="170" w:type="dxa"/>
              <w:right w:w="170" w:type="dxa"/>
            </w:tcMar>
          </w:tcPr>
          <w:p w14:paraId="288A2631" w14:textId="77777777" w:rsidR="00CE1144" w:rsidRPr="00D41518" w:rsidRDefault="00CE1144" w:rsidP="00B20151">
            <w:pPr>
              <w:keepNext/>
              <w:keepLines/>
              <w:spacing w:line="120" w:lineRule="exact"/>
              <w:jc w:val="both"/>
              <w:rPr>
                <w:rFonts w:ascii="Arial" w:hAnsi="Arial"/>
                <w:sz w:val="20"/>
                <w:szCs w:val="20"/>
              </w:rPr>
            </w:pPr>
          </w:p>
        </w:tc>
      </w:tr>
      <w:tr w:rsidR="00CE1144" w:rsidRPr="00D41518" w14:paraId="68F7F6F1" w14:textId="77777777" w:rsidTr="00B20151">
        <w:trPr>
          <w:cantSplit/>
        </w:trPr>
        <w:tc>
          <w:tcPr>
            <w:tcW w:w="5000" w:type="pct"/>
            <w:tcBorders>
              <w:top w:val="single" w:sz="6" w:space="0" w:color="78A22F"/>
              <w:left w:val="nil"/>
              <w:bottom w:val="nil"/>
              <w:right w:val="nil"/>
            </w:tcBorders>
            <w:tcMar>
              <w:left w:w="170" w:type="dxa"/>
              <w:right w:w="170" w:type="dxa"/>
            </w:tcMar>
          </w:tcPr>
          <w:p w14:paraId="1AFCA2A3" w14:textId="77777777" w:rsidR="00CE1144" w:rsidRPr="00D41518" w:rsidRDefault="00CE1144" w:rsidP="00B20151">
            <w:pPr>
              <w:keepLines/>
              <w:spacing w:before="60" w:after="60" w:line="80" w:lineRule="exact"/>
              <w:jc w:val="both"/>
              <w:rPr>
                <w:rFonts w:ascii="Arial" w:hAnsi="Arial"/>
                <w:sz w:val="14"/>
                <w:szCs w:val="20"/>
              </w:rPr>
            </w:pPr>
          </w:p>
        </w:tc>
      </w:tr>
    </w:tbl>
    <w:p w14:paraId="42908EB7" w14:textId="77777777" w:rsidR="00E4071C" w:rsidRPr="00D41518" w:rsidRDefault="00E4071C" w:rsidP="00F00D7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E4071C" w:rsidRPr="005E64FD" w14:paraId="63B00DB9" w14:textId="77777777" w:rsidTr="005028B3">
        <w:trPr>
          <w:tblHeader/>
        </w:trPr>
        <w:tc>
          <w:tcPr>
            <w:tcW w:w="5000" w:type="pct"/>
            <w:tcBorders>
              <w:top w:val="single" w:sz="6" w:space="0" w:color="78A22F"/>
              <w:left w:val="nil"/>
              <w:bottom w:val="nil"/>
              <w:right w:val="nil"/>
            </w:tcBorders>
            <w:shd w:val="clear" w:color="auto" w:fill="auto"/>
            <w:tcMar>
              <w:left w:w="170" w:type="dxa"/>
              <w:right w:w="170" w:type="dxa"/>
            </w:tcMar>
          </w:tcPr>
          <w:p w14:paraId="3EBFEB3B" w14:textId="5C488C50" w:rsidR="00E4071C" w:rsidRPr="005E64FD" w:rsidRDefault="00E4071C" w:rsidP="00EA0F22">
            <w:pPr>
              <w:pStyle w:val="RecTitle"/>
              <w:spacing w:before="120"/>
              <w:ind w:left="1390" w:hanging="1390"/>
              <w:rPr>
                <w:b/>
                <w:color w:val="3B5117"/>
              </w:rPr>
            </w:pPr>
            <w:r w:rsidRPr="005E64FD">
              <w:rPr>
                <w:b/>
                <w:color w:val="3B5117"/>
              </w:rPr>
              <w:t>action 15.3</w:t>
            </w:r>
            <w:r w:rsidR="00CE7986">
              <w:rPr>
                <w:b/>
                <w:color w:val="3B5117"/>
              </w:rPr>
              <w:t> — </w:t>
            </w:r>
            <w:r w:rsidRPr="005E64FD">
              <w:rPr>
                <w:b/>
                <w:color w:val="3B5117"/>
              </w:rPr>
              <w:t xml:space="preserve">single care plans for </w:t>
            </w:r>
            <w:r w:rsidR="00EA0F22">
              <w:rPr>
                <w:b/>
                <w:color w:val="3B5117"/>
              </w:rPr>
              <w:t>people</w:t>
            </w:r>
            <w:r w:rsidRPr="005E64FD">
              <w:rPr>
                <w:b/>
                <w:color w:val="3B5117"/>
              </w:rPr>
              <w:t xml:space="preserve"> with moderate to severe mental illness</w:t>
            </w:r>
          </w:p>
        </w:tc>
      </w:tr>
      <w:tr w:rsidR="00E4071C" w:rsidRPr="00D41518" w14:paraId="473F4D56" w14:textId="77777777" w:rsidTr="005028B3">
        <w:tc>
          <w:tcPr>
            <w:tcW w:w="5000" w:type="pct"/>
            <w:tcBorders>
              <w:top w:val="nil"/>
              <w:left w:val="nil"/>
              <w:bottom w:val="nil"/>
              <w:right w:val="nil"/>
            </w:tcBorders>
            <w:shd w:val="clear" w:color="auto" w:fill="F2F2F2"/>
            <w:tcMar>
              <w:left w:w="170" w:type="dxa"/>
              <w:right w:w="170" w:type="dxa"/>
            </w:tcMar>
          </w:tcPr>
          <w:p w14:paraId="740B637F" w14:textId="77777777" w:rsidR="00E4071C" w:rsidRPr="0072529F" w:rsidRDefault="00E4071C" w:rsidP="005028B3">
            <w:pPr>
              <w:pStyle w:val="Rec"/>
              <w:keepNext/>
            </w:pPr>
            <w:r w:rsidRPr="0072529F">
              <w:t xml:space="preserve">Governments should support the development of single care plans for </w:t>
            </w:r>
            <w:r>
              <w:t>people</w:t>
            </w:r>
            <w:r w:rsidRPr="0072529F">
              <w:t xml:space="preserve"> with moderate to severe mental illness who are receiving services across multiple clinical</w:t>
            </w:r>
            <w:r>
              <w:t xml:space="preserve"> and non</w:t>
            </w:r>
            <w:r>
              <w:noBreakHyphen/>
              <w:t>clinical</w:t>
            </w:r>
            <w:r w:rsidRPr="0072529F">
              <w:t xml:space="preserve"> providers.</w:t>
            </w:r>
          </w:p>
          <w:p w14:paraId="73F4F18D" w14:textId="77777777" w:rsidR="00E4071C" w:rsidRPr="009558A9" w:rsidRDefault="00E4071C" w:rsidP="005028B3">
            <w:pPr>
              <w:pStyle w:val="Rec"/>
              <w:rPr>
                <w:i/>
              </w:rPr>
            </w:pPr>
            <w:r w:rsidRPr="002246D6">
              <w:rPr>
                <w:i/>
              </w:rPr>
              <w:t>Start later</w:t>
            </w:r>
          </w:p>
          <w:p w14:paraId="16E39627" w14:textId="77777777" w:rsidR="00E4071C" w:rsidRDefault="00E4071C" w:rsidP="005028B3">
            <w:pPr>
              <w:pStyle w:val="BoxListBullet"/>
              <w:numPr>
                <w:ilvl w:val="0"/>
                <w:numId w:val="0"/>
              </w:numPr>
              <w:ind w:left="284" w:hanging="284"/>
              <w:rPr>
                <w:sz w:val="22"/>
                <w:szCs w:val="22"/>
              </w:rPr>
            </w:pPr>
            <w:r>
              <w:rPr>
                <w:sz w:val="22"/>
                <w:szCs w:val="22"/>
              </w:rPr>
              <w:t xml:space="preserve">Governments should </w:t>
            </w:r>
            <w:r w:rsidRPr="00A875C6">
              <w:rPr>
                <w:sz w:val="22"/>
                <w:szCs w:val="22"/>
              </w:rPr>
              <w:t>develop and promote protocols for</w:t>
            </w:r>
            <w:r>
              <w:rPr>
                <w:sz w:val="22"/>
                <w:szCs w:val="22"/>
              </w:rPr>
              <w:t>:</w:t>
            </w:r>
          </w:p>
          <w:p w14:paraId="3404073F" w14:textId="77777777" w:rsidR="00E4071C" w:rsidRDefault="00E4071C" w:rsidP="005028B3">
            <w:pPr>
              <w:pStyle w:val="RecBullet"/>
              <w:rPr>
                <w:szCs w:val="22"/>
              </w:rPr>
            </w:pPr>
            <w:r>
              <w:t xml:space="preserve">consumer and, where appropriate, carer involvement in single care </w:t>
            </w:r>
            <w:r>
              <w:rPr>
                <w:szCs w:val="22"/>
              </w:rPr>
              <w:t>plans</w:t>
            </w:r>
          </w:p>
          <w:p w14:paraId="1996D4C1" w14:textId="77777777" w:rsidR="00E4071C" w:rsidRDefault="00E4071C" w:rsidP="005028B3">
            <w:pPr>
              <w:pStyle w:val="RecBullet"/>
              <w:rPr>
                <w:szCs w:val="22"/>
              </w:rPr>
            </w:pPr>
            <w:r>
              <w:t xml:space="preserve">allocating responsibility for plan development and review, with consumers </w:t>
            </w:r>
            <w:r>
              <w:rPr>
                <w:szCs w:val="22"/>
              </w:rPr>
              <w:t>being directly involved in plan development</w:t>
            </w:r>
            <w:r>
              <w:t xml:space="preserve"> and having choice over which of their service providers manages their care plan </w:t>
            </w:r>
          </w:p>
          <w:p w14:paraId="4A6CB3EC" w14:textId="01E74767" w:rsidR="00E4071C" w:rsidRPr="0005039F" w:rsidRDefault="00E4071C" w:rsidP="005028B3">
            <w:pPr>
              <w:pStyle w:val="RecBullet"/>
            </w:pPr>
            <w:r w:rsidRPr="00484981">
              <w:t xml:space="preserve">sharing consumer information between service providers and </w:t>
            </w:r>
            <w:r>
              <w:t xml:space="preserve">updating </w:t>
            </w:r>
            <w:r w:rsidRPr="00484981">
              <w:t>the plan, with consideration given to any legal issues that may arise as to who</w:t>
            </w:r>
            <w:r>
              <w:t xml:space="preserve"> (apart from the consumer)</w:t>
            </w:r>
            <w:r w:rsidRPr="00484981">
              <w:t xml:space="preserve"> </w:t>
            </w:r>
            <w:r>
              <w:t xml:space="preserve">is able to share the </w:t>
            </w:r>
            <w:r w:rsidRPr="00484981">
              <w:t xml:space="preserve">information contained in the plan. </w:t>
            </w:r>
          </w:p>
        </w:tc>
      </w:tr>
      <w:tr w:rsidR="00E4071C" w:rsidRPr="00D41518" w14:paraId="628BB1C0"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6286A598" w14:textId="77777777" w:rsidR="00E4071C" w:rsidRPr="00D41518" w:rsidRDefault="00E4071C" w:rsidP="005028B3">
            <w:pPr>
              <w:keepNext/>
              <w:keepLines/>
              <w:spacing w:line="120" w:lineRule="exact"/>
              <w:jc w:val="both"/>
              <w:rPr>
                <w:rFonts w:ascii="Arial" w:hAnsi="Arial"/>
                <w:sz w:val="20"/>
                <w:szCs w:val="20"/>
              </w:rPr>
            </w:pPr>
          </w:p>
        </w:tc>
      </w:tr>
      <w:tr w:rsidR="00E4071C" w:rsidRPr="00D41518" w14:paraId="3AC94567" w14:textId="77777777" w:rsidTr="005028B3">
        <w:tc>
          <w:tcPr>
            <w:tcW w:w="5000" w:type="pct"/>
            <w:tcBorders>
              <w:top w:val="single" w:sz="6" w:space="0" w:color="78A22F"/>
              <w:left w:val="nil"/>
              <w:bottom w:val="nil"/>
              <w:right w:val="nil"/>
            </w:tcBorders>
            <w:shd w:val="clear" w:color="auto" w:fill="auto"/>
            <w:tcMar>
              <w:left w:w="170" w:type="dxa"/>
              <w:right w:w="170" w:type="dxa"/>
            </w:tcMar>
          </w:tcPr>
          <w:p w14:paraId="242F046B" w14:textId="77777777" w:rsidR="00E4071C" w:rsidRPr="00D41518" w:rsidRDefault="00E4071C" w:rsidP="005028B3">
            <w:pPr>
              <w:pStyle w:val="BoxSpaceBelow"/>
            </w:pPr>
          </w:p>
        </w:tc>
      </w:tr>
    </w:tbl>
    <w:p w14:paraId="612E7307" w14:textId="77777777" w:rsidR="00E4071C" w:rsidRPr="00D41518" w:rsidRDefault="00E4071C" w:rsidP="00F00D7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E4071C" w:rsidRPr="005E64FD" w14:paraId="6734FD0B" w14:textId="77777777" w:rsidTr="005028B3">
        <w:trPr>
          <w:tblHeader/>
        </w:trPr>
        <w:tc>
          <w:tcPr>
            <w:tcW w:w="5000" w:type="pct"/>
            <w:tcBorders>
              <w:top w:val="single" w:sz="6" w:space="0" w:color="78A22F"/>
              <w:left w:val="nil"/>
              <w:bottom w:val="nil"/>
              <w:right w:val="nil"/>
            </w:tcBorders>
            <w:shd w:val="clear" w:color="auto" w:fill="auto"/>
            <w:tcMar>
              <w:left w:w="170" w:type="dxa"/>
              <w:right w:w="170" w:type="dxa"/>
            </w:tcMar>
          </w:tcPr>
          <w:p w14:paraId="4DFFBE51" w14:textId="1B39DA5E" w:rsidR="00E4071C" w:rsidRPr="005E64FD" w:rsidRDefault="00E4071C" w:rsidP="005028B3">
            <w:pPr>
              <w:pStyle w:val="RecTitle"/>
              <w:spacing w:before="120"/>
              <w:rPr>
                <w:b/>
                <w:color w:val="3B5117"/>
              </w:rPr>
            </w:pPr>
            <w:r w:rsidRPr="005E64FD">
              <w:rPr>
                <w:b/>
                <w:color w:val="3B5117"/>
              </w:rPr>
              <w:t>action 15.4</w:t>
            </w:r>
            <w:r w:rsidR="00CE7986">
              <w:rPr>
                <w:b/>
                <w:color w:val="3B5117"/>
              </w:rPr>
              <w:t> — </w:t>
            </w:r>
            <w:r w:rsidRPr="005E64FD">
              <w:rPr>
                <w:b/>
                <w:color w:val="3B5117"/>
              </w:rPr>
              <w:t xml:space="preserve">care coordination services </w:t>
            </w:r>
          </w:p>
        </w:tc>
      </w:tr>
      <w:tr w:rsidR="00E4071C" w:rsidRPr="00D41518" w14:paraId="210FD1EF" w14:textId="77777777" w:rsidTr="005028B3">
        <w:tc>
          <w:tcPr>
            <w:tcW w:w="5000" w:type="pct"/>
            <w:tcBorders>
              <w:top w:val="nil"/>
              <w:left w:val="nil"/>
              <w:bottom w:val="nil"/>
              <w:right w:val="nil"/>
            </w:tcBorders>
            <w:shd w:val="clear" w:color="auto" w:fill="F2F2F2"/>
            <w:tcMar>
              <w:left w:w="170" w:type="dxa"/>
              <w:right w:w="170" w:type="dxa"/>
            </w:tcMar>
          </w:tcPr>
          <w:p w14:paraId="76DC841B" w14:textId="3F0C6DB6" w:rsidR="00E4071C" w:rsidRPr="001C66D4" w:rsidRDefault="00E4071C" w:rsidP="005028B3">
            <w:pPr>
              <w:pStyle w:val="Rec"/>
              <w:keepNext/>
            </w:pPr>
            <w:r>
              <w:t>P</w:t>
            </w:r>
            <w:r w:rsidRPr="001C66D4">
              <w:t xml:space="preserve">eople with severe and persistent mental illness </w:t>
            </w:r>
            <w:r>
              <w:t>should receive</w:t>
            </w:r>
            <w:r w:rsidRPr="001C66D4">
              <w:t xml:space="preserve"> care coordination services </w:t>
            </w:r>
            <w:r>
              <w:t>where this is required to ensure</w:t>
            </w:r>
            <w:r w:rsidRPr="001C66D4">
              <w:t xml:space="preserve"> their complex health and social needs </w:t>
            </w:r>
            <w:r>
              <w:t>are adequately met</w:t>
            </w:r>
            <w:r w:rsidRPr="001C66D4">
              <w:t xml:space="preserve">. </w:t>
            </w:r>
          </w:p>
          <w:p w14:paraId="04C4FC58" w14:textId="77777777" w:rsidR="00E4071C" w:rsidRPr="009558A9" w:rsidRDefault="00E4071C" w:rsidP="005028B3">
            <w:pPr>
              <w:pStyle w:val="Rec"/>
              <w:keepNext/>
              <w:rPr>
                <w:i/>
              </w:rPr>
            </w:pPr>
            <w:r w:rsidRPr="002246D6">
              <w:rPr>
                <w:i/>
              </w:rPr>
              <w:t>Start now</w:t>
            </w:r>
          </w:p>
          <w:p w14:paraId="14116B40" w14:textId="2BD4FE4D" w:rsidR="00E4071C" w:rsidRDefault="00E4071C" w:rsidP="005028B3">
            <w:pPr>
              <w:pStyle w:val="Rec"/>
            </w:pPr>
            <w:r>
              <w:t xml:space="preserve">All </w:t>
            </w:r>
            <w:r w:rsidR="00EA0F22">
              <w:t xml:space="preserve">Governments and regional </w:t>
            </w:r>
            <w:r>
              <w:t xml:space="preserve">commissioning bodies should: </w:t>
            </w:r>
          </w:p>
          <w:p w14:paraId="7B4C4153" w14:textId="77777777" w:rsidR="00E4071C" w:rsidRDefault="00E4071C" w:rsidP="005028B3">
            <w:pPr>
              <w:pStyle w:val="RecBullet"/>
            </w:pPr>
            <w:r w:rsidRPr="00A875C6">
              <w:t>assess the number of people who require care coordination services in their region of responsibility, and the extent to which they are already accessing effective care coordin</w:t>
            </w:r>
            <w:r>
              <w:t xml:space="preserve">ation through existing programs, </w:t>
            </w:r>
            <w:r w:rsidRPr="00A875C6">
              <w:t>including the National Disability Insurance Scheme</w:t>
            </w:r>
            <w:r>
              <w:t xml:space="preserve"> (NDIS)</w:t>
            </w:r>
          </w:p>
          <w:p w14:paraId="37730D81" w14:textId="6D5C3BB1" w:rsidR="00E4071C" w:rsidRDefault="00E4071C" w:rsidP="005028B3">
            <w:pPr>
              <w:pStyle w:val="RecBullet"/>
            </w:pPr>
            <w:r>
              <w:t xml:space="preserve">streamline care coordination arrangements and ensure that people </w:t>
            </w:r>
            <w:r w:rsidRPr="00A875C6">
              <w:t>with severe and persistent mental illness and complex needs requiring support from multiple agencies</w:t>
            </w:r>
            <w:r>
              <w:t xml:space="preserve"> have access to effective care coordination. This includes care coordination services for </w:t>
            </w:r>
            <w:r w:rsidRPr="002B17D8">
              <w:t>those people</w:t>
            </w:r>
            <w:r>
              <w:t xml:space="preserve"> with </w:t>
            </w:r>
            <w:r w:rsidRPr="002B17D8">
              <w:t>severe and persistent mental illness</w:t>
            </w:r>
            <w:r>
              <w:t xml:space="preserve"> and complex </w:t>
            </w:r>
            <w:r w:rsidRPr="002B17D8">
              <w:t>needs</w:t>
            </w:r>
            <w:r>
              <w:t xml:space="preserve"> who do not qualify for the NDIS, and people with severe mental illness who require care coordination for only brief periods of time.</w:t>
            </w:r>
          </w:p>
          <w:p w14:paraId="53D9ED8C" w14:textId="77777777" w:rsidR="00E4071C" w:rsidRDefault="00E4071C" w:rsidP="005028B3">
            <w:pPr>
              <w:pStyle w:val="Rec"/>
              <w:rPr>
                <w:i/>
              </w:rPr>
            </w:pPr>
            <w:r w:rsidRPr="0037624E">
              <w:t xml:space="preserve">To enable care coordination services to be delivered effectively, consumers would need to provide their consent for service providers to share any relevant information with other organisations. </w:t>
            </w:r>
          </w:p>
          <w:p w14:paraId="6A7AEBF9" w14:textId="77777777" w:rsidR="00E4071C" w:rsidRPr="009558A9" w:rsidRDefault="00E4071C" w:rsidP="005028B3">
            <w:pPr>
              <w:pStyle w:val="Rec"/>
              <w:rPr>
                <w:i/>
              </w:rPr>
            </w:pPr>
            <w:r w:rsidRPr="002246D6">
              <w:rPr>
                <w:i/>
              </w:rPr>
              <w:t>Start later</w:t>
            </w:r>
          </w:p>
          <w:p w14:paraId="08BBA0AD" w14:textId="3DCD0072" w:rsidR="00E4071C" w:rsidRPr="00390339" w:rsidRDefault="00E4071C" w:rsidP="003F1E20">
            <w:pPr>
              <w:pStyle w:val="Rec"/>
            </w:pPr>
            <w:r w:rsidRPr="000A0488">
              <w:t>Governments</w:t>
            </w:r>
            <w:r w:rsidRPr="001C66D4">
              <w:t xml:space="preserve"> should set a national benchmark, </w:t>
            </w:r>
            <w:r>
              <w:t>based on the improved National Mental Health Service Planning Framework (Action 25.</w:t>
            </w:r>
            <w:r w:rsidR="003F1E20">
              <w:t>9</w:t>
            </w:r>
            <w:r>
              <w:t xml:space="preserve">) </w:t>
            </w:r>
            <w:r w:rsidRPr="001C66D4">
              <w:t xml:space="preserve">to ensure </w:t>
            </w:r>
            <w:r w:rsidR="00EA0F22">
              <w:t>effective care coordination</w:t>
            </w:r>
            <w:r w:rsidR="00EA0F22" w:rsidRPr="00ED46BB">
              <w:t xml:space="preserve"> services </w:t>
            </w:r>
            <w:r w:rsidRPr="001C66D4">
              <w:t>are available and any gaps are addressed.</w:t>
            </w:r>
          </w:p>
        </w:tc>
      </w:tr>
      <w:tr w:rsidR="00E4071C" w:rsidRPr="00D41518" w14:paraId="43C00959"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76F5836E" w14:textId="77777777" w:rsidR="00E4071C" w:rsidRPr="00D41518" w:rsidRDefault="00E4071C" w:rsidP="005028B3">
            <w:pPr>
              <w:keepNext/>
              <w:keepLines/>
              <w:spacing w:line="120" w:lineRule="exact"/>
              <w:jc w:val="both"/>
              <w:rPr>
                <w:rFonts w:ascii="Arial" w:hAnsi="Arial"/>
                <w:sz w:val="20"/>
                <w:szCs w:val="20"/>
              </w:rPr>
            </w:pPr>
          </w:p>
        </w:tc>
      </w:tr>
      <w:tr w:rsidR="00E4071C" w:rsidRPr="00D41518" w14:paraId="06176B2D" w14:textId="77777777" w:rsidTr="005028B3">
        <w:tc>
          <w:tcPr>
            <w:tcW w:w="5000" w:type="pct"/>
            <w:tcBorders>
              <w:top w:val="single" w:sz="6" w:space="0" w:color="78A22F"/>
              <w:left w:val="nil"/>
              <w:bottom w:val="nil"/>
              <w:right w:val="nil"/>
            </w:tcBorders>
            <w:shd w:val="clear" w:color="auto" w:fill="auto"/>
            <w:tcMar>
              <w:left w:w="170" w:type="dxa"/>
              <w:right w:w="170" w:type="dxa"/>
            </w:tcMar>
          </w:tcPr>
          <w:p w14:paraId="393374DF" w14:textId="77777777" w:rsidR="00E4071C" w:rsidRPr="00D41518" w:rsidRDefault="00E4071C" w:rsidP="005028B3">
            <w:pPr>
              <w:pStyle w:val="BoxSpaceBelow"/>
            </w:pPr>
          </w:p>
        </w:tc>
      </w:tr>
    </w:tbl>
    <w:p w14:paraId="1C7BEE1F" w14:textId="77777777" w:rsidR="00E4071C" w:rsidRPr="00D41518" w:rsidRDefault="00E4071C" w:rsidP="00F00D7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8"/>
      </w:tblGrid>
      <w:tr w:rsidR="00CE1144" w:rsidRPr="00D41518" w14:paraId="65DABEEB" w14:textId="77777777" w:rsidTr="00B20151">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49EB6050" w14:textId="2DB750E6" w:rsidR="00CE1144" w:rsidRPr="00D41518" w:rsidRDefault="00CE1144" w:rsidP="00B20151">
            <w:pPr>
              <w:keepNext/>
              <w:keepLines/>
              <w:spacing w:before="120" w:line="280" w:lineRule="atLeast"/>
              <w:jc w:val="both"/>
              <w:rPr>
                <w:rFonts w:ascii="Arial" w:hAnsi="Arial"/>
                <w:caps/>
                <w:sz w:val="18"/>
                <w:szCs w:val="20"/>
              </w:rPr>
            </w:pPr>
            <w:r w:rsidRPr="00D41518">
              <w:rPr>
                <w:rFonts w:ascii="Arial" w:hAnsi="Arial"/>
                <w:caps/>
                <w:sz w:val="18"/>
                <w:szCs w:val="20"/>
              </w:rPr>
              <w:t>Finding 1</w:t>
            </w:r>
            <w:r>
              <w:rPr>
                <w:rFonts w:ascii="Arial" w:hAnsi="Arial"/>
                <w:caps/>
                <w:sz w:val="18"/>
                <w:szCs w:val="20"/>
              </w:rPr>
              <w:t>5</w:t>
            </w:r>
            <w:r w:rsidRPr="00D41518">
              <w:rPr>
                <w:rFonts w:ascii="Arial" w:hAnsi="Arial"/>
                <w:caps/>
                <w:sz w:val="18"/>
                <w:szCs w:val="20"/>
              </w:rPr>
              <w:t>.2</w:t>
            </w:r>
            <w:r w:rsidR="00CE7986">
              <w:rPr>
                <w:rFonts w:ascii="Arial" w:hAnsi="Arial"/>
                <w:caps/>
                <w:sz w:val="18"/>
                <w:szCs w:val="20"/>
              </w:rPr>
              <w:t> — </w:t>
            </w:r>
            <w:r w:rsidRPr="00D41518">
              <w:rPr>
                <w:rFonts w:ascii="Arial" w:hAnsi="Arial"/>
                <w:caps/>
                <w:sz w:val="18"/>
                <w:szCs w:val="20"/>
              </w:rPr>
              <w:t>supporting collaboration between service providers</w:t>
            </w:r>
          </w:p>
        </w:tc>
      </w:tr>
      <w:tr w:rsidR="00CE1144" w:rsidRPr="00D41518" w14:paraId="585DF58B" w14:textId="77777777" w:rsidTr="00B20151">
        <w:trPr>
          <w:cantSplit/>
        </w:trPr>
        <w:tc>
          <w:tcPr>
            <w:tcW w:w="5000" w:type="pct"/>
            <w:tcBorders>
              <w:top w:val="nil"/>
              <w:left w:val="nil"/>
              <w:bottom w:val="nil"/>
              <w:right w:val="nil"/>
            </w:tcBorders>
            <w:shd w:val="clear" w:color="auto" w:fill="F2F2F2"/>
            <w:tcMar>
              <w:left w:w="170" w:type="dxa"/>
              <w:right w:w="170" w:type="dxa"/>
            </w:tcMar>
          </w:tcPr>
          <w:p w14:paraId="13DB1FC1" w14:textId="6F0B2FB8" w:rsidR="00CE1144" w:rsidRPr="00D41518" w:rsidRDefault="00CE1144" w:rsidP="00B20151">
            <w:pPr>
              <w:pStyle w:val="Finding"/>
            </w:pPr>
            <w:r w:rsidRPr="00552358">
              <w:t xml:space="preserve">A range of approaches to collaboration, including co-location, alliances and networks, can improve service delivery and benefit consumers. However, each </w:t>
            </w:r>
            <w:r>
              <w:t>of these alone</w:t>
            </w:r>
            <w:r w:rsidRPr="00552358">
              <w:t xml:space="preserve"> cannot overcome all the barriers to providing integrated, coordinated care. </w:t>
            </w:r>
            <w:r w:rsidR="00152F1D">
              <w:t>Addressing gaps and duplication in services, clear delineation of roles and responsibilities, workforce development, addressing cultural barriers and integrated systems are also required.</w:t>
            </w:r>
          </w:p>
        </w:tc>
      </w:tr>
      <w:tr w:rsidR="00CE1144" w:rsidRPr="00D41518" w14:paraId="051496C6" w14:textId="77777777" w:rsidTr="00B20151">
        <w:trPr>
          <w:cantSplit/>
        </w:trPr>
        <w:tc>
          <w:tcPr>
            <w:tcW w:w="5000" w:type="pct"/>
            <w:tcBorders>
              <w:top w:val="nil"/>
              <w:left w:val="nil"/>
              <w:bottom w:val="single" w:sz="6" w:space="0" w:color="78A22F"/>
              <w:right w:val="nil"/>
            </w:tcBorders>
            <w:shd w:val="clear" w:color="auto" w:fill="F2F2F2"/>
            <w:tcMar>
              <w:left w:w="170" w:type="dxa"/>
              <w:right w:w="170" w:type="dxa"/>
            </w:tcMar>
          </w:tcPr>
          <w:p w14:paraId="27A1CBCF" w14:textId="77777777" w:rsidR="00CE1144" w:rsidRPr="00D41518" w:rsidRDefault="00CE1144" w:rsidP="00B20151">
            <w:pPr>
              <w:keepNext/>
              <w:keepLines/>
              <w:spacing w:line="120" w:lineRule="exact"/>
              <w:jc w:val="both"/>
              <w:rPr>
                <w:rFonts w:ascii="Arial" w:hAnsi="Arial"/>
                <w:sz w:val="20"/>
                <w:szCs w:val="20"/>
              </w:rPr>
            </w:pPr>
          </w:p>
        </w:tc>
      </w:tr>
      <w:tr w:rsidR="00CE1144" w:rsidRPr="00D41518" w14:paraId="5E79E554" w14:textId="77777777" w:rsidTr="00B20151">
        <w:trPr>
          <w:cantSplit/>
        </w:trPr>
        <w:tc>
          <w:tcPr>
            <w:tcW w:w="5000" w:type="pct"/>
            <w:tcBorders>
              <w:top w:val="single" w:sz="6" w:space="0" w:color="78A22F"/>
              <w:left w:val="nil"/>
              <w:bottom w:val="nil"/>
              <w:right w:val="nil"/>
            </w:tcBorders>
            <w:tcMar>
              <w:left w:w="170" w:type="dxa"/>
              <w:right w:w="170" w:type="dxa"/>
            </w:tcMar>
          </w:tcPr>
          <w:p w14:paraId="01E8E3DA" w14:textId="77777777" w:rsidR="00CE1144" w:rsidRPr="00D41518" w:rsidRDefault="00CE1144" w:rsidP="00B20151">
            <w:pPr>
              <w:keepLines/>
              <w:spacing w:before="60" w:after="60" w:line="80" w:lineRule="exact"/>
              <w:jc w:val="both"/>
              <w:rPr>
                <w:rFonts w:ascii="Arial" w:hAnsi="Arial"/>
                <w:sz w:val="14"/>
                <w:szCs w:val="20"/>
              </w:rPr>
            </w:pPr>
          </w:p>
        </w:tc>
      </w:tr>
    </w:tbl>
    <w:p w14:paraId="00E81FF0" w14:textId="536EBFAF" w:rsidR="007D4680" w:rsidRDefault="00CE1144" w:rsidP="007D4680">
      <w:pPr>
        <w:pStyle w:val="Heading3"/>
      </w:pPr>
      <w:r>
        <w:lastRenderedPageBreak/>
        <w:t>M</w:t>
      </w:r>
      <w:r w:rsidR="007D4680">
        <w:t xml:space="preserve">ental health workforce </w:t>
      </w:r>
    </w:p>
    <w:p w14:paraId="641DECC3" w14:textId="77777777" w:rsidR="007D4680" w:rsidRPr="00D41518" w:rsidRDefault="007D4680" w:rsidP="00C26DD8">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D41518" w:rsidRPr="005E64FD" w14:paraId="0253BE21" w14:textId="77777777" w:rsidTr="00462628">
        <w:trPr>
          <w:tblHeader/>
        </w:trPr>
        <w:tc>
          <w:tcPr>
            <w:tcW w:w="5000" w:type="pct"/>
            <w:tcBorders>
              <w:top w:val="single" w:sz="6" w:space="0" w:color="78A22F"/>
              <w:left w:val="nil"/>
              <w:bottom w:val="nil"/>
              <w:right w:val="nil"/>
            </w:tcBorders>
            <w:shd w:val="clear" w:color="auto" w:fill="auto"/>
            <w:tcMar>
              <w:left w:w="170" w:type="dxa"/>
              <w:right w:w="170" w:type="dxa"/>
            </w:tcMar>
          </w:tcPr>
          <w:p w14:paraId="6B10E5FB" w14:textId="679EA76B" w:rsidR="00D41518" w:rsidRPr="005E64FD" w:rsidRDefault="008D4B2F" w:rsidP="005E64FD">
            <w:pPr>
              <w:pStyle w:val="RecTitle"/>
              <w:spacing w:before="120"/>
              <w:rPr>
                <w:b/>
                <w:color w:val="3B5117"/>
              </w:rPr>
            </w:pPr>
            <w:bookmarkStart w:id="5" w:name="_Toc10640261"/>
            <w:bookmarkStart w:id="6" w:name="_Toc10717029"/>
            <w:bookmarkEnd w:id="5"/>
            <w:bookmarkEnd w:id="6"/>
            <w:r w:rsidRPr="005E64FD">
              <w:rPr>
                <w:b/>
                <w:color w:val="3B5117"/>
              </w:rPr>
              <w:t xml:space="preserve">Action </w:t>
            </w:r>
            <w:r w:rsidR="00D41518" w:rsidRPr="005E64FD">
              <w:rPr>
                <w:b/>
                <w:color w:val="3B5117"/>
              </w:rPr>
              <w:t>1</w:t>
            </w:r>
            <w:r w:rsidR="00CA1A76" w:rsidRPr="005E64FD">
              <w:rPr>
                <w:b/>
                <w:color w:val="3B5117"/>
              </w:rPr>
              <w:t>6</w:t>
            </w:r>
            <w:r w:rsidR="00D41518" w:rsidRPr="005E64FD">
              <w:rPr>
                <w:b/>
                <w:color w:val="3B5117"/>
              </w:rPr>
              <w:t>.1</w:t>
            </w:r>
            <w:r w:rsidR="00CE7986">
              <w:rPr>
                <w:b/>
                <w:color w:val="3B5117"/>
              </w:rPr>
              <w:t> — </w:t>
            </w:r>
            <w:r w:rsidR="00D41518" w:rsidRPr="005E64FD">
              <w:rPr>
                <w:b/>
                <w:color w:val="3B5117"/>
              </w:rPr>
              <w:t>the National mental health Workforce Strategy</w:t>
            </w:r>
          </w:p>
        </w:tc>
      </w:tr>
      <w:tr w:rsidR="00D41518" w:rsidRPr="00D41518" w14:paraId="4BF21F31" w14:textId="77777777" w:rsidTr="00462628">
        <w:tc>
          <w:tcPr>
            <w:tcW w:w="5000" w:type="pct"/>
            <w:tcBorders>
              <w:top w:val="nil"/>
              <w:left w:val="nil"/>
              <w:bottom w:val="nil"/>
              <w:right w:val="nil"/>
            </w:tcBorders>
            <w:shd w:val="clear" w:color="auto" w:fill="F2F2F2"/>
            <w:tcMar>
              <w:left w:w="170" w:type="dxa"/>
              <w:right w:w="170" w:type="dxa"/>
            </w:tcMar>
          </w:tcPr>
          <w:p w14:paraId="61B1B9D9" w14:textId="02CF5081" w:rsidR="006948DD" w:rsidRDefault="006948DD" w:rsidP="004D7179">
            <w:pPr>
              <w:pStyle w:val="Rec"/>
              <w:keepNext/>
            </w:pPr>
            <w:r w:rsidRPr="00A45827">
              <w:t xml:space="preserve">The forthcoming National Mental Health Workforce Strategy </w:t>
            </w:r>
            <w:r w:rsidRPr="006948DD">
              <w:t xml:space="preserve">and the National Medical Workforce Strategy should </w:t>
            </w:r>
            <w:r w:rsidR="0047372D">
              <w:t>enable a</w:t>
            </w:r>
            <w:r w:rsidRPr="006948DD">
              <w:t xml:space="preserve"> </w:t>
            </w:r>
            <w:r w:rsidR="00505FEA">
              <w:t>person</w:t>
            </w:r>
            <w:r w:rsidR="00784F8C">
              <w:t xml:space="preserve">-centred </w:t>
            </w:r>
            <w:r w:rsidR="00EE0B8D">
              <w:t xml:space="preserve">mental </w:t>
            </w:r>
            <w:r w:rsidRPr="006948DD">
              <w:t>health system.</w:t>
            </w:r>
          </w:p>
          <w:p w14:paraId="7A33AD12" w14:textId="77777777" w:rsidR="00D41518" w:rsidRPr="00D41518" w:rsidRDefault="002246D6" w:rsidP="004D7179">
            <w:pPr>
              <w:pStyle w:val="Rec"/>
              <w:rPr>
                <w:i/>
              </w:rPr>
            </w:pPr>
            <w:r w:rsidRPr="002246D6">
              <w:rPr>
                <w:i/>
              </w:rPr>
              <w:t>Start now</w:t>
            </w:r>
          </w:p>
          <w:p w14:paraId="2B838A52" w14:textId="160F7A9A" w:rsidR="004D7179" w:rsidRDefault="004D7179" w:rsidP="004D7179">
            <w:pPr>
              <w:pStyle w:val="Rec"/>
              <w:keepNext/>
            </w:pPr>
            <w:r w:rsidRPr="008E32D6">
              <w:t xml:space="preserve">The </w:t>
            </w:r>
            <w:r>
              <w:t xml:space="preserve">Australian Government should ensure that its </w:t>
            </w:r>
            <w:r w:rsidRPr="008E32D6">
              <w:t xml:space="preserve">development of a new </w:t>
            </w:r>
            <w:r w:rsidR="00994E4D">
              <w:t>W</w:t>
            </w:r>
            <w:r w:rsidRPr="008E32D6">
              <w:t>orkforce Strategy</w:t>
            </w:r>
            <w:r>
              <w:t xml:space="preserve"> includes the following actions:</w:t>
            </w:r>
          </w:p>
          <w:p w14:paraId="705E2C26" w14:textId="77777777" w:rsidR="004D7179" w:rsidRPr="008E32D6" w:rsidRDefault="004D7179" w:rsidP="004D7179">
            <w:pPr>
              <w:pStyle w:val="RecBullet"/>
            </w:pPr>
            <w:r>
              <w:t xml:space="preserve">Set the objective of achieving a health workforce that </w:t>
            </w:r>
            <w:r w:rsidRPr="00DE1B66">
              <w:t xml:space="preserve">aligns </w:t>
            </w:r>
            <w:r w:rsidR="00D2248A" w:rsidRPr="00C72302">
              <w:t xml:space="preserve">the skills, </w:t>
            </w:r>
            <w:r w:rsidR="00D2248A">
              <w:t xml:space="preserve">costs, cultural capability, substitutability, </w:t>
            </w:r>
            <w:r w:rsidR="00D2248A" w:rsidRPr="00C72302">
              <w:t xml:space="preserve">availability and location </w:t>
            </w:r>
            <w:r w:rsidR="00D2248A" w:rsidRPr="00D0367E">
              <w:t xml:space="preserve">of mental health </w:t>
            </w:r>
            <w:r w:rsidR="00D2248A">
              <w:t xml:space="preserve">practitioners with </w:t>
            </w:r>
            <w:r>
              <w:t>consumer needs</w:t>
            </w:r>
            <w:r w:rsidRPr="00D0367E">
              <w:t>.</w:t>
            </w:r>
            <w:r>
              <w:t xml:space="preserve"> This should be done by integrating the workforce strategy with service and infrastructure planning.</w:t>
            </w:r>
          </w:p>
          <w:p w14:paraId="67D0AF21" w14:textId="77777777" w:rsidR="004D7179" w:rsidRDefault="004D7179" w:rsidP="004D7179">
            <w:pPr>
              <w:pStyle w:val="RecBullet"/>
            </w:pPr>
            <w:r>
              <w:t>Ensure that planning consultations give weight to the perspectives of consumers, carers, mental health workers and service providers, including the non-clinical community mental health sector.</w:t>
            </w:r>
          </w:p>
          <w:p w14:paraId="4BDB729C" w14:textId="30F371F5" w:rsidR="0027629D" w:rsidRDefault="00D2248A" w:rsidP="0027629D">
            <w:pPr>
              <w:pStyle w:val="RecBullet"/>
            </w:pPr>
            <w:r>
              <w:t>E</w:t>
            </w:r>
            <w:r w:rsidR="0027629D">
              <w:t xml:space="preserve">xamine </w:t>
            </w:r>
            <w:r w:rsidR="006F6DCB">
              <w:t xml:space="preserve">how workforce needs </w:t>
            </w:r>
            <w:r>
              <w:t>would</w:t>
            </w:r>
            <w:r w:rsidR="006F6DCB">
              <w:t xml:space="preserve"> change under a business-as-usual scenario as well as under scenarios where alternative workers </w:t>
            </w:r>
            <w:r w:rsidR="004D7179">
              <w:t>deliver service (particularly leveraging the non-medical workforce),</w:t>
            </w:r>
            <w:r w:rsidR="006F6DCB">
              <w:t xml:space="preserve"> where technologies can assist or replace </w:t>
            </w:r>
            <w:r>
              <w:t>face-to-face</w:t>
            </w:r>
            <w:r w:rsidR="006F6DCB">
              <w:t xml:space="preserve"> services</w:t>
            </w:r>
            <w:r w:rsidR="004D7179">
              <w:t>, and where practices not supported by clinical evidence are de</w:t>
            </w:r>
            <w:r w:rsidR="002B1DF7">
              <w:noBreakHyphen/>
            </w:r>
            <w:r w:rsidR="004D7179">
              <w:t>funded.</w:t>
            </w:r>
          </w:p>
          <w:p w14:paraId="3CC89A8C" w14:textId="77777777" w:rsidR="004D7179" w:rsidRDefault="005D7F39" w:rsidP="00BB1085">
            <w:pPr>
              <w:pStyle w:val="RecBullet"/>
            </w:pPr>
            <w:r>
              <w:t>Assess</w:t>
            </w:r>
            <w:r w:rsidR="0027629D">
              <w:t xml:space="preserve"> the </w:t>
            </w:r>
            <w:r>
              <w:t xml:space="preserve">estimated </w:t>
            </w:r>
            <w:r w:rsidR="0027629D">
              <w:t>future supply of specific skill</w:t>
            </w:r>
            <w:r w:rsidR="00D2248A">
              <w:t xml:space="preserve"> </w:t>
            </w:r>
            <w:r w:rsidR="0027629D">
              <w:t>s</w:t>
            </w:r>
            <w:r w:rsidR="00D2248A">
              <w:t>ets</w:t>
            </w:r>
            <w:r w:rsidR="0027629D">
              <w:t xml:space="preserve"> and health professions</w:t>
            </w:r>
            <w:r>
              <w:t xml:space="preserve">, </w:t>
            </w:r>
            <w:r w:rsidR="0027629D">
              <w:t xml:space="preserve">the extent to which </w:t>
            </w:r>
            <w:r>
              <w:t>these</w:t>
            </w:r>
            <w:r w:rsidR="0027629D">
              <w:t xml:space="preserve"> </w:t>
            </w:r>
            <w:r>
              <w:t>could</w:t>
            </w:r>
            <w:r w:rsidR="0027629D">
              <w:t xml:space="preserve"> fall short of needs</w:t>
            </w:r>
            <w:r>
              <w:t xml:space="preserve">, and </w:t>
            </w:r>
            <w:r w:rsidR="004D7179">
              <w:t xml:space="preserve">policy measures that </w:t>
            </w:r>
            <w:r>
              <w:t>could</w:t>
            </w:r>
            <w:r w:rsidR="004D7179">
              <w:t xml:space="preserve"> meet needs cost-effectively.</w:t>
            </w:r>
          </w:p>
          <w:p w14:paraId="76DDB876" w14:textId="66500B13" w:rsidR="004D7179" w:rsidRDefault="004D7179" w:rsidP="004D7179">
            <w:pPr>
              <w:pStyle w:val="RecBullet"/>
            </w:pPr>
            <w:r>
              <w:t xml:space="preserve">Identify data gaps or methods that limit the capacity to link workforce planning to broader mental healthcare reform, and develop strategies to address those data gaps. </w:t>
            </w:r>
            <w:r w:rsidR="00670820">
              <w:t xml:space="preserve">The data should cover community mental health workers and carers providing informal care, and workforce characteristics (for example, </w:t>
            </w:r>
            <w:r w:rsidR="00505FEA">
              <w:t xml:space="preserve">cultural capability </w:t>
            </w:r>
            <w:r w:rsidR="00E83839">
              <w:t xml:space="preserve">to work </w:t>
            </w:r>
            <w:r w:rsidR="00505FEA">
              <w:t xml:space="preserve">with </w:t>
            </w:r>
            <w:r w:rsidR="00E83839" w:rsidRPr="00302517">
              <w:t xml:space="preserve">people from culturally and linguistically diverse backgrounds </w:t>
            </w:r>
            <w:r w:rsidR="00670820">
              <w:t>and Aboriginal and Torres Strait Islander communities).</w:t>
            </w:r>
          </w:p>
          <w:p w14:paraId="32FA6B46" w14:textId="77777777" w:rsidR="00D41518" w:rsidRPr="00C26DD8" w:rsidRDefault="00D41518" w:rsidP="002B1DF7">
            <w:pPr>
              <w:pStyle w:val="Rec"/>
            </w:pPr>
            <w:r w:rsidRPr="00C26DD8">
              <w:t>This work should also inform the workforce development program being undertaken for the National Mental Health and Suicide Prevention Plan.</w:t>
            </w:r>
          </w:p>
        </w:tc>
      </w:tr>
      <w:tr w:rsidR="00D41518" w:rsidRPr="00D41518" w14:paraId="72D5B3B9"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22A36E93" w14:textId="77777777" w:rsidR="00D41518" w:rsidRPr="00D41518" w:rsidRDefault="00D41518" w:rsidP="00D41518">
            <w:pPr>
              <w:keepNext/>
              <w:keepLines/>
              <w:spacing w:line="120" w:lineRule="exact"/>
              <w:jc w:val="both"/>
              <w:rPr>
                <w:rFonts w:ascii="Arial" w:hAnsi="Arial"/>
                <w:sz w:val="20"/>
                <w:szCs w:val="20"/>
              </w:rPr>
            </w:pPr>
          </w:p>
        </w:tc>
      </w:tr>
      <w:tr w:rsidR="00D41518" w:rsidRPr="00D41518" w14:paraId="7E854260" w14:textId="77777777" w:rsidTr="00462628">
        <w:tc>
          <w:tcPr>
            <w:tcW w:w="5000" w:type="pct"/>
            <w:tcBorders>
              <w:top w:val="single" w:sz="6" w:space="0" w:color="78A22F"/>
              <w:left w:val="nil"/>
              <w:bottom w:val="nil"/>
              <w:right w:val="nil"/>
            </w:tcBorders>
            <w:tcMar>
              <w:left w:w="170" w:type="dxa"/>
              <w:right w:w="170" w:type="dxa"/>
            </w:tcMar>
          </w:tcPr>
          <w:p w14:paraId="0B5CB480" w14:textId="77777777" w:rsidR="00D41518" w:rsidRPr="00D41518" w:rsidRDefault="00D41518" w:rsidP="00AA695D">
            <w:pPr>
              <w:spacing w:before="60" w:after="60" w:line="80" w:lineRule="exact"/>
              <w:jc w:val="both"/>
              <w:rPr>
                <w:rFonts w:ascii="Arial" w:hAnsi="Arial"/>
                <w:sz w:val="14"/>
                <w:szCs w:val="20"/>
              </w:rPr>
            </w:pPr>
          </w:p>
        </w:tc>
      </w:tr>
    </w:tbl>
    <w:p w14:paraId="59505FB3" w14:textId="77777777" w:rsidR="00D41518" w:rsidRPr="00D41518" w:rsidRDefault="00D41518" w:rsidP="00AA695D">
      <w:pPr>
        <w:pStyle w:val="BoxSpaceAbove"/>
        <w:keepLines/>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D41518" w:rsidRPr="005E64FD" w14:paraId="34379F7E" w14:textId="77777777" w:rsidTr="00462628">
        <w:trPr>
          <w:tblHeader/>
        </w:trPr>
        <w:tc>
          <w:tcPr>
            <w:tcW w:w="5000" w:type="pct"/>
            <w:tcBorders>
              <w:top w:val="single" w:sz="6" w:space="0" w:color="78A22F"/>
              <w:left w:val="nil"/>
              <w:bottom w:val="nil"/>
              <w:right w:val="nil"/>
            </w:tcBorders>
            <w:shd w:val="clear" w:color="auto" w:fill="auto"/>
            <w:tcMar>
              <w:left w:w="170" w:type="dxa"/>
              <w:right w:w="170" w:type="dxa"/>
            </w:tcMar>
          </w:tcPr>
          <w:p w14:paraId="7B74358F" w14:textId="592D15D1" w:rsidR="00D41518" w:rsidRPr="005E64FD" w:rsidRDefault="008D4B2F" w:rsidP="00AA695D">
            <w:pPr>
              <w:pStyle w:val="RecTitle"/>
              <w:spacing w:before="120"/>
              <w:rPr>
                <w:b/>
                <w:color w:val="3B5117"/>
              </w:rPr>
            </w:pPr>
            <w:r w:rsidRPr="005E64FD">
              <w:rPr>
                <w:b/>
                <w:color w:val="3B5117"/>
              </w:rPr>
              <w:t>Action</w:t>
            </w:r>
            <w:r w:rsidR="00D41518" w:rsidRPr="005E64FD">
              <w:rPr>
                <w:b/>
                <w:color w:val="3B5117"/>
              </w:rPr>
              <w:t xml:space="preserve"> </w:t>
            </w:r>
            <w:r w:rsidR="00CA1A76" w:rsidRPr="005E64FD">
              <w:rPr>
                <w:b/>
                <w:color w:val="3B5117"/>
              </w:rPr>
              <w:t>16</w:t>
            </w:r>
            <w:r w:rsidR="00D41518" w:rsidRPr="005E64FD">
              <w:rPr>
                <w:b/>
                <w:color w:val="3B5117"/>
              </w:rPr>
              <w:t>.2</w:t>
            </w:r>
            <w:r w:rsidR="00CE7986">
              <w:rPr>
                <w:b/>
                <w:color w:val="3B5117"/>
              </w:rPr>
              <w:t> — </w:t>
            </w:r>
            <w:r w:rsidR="00D41518" w:rsidRPr="005E64FD">
              <w:rPr>
                <w:b/>
                <w:color w:val="3B5117"/>
              </w:rPr>
              <w:t>increase the number of psychiatrists</w:t>
            </w:r>
          </w:p>
        </w:tc>
      </w:tr>
      <w:tr w:rsidR="00D41518" w:rsidRPr="00D41518" w14:paraId="7ED0CF66" w14:textId="77777777" w:rsidTr="00462628">
        <w:tc>
          <w:tcPr>
            <w:tcW w:w="5000" w:type="pct"/>
            <w:tcBorders>
              <w:top w:val="nil"/>
              <w:left w:val="nil"/>
              <w:bottom w:val="nil"/>
              <w:right w:val="nil"/>
            </w:tcBorders>
            <w:shd w:val="clear" w:color="auto" w:fill="F2F2F2"/>
            <w:tcMar>
              <w:left w:w="170" w:type="dxa"/>
              <w:right w:w="170" w:type="dxa"/>
            </w:tcMar>
          </w:tcPr>
          <w:p w14:paraId="019DD46A" w14:textId="146EBF86" w:rsidR="00784F8C" w:rsidRPr="00311EE0" w:rsidRDefault="00784F8C" w:rsidP="00AA695D">
            <w:pPr>
              <w:pStyle w:val="Rec"/>
              <w:keepNext/>
            </w:pPr>
            <w:r>
              <w:t>There is a shortage of psychiatrists, particularly in rural and regional Australia and in some sub-specialities.</w:t>
            </w:r>
          </w:p>
          <w:p w14:paraId="54EE7805" w14:textId="49155B84" w:rsidR="00D41518" w:rsidRPr="00D41518" w:rsidRDefault="002246D6" w:rsidP="00AA695D">
            <w:pPr>
              <w:pStyle w:val="Rec"/>
              <w:keepNext/>
              <w:rPr>
                <w:i/>
              </w:rPr>
            </w:pPr>
            <w:r w:rsidRPr="002246D6">
              <w:rPr>
                <w:i/>
              </w:rPr>
              <w:t>Start</w:t>
            </w:r>
            <w:r w:rsidR="00784F8C">
              <w:rPr>
                <w:i/>
              </w:rPr>
              <w:t xml:space="preserve"> now</w:t>
            </w:r>
          </w:p>
          <w:p w14:paraId="5B7F2A16" w14:textId="77777777" w:rsidR="00D41518" w:rsidRPr="00D41518" w:rsidRDefault="00D41518" w:rsidP="00AA695D">
            <w:pPr>
              <w:pStyle w:val="Rec"/>
              <w:keepNext/>
            </w:pPr>
            <w:r w:rsidRPr="00D41518">
              <w:t>The Australian, State and Territory Governments should collectively develop a national plan to increase the number of psychiatrists in clinical practice, particularly outside major cities and in sub</w:t>
            </w:r>
            <w:r w:rsidRPr="00D41518">
              <w:noBreakHyphen/>
              <w:t xml:space="preserve">specialities with significant shortages, such as </w:t>
            </w:r>
            <w:r w:rsidR="007727D0" w:rsidRPr="007727D0">
              <w:t>child,</w:t>
            </w:r>
            <w:r w:rsidRPr="00D41518">
              <w:t xml:space="preserve"> adolescent </w:t>
            </w:r>
            <w:r w:rsidR="007727D0" w:rsidRPr="007727D0">
              <w:t xml:space="preserve">and </w:t>
            </w:r>
            <w:r w:rsidR="004D7179">
              <w:t xml:space="preserve">old age </w:t>
            </w:r>
            <w:r w:rsidRPr="00D41518">
              <w:t>psychiatry.</w:t>
            </w:r>
          </w:p>
          <w:p w14:paraId="387E78C4" w14:textId="77777777" w:rsidR="001019B5" w:rsidRPr="001019B5" w:rsidRDefault="00D41518" w:rsidP="00AA695D">
            <w:pPr>
              <w:pStyle w:val="Rec"/>
              <w:keepNext/>
            </w:pPr>
            <w:r w:rsidRPr="00D41518">
              <w:t xml:space="preserve">This should be done in collaboration with the Royal Australian and New Zealand College of Psychiatrists, and form part of the broader </w:t>
            </w:r>
            <w:r w:rsidR="001019B5" w:rsidRPr="001019B5">
              <w:t>Australian Government medical workforce strategies that are under development.</w:t>
            </w:r>
          </w:p>
          <w:p w14:paraId="66EBCAD2" w14:textId="77777777" w:rsidR="00D41518" w:rsidRPr="00D41518" w:rsidRDefault="001019B5" w:rsidP="00AA695D">
            <w:pPr>
              <w:pStyle w:val="Rec"/>
              <w:keepNext/>
            </w:pPr>
            <w:r w:rsidRPr="001019B5">
              <w:t>The plan should include actions to increase the availability of supervision for trainees, including by considering interventions recommended in the 2016 report by the National Medical Training Advisory Network</w:t>
            </w:r>
            <w:r w:rsidR="004D7179">
              <w:t>,</w:t>
            </w:r>
            <w:r w:rsidRPr="001019B5">
              <w:t xml:space="preserve"> such as remote models of supervision for trainees outside major cities.</w:t>
            </w:r>
          </w:p>
        </w:tc>
      </w:tr>
      <w:tr w:rsidR="00D41518" w:rsidRPr="00D41518" w14:paraId="526BE822"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2BB17896" w14:textId="77777777" w:rsidR="00D41518" w:rsidRPr="00D41518" w:rsidRDefault="00D41518" w:rsidP="00AA695D">
            <w:pPr>
              <w:keepNext/>
              <w:keepLines/>
              <w:spacing w:line="120" w:lineRule="exact"/>
              <w:jc w:val="both"/>
              <w:rPr>
                <w:rFonts w:ascii="Arial" w:hAnsi="Arial"/>
                <w:sz w:val="20"/>
                <w:szCs w:val="20"/>
              </w:rPr>
            </w:pPr>
          </w:p>
        </w:tc>
      </w:tr>
      <w:tr w:rsidR="00D41518" w:rsidRPr="00D41518" w14:paraId="170FB2BD" w14:textId="77777777" w:rsidTr="00462628">
        <w:tc>
          <w:tcPr>
            <w:tcW w:w="5000" w:type="pct"/>
            <w:tcBorders>
              <w:top w:val="single" w:sz="6" w:space="0" w:color="78A22F"/>
              <w:left w:val="nil"/>
              <w:bottom w:val="nil"/>
              <w:right w:val="nil"/>
            </w:tcBorders>
            <w:tcMar>
              <w:left w:w="170" w:type="dxa"/>
              <w:right w:w="170" w:type="dxa"/>
            </w:tcMar>
          </w:tcPr>
          <w:p w14:paraId="10B551CC" w14:textId="77777777" w:rsidR="00D41518" w:rsidRPr="00D41518" w:rsidRDefault="00D41518" w:rsidP="00AA695D">
            <w:pPr>
              <w:keepNext/>
              <w:keepLines/>
              <w:spacing w:before="60" w:after="60" w:line="80" w:lineRule="exact"/>
              <w:jc w:val="both"/>
              <w:rPr>
                <w:rFonts w:ascii="Arial" w:hAnsi="Arial"/>
                <w:sz w:val="14"/>
                <w:szCs w:val="20"/>
              </w:rPr>
            </w:pPr>
          </w:p>
        </w:tc>
      </w:tr>
    </w:tbl>
    <w:p w14:paraId="44767C8C" w14:textId="77777777" w:rsidR="00040172" w:rsidRPr="00D41518" w:rsidRDefault="00040172" w:rsidP="00C26DD8">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040172" w:rsidRPr="005E64FD" w14:paraId="3CBECAB5" w14:textId="77777777" w:rsidTr="00B903B7">
        <w:trPr>
          <w:tblHeader/>
        </w:trPr>
        <w:tc>
          <w:tcPr>
            <w:tcW w:w="5000" w:type="pct"/>
            <w:tcBorders>
              <w:top w:val="single" w:sz="6" w:space="0" w:color="78A22F"/>
              <w:left w:val="nil"/>
              <w:bottom w:val="nil"/>
              <w:right w:val="nil"/>
            </w:tcBorders>
            <w:shd w:val="clear" w:color="auto" w:fill="auto"/>
            <w:tcMar>
              <w:left w:w="170" w:type="dxa"/>
              <w:right w:w="170" w:type="dxa"/>
            </w:tcMar>
          </w:tcPr>
          <w:p w14:paraId="1094EFC3" w14:textId="00840C9F" w:rsidR="00040172" w:rsidRPr="005E64FD" w:rsidRDefault="008D4B2F" w:rsidP="005E64FD">
            <w:pPr>
              <w:pStyle w:val="RecTitle"/>
              <w:spacing w:before="120"/>
              <w:rPr>
                <w:b/>
                <w:color w:val="3B5117"/>
              </w:rPr>
            </w:pPr>
            <w:r w:rsidRPr="005E64FD">
              <w:rPr>
                <w:b/>
                <w:color w:val="3B5117"/>
              </w:rPr>
              <w:t>Action</w:t>
            </w:r>
            <w:r w:rsidR="00040172" w:rsidRPr="005E64FD">
              <w:rPr>
                <w:b/>
                <w:color w:val="3B5117"/>
              </w:rPr>
              <w:t xml:space="preserve"> </w:t>
            </w:r>
            <w:r w:rsidR="00CA1A76" w:rsidRPr="005E64FD">
              <w:rPr>
                <w:b/>
                <w:color w:val="3B5117"/>
              </w:rPr>
              <w:t>16</w:t>
            </w:r>
            <w:r w:rsidR="00040172" w:rsidRPr="005E64FD">
              <w:rPr>
                <w:b/>
                <w:color w:val="3B5117"/>
              </w:rPr>
              <w:t>.3</w:t>
            </w:r>
            <w:r w:rsidR="00CE7986">
              <w:rPr>
                <w:b/>
                <w:color w:val="3B5117"/>
              </w:rPr>
              <w:t> — </w:t>
            </w:r>
            <w:r w:rsidR="00040172" w:rsidRPr="005E64FD">
              <w:rPr>
                <w:b/>
                <w:color w:val="3B5117"/>
              </w:rPr>
              <w:t>improved mental health training for medical practitioners</w:t>
            </w:r>
          </w:p>
        </w:tc>
      </w:tr>
      <w:tr w:rsidR="00040172" w:rsidRPr="00D41518" w14:paraId="1CAAFFA5" w14:textId="77777777" w:rsidTr="00B903B7">
        <w:tc>
          <w:tcPr>
            <w:tcW w:w="5000" w:type="pct"/>
            <w:tcBorders>
              <w:top w:val="nil"/>
              <w:left w:val="nil"/>
              <w:bottom w:val="nil"/>
              <w:right w:val="nil"/>
            </w:tcBorders>
            <w:shd w:val="clear" w:color="auto" w:fill="F2F2F2"/>
            <w:tcMar>
              <w:left w:w="170" w:type="dxa"/>
              <w:right w:w="170" w:type="dxa"/>
            </w:tcMar>
          </w:tcPr>
          <w:p w14:paraId="7E734470" w14:textId="3EC26781" w:rsidR="00040172" w:rsidRPr="00D41518" w:rsidRDefault="00BF799D" w:rsidP="00B903B7">
            <w:pPr>
              <w:pStyle w:val="Rec"/>
              <w:keepNext/>
            </w:pPr>
            <w:r>
              <w:t xml:space="preserve">Medical </w:t>
            </w:r>
            <w:r w:rsidR="00040172" w:rsidRPr="00AC2A85">
              <w:t>practitioners’ training on medications and non-pharmacological interventions</w:t>
            </w:r>
            <w:r>
              <w:t xml:space="preserve"> requires improvement</w:t>
            </w:r>
            <w:r w:rsidR="00040172" w:rsidRPr="00AC2A85">
              <w:t>.</w:t>
            </w:r>
          </w:p>
          <w:p w14:paraId="27156FDB" w14:textId="77777777" w:rsidR="00040172" w:rsidRPr="00D41518" w:rsidRDefault="002246D6" w:rsidP="00B903B7">
            <w:pPr>
              <w:pStyle w:val="Rec"/>
              <w:rPr>
                <w:i/>
              </w:rPr>
            </w:pPr>
            <w:r w:rsidRPr="002246D6">
              <w:rPr>
                <w:i/>
              </w:rPr>
              <w:t>Start now</w:t>
            </w:r>
          </w:p>
          <w:p w14:paraId="7C70DF13" w14:textId="1EBCA0DA" w:rsidR="00040172" w:rsidRPr="00C05BE4" w:rsidRDefault="005D7F39" w:rsidP="00B903B7">
            <w:pPr>
              <w:pStyle w:val="Rec"/>
            </w:pPr>
            <w:r>
              <w:t>Medical training and c</w:t>
            </w:r>
            <w:r w:rsidR="00040172" w:rsidRPr="00C05BE4">
              <w:t xml:space="preserve">ontinuing professional development requirements for GPs should incorporate </w:t>
            </w:r>
            <w:r>
              <w:t>person-centred approaches to practice that recognise the importance of personal recovery (</w:t>
            </w:r>
            <w:r w:rsidR="00E2250C">
              <w:t>in addition to</w:t>
            </w:r>
            <w:r>
              <w:t xml:space="preserve"> clinical </w:t>
            </w:r>
            <w:r w:rsidR="00E2250C">
              <w:t>improvement</w:t>
            </w:r>
            <w:r>
              <w:t>). Th</w:t>
            </w:r>
            <w:r w:rsidR="00E2250C">
              <w:t>is training</w:t>
            </w:r>
            <w:r>
              <w:t xml:space="preserve"> should also include </w:t>
            </w:r>
            <w:r w:rsidR="00E2250C">
              <w:t xml:space="preserve">information on the indications for non-pharmacological interventions, </w:t>
            </w:r>
            <w:r w:rsidR="00040172">
              <w:t xml:space="preserve">appropriate prescribing of </w:t>
            </w:r>
            <w:r w:rsidR="0080280B">
              <w:t xml:space="preserve">mental health </w:t>
            </w:r>
            <w:r w:rsidR="00040172">
              <w:t xml:space="preserve">medications and </w:t>
            </w:r>
            <w:r w:rsidR="00E2250C">
              <w:t xml:space="preserve">the management of </w:t>
            </w:r>
            <w:r w:rsidR="00040172">
              <w:t>medication</w:t>
            </w:r>
            <w:r w:rsidR="00E2250C">
              <w:t xml:space="preserve"> side</w:t>
            </w:r>
            <w:r w:rsidR="005D1E02">
              <w:noBreakHyphen/>
            </w:r>
            <w:r w:rsidR="00E2250C">
              <w:t>effects</w:t>
            </w:r>
            <w:r w:rsidR="00040172" w:rsidRPr="00C05BE4">
              <w:t xml:space="preserve">. </w:t>
            </w:r>
          </w:p>
          <w:p w14:paraId="112AD6CA" w14:textId="2A3F69A5" w:rsidR="003A226D" w:rsidRDefault="005D7F39" w:rsidP="00B903B7">
            <w:pPr>
              <w:pStyle w:val="RecBullet"/>
            </w:pPr>
            <w:r w:rsidRPr="00C05BE4">
              <w:t>As part of this, t</w:t>
            </w:r>
            <w:r>
              <w:t xml:space="preserve">he Australian Government should </w:t>
            </w:r>
            <w:r w:rsidR="00040172">
              <w:t xml:space="preserve">request the Australian Medical Council to review current medical training </w:t>
            </w:r>
            <w:r>
              <w:t xml:space="preserve">and </w:t>
            </w:r>
            <w:r w:rsidR="00040172">
              <w:t xml:space="preserve">continuing professional development requirements </w:t>
            </w:r>
            <w:r w:rsidR="00B21966">
              <w:t xml:space="preserve">through a consultative process </w:t>
            </w:r>
            <w:r w:rsidR="00040172">
              <w:t xml:space="preserve">and make any changes necessary.  </w:t>
            </w:r>
          </w:p>
          <w:p w14:paraId="337EB2AA" w14:textId="442BA544" w:rsidR="00040172" w:rsidRDefault="00040172" w:rsidP="00B903B7">
            <w:pPr>
              <w:pStyle w:val="RecBullet"/>
            </w:pPr>
            <w:r>
              <w:t>Any such changes should be assessed for their impact on practices</w:t>
            </w:r>
            <w:r w:rsidR="00E2250C">
              <w:t xml:space="preserve"> and outcomes for consumers</w:t>
            </w:r>
            <w:r w:rsidR="005D7F39">
              <w:t>.</w:t>
            </w:r>
            <w:r>
              <w:t xml:space="preserve"> </w:t>
            </w:r>
          </w:p>
          <w:p w14:paraId="1E98EED7" w14:textId="77777777" w:rsidR="007C4BD8" w:rsidRDefault="007C4BD8" w:rsidP="00E926DC">
            <w:pPr>
              <w:pStyle w:val="Rec"/>
            </w:pPr>
            <w:r>
              <w:t>In addition, for GPs and psychiatrists, the Australian Government should:</w:t>
            </w:r>
          </w:p>
          <w:p w14:paraId="6C0F61BB" w14:textId="77777777" w:rsidR="007C4BD8" w:rsidRDefault="007C4BD8" w:rsidP="007C4BD8">
            <w:pPr>
              <w:pStyle w:val="RecBullet"/>
            </w:pPr>
            <w:r>
              <w:t xml:space="preserve">promote and fund further trials of social prescribing as alternatives to </w:t>
            </w:r>
            <w:r w:rsidR="00E2250C">
              <w:t xml:space="preserve">other </w:t>
            </w:r>
            <w:r>
              <w:t>clinical interventions</w:t>
            </w:r>
          </w:p>
          <w:p w14:paraId="2525228B" w14:textId="4B7197C7" w:rsidR="00040172" w:rsidRPr="00D41518" w:rsidRDefault="007C4BD8" w:rsidP="0047372D">
            <w:pPr>
              <w:pStyle w:val="RecBullet"/>
            </w:pPr>
            <w:r>
              <w:t xml:space="preserve">promote and fund de-prescribing initiatives that change practitioner and consumer expectations about the need for </w:t>
            </w:r>
            <w:r w:rsidR="0080280B">
              <w:t xml:space="preserve">mental health </w:t>
            </w:r>
            <w:r w:rsidR="0047372D">
              <w:t xml:space="preserve">medications </w:t>
            </w:r>
            <w:r w:rsidR="00311EE0">
              <w:t xml:space="preserve">once they are </w:t>
            </w:r>
            <w:r w:rsidR="000A4A32">
              <w:t>no longer clinically indicated.</w:t>
            </w:r>
          </w:p>
        </w:tc>
      </w:tr>
      <w:tr w:rsidR="00040172" w:rsidRPr="00D41518" w14:paraId="0B879B15"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671E2BEA" w14:textId="77777777" w:rsidR="00040172" w:rsidRPr="00D41518" w:rsidRDefault="00040172" w:rsidP="00B903B7">
            <w:pPr>
              <w:keepNext/>
              <w:keepLines/>
              <w:spacing w:line="120" w:lineRule="exact"/>
              <w:jc w:val="both"/>
              <w:rPr>
                <w:rFonts w:ascii="Arial" w:hAnsi="Arial"/>
                <w:sz w:val="20"/>
                <w:szCs w:val="20"/>
              </w:rPr>
            </w:pPr>
          </w:p>
        </w:tc>
      </w:tr>
      <w:tr w:rsidR="00040172" w:rsidRPr="00D41518" w14:paraId="1D2F201C" w14:textId="77777777" w:rsidTr="00B903B7">
        <w:tc>
          <w:tcPr>
            <w:tcW w:w="5000" w:type="pct"/>
            <w:tcBorders>
              <w:top w:val="single" w:sz="6" w:space="0" w:color="78A22F"/>
              <w:left w:val="nil"/>
              <w:bottom w:val="nil"/>
              <w:right w:val="nil"/>
            </w:tcBorders>
            <w:tcMar>
              <w:left w:w="170" w:type="dxa"/>
              <w:right w:w="170" w:type="dxa"/>
            </w:tcMar>
          </w:tcPr>
          <w:p w14:paraId="6C553DC2" w14:textId="77777777" w:rsidR="00040172" w:rsidRPr="00D41518" w:rsidRDefault="00040172" w:rsidP="00C26DD8">
            <w:pPr>
              <w:pStyle w:val="BoxSpaceBelow"/>
            </w:pPr>
          </w:p>
        </w:tc>
      </w:tr>
    </w:tbl>
    <w:p w14:paraId="33EF838D" w14:textId="77777777" w:rsidR="00D41518" w:rsidRPr="00D41518" w:rsidRDefault="00D41518" w:rsidP="00C26DD8">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D41518" w:rsidRPr="005E64FD" w14:paraId="57B67545" w14:textId="77777777" w:rsidTr="00462628">
        <w:trPr>
          <w:tblHeader/>
        </w:trPr>
        <w:tc>
          <w:tcPr>
            <w:tcW w:w="5000" w:type="pct"/>
            <w:tcBorders>
              <w:top w:val="single" w:sz="6" w:space="0" w:color="78A22F"/>
              <w:left w:val="nil"/>
              <w:bottom w:val="nil"/>
              <w:right w:val="nil"/>
            </w:tcBorders>
            <w:shd w:val="clear" w:color="auto" w:fill="auto"/>
            <w:tcMar>
              <w:left w:w="170" w:type="dxa"/>
              <w:right w:w="170" w:type="dxa"/>
            </w:tcMar>
          </w:tcPr>
          <w:p w14:paraId="0696869A" w14:textId="6AED1FA6" w:rsidR="00D41518" w:rsidRPr="005E64FD" w:rsidRDefault="008D4B2F" w:rsidP="005E64FD">
            <w:pPr>
              <w:pStyle w:val="RecTitle"/>
              <w:spacing w:before="120"/>
              <w:rPr>
                <w:b/>
                <w:color w:val="3B5117"/>
              </w:rPr>
            </w:pPr>
            <w:r w:rsidRPr="005E64FD">
              <w:rPr>
                <w:b/>
                <w:color w:val="3B5117"/>
              </w:rPr>
              <w:t>Action</w:t>
            </w:r>
            <w:r w:rsidRPr="005E64FD" w:rsidDel="008D4B2F">
              <w:rPr>
                <w:b/>
                <w:color w:val="3B5117"/>
              </w:rPr>
              <w:t xml:space="preserve"> </w:t>
            </w:r>
            <w:r w:rsidR="00D41518" w:rsidRPr="005E64FD">
              <w:rPr>
                <w:b/>
                <w:color w:val="3B5117"/>
              </w:rPr>
              <w:t>1</w:t>
            </w:r>
            <w:r w:rsidR="00CA1A76" w:rsidRPr="005E64FD">
              <w:rPr>
                <w:b/>
                <w:color w:val="3B5117"/>
              </w:rPr>
              <w:t>6</w:t>
            </w:r>
            <w:r w:rsidR="00D41518" w:rsidRPr="005E64FD">
              <w:rPr>
                <w:b/>
                <w:color w:val="3B5117"/>
              </w:rPr>
              <w:t>.</w:t>
            </w:r>
            <w:r w:rsidR="00B903B7" w:rsidRPr="005E64FD">
              <w:rPr>
                <w:b/>
                <w:color w:val="3B5117"/>
              </w:rPr>
              <w:t>4</w:t>
            </w:r>
            <w:r w:rsidR="00710401">
              <w:rPr>
                <w:b/>
                <w:color w:val="3B5117"/>
              </w:rPr>
              <w:t> — </w:t>
            </w:r>
            <w:r w:rsidR="00D41518" w:rsidRPr="005E64FD">
              <w:rPr>
                <w:b/>
                <w:color w:val="3B5117"/>
              </w:rPr>
              <w:t>More specialist mental health nurses</w:t>
            </w:r>
          </w:p>
        </w:tc>
      </w:tr>
      <w:tr w:rsidR="00D41518" w:rsidRPr="00D41518" w14:paraId="1BC6F122" w14:textId="77777777" w:rsidTr="00462628">
        <w:tc>
          <w:tcPr>
            <w:tcW w:w="5000" w:type="pct"/>
            <w:tcBorders>
              <w:top w:val="nil"/>
              <w:left w:val="nil"/>
              <w:bottom w:val="nil"/>
              <w:right w:val="nil"/>
            </w:tcBorders>
            <w:shd w:val="clear" w:color="auto" w:fill="F2F2F2"/>
            <w:tcMar>
              <w:left w:w="170" w:type="dxa"/>
              <w:right w:w="170" w:type="dxa"/>
            </w:tcMar>
          </w:tcPr>
          <w:p w14:paraId="455B4CCB" w14:textId="77777777" w:rsidR="00311EE0" w:rsidRPr="00C20D03" w:rsidRDefault="00311EE0" w:rsidP="00311EE0">
            <w:pPr>
              <w:pStyle w:val="Rec"/>
            </w:pPr>
            <w:r>
              <w:t>Mental health nurses are expected to form an important part of the workforce needed for a recommended expansion in services to bridge gaps in mental healthcare, particularly in community mental health services.</w:t>
            </w:r>
          </w:p>
          <w:p w14:paraId="0DBDC22B" w14:textId="0AE44DBF" w:rsidR="00D41518" w:rsidRPr="005D1E02" w:rsidRDefault="002246D6" w:rsidP="00D41518">
            <w:pPr>
              <w:keepNext/>
              <w:keepLines/>
              <w:spacing w:before="80" w:line="280" w:lineRule="atLeast"/>
              <w:ind w:left="340" w:hanging="340"/>
              <w:jc w:val="both"/>
              <w:rPr>
                <w:rFonts w:ascii="Arial" w:hAnsi="Arial"/>
                <w:sz w:val="22"/>
                <w:szCs w:val="22"/>
              </w:rPr>
            </w:pPr>
            <w:r w:rsidRPr="005D1E02">
              <w:rPr>
                <w:rFonts w:ascii="Arial" w:hAnsi="Arial"/>
                <w:i/>
                <w:sz w:val="22"/>
                <w:szCs w:val="22"/>
              </w:rPr>
              <w:t>Start now</w:t>
            </w:r>
          </w:p>
          <w:p w14:paraId="43CEA6E4" w14:textId="104209BF" w:rsidR="001019B5" w:rsidRDefault="00CE0368" w:rsidP="00742D10">
            <w:pPr>
              <w:pStyle w:val="RecBullet"/>
            </w:pPr>
            <w:r>
              <w:t>A curriculum</w:t>
            </w:r>
            <w:r w:rsidRPr="00215BA6">
              <w:t xml:space="preserve"> </w:t>
            </w:r>
            <w:r w:rsidR="001019B5" w:rsidRPr="00215BA6">
              <w:t>standard</w:t>
            </w:r>
            <w:r w:rsidR="002C7A4D" w:rsidRPr="002C7A4D">
              <w:t xml:space="preserve"> should be developed for a three-year direct-entry </w:t>
            </w:r>
            <w:r w:rsidR="001019B5" w:rsidRPr="00215BA6">
              <w:t>(</w:t>
            </w:r>
            <w:r w:rsidR="002C7A4D" w:rsidRPr="002C7A4D">
              <w:t>undergraduate</w:t>
            </w:r>
            <w:r w:rsidR="001019B5" w:rsidRPr="00215BA6">
              <w:t>)</w:t>
            </w:r>
            <w:r w:rsidR="002C7A4D" w:rsidRPr="002C7A4D">
              <w:t xml:space="preserve"> degree in mental health nursing, similar to the option already available to midwives. The new standards should be developed </w:t>
            </w:r>
            <w:r w:rsidR="00994E4D">
              <w:t>by the Australian Government in collaboration</w:t>
            </w:r>
            <w:r>
              <w:t xml:space="preserve"> with stakeholders</w:t>
            </w:r>
            <w:r w:rsidR="00742D10">
              <w:t>.</w:t>
            </w:r>
            <w:r w:rsidR="002C7A4D" w:rsidRPr="002C7A4D">
              <w:t xml:space="preserve"> </w:t>
            </w:r>
            <w:r w:rsidR="001019B5" w:rsidRPr="00215BA6">
              <w:t xml:space="preserve">Nurses who complete the degree </w:t>
            </w:r>
            <w:r w:rsidR="001019B5">
              <w:t>would have a notation on their registration restricting their scope of practice to mental health</w:t>
            </w:r>
            <w:r w:rsidR="0025167D">
              <w:t>.</w:t>
            </w:r>
            <w:r w:rsidR="001019B5" w:rsidRPr="00215BA6">
              <w:t xml:space="preserve"> </w:t>
            </w:r>
          </w:p>
          <w:p w14:paraId="69E5464D" w14:textId="77777777" w:rsidR="00D41518" w:rsidRPr="002C7A4D" w:rsidRDefault="001019B5" w:rsidP="00742D10">
            <w:pPr>
              <w:pStyle w:val="RecBullet"/>
            </w:pPr>
            <w:r>
              <w:t>The training of all nurses should include a discrete unit on mental health, though there should be no requirement that this apply to currently registered nurses.</w:t>
            </w:r>
            <w:r w:rsidR="002E5A3F">
              <w:t xml:space="preserve"> </w:t>
            </w:r>
          </w:p>
        </w:tc>
      </w:tr>
      <w:tr w:rsidR="00D41518" w:rsidRPr="00D41518" w14:paraId="16FEBF7D"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3A1D742D" w14:textId="77777777" w:rsidR="00D41518" w:rsidRPr="00D41518" w:rsidRDefault="00D41518" w:rsidP="00D41518">
            <w:pPr>
              <w:keepNext/>
              <w:keepLines/>
              <w:spacing w:line="120" w:lineRule="exact"/>
              <w:jc w:val="both"/>
              <w:rPr>
                <w:rFonts w:ascii="Arial" w:hAnsi="Arial"/>
                <w:sz w:val="20"/>
                <w:szCs w:val="20"/>
              </w:rPr>
            </w:pPr>
          </w:p>
        </w:tc>
      </w:tr>
      <w:tr w:rsidR="00D41518" w:rsidRPr="00D41518" w14:paraId="40AFF1C0" w14:textId="77777777" w:rsidTr="00462628">
        <w:tc>
          <w:tcPr>
            <w:tcW w:w="5000" w:type="pct"/>
            <w:tcBorders>
              <w:top w:val="single" w:sz="6" w:space="0" w:color="78A22F"/>
              <w:left w:val="nil"/>
              <w:bottom w:val="nil"/>
              <w:right w:val="nil"/>
            </w:tcBorders>
            <w:tcMar>
              <w:left w:w="170" w:type="dxa"/>
              <w:right w:w="170" w:type="dxa"/>
            </w:tcMar>
          </w:tcPr>
          <w:p w14:paraId="4604C96B" w14:textId="77777777" w:rsidR="00D41518" w:rsidRPr="00D41518" w:rsidRDefault="00D41518" w:rsidP="00D41518">
            <w:pPr>
              <w:keepNext/>
              <w:keepLines/>
              <w:spacing w:before="60" w:after="60" w:line="80" w:lineRule="exact"/>
              <w:jc w:val="both"/>
              <w:rPr>
                <w:rFonts w:ascii="Arial" w:hAnsi="Arial"/>
                <w:sz w:val="14"/>
                <w:szCs w:val="20"/>
              </w:rPr>
            </w:pPr>
          </w:p>
        </w:tc>
      </w:tr>
    </w:tbl>
    <w:p w14:paraId="38DA3176" w14:textId="77777777" w:rsidR="00D41518" w:rsidRPr="00D41518" w:rsidRDefault="00D41518" w:rsidP="00C26DD8">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D41518" w:rsidRPr="005E64FD" w14:paraId="4396ED53" w14:textId="77777777" w:rsidTr="00462628">
        <w:trPr>
          <w:tblHeader/>
        </w:trPr>
        <w:tc>
          <w:tcPr>
            <w:tcW w:w="5000" w:type="pct"/>
            <w:tcBorders>
              <w:top w:val="single" w:sz="6" w:space="0" w:color="78A22F"/>
              <w:left w:val="nil"/>
              <w:bottom w:val="nil"/>
              <w:right w:val="nil"/>
            </w:tcBorders>
            <w:shd w:val="clear" w:color="auto" w:fill="auto"/>
            <w:tcMar>
              <w:left w:w="170" w:type="dxa"/>
              <w:right w:w="170" w:type="dxa"/>
            </w:tcMar>
          </w:tcPr>
          <w:p w14:paraId="25A84620" w14:textId="3AA0FBD6" w:rsidR="00D41518" w:rsidRPr="005E64FD" w:rsidRDefault="008D4B2F" w:rsidP="005E64FD">
            <w:pPr>
              <w:pStyle w:val="RecTitle"/>
              <w:spacing w:before="120"/>
              <w:rPr>
                <w:b/>
                <w:color w:val="3B5117"/>
              </w:rPr>
            </w:pPr>
            <w:r w:rsidRPr="005E64FD">
              <w:rPr>
                <w:b/>
                <w:color w:val="3B5117"/>
              </w:rPr>
              <w:t>Action</w:t>
            </w:r>
            <w:r w:rsidRPr="005E64FD" w:rsidDel="008D4B2F">
              <w:rPr>
                <w:b/>
                <w:color w:val="3B5117"/>
              </w:rPr>
              <w:t xml:space="preserve"> </w:t>
            </w:r>
            <w:r w:rsidR="00D41518" w:rsidRPr="005E64FD">
              <w:rPr>
                <w:b/>
                <w:color w:val="3B5117"/>
              </w:rPr>
              <w:t>1</w:t>
            </w:r>
            <w:r w:rsidR="00CA1A76" w:rsidRPr="005E64FD">
              <w:rPr>
                <w:b/>
                <w:color w:val="3B5117"/>
              </w:rPr>
              <w:t>6</w:t>
            </w:r>
            <w:r w:rsidR="00D41518" w:rsidRPr="005E64FD">
              <w:rPr>
                <w:b/>
                <w:color w:val="3B5117"/>
              </w:rPr>
              <w:t>.</w:t>
            </w:r>
            <w:r w:rsidR="00B903B7" w:rsidRPr="005E64FD">
              <w:rPr>
                <w:b/>
                <w:color w:val="3B5117"/>
              </w:rPr>
              <w:t>5</w:t>
            </w:r>
            <w:r w:rsidR="00CE7986">
              <w:rPr>
                <w:b/>
                <w:color w:val="3B5117"/>
              </w:rPr>
              <w:t> — </w:t>
            </w:r>
            <w:r w:rsidR="00D41518" w:rsidRPr="005E64FD">
              <w:rPr>
                <w:b/>
                <w:color w:val="3B5117"/>
              </w:rPr>
              <w:t>strengthen the peer workforce</w:t>
            </w:r>
          </w:p>
        </w:tc>
      </w:tr>
      <w:tr w:rsidR="00D41518" w:rsidRPr="00D41518" w14:paraId="611356CB" w14:textId="77777777" w:rsidTr="003B3426">
        <w:tc>
          <w:tcPr>
            <w:tcW w:w="5000" w:type="pct"/>
            <w:tcBorders>
              <w:top w:val="nil"/>
              <w:left w:val="nil"/>
              <w:bottom w:val="nil"/>
              <w:right w:val="nil"/>
            </w:tcBorders>
            <w:shd w:val="clear" w:color="auto" w:fill="F2F2F2" w:themeFill="background1" w:themeFillShade="F2"/>
            <w:tcMar>
              <w:left w:w="170" w:type="dxa"/>
              <w:right w:w="170" w:type="dxa"/>
            </w:tcMar>
          </w:tcPr>
          <w:p w14:paraId="72135601" w14:textId="48FAB53F" w:rsidR="00BD6CA7" w:rsidRPr="00311EE0" w:rsidRDefault="00BD6CA7" w:rsidP="00B903B7">
            <w:pPr>
              <w:pStyle w:val="Rec"/>
              <w:keepNext/>
              <w:rPr>
                <w:iCs/>
              </w:rPr>
            </w:pPr>
            <w:r>
              <w:rPr>
                <w:iCs/>
              </w:rPr>
              <w:t>Peer workers are a valuable but under-utilised part of the mental health workforce.</w:t>
            </w:r>
          </w:p>
          <w:p w14:paraId="101B6FBC" w14:textId="19B5E4B3" w:rsidR="00B903B7" w:rsidRPr="0035678A" w:rsidRDefault="002246D6" w:rsidP="00B903B7">
            <w:pPr>
              <w:pStyle w:val="Rec"/>
              <w:keepNext/>
              <w:rPr>
                <w:i/>
              </w:rPr>
            </w:pPr>
            <w:r w:rsidRPr="002246D6">
              <w:rPr>
                <w:i/>
              </w:rPr>
              <w:t>Start now</w:t>
            </w:r>
          </w:p>
          <w:p w14:paraId="079A25F7" w14:textId="77777777" w:rsidR="00B903B7" w:rsidRDefault="00B903B7" w:rsidP="00742D10">
            <w:pPr>
              <w:pStyle w:val="Rec"/>
            </w:pPr>
            <w:r>
              <w:t>The Australian Government should provide once-off seed funding to create a professional association for peer workers.</w:t>
            </w:r>
            <w:r w:rsidRPr="00B45355" w:rsidDel="00131E9C">
              <w:t xml:space="preserve"> </w:t>
            </w:r>
          </w:p>
          <w:p w14:paraId="3FAF1DB7" w14:textId="77777777" w:rsidR="00D41518" w:rsidRPr="0035678A" w:rsidDel="0093330A" w:rsidRDefault="002246D6" w:rsidP="007727D0">
            <w:pPr>
              <w:pStyle w:val="Rec"/>
              <w:keepNext/>
              <w:rPr>
                <w:i/>
              </w:rPr>
            </w:pPr>
            <w:r w:rsidRPr="002246D6">
              <w:rPr>
                <w:i/>
              </w:rPr>
              <w:t>Start later</w:t>
            </w:r>
          </w:p>
          <w:p w14:paraId="3C13DD08" w14:textId="6D1C4888" w:rsidR="00D41518" w:rsidRPr="00D41518" w:rsidRDefault="00D41518" w:rsidP="00742D10">
            <w:pPr>
              <w:pStyle w:val="Rec"/>
            </w:pPr>
            <w:r w:rsidRPr="00E70E80">
              <w:t>The Australian, State and Territory Governments should, in consultation with stakeholders</w:t>
            </w:r>
            <w:r w:rsidR="00151B5A">
              <w:t>,</w:t>
            </w:r>
            <w:r w:rsidR="00BD6CA7">
              <w:t xml:space="preserve"> </w:t>
            </w:r>
            <w:r w:rsidRPr="00E70E80">
              <w:t>develop a program to educate health professionals about the role and value of peer workers in improving outcomes</w:t>
            </w:r>
            <w:r w:rsidR="00C83498">
              <w:t xml:space="preserve"> for consumers</w:t>
            </w:r>
            <w:r w:rsidRPr="00E70E80">
              <w:t xml:space="preserve">. </w:t>
            </w:r>
          </w:p>
        </w:tc>
      </w:tr>
      <w:tr w:rsidR="00D41518" w:rsidRPr="00D41518" w14:paraId="10ABAD50" w14:textId="77777777" w:rsidTr="003B3426">
        <w:tc>
          <w:tcPr>
            <w:tcW w:w="5000" w:type="pct"/>
            <w:tcBorders>
              <w:top w:val="nil"/>
              <w:left w:val="nil"/>
              <w:bottom w:val="single" w:sz="4" w:space="0" w:color="78A22F"/>
              <w:right w:val="nil"/>
            </w:tcBorders>
            <w:shd w:val="clear" w:color="auto" w:fill="F2F2F2" w:themeFill="background1" w:themeFillShade="F2"/>
            <w:tcMar>
              <w:left w:w="170" w:type="dxa"/>
              <w:right w:w="170" w:type="dxa"/>
            </w:tcMar>
          </w:tcPr>
          <w:p w14:paraId="3DF59040" w14:textId="77777777" w:rsidR="00D41518" w:rsidRPr="00D41518" w:rsidRDefault="00D41518" w:rsidP="00D41518">
            <w:pPr>
              <w:keepNext/>
              <w:keepLines/>
              <w:spacing w:line="120" w:lineRule="exact"/>
              <w:jc w:val="both"/>
              <w:rPr>
                <w:rFonts w:ascii="Arial" w:hAnsi="Arial"/>
                <w:sz w:val="20"/>
                <w:szCs w:val="20"/>
              </w:rPr>
            </w:pPr>
          </w:p>
        </w:tc>
      </w:tr>
      <w:tr w:rsidR="00C26DD8" w:rsidRPr="00D41518" w14:paraId="5B4D2B47" w14:textId="77777777" w:rsidTr="00C26DD8">
        <w:tc>
          <w:tcPr>
            <w:tcW w:w="5000" w:type="pct"/>
            <w:tcBorders>
              <w:top w:val="single" w:sz="4" w:space="0" w:color="78A22F"/>
              <w:left w:val="nil"/>
              <w:bottom w:val="nil"/>
              <w:right w:val="nil"/>
            </w:tcBorders>
            <w:shd w:val="clear" w:color="auto" w:fill="auto"/>
            <w:tcMar>
              <w:left w:w="170" w:type="dxa"/>
              <w:right w:w="170" w:type="dxa"/>
            </w:tcMar>
          </w:tcPr>
          <w:p w14:paraId="57A7CC15" w14:textId="77777777" w:rsidR="00C26DD8" w:rsidRPr="00D41518" w:rsidRDefault="00C26DD8" w:rsidP="00C26DD8">
            <w:pPr>
              <w:pStyle w:val="BoxSpaceBelow"/>
            </w:pPr>
          </w:p>
        </w:tc>
      </w:tr>
    </w:tbl>
    <w:p w14:paraId="651288A6" w14:textId="77777777" w:rsidR="00DD0790" w:rsidRDefault="00DD0790" w:rsidP="00C26DD8">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377BD2" w:rsidRPr="005E64FD" w14:paraId="13C21255" w14:textId="77777777" w:rsidTr="00B009A0">
        <w:trPr>
          <w:tblHeader/>
        </w:trPr>
        <w:tc>
          <w:tcPr>
            <w:tcW w:w="5000" w:type="pct"/>
            <w:tcBorders>
              <w:top w:val="single" w:sz="6" w:space="0" w:color="78A22F"/>
              <w:left w:val="nil"/>
              <w:bottom w:val="nil"/>
              <w:right w:val="nil"/>
            </w:tcBorders>
            <w:shd w:val="clear" w:color="auto" w:fill="auto"/>
            <w:tcMar>
              <w:left w:w="170" w:type="dxa"/>
              <w:right w:w="170" w:type="dxa"/>
            </w:tcMar>
          </w:tcPr>
          <w:p w14:paraId="131124EB" w14:textId="4A97C87C" w:rsidR="00377BD2" w:rsidRPr="005E64FD" w:rsidRDefault="00377BD2" w:rsidP="00742D10">
            <w:pPr>
              <w:pStyle w:val="RecTitle"/>
              <w:spacing w:before="120"/>
              <w:rPr>
                <w:b/>
                <w:color w:val="3B5117"/>
              </w:rPr>
            </w:pPr>
            <w:r w:rsidRPr="005E64FD">
              <w:rPr>
                <w:b/>
                <w:color w:val="3B5117"/>
              </w:rPr>
              <w:t>Action 1</w:t>
            </w:r>
            <w:r w:rsidR="00CA1A76" w:rsidRPr="005E64FD">
              <w:rPr>
                <w:b/>
                <w:color w:val="3B5117"/>
              </w:rPr>
              <w:t>6</w:t>
            </w:r>
            <w:r w:rsidR="00742D10">
              <w:rPr>
                <w:b/>
                <w:color w:val="3B5117"/>
              </w:rPr>
              <w:t>.6</w:t>
            </w:r>
            <w:r w:rsidR="00CE7986">
              <w:rPr>
                <w:b/>
                <w:color w:val="3B5117"/>
              </w:rPr>
              <w:t> — </w:t>
            </w:r>
            <w:r w:rsidR="00742D10">
              <w:rPr>
                <w:b/>
                <w:color w:val="3B5117"/>
              </w:rPr>
              <w:t>Targeting stigma among</w:t>
            </w:r>
            <w:r w:rsidRPr="005E64FD">
              <w:rPr>
                <w:b/>
                <w:color w:val="3B5117"/>
              </w:rPr>
              <w:t xml:space="preserve"> health professionals </w:t>
            </w:r>
          </w:p>
        </w:tc>
      </w:tr>
      <w:tr w:rsidR="00377BD2" w:rsidRPr="00750BE2" w14:paraId="0CA56399" w14:textId="77777777" w:rsidTr="00B009A0">
        <w:tc>
          <w:tcPr>
            <w:tcW w:w="5000" w:type="pct"/>
            <w:tcBorders>
              <w:top w:val="nil"/>
              <w:left w:val="nil"/>
              <w:bottom w:val="nil"/>
              <w:right w:val="nil"/>
            </w:tcBorders>
            <w:shd w:val="clear" w:color="auto" w:fill="F2F2F2" w:themeFill="background1" w:themeFillShade="F2"/>
            <w:tcMar>
              <w:left w:w="170" w:type="dxa"/>
              <w:right w:w="170" w:type="dxa"/>
            </w:tcMar>
          </w:tcPr>
          <w:p w14:paraId="1745FAE2" w14:textId="1232F697" w:rsidR="00377BD2" w:rsidRDefault="00377BD2" w:rsidP="00B009A0">
            <w:pPr>
              <w:pStyle w:val="Rec"/>
              <w:keepNext/>
            </w:pPr>
            <w:r>
              <w:t xml:space="preserve">Mental health stigma reduction programs should be incorporated in the initial training and </w:t>
            </w:r>
            <w:r w:rsidRPr="00DA251C">
              <w:t xml:space="preserve">continuing professional development requirements of </w:t>
            </w:r>
            <w:r>
              <w:t xml:space="preserve">all </w:t>
            </w:r>
            <w:r w:rsidRPr="00DA251C">
              <w:t>health professionals</w:t>
            </w:r>
            <w:r>
              <w:t>, subject to periodic evaluation as to their appropriateness and effectiveness</w:t>
            </w:r>
            <w:r w:rsidRPr="00BF73A4">
              <w:t>.</w:t>
            </w:r>
          </w:p>
          <w:p w14:paraId="72B665D3" w14:textId="77777777" w:rsidR="00377BD2" w:rsidRPr="00D41518" w:rsidRDefault="002246D6" w:rsidP="00B009A0">
            <w:pPr>
              <w:pStyle w:val="Rec"/>
              <w:keepNext/>
              <w:rPr>
                <w:i/>
              </w:rPr>
            </w:pPr>
            <w:r w:rsidRPr="002246D6">
              <w:rPr>
                <w:i/>
              </w:rPr>
              <w:t>Start now</w:t>
            </w:r>
          </w:p>
          <w:p w14:paraId="5A6D328E" w14:textId="77777777" w:rsidR="00377BD2" w:rsidRDefault="00377BD2" w:rsidP="00B009A0">
            <w:pPr>
              <w:pStyle w:val="Rec"/>
              <w:keepNext/>
            </w:pPr>
            <w:r w:rsidRPr="000834FE">
              <w:t xml:space="preserve">The Australian, State and Territory Governments should, in collaboration with </w:t>
            </w:r>
            <w:r>
              <w:t>professional bodies:</w:t>
            </w:r>
          </w:p>
          <w:p w14:paraId="2A3968CC" w14:textId="75C11E5B" w:rsidR="00A6497D" w:rsidRDefault="0068326C" w:rsidP="00A6497D">
            <w:pPr>
              <w:pStyle w:val="RecBullet"/>
            </w:pPr>
            <w:r>
              <w:t>i</w:t>
            </w:r>
            <w:r w:rsidR="00377BD2">
              <w:t xml:space="preserve">ncrease </w:t>
            </w:r>
            <w:r w:rsidR="00377BD2" w:rsidRPr="004E386F">
              <w:t xml:space="preserve">interactions </w:t>
            </w:r>
            <w:r w:rsidR="00377BD2">
              <w:t>of</w:t>
            </w:r>
            <w:r w:rsidR="00377BD2" w:rsidRPr="004E386F">
              <w:t xml:space="preserve"> health students and practising health professionals </w:t>
            </w:r>
            <w:r w:rsidR="00377BD2">
              <w:t>with</w:t>
            </w:r>
            <w:r w:rsidR="00742D10">
              <w:t xml:space="preserve"> people with</w:t>
            </w:r>
            <w:r w:rsidR="00377BD2" w:rsidRPr="004E386F">
              <w:t xml:space="preserve"> mental illness</w:t>
            </w:r>
            <w:r w:rsidR="00377BD2">
              <w:t xml:space="preserve"> </w:t>
            </w:r>
            <w:r w:rsidR="00377BD2" w:rsidRPr="00221B6E">
              <w:t xml:space="preserve">(and their carers) outside </w:t>
            </w:r>
            <w:r w:rsidR="00377BD2">
              <w:t xml:space="preserve">of </w:t>
            </w:r>
            <w:r w:rsidR="00377BD2" w:rsidRPr="00221B6E">
              <w:t>clinical environment</w:t>
            </w:r>
            <w:r w:rsidR="00377BD2">
              <w:t>s</w:t>
            </w:r>
          </w:p>
          <w:p w14:paraId="77763392" w14:textId="1AD779FC" w:rsidR="00377BD2" w:rsidRPr="00BE10BF" w:rsidRDefault="00377BD2" w:rsidP="00742D10">
            <w:pPr>
              <w:pStyle w:val="RecBullet"/>
              <w:rPr>
                <w:rStyle w:val="DraftingNote"/>
                <w:b w:val="0"/>
                <w:color w:val="auto"/>
                <w:sz w:val="22"/>
                <w:u w:val="none"/>
              </w:rPr>
            </w:pPr>
            <w:r>
              <w:t xml:space="preserve">incorporate stigma reduction programs targeted at health professionals and students into the National Stigma Reduction Strategy (Action </w:t>
            </w:r>
            <w:r w:rsidR="00742D10">
              <w:t>8</w:t>
            </w:r>
            <w:r>
              <w:t>.1).</w:t>
            </w:r>
          </w:p>
        </w:tc>
      </w:tr>
      <w:tr w:rsidR="00377BD2" w14:paraId="28E06634"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3FEAAC4A" w14:textId="77777777" w:rsidR="00377BD2" w:rsidRDefault="00377BD2" w:rsidP="00B009A0">
            <w:pPr>
              <w:pStyle w:val="Space"/>
              <w:keepLines/>
            </w:pPr>
          </w:p>
        </w:tc>
      </w:tr>
      <w:tr w:rsidR="00377BD2" w:rsidRPr="000863A5" w14:paraId="5F6782A3" w14:textId="77777777" w:rsidTr="00B009A0">
        <w:tc>
          <w:tcPr>
            <w:tcW w:w="5000" w:type="pct"/>
            <w:tcBorders>
              <w:top w:val="single" w:sz="6" w:space="0" w:color="78A22F"/>
              <w:left w:val="nil"/>
              <w:bottom w:val="nil"/>
              <w:right w:val="nil"/>
            </w:tcBorders>
            <w:tcMar>
              <w:left w:w="170" w:type="dxa"/>
              <w:right w:w="170" w:type="dxa"/>
            </w:tcMar>
          </w:tcPr>
          <w:p w14:paraId="43BDB221" w14:textId="77777777" w:rsidR="00377BD2" w:rsidRPr="00626D32" w:rsidRDefault="00377BD2" w:rsidP="00B009A0">
            <w:pPr>
              <w:pStyle w:val="BoxSpaceBelow"/>
              <w:keepLines/>
            </w:pPr>
          </w:p>
        </w:tc>
      </w:tr>
    </w:tbl>
    <w:p w14:paraId="56424FA1" w14:textId="77777777" w:rsidR="00377BD2" w:rsidRPr="00D41518" w:rsidRDefault="00377BD2" w:rsidP="000639E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D41518" w:rsidRPr="005E64FD" w14:paraId="1623A8E1" w14:textId="77777777" w:rsidTr="00462628">
        <w:trPr>
          <w:tblHeader/>
        </w:trPr>
        <w:tc>
          <w:tcPr>
            <w:tcW w:w="5000" w:type="pct"/>
            <w:tcBorders>
              <w:top w:val="single" w:sz="6" w:space="0" w:color="78A22F"/>
              <w:left w:val="nil"/>
              <w:bottom w:val="nil"/>
              <w:right w:val="nil"/>
            </w:tcBorders>
            <w:shd w:val="clear" w:color="auto" w:fill="auto"/>
            <w:tcMar>
              <w:left w:w="170" w:type="dxa"/>
              <w:right w:w="170" w:type="dxa"/>
            </w:tcMar>
          </w:tcPr>
          <w:p w14:paraId="48F5BB6A" w14:textId="76DEBE5A" w:rsidR="00D41518" w:rsidRPr="005E64FD" w:rsidRDefault="008D4B2F" w:rsidP="005E64FD">
            <w:pPr>
              <w:pStyle w:val="RecTitle"/>
              <w:spacing w:before="120"/>
              <w:rPr>
                <w:b/>
                <w:color w:val="3B5117"/>
              </w:rPr>
            </w:pPr>
            <w:r w:rsidRPr="005E64FD">
              <w:rPr>
                <w:b/>
                <w:color w:val="3B5117"/>
              </w:rPr>
              <w:t>Action</w:t>
            </w:r>
            <w:r w:rsidRPr="005E64FD" w:rsidDel="008D4B2F">
              <w:rPr>
                <w:b/>
                <w:color w:val="3B5117"/>
              </w:rPr>
              <w:t xml:space="preserve"> </w:t>
            </w:r>
            <w:r w:rsidR="00D41518" w:rsidRPr="005E64FD">
              <w:rPr>
                <w:b/>
                <w:color w:val="3B5117"/>
              </w:rPr>
              <w:t>1</w:t>
            </w:r>
            <w:r w:rsidR="00CA1A76" w:rsidRPr="005E64FD">
              <w:rPr>
                <w:b/>
                <w:color w:val="3B5117"/>
              </w:rPr>
              <w:t>6</w:t>
            </w:r>
            <w:r w:rsidR="00D41518" w:rsidRPr="005E64FD">
              <w:rPr>
                <w:b/>
                <w:color w:val="3B5117"/>
              </w:rPr>
              <w:t>.</w:t>
            </w:r>
            <w:r w:rsidR="007700C9" w:rsidRPr="005E64FD">
              <w:rPr>
                <w:b/>
                <w:color w:val="3B5117"/>
              </w:rPr>
              <w:t>7</w:t>
            </w:r>
            <w:r w:rsidR="00CE7986">
              <w:rPr>
                <w:b/>
                <w:color w:val="3B5117"/>
              </w:rPr>
              <w:t> — </w:t>
            </w:r>
            <w:r w:rsidR="00D41518" w:rsidRPr="005E64FD">
              <w:rPr>
                <w:b/>
                <w:color w:val="3B5117"/>
              </w:rPr>
              <w:t xml:space="preserve">mental health specialisation as a career option </w:t>
            </w:r>
          </w:p>
        </w:tc>
      </w:tr>
      <w:tr w:rsidR="00D41518" w:rsidRPr="00D41518" w14:paraId="4886527D" w14:textId="77777777" w:rsidTr="00462628">
        <w:tc>
          <w:tcPr>
            <w:tcW w:w="5000" w:type="pct"/>
            <w:tcBorders>
              <w:top w:val="nil"/>
              <w:left w:val="nil"/>
              <w:bottom w:val="nil"/>
              <w:right w:val="nil"/>
            </w:tcBorders>
            <w:shd w:val="clear" w:color="auto" w:fill="F2F2F2"/>
            <w:tcMar>
              <w:left w:w="170" w:type="dxa"/>
              <w:right w:w="170" w:type="dxa"/>
            </w:tcMar>
          </w:tcPr>
          <w:p w14:paraId="71126B45" w14:textId="77777777" w:rsidR="00D41518" w:rsidRPr="00D41518" w:rsidRDefault="00D41518" w:rsidP="00E70E80">
            <w:pPr>
              <w:pStyle w:val="Rec"/>
              <w:keepNext/>
            </w:pPr>
            <w:r w:rsidRPr="007118D9">
              <w:t xml:space="preserve">Governments and specialist medical colleges should take further steps to reduce the negative perception of, and to promote, mental health as a </w:t>
            </w:r>
            <w:r w:rsidRPr="00D41518">
              <w:t>career option.</w:t>
            </w:r>
          </w:p>
          <w:p w14:paraId="6AAA245C" w14:textId="77777777" w:rsidR="00D41518" w:rsidRPr="00D41518" w:rsidRDefault="002246D6" w:rsidP="00E70E80">
            <w:pPr>
              <w:pStyle w:val="Rec"/>
              <w:keepNext/>
              <w:rPr>
                <w:i/>
              </w:rPr>
            </w:pPr>
            <w:r w:rsidRPr="002246D6">
              <w:rPr>
                <w:i/>
              </w:rPr>
              <w:t>Start now</w:t>
            </w:r>
          </w:p>
          <w:p w14:paraId="1C41C5A6" w14:textId="77777777" w:rsidR="00D41518" w:rsidRDefault="00B903B7" w:rsidP="00742D10">
            <w:pPr>
              <w:pStyle w:val="RecBullet"/>
            </w:pPr>
            <w:r w:rsidRPr="000834FE">
              <w:t xml:space="preserve">The Australian, State and Territory Governments should, in collaboration with </w:t>
            </w:r>
            <w:r>
              <w:t>professional bodies</w:t>
            </w:r>
            <w:r w:rsidRPr="000834FE">
              <w:t xml:space="preserve">, </w:t>
            </w:r>
            <w:r w:rsidR="002B6056">
              <w:t>rebalance</w:t>
            </w:r>
            <w:r w:rsidR="00D41518" w:rsidRPr="00217FB8">
              <w:t xml:space="preserve"> where </w:t>
            </w:r>
            <w:r w:rsidR="00990FBC">
              <w:t xml:space="preserve">mental health </w:t>
            </w:r>
            <w:r w:rsidR="00D41518" w:rsidRPr="00217FB8">
              <w:t xml:space="preserve">trainees </w:t>
            </w:r>
            <w:r w:rsidR="00D41518" w:rsidRPr="00D41518">
              <w:t>undertake clinical placements and internships to a more representative mix of settings</w:t>
            </w:r>
            <w:r w:rsidR="002B6056">
              <w:t xml:space="preserve">. This includes increasing placements and internships </w:t>
            </w:r>
            <w:r w:rsidR="00D41518" w:rsidRPr="00D41518">
              <w:t>in the private sector</w:t>
            </w:r>
            <w:r w:rsidR="00872DE8">
              <w:t>, community mental health services</w:t>
            </w:r>
            <w:r w:rsidR="00D41518" w:rsidRPr="00D41518">
              <w:t xml:space="preserve"> </w:t>
            </w:r>
            <w:r w:rsidR="00DD0790">
              <w:t>(including Aboriginal Community C</w:t>
            </w:r>
            <w:r w:rsidR="00DD0790" w:rsidRPr="00CF08E3">
              <w:t xml:space="preserve">ontrolled </w:t>
            </w:r>
            <w:r w:rsidR="00DD0790">
              <w:t>H</w:t>
            </w:r>
            <w:r w:rsidR="00DD0790" w:rsidRPr="00CF08E3">
              <w:t xml:space="preserve">ealth </w:t>
            </w:r>
            <w:r w:rsidR="00DD0790">
              <w:t xml:space="preserve">Organisations) </w:t>
            </w:r>
            <w:r w:rsidR="00D41518" w:rsidRPr="00D41518">
              <w:t>and settings other than inpatient units.</w:t>
            </w:r>
          </w:p>
          <w:p w14:paraId="22483E2F" w14:textId="5868E8E5" w:rsidR="00D41518" w:rsidRPr="00D41518" w:rsidRDefault="00AC2A85" w:rsidP="00742D10">
            <w:pPr>
              <w:pStyle w:val="RecBullet"/>
            </w:pPr>
            <w:r w:rsidRPr="00B630B5">
              <w:t xml:space="preserve">State and Territory Governments should mitigate burnout and poor mental health among the mental health workforce by targeting the key organisational and operational factors that </w:t>
            </w:r>
            <w:r w:rsidR="00420CB3">
              <w:t>may reduce the risk of</w:t>
            </w:r>
            <w:r w:rsidRPr="00B630B5">
              <w:t xml:space="preserve"> adverse outcomes, including </w:t>
            </w:r>
            <w:r w:rsidR="00420CB3">
              <w:t xml:space="preserve">adequate </w:t>
            </w:r>
            <w:r w:rsidR="00420CB3" w:rsidRPr="00B630B5">
              <w:t xml:space="preserve">supervision, </w:t>
            </w:r>
            <w:r w:rsidR="00420CB3">
              <w:t xml:space="preserve">professional </w:t>
            </w:r>
            <w:r w:rsidR="00420CB3" w:rsidRPr="00B630B5">
              <w:t xml:space="preserve">support, resourcing </w:t>
            </w:r>
            <w:r w:rsidR="00420CB3">
              <w:t>and reducing the risk of exposure to work</w:t>
            </w:r>
            <w:r w:rsidR="00420CB3">
              <w:noBreakHyphen/>
              <w:t xml:space="preserve">related </w:t>
            </w:r>
            <w:r w:rsidR="00420CB3" w:rsidRPr="00B630B5">
              <w:t>violence</w:t>
            </w:r>
            <w:r w:rsidR="00420CB3">
              <w:t xml:space="preserve"> and aggression</w:t>
            </w:r>
            <w:r w:rsidR="003C7971">
              <w:t>.</w:t>
            </w:r>
          </w:p>
        </w:tc>
      </w:tr>
      <w:tr w:rsidR="00D41518" w:rsidRPr="00D41518" w14:paraId="6D38683E"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64174ED7" w14:textId="77777777" w:rsidR="00D41518" w:rsidRPr="00D41518" w:rsidRDefault="00D41518" w:rsidP="00D41518">
            <w:pPr>
              <w:keepNext/>
              <w:keepLines/>
              <w:spacing w:line="120" w:lineRule="exact"/>
              <w:jc w:val="both"/>
              <w:rPr>
                <w:rFonts w:ascii="Arial" w:hAnsi="Arial"/>
                <w:sz w:val="20"/>
                <w:szCs w:val="20"/>
              </w:rPr>
            </w:pPr>
          </w:p>
        </w:tc>
      </w:tr>
      <w:tr w:rsidR="00D41518" w:rsidRPr="00D41518" w14:paraId="3C837B98" w14:textId="77777777" w:rsidTr="00462628">
        <w:tc>
          <w:tcPr>
            <w:tcW w:w="5000" w:type="pct"/>
            <w:tcBorders>
              <w:top w:val="single" w:sz="6" w:space="0" w:color="78A22F"/>
              <w:left w:val="nil"/>
              <w:bottom w:val="nil"/>
              <w:right w:val="nil"/>
            </w:tcBorders>
            <w:tcMar>
              <w:left w:w="170" w:type="dxa"/>
              <w:right w:w="170" w:type="dxa"/>
            </w:tcMar>
          </w:tcPr>
          <w:p w14:paraId="28040012" w14:textId="77777777" w:rsidR="00D41518" w:rsidRPr="00D41518" w:rsidRDefault="00D41518" w:rsidP="00D41518">
            <w:pPr>
              <w:keepLines/>
              <w:spacing w:before="60" w:after="60" w:line="80" w:lineRule="exact"/>
              <w:jc w:val="both"/>
              <w:rPr>
                <w:rFonts w:ascii="Arial" w:hAnsi="Arial"/>
                <w:sz w:val="14"/>
                <w:szCs w:val="20"/>
              </w:rPr>
            </w:pPr>
          </w:p>
        </w:tc>
      </w:tr>
    </w:tbl>
    <w:p w14:paraId="1B2953E2" w14:textId="77777777" w:rsidR="00D41518" w:rsidRPr="00D41518" w:rsidRDefault="00D41518" w:rsidP="00F00D7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8"/>
      </w:tblGrid>
      <w:tr w:rsidR="00B903B7" w14:paraId="27979414" w14:textId="77777777" w:rsidTr="00B903B7">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1B83BA87" w14:textId="685A462A" w:rsidR="00B903B7" w:rsidRPr="00CE4C64" w:rsidRDefault="00B903B7" w:rsidP="00AA695D">
            <w:pPr>
              <w:pStyle w:val="FindingTitle"/>
              <w:spacing w:before="120"/>
              <w:ind w:left="1531" w:hanging="1531"/>
              <w:rPr>
                <w:noProof/>
              </w:rPr>
            </w:pPr>
            <w:r>
              <w:t xml:space="preserve">Finding </w:t>
            </w:r>
            <w:r w:rsidR="0011017D">
              <w:t>16</w:t>
            </w:r>
            <w:r w:rsidR="007700C9">
              <w:t>.</w:t>
            </w:r>
            <w:r w:rsidR="00311EE0">
              <w:t>1</w:t>
            </w:r>
            <w:r w:rsidR="0049265B">
              <w:fldChar w:fldCharType="begin"/>
            </w:r>
            <w:r w:rsidR="0049265B">
              <w:instrText xml:space="preserve"> COMMENTS  \* MERGEFORMAT </w:instrText>
            </w:r>
            <w:r w:rsidR="0049265B">
              <w:fldChar w:fldCharType="end"/>
            </w:r>
            <w:r w:rsidR="00CE7986">
              <w:rPr>
                <w:noProof/>
              </w:rPr>
              <w:t> — </w:t>
            </w:r>
            <w:r>
              <w:rPr>
                <w:caps w:val="0"/>
              </w:rPr>
              <w:t>SUPPORTING THE RURAL</w:t>
            </w:r>
            <w:r w:rsidR="00990FBC">
              <w:rPr>
                <w:caps w:val="0"/>
              </w:rPr>
              <w:t>, REGIONAL</w:t>
            </w:r>
            <w:r>
              <w:rPr>
                <w:caps w:val="0"/>
              </w:rPr>
              <w:t xml:space="preserve"> AND REMOTE MENTAL HEALTH WORKFORCE</w:t>
            </w:r>
          </w:p>
        </w:tc>
      </w:tr>
      <w:tr w:rsidR="00B903B7" w:rsidRPr="00750BE2" w14:paraId="65E9EDC4" w14:textId="77777777" w:rsidTr="00B903B7">
        <w:trPr>
          <w:cantSplit/>
        </w:trPr>
        <w:tc>
          <w:tcPr>
            <w:tcW w:w="5000" w:type="pct"/>
            <w:tcBorders>
              <w:top w:val="nil"/>
              <w:left w:val="nil"/>
              <w:bottom w:val="nil"/>
              <w:right w:val="nil"/>
            </w:tcBorders>
            <w:shd w:val="clear" w:color="auto" w:fill="F2F2F2"/>
            <w:tcMar>
              <w:left w:w="170" w:type="dxa"/>
              <w:right w:w="170" w:type="dxa"/>
            </w:tcMar>
          </w:tcPr>
          <w:p w14:paraId="7D187E3B" w14:textId="269299AE" w:rsidR="00B903B7" w:rsidRDefault="00B903B7" w:rsidP="00B903B7">
            <w:pPr>
              <w:pStyle w:val="Finding"/>
              <w:keepNext/>
            </w:pPr>
            <w:r>
              <w:t>Physical a</w:t>
            </w:r>
            <w:r w:rsidRPr="00AD438A">
              <w:t xml:space="preserve">ccess to mental health professionals, especially for specialist care, </w:t>
            </w:r>
            <w:r w:rsidR="004F1547">
              <w:t>is significantly lower</w:t>
            </w:r>
            <w:r w:rsidRPr="00AD438A">
              <w:t xml:space="preserve"> outside of major capital cities</w:t>
            </w:r>
            <w:r>
              <w:t xml:space="preserve">, and is particularly low in remote </w:t>
            </w:r>
            <w:r w:rsidR="00990FBC">
              <w:t xml:space="preserve">parts of </w:t>
            </w:r>
            <w:r>
              <w:t>Australia. There are many government programs aimed at alleviating these shortages, but there are practical and budgetary obstacles to ensuring that physical access is equal across different locations.</w:t>
            </w:r>
          </w:p>
          <w:p w14:paraId="2FAF9BC4" w14:textId="77777777" w:rsidR="00B903B7" w:rsidRDefault="00B903B7" w:rsidP="00B903B7">
            <w:pPr>
              <w:pStyle w:val="Finding"/>
              <w:keepNext/>
            </w:pPr>
            <w:r>
              <w:t xml:space="preserve">Several recommendations in this report </w:t>
            </w:r>
            <w:r w:rsidR="00990FBC">
              <w:t>would</w:t>
            </w:r>
            <w:r>
              <w:t xml:space="preserve"> assist Australians with mental illness in regional Australia, including:</w:t>
            </w:r>
          </w:p>
          <w:p w14:paraId="7EF76B44" w14:textId="57680F66" w:rsidR="00B903B7" w:rsidRPr="00670820" w:rsidRDefault="00B903B7" w:rsidP="000639EA">
            <w:pPr>
              <w:pStyle w:val="FindingBullet"/>
            </w:pPr>
            <w:r w:rsidRPr="00670820">
              <w:t xml:space="preserve">greater use of </w:t>
            </w:r>
            <w:r w:rsidR="00990FBC" w:rsidRPr="00670820">
              <w:t>clinician</w:t>
            </w:r>
            <w:r w:rsidR="00922B18">
              <w:t>-</w:t>
            </w:r>
            <w:r w:rsidRPr="00670820">
              <w:t xml:space="preserve">supported online </w:t>
            </w:r>
            <w:r w:rsidR="00990FBC" w:rsidRPr="00670820">
              <w:t xml:space="preserve">mental </w:t>
            </w:r>
            <w:r w:rsidRPr="00670820">
              <w:t xml:space="preserve">health </w:t>
            </w:r>
            <w:r w:rsidR="00990FBC" w:rsidRPr="00670820">
              <w:t xml:space="preserve">treatment </w:t>
            </w:r>
            <w:r w:rsidRPr="00670820">
              <w:t>to overcome lower physical accessibility to services</w:t>
            </w:r>
            <w:r w:rsidR="007A590D" w:rsidRPr="00670820">
              <w:t xml:space="preserve"> (</w:t>
            </w:r>
            <w:r w:rsidR="00742D10">
              <w:t>Action 11.1</w:t>
            </w:r>
            <w:r w:rsidR="007A590D" w:rsidRPr="00670820">
              <w:t>)</w:t>
            </w:r>
          </w:p>
          <w:p w14:paraId="74DB1154" w14:textId="5EAEE147" w:rsidR="00B903B7" w:rsidRPr="00670820" w:rsidRDefault="007A590D" w:rsidP="000639EA">
            <w:pPr>
              <w:pStyle w:val="FindingBullet"/>
            </w:pPr>
            <w:r w:rsidRPr="00670820">
              <w:t>increased scope</w:t>
            </w:r>
            <w:r w:rsidR="00B903B7" w:rsidRPr="00670820">
              <w:t xml:space="preserve"> for GPs in regional Australia to consult psychiatrists </w:t>
            </w:r>
            <w:r w:rsidRPr="00670820">
              <w:t xml:space="preserve">in other parts of Australia </w:t>
            </w:r>
            <w:r w:rsidR="00B903B7" w:rsidRPr="00670820">
              <w:t xml:space="preserve">about how best to help individual </w:t>
            </w:r>
            <w:r w:rsidR="00742D10">
              <w:t>consumers</w:t>
            </w:r>
            <w:r w:rsidRPr="00670820">
              <w:t xml:space="preserve"> (</w:t>
            </w:r>
            <w:r w:rsidR="00742D10">
              <w:t>Action 10.3</w:t>
            </w:r>
            <w:r w:rsidRPr="00670820">
              <w:t>)</w:t>
            </w:r>
          </w:p>
          <w:p w14:paraId="1334A6A6" w14:textId="39C38ABE" w:rsidR="00B903B7" w:rsidRDefault="007A590D" w:rsidP="00742D10">
            <w:pPr>
              <w:pStyle w:val="FindingBullet"/>
            </w:pPr>
            <w:r w:rsidRPr="00670820">
              <w:t>increased use of video</w:t>
            </w:r>
            <w:r w:rsidR="00922B18">
              <w:t>conference</w:t>
            </w:r>
            <w:r w:rsidRPr="00670820">
              <w:t xml:space="preserve"> and </w:t>
            </w:r>
            <w:r w:rsidR="00922B18">
              <w:t>telephone</w:t>
            </w:r>
            <w:r w:rsidRPr="00670820">
              <w:t xml:space="preserve"> for people to interact with, and receive therapy from</w:t>
            </w:r>
            <w:r w:rsidR="00922B18">
              <w:t>,</w:t>
            </w:r>
            <w:r w:rsidRPr="00670820">
              <w:t xml:space="preserve"> their psychologist or psychiatrist</w:t>
            </w:r>
            <w:r w:rsidR="00742D10">
              <w:t>.</w:t>
            </w:r>
            <w:r w:rsidRPr="00670820">
              <w:t xml:space="preserve"> (</w:t>
            </w:r>
            <w:r w:rsidR="00742D10">
              <w:t>Action 12.1)</w:t>
            </w:r>
          </w:p>
        </w:tc>
      </w:tr>
      <w:tr w:rsidR="00B903B7" w14:paraId="4E61A969" w14:textId="77777777" w:rsidTr="00B903B7">
        <w:trPr>
          <w:cantSplit/>
        </w:trPr>
        <w:tc>
          <w:tcPr>
            <w:tcW w:w="5000" w:type="pct"/>
            <w:tcBorders>
              <w:top w:val="nil"/>
              <w:left w:val="nil"/>
              <w:bottom w:val="single" w:sz="6" w:space="0" w:color="78A22F"/>
              <w:right w:val="nil"/>
            </w:tcBorders>
            <w:shd w:val="clear" w:color="auto" w:fill="F2F2F2"/>
            <w:tcMar>
              <w:left w:w="170" w:type="dxa"/>
              <w:right w:w="170" w:type="dxa"/>
            </w:tcMar>
          </w:tcPr>
          <w:p w14:paraId="5A5372A2" w14:textId="77777777" w:rsidR="00B903B7" w:rsidRDefault="00B903B7" w:rsidP="00B903B7">
            <w:pPr>
              <w:pStyle w:val="Space"/>
              <w:keepLines/>
            </w:pPr>
          </w:p>
        </w:tc>
      </w:tr>
      <w:tr w:rsidR="00B903B7" w:rsidRPr="000863A5" w14:paraId="6FA3B604" w14:textId="77777777" w:rsidTr="00B903B7">
        <w:trPr>
          <w:cantSplit/>
        </w:trPr>
        <w:tc>
          <w:tcPr>
            <w:tcW w:w="5000" w:type="pct"/>
            <w:tcBorders>
              <w:top w:val="single" w:sz="6" w:space="0" w:color="78A22F"/>
              <w:left w:val="nil"/>
              <w:bottom w:val="nil"/>
              <w:right w:val="nil"/>
            </w:tcBorders>
            <w:tcMar>
              <w:left w:w="170" w:type="dxa"/>
              <w:right w:w="170" w:type="dxa"/>
            </w:tcMar>
          </w:tcPr>
          <w:p w14:paraId="13AD04F4" w14:textId="6002CBF3" w:rsidR="00B903B7" w:rsidRPr="00626D32" w:rsidRDefault="00B903B7" w:rsidP="00B903B7">
            <w:pPr>
              <w:pStyle w:val="BoxSpaceBelow"/>
              <w:keepLines/>
            </w:pPr>
          </w:p>
        </w:tc>
      </w:tr>
    </w:tbl>
    <w:p w14:paraId="768AAC30" w14:textId="2468D27E" w:rsidR="00D41518" w:rsidRPr="00D41518" w:rsidRDefault="00D41518" w:rsidP="001B4578">
      <w:pPr>
        <w:keepNext/>
        <w:keepLines/>
        <w:widowControl w:val="0"/>
        <w:spacing w:before="360" w:after="120" w:line="400" w:lineRule="exact"/>
        <w:ind w:left="1701" w:hanging="1701"/>
        <w:outlineLvl w:val="1"/>
        <w:rPr>
          <w:rFonts w:ascii="Arial" w:hAnsi="Arial"/>
          <w:b/>
          <w:color w:val="39531E"/>
          <w:sz w:val="32"/>
          <w:szCs w:val="20"/>
        </w:rPr>
      </w:pPr>
      <w:r w:rsidRPr="00D41518">
        <w:rPr>
          <w:rFonts w:ascii="Arial" w:hAnsi="Arial"/>
          <w:b/>
          <w:color w:val="39531E"/>
          <w:sz w:val="32"/>
          <w:szCs w:val="20"/>
        </w:rPr>
        <w:lastRenderedPageBreak/>
        <w:t>PART I</w:t>
      </w:r>
      <w:r w:rsidR="005B7285">
        <w:rPr>
          <w:rFonts w:ascii="Arial" w:hAnsi="Arial"/>
          <w:b/>
          <w:color w:val="39531E"/>
          <w:sz w:val="32"/>
          <w:szCs w:val="20"/>
        </w:rPr>
        <w:t>V</w:t>
      </w:r>
      <w:r w:rsidRPr="00D41518">
        <w:rPr>
          <w:rFonts w:ascii="Arial" w:hAnsi="Arial"/>
          <w:b/>
          <w:color w:val="39531E"/>
          <w:sz w:val="32"/>
          <w:szCs w:val="20"/>
        </w:rPr>
        <w:tab/>
        <w:t>Re</w:t>
      </w:r>
      <w:r w:rsidR="001B4578">
        <w:rPr>
          <w:rFonts w:ascii="Arial" w:hAnsi="Arial"/>
          <w:b/>
          <w:color w:val="39531E"/>
          <w:sz w:val="32"/>
          <w:szCs w:val="20"/>
        </w:rPr>
        <w:t>-</w:t>
      </w:r>
      <w:r w:rsidRPr="00D41518">
        <w:rPr>
          <w:rFonts w:ascii="Arial" w:hAnsi="Arial"/>
          <w:b/>
          <w:color w:val="39531E"/>
          <w:sz w:val="32"/>
          <w:szCs w:val="20"/>
        </w:rPr>
        <w:t xml:space="preserve">orienting </w:t>
      </w:r>
      <w:r w:rsidR="00854FC7">
        <w:rPr>
          <w:rFonts w:ascii="Arial" w:hAnsi="Arial"/>
          <w:b/>
          <w:color w:val="39531E"/>
          <w:sz w:val="32"/>
          <w:szCs w:val="20"/>
        </w:rPr>
        <w:t>s</w:t>
      </w:r>
      <w:r w:rsidR="001B4578">
        <w:rPr>
          <w:rFonts w:ascii="Arial" w:hAnsi="Arial"/>
          <w:b/>
          <w:color w:val="39531E"/>
          <w:sz w:val="32"/>
          <w:szCs w:val="20"/>
        </w:rPr>
        <w:t xml:space="preserve">ervices </w:t>
      </w:r>
      <w:r w:rsidR="00854FC7">
        <w:rPr>
          <w:rFonts w:ascii="Arial" w:hAnsi="Arial"/>
          <w:b/>
          <w:color w:val="39531E"/>
          <w:sz w:val="32"/>
          <w:szCs w:val="20"/>
        </w:rPr>
        <w:t>a</w:t>
      </w:r>
      <w:r w:rsidR="001B4578">
        <w:rPr>
          <w:rFonts w:ascii="Arial" w:hAnsi="Arial"/>
          <w:b/>
          <w:color w:val="39531E"/>
          <w:sz w:val="32"/>
          <w:szCs w:val="20"/>
        </w:rPr>
        <w:t xml:space="preserve">nd </w:t>
      </w:r>
      <w:r w:rsidR="00854FC7">
        <w:rPr>
          <w:rFonts w:ascii="Arial" w:hAnsi="Arial"/>
          <w:b/>
          <w:color w:val="39531E"/>
          <w:sz w:val="32"/>
          <w:szCs w:val="20"/>
        </w:rPr>
        <w:t>s</w:t>
      </w:r>
      <w:r w:rsidR="001B4578">
        <w:rPr>
          <w:rFonts w:ascii="Arial" w:hAnsi="Arial"/>
          <w:b/>
          <w:color w:val="39531E"/>
          <w:sz w:val="32"/>
          <w:szCs w:val="20"/>
        </w:rPr>
        <w:t xml:space="preserve">upports </w:t>
      </w:r>
      <w:r w:rsidR="00854FC7">
        <w:rPr>
          <w:rFonts w:ascii="Arial" w:hAnsi="Arial"/>
          <w:b/>
          <w:color w:val="39531E"/>
          <w:sz w:val="32"/>
          <w:szCs w:val="20"/>
        </w:rPr>
        <w:t>b</w:t>
      </w:r>
      <w:r w:rsidR="001B4578">
        <w:rPr>
          <w:rFonts w:ascii="Arial" w:hAnsi="Arial"/>
          <w:b/>
          <w:color w:val="39531E"/>
          <w:sz w:val="32"/>
          <w:szCs w:val="20"/>
        </w:rPr>
        <w:t xml:space="preserve">eyond </w:t>
      </w:r>
      <w:r w:rsidR="00854FC7">
        <w:rPr>
          <w:rFonts w:ascii="Arial" w:hAnsi="Arial"/>
          <w:b/>
          <w:color w:val="39531E"/>
          <w:sz w:val="32"/>
          <w:szCs w:val="20"/>
        </w:rPr>
        <w:t>h</w:t>
      </w:r>
      <w:r w:rsidR="001B4578">
        <w:rPr>
          <w:rFonts w:ascii="Arial" w:hAnsi="Arial"/>
          <w:b/>
          <w:color w:val="39531E"/>
          <w:sz w:val="32"/>
          <w:szCs w:val="20"/>
        </w:rPr>
        <w:t>ealth</w:t>
      </w:r>
      <w:r w:rsidRPr="00D41518">
        <w:rPr>
          <w:rFonts w:ascii="Arial" w:hAnsi="Arial"/>
          <w:b/>
          <w:color w:val="39531E"/>
          <w:sz w:val="32"/>
          <w:szCs w:val="20"/>
        </w:rPr>
        <w:t xml:space="preserve"> </w:t>
      </w:r>
    </w:p>
    <w:p w14:paraId="6DBB8643" w14:textId="47FEA4B3" w:rsidR="00582093" w:rsidRDefault="00CE1144" w:rsidP="00582093">
      <w:pPr>
        <w:pStyle w:val="Heading3"/>
      </w:pPr>
      <w:r>
        <w:t>Psychosocial support</w:t>
      </w:r>
    </w:p>
    <w:p w14:paraId="4E1AA2AA" w14:textId="77777777" w:rsidR="00D41518" w:rsidRPr="00D41518" w:rsidRDefault="00D41518" w:rsidP="00151525">
      <w:pPr>
        <w:pStyle w:val="BoxSpaceAbove"/>
        <w:keepLines/>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D41518" w:rsidRPr="005E64FD" w14:paraId="017528D0" w14:textId="77777777" w:rsidTr="00462628">
        <w:trPr>
          <w:tblHeader/>
        </w:trPr>
        <w:tc>
          <w:tcPr>
            <w:tcW w:w="5000" w:type="pct"/>
            <w:tcBorders>
              <w:top w:val="single" w:sz="6" w:space="0" w:color="78A22F"/>
              <w:left w:val="nil"/>
              <w:bottom w:val="nil"/>
              <w:right w:val="nil"/>
            </w:tcBorders>
            <w:shd w:val="clear" w:color="auto" w:fill="auto"/>
            <w:tcMar>
              <w:left w:w="170" w:type="dxa"/>
              <w:right w:w="170" w:type="dxa"/>
            </w:tcMar>
          </w:tcPr>
          <w:p w14:paraId="6EDF2401" w14:textId="187F0755" w:rsidR="00D41518" w:rsidRPr="005E64FD" w:rsidRDefault="008A6F51" w:rsidP="005E64FD">
            <w:pPr>
              <w:pStyle w:val="RecTitle"/>
              <w:spacing w:before="120"/>
              <w:rPr>
                <w:b/>
                <w:color w:val="3B5117"/>
              </w:rPr>
            </w:pPr>
            <w:r w:rsidRPr="005E64FD">
              <w:rPr>
                <w:b/>
                <w:color w:val="3B5117"/>
              </w:rPr>
              <w:t xml:space="preserve">Action </w:t>
            </w:r>
            <w:r w:rsidR="00CA1A76" w:rsidRPr="005E64FD">
              <w:rPr>
                <w:b/>
                <w:color w:val="3B5117"/>
              </w:rPr>
              <w:t>17</w:t>
            </w:r>
            <w:r w:rsidR="00D41518" w:rsidRPr="005E64FD">
              <w:rPr>
                <w:b/>
                <w:color w:val="3B5117"/>
              </w:rPr>
              <w:t>.1</w:t>
            </w:r>
            <w:r w:rsidR="00CE7986">
              <w:rPr>
                <w:b/>
                <w:color w:val="3B5117"/>
              </w:rPr>
              <w:t> — </w:t>
            </w:r>
            <w:r w:rsidR="00D41518" w:rsidRPr="005E64FD">
              <w:rPr>
                <w:b/>
                <w:color w:val="3B5117"/>
              </w:rPr>
              <w:t xml:space="preserve">Extend the contract length for </w:t>
            </w:r>
            <w:r w:rsidR="00276FD5" w:rsidRPr="005E64FD">
              <w:rPr>
                <w:b/>
                <w:color w:val="3B5117"/>
              </w:rPr>
              <w:t xml:space="preserve">psychosocial </w:t>
            </w:r>
            <w:r w:rsidR="00D41518" w:rsidRPr="005E64FD">
              <w:rPr>
                <w:b/>
                <w:color w:val="3B5117"/>
              </w:rPr>
              <w:t>supports</w:t>
            </w:r>
          </w:p>
        </w:tc>
      </w:tr>
      <w:tr w:rsidR="00D41518" w:rsidRPr="00D41518" w14:paraId="13A3C24A" w14:textId="77777777" w:rsidTr="00462628">
        <w:tc>
          <w:tcPr>
            <w:tcW w:w="5000" w:type="pct"/>
            <w:tcBorders>
              <w:top w:val="nil"/>
              <w:left w:val="nil"/>
              <w:bottom w:val="nil"/>
              <w:right w:val="nil"/>
            </w:tcBorders>
            <w:shd w:val="clear" w:color="auto" w:fill="F2F2F2"/>
            <w:tcMar>
              <w:left w:w="170" w:type="dxa"/>
              <w:right w:w="170" w:type="dxa"/>
            </w:tcMar>
          </w:tcPr>
          <w:p w14:paraId="18AC3260" w14:textId="6BFF2C58" w:rsidR="000A0488" w:rsidRDefault="00B305C3" w:rsidP="00151525">
            <w:pPr>
              <w:pStyle w:val="Rec"/>
              <w:keepNext/>
            </w:pPr>
            <w:r w:rsidRPr="00EE42E6">
              <w:t>Short funding cycles create uncertainty for providers of psychosocial supports, which can negatively affect consumers and support workers.</w:t>
            </w:r>
            <w:r>
              <w:t xml:space="preserve"> </w:t>
            </w:r>
          </w:p>
          <w:p w14:paraId="06AB5D27" w14:textId="21153F27" w:rsidR="00D41518" w:rsidRPr="001C3CC7" w:rsidRDefault="002246D6" w:rsidP="00151525">
            <w:pPr>
              <w:keepNext/>
              <w:keepLines/>
              <w:spacing w:before="120" w:line="280" w:lineRule="atLeast"/>
              <w:jc w:val="both"/>
              <w:rPr>
                <w:rFonts w:ascii="Arial" w:hAnsi="Arial"/>
                <w:i/>
                <w:sz w:val="22"/>
                <w:szCs w:val="22"/>
              </w:rPr>
            </w:pPr>
            <w:r w:rsidRPr="001C3CC7">
              <w:rPr>
                <w:rFonts w:ascii="Arial" w:hAnsi="Arial"/>
                <w:i/>
                <w:sz w:val="22"/>
                <w:szCs w:val="22"/>
              </w:rPr>
              <w:t>Start now</w:t>
            </w:r>
          </w:p>
          <w:p w14:paraId="77214D60" w14:textId="65E0F6A3" w:rsidR="00D41518" w:rsidRPr="00CE4BAC" w:rsidRDefault="00D41518" w:rsidP="00151525">
            <w:pPr>
              <w:pStyle w:val="Rec"/>
              <w:keepNext/>
            </w:pPr>
            <w:r w:rsidRPr="00324F31">
              <w:t>The Australian, State and Territory Governments should extend the funding cycle length for psychosocial supports from a one</w:t>
            </w:r>
            <w:r w:rsidR="00B63CDC">
              <w:noBreakHyphen/>
            </w:r>
            <w:r w:rsidRPr="00324F31">
              <w:t>year term to a minimum of five years</w:t>
            </w:r>
            <w:r w:rsidR="005C4FD3" w:rsidRPr="00324F31">
              <w:t xml:space="preserve">, and ensure that the outcome for each subsequent funding cycle is known by providers at least </w:t>
            </w:r>
            <w:r w:rsidR="0077347D">
              <w:t>six</w:t>
            </w:r>
            <w:r w:rsidR="0077347D" w:rsidRPr="00324F31">
              <w:t xml:space="preserve"> </w:t>
            </w:r>
            <w:r w:rsidR="005C4FD3" w:rsidRPr="00324F31">
              <w:t>months prior to the end of the previous cycle</w:t>
            </w:r>
            <w:r w:rsidRPr="00324F31">
              <w:t>.</w:t>
            </w:r>
          </w:p>
          <w:p w14:paraId="53A247A7" w14:textId="0887A991" w:rsidR="00CE4BAC" w:rsidRPr="00324F31" w:rsidRDefault="00715DF4" w:rsidP="00151525">
            <w:pPr>
              <w:pStyle w:val="Rec"/>
              <w:keepNext/>
            </w:pPr>
            <w:r w:rsidRPr="00615774">
              <w:rPr>
                <w:rFonts w:cs="Arial"/>
                <w:szCs w:val="22"/>
              </w:rPr>
              <w:t>The Australian Government should require P</w:t>
            </w:r>
            <w:r w:rsidR="00426C3F">
              <w:rPr>
                <w:rFonts w:cs="Arial"/>
                <w:szCs w:val="22"/>
              </w:rPr>
              <w:t xml:space="preserve">rimary </w:t>
            </w:r>
            <w:r w:rsidRPr="00615774">
              <w:rPr>
                <w:rFonts w:cs="Arial"/>
                <w:szCs w:val="22"/>
              </w:rPr>
              <w:t>H</w:t>
            </w:r>
            <w:r w:rsidR="00426C3F">
              <w:rPr>
                <w:rFonts w:cs="Arial"/>
                <w:szCs w:val="22"/>
              </w:rPr>
              <w:t xml:space="preserve">ealth </w:t>
            </w:r>
            <w:r w:rsidRPr="00615774">
              <w:rPr>
                <w:rFonts w:cs="Arial"/>
                <w:szCs w:val="22"/>
              </w:rPr>
              <w:t>N</w:t>
            </w:r>
            <w:r w:rsidR="00426C3F">
              <w:rPr>
                <w:rFonts w:cs="Arial"/>
                <w:szCs w:val="22"/>
              </w:rPr>
              <w:t>etwork</w:t>
            </w:r>
            <w:r w:rsidRPr="00615774">
              <w:rPr>
                <w:rFonts w:cs="Arial"/>
                <w:szCs w:val="22"/>
              </w:rPr>
              <w:t xml:space="preserve">s </w:t>
            </w:r>
            <w:r w:rsidRPr="00715DF4">
              <w:rPr>
                <w:rFonts w:cs="Arial"/>
                <w:szCs w:val="22"/>
              </w:rPr>
              <w:t xml:space="preserve">to enter into longer-term contracts when commissioning psychosocial services, in line with the longer funding cycles that have been introduced </w:t>
            </w:r>
            <w:r w:rsidR="002448F9">
              <w:rPr>
                <w:rFonts w:cs="Arial"/>
                <w:szCs w:val="22"/>
              </w:rPr>
              <w:t xml:space="preserve">more generally </w:t>
            </w:r>
            <w:r w:rsidRPr="002448F9">
              <w:rPr>
                <w:rFonts w:cs="Arial"/>
                <w:szCs w:val="22"/>
              </w:rPr>
              <w:t xml:space="preserve">for </w:t>
            </w:r>
            <w:r w:rsidRPr="00615774">
              <w:rPr>
                <w:rFonts w:cs="Arial"/>
                <w:szCs w:val="22"/>
              </w:rPr>
              <w:t>P</w:t>
            </w:r>
            <w:r w:rsidR="00426C3F">
              <w:rPr>
                <w:rFonts w:cs="Arial"/>
                <w:szCs w:val="22"/>
              </w:rPr>
              <w:t xml:space="preserve">rimary </w:t>
            </w:r>
            <w:r w:rsidRPr="00615774">
              <w:rPr>
                <w:rFonts w:cs="Arial"/>
                <w:szCs w:val="22"/>
              </w:rPr>
              <w:t>H</w:t>
            </w:r>
            <w:r w:rsidR="00426C3F">
              <w:rPr>
                <w:rFonts w:cs="Arial"/>
                <w:szCs w:val="22"/>
              </w:rPr>
              <w:t xml:space="preserve">ealth </w:t>
            </w:r>
            <w:r w:rsidRPr="00615774">
              <w:rPr>
                <w:rFonts w:cs="Arial"/>
                <w:szCs w:val="22"/>
              </w:rPr>
              <w:t>N</w:t>
            </w:r>
            <w:r w:rsidR="00426C3F">
              <w:rPr>
                <w:rFonts w:cs="Arial"/>
                <w:szCs w:val="22"/>
              </w:rPr>
              <w:t>etwork</w:t>
            </w:r>
            <w:r w:rsidRPr="00615774">
              <w:rPr>
                <w:rFonts w:cs="Arial"/>
                <w:szCs w:val="22"/>
              </w:rPr>
              <w:t>s.</w:t>
            </w:r>
          </w:p>
        </w:tc>
      </w:tr>
      <w:tr w:rsidR="00D41518" w:rsidRPr="00D41518" w14:paraId="0A90EEB6"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0C614496" w14:textId="77777777" w:rsidR="00D41518" w:rsidRPr="00D41518" w:rsidRDefault="00D41518" w:rsidP="00151525">
            <w:pPr>
              <w:keepNext/>
              <w:keepLines/>
              <w:spacing w:line="120" w:lineRule="exact"/>
              <w:jc w:val="both"/>
              <w:rPr>
                <w:rFonts w:ascii="Arial" w:hAnsi="Arial"/>
                <w:sz w:val="20"/>
                <w:szCs w:val="20"/>
              </w:rPr>
            </w:pPr>
          </w:p>
        </w:tc>
      </w:tr>
      <w:tr w:rsidR="00D41518" w:rsidRPr="00D41518" w14:paraId="43346201" w14:textId="77777777" w:rsidTr="00462628">
        <w:tc>
          <w:tcPr>
            <w:tcW w:w="5000" w:type="pct"/>
            <w:tcBorders>
              <w:top w:val="single" w:sz="6" w:space="0" w:color="78A22F"/>
              <w:left w:val="nil"/>
              <w:bottom w:val="nil"/>
              <w:right w:val="nil"/>
            </w:tcBorders>
            <w:tcMar>
              <w:left w:w="170" w:type="dxa"/>
              <w:right w:w="170" w:type="dxa"/>
            </w:tcMar>
          </w:tcPr>
          <w:p w14:paraId="752262C7" w14:textId="77777777" w:rsidR="00D41518" w:rsidRPr="00D41518" w:rsidRDefault="00D41518" w:rsidP="00151525">
            <w:pPr>
              <w:pStyle w:val="BoxSpaceBelow"/>
            </w:pPr>
          </w:p>
        </w:tc>
      </w:tr>
    </w:tbl>
    <w:p w14:paraId="4BA0A7FD" w14:textId="77777777" w:rsidR="00D41518" w:rsidRPr="00D41518" w:rsidRDefault="00D41518" w:rsidP="00F00D75">
      <w:pPr>
        <w:pStyle w:val="BoxSpaceAbove"/>
      </w:pPr>
    </w:p>
    <w:tbl>
      <w:tblPr>
        <w:tblW w:w="5001"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90"/>
      </w:tblGrid>
      <w:tr w:rsidR="008A6F51" w:rsidRPr="005E64FD" w14:paraId="1C2E1F96" w14:textId="77777777" w:rsidTr="008A6F51">
        <w:trPr>
          <w:tblHeader/>
        </w:trPr>
        <w:tc>
          <w:tcPr>
            <w:tcW w:w="5000" w:type="pct"/>
            <w:tcBorders>
              <w:top w:val="single" w:sz="6" w:space="0" w:color="78A22F"/>
              <w:left w:val="nil"/>
              <w:bottom w:val="nil"/>
              <w:right w:val="nil"/>
            </w:tcBorders>
            <w:shd w:val="clear" w:color="auto" w:fill="auto"/>
            <w:tcMar>
              <w:left w:w="170" w:type="dxa"/>
              <w:right w:w="170" w:type="dxa"/>
            </w:tcMar>
          </w:tcPr>
          <w:p w14:paraId="6D5976C4" w14:textId="78DC6CD6" w:rsidR="008A6F51" w:rsidRPr="005E64FD" w:rsidRDefault="008A6F51" w:rsidP="005E64FD">
            <w:pPr>
              <w:pStyle w:val="RecTitle"/>
              <w:spacing w:before="120"/>
              <w:rPr>
                <w:b/>
                <w:color w:val="3B5117"/>
              </w:rPr>
            </w:pPr>
            <w:r w:rsidRPr="005E64FD">
              <w:rPr>
                <w:b/>
                <w:color w:val="3B5117"/>
              </w:rPr>
              <w:t xml:space="preserve">Action </w:t>
            </w:r>
            <w:r w:rsidR="00CA1A76" w:rsidRPr="005E64FD">
              <w:rPr>
                <w:b/>
                <w:color w:val="3B5117"/>
              </w:rPr>
              <w:t>17.</w:t>
            </w:r>
            <w:r w:rsidRPr="005E64FD">
              <w:rPr>
                <w:b/>
                <w:color w:val="3B5117"/>
              </w:rPr>
              <w:t>2</w:t>
            </w:r>
            <w:r w:rsidR="00CE7986">
              <w:rPr>
                <w:b/>
                <w:color w:val="3B5117"/>
              </w:rPr>
              <w:t> — </w:t>
            </w:r>
            <w:r w:rsidRPr="005E64FD">
              <w:rPr>
                <w:b/>
                <w:color w:val="3B5117"/>
              </w:rPr>
              <w:t>guarantee continuity of psychosocial supports</w:t>
            </w:r>
          </w:p>
        </w:tc>
      </w:tr>
      <w:tr w:rsidR="008A6F51" w:rsidRPr="00750BE2" w14:paraId="7B7980F7" w14:textId="77777777" w:rsidTr="008A6F51">
        <w:tc>
          <w:tcPr>
            <w:tcW w:w="5000" w:type="pct"/>
            <w:tcBorders>
              <w:top w:val="nil"/>
              <w:left w:val="nil"/>
              <w:bottom w:val="nil"/>
              <w:right w:val="nil"/>
            </w:tcBorders>
            <w:shd w:val="clear" w:color="auto" w:fill="F2F2F2" w:themeFill="background1" w:themeFillShade="F2"/>
            <w:tcMar>
              <w:left w:w="170" w:type="dxa"/>
              <w:right w:w="170" w:type="dxa"/>
            </w:tcMar>
          </w:tcPr>
          <w:p w14:paraId="307E8400" w14:textId="77777777" w:rsidR="008A6F51" w:rsidRPr="008F5D90" w:rsidRDefault="008A6F51" w:rsidP="00151525">
            <w:pPr>
              <w:pStyle w:val="Rec"/>
            </w:pPr>
            <w:r>
              <w:t>People with mental illness who require psychosocial supports should be able to continue accessing them, regardless of changes to the source of funding for the service.</w:t>
            </w:r>
            <w:r w:rsidRPr="008F5D90" w:rsidDel="00361BCC">
              <w:t xml:space="preserve"> </w:t>
            </w:r>
          </w:p>
          <w:p w14:paraId="009ACAEC" w14:textId="77777777" w:rsidR="008A6F51" w:rsidRPr="00151525" w:rsidRDefault="002246D6" w:rsidP="00151525">
            <w:pPr>
              <w:pStyle w:val="Rec"/>
              <w:rPr>
                <w:i/>
              </w:rPr>
            </w:pPr>
            <w:r w:rsidRPr="00151525">
              <w:rPr>
                <w:i/>
              </w:rPr>
              <w:t>Start now</w:t>
            </w:r>
          </w:p>
          <w:p w14:paraId="4D6767D2" w14:textId="5AB6C4E6" w:rsidR="008A6F51" w:rsidRDefault="008A6F51" w:rsidP="00151525">
            <w:pPr>
              <w:pStyle w:val="Rec"/>
            </w:pPr>
            <w:r>
              <w:t>People who choose to apply for the National Disability Insurance Scheme (NDIS) should continue to be supported by their current service providers during the application process</w:t>
            </w:r>
            <w:r w:rsidR="001C3CC7">
              <w:t>.</w:t>
            </w:r>
          </w:p>
          <w:p w14:paraId="1306C3F3" w14:textId="7B620BDF" w:rsidR="008A6F51" w:rsidRPr="00B34702" w:rsidRDefault="008A6F51" w:rsidP="00151525">
            <w:pPr>
              <w:pStyle w:val="Rec"/>
            </w:pPr>
            <w:r>
              <w:t>People who choose not to apply for the NDIS should be allowed to continue to access support through the National Psychosocial Support Measure, should they require it, until it has been phased out</w:t>
            </w:r>
            <w:r w:rsidR="001C3CC7">
              <w:t>.</w:t>
            </w:r>
          </w:p>
          <w:p w14:paraId="05980C5C" w14:textId="77777777" w:rsidR="008A6F51" w:rsidRPr="009558A9" w:rsidRDefault="002246D6" w:rsidP="00151525">
            <w:pPr>
              <w:pStyle w:val="Rec"/>
              <w:rPr>
                <w:i/>
              </w:rPr>
            </w:pPr>
            <w:r w:rsidRPr="002246D6">
              <w:rPr>
                <w:i/>
              </w:rPr>
              <w:t>Start later</w:t>
            </w:r>
          </w:p>
          <w:p w14:paraId="351ED90C" w14:textId="325568D5" w:rsidR="008A6F51" w:rsidRDefault="008A6F51" w:rsidP="0077347D">
            <w:pPr>
              <w:pStyle w:val="Rec"/>
            </w:pPr>
            <w:r>
              <w:t>T</w:t>
            </w:r>
            <w:r w:rsidRPr="0009126F">
              <w:t>he</w:t>
            </w:r>
            <w:r>
              <w:t xml:space="preserve"> Australian Government should evaluate</w:t>
            </w:r>
            <w:r w:rsidRPr="0009126F">
              <w:t xml:space="preserve"> the </w:t>
            </w:r>
            <w:r>
              <w:t>National Psychosocial Support Measure. Evaluation outcomes should be used to remove barriers that people with mental illness face when applying to the NDIS. When the National Psychosocial Support Measure is phased out, participants should either access support through the NDIS, if appropriate, or access the replacement psychosocial support.</w:t>
            </w:r>
          </w:p>
        </w:tc>
      </w:tr>
      <w:tr w:rsidR="008A6F51" w14:paraId="0D65C894"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7F557B3D" w14:textId="77777777" w:rsidR="008A6F51" w:rsidRDefault="008A6F51" w:rsidP="000770EE">
            <w:pPr>
              <w:pStyle w:val="Space"/>
              <w:keepLines/>
            </w:pPr>
          </w:p>
        </w:tc>
      </w:tr>
      <w:tr w:rsidR="008A6F51" w:rsidRPr="000863A5" w14:paraId="039D7983" w14:textId="77777777" w:rsidTr="008A6F51">
        <w:tc>
          <w:tcPr>
            <w:tcW w:w="5000" w:type="pct"/>
            <w:tcBorders>
              <w:top w:val="single" w:sz="6" w:space="0" w:color="78A22F"/>
              <w:left w:val="nil"/>
              <w:bottom w:val="nil"/>
              <w:right w:val="nil"/>
            </w:tcBorders>
          </w:tcPr>
          <w:p w14:paraId="14CC7B28" w14:textId="77777777" w:rsidR="008A6F51" w:rsidRPr="00626D32" w:rsidRDefault="008A6F51" w:rsidP="000770EE">
            <w:pPr>
              <w:pStyle w:val="BoxSpaceBelow"/>
              <w:keepLines/>
            </w:pPr>
          </w:p>
        </w:tc>
      </w:tr>
    </w:tbl>
    <w:p w14:paraId="7EC1E38B" w14:textId="77777777" w:rsidR="00CE4BAC" w:rsidRDefault="00CE4BAC" w:rsidP="00CE4BA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CE4BAC" w:rsidRPr="005E64FD" w14:paraId="03432936" w14:textId="77777777" w:rsidTr="00A8238A">
        <w:trPr>
          <w:tblHeader/>
        </w:trPr>
        <w:tc>
          <w:tcPr>
            <w:tcW w:w="5000" w:type="pct"/>
            <w:tcBorders>
              <w:top w:val="single" w:sz="6" w:space="0" w:color="78A22F"/>
              <w:left w:val="nil"/>
              <w:bottom w:val="nil"/>
              <w:right w:val="nil"/>
            </w:tcBorders>
            <w:shd w:val="clear" w:color="auto" w:fill="auto"/>
            <w:tcMar>
              <w:left w:w="170" w:type="dxa"/>
              <w:right w:w="170" w:type="dxa"/>
            </w:tcMar>
          </w:tcPr>
          <w:p w14:paraId="6F43488D" w14:textId="5FBDB06A" w:rsidR="00CE4BAC" w:rsidRPr="005E64FD" w:rsidRDefault="008A6F51" w:rsidP="00F5521E">
            <w:pPr>
              <w:pStyle w:val="RecTitle"/>
              <w:spacing w:before="120"/>
              <w:rPr>
                <w:b/>
                <w:color w:val="3B5117"/>
              </w:rPr>
            </w:pPr>
            <w:r w:rsidRPr="005E64FD">
              <w:rPr>
                <w:b/>
                <w:color w:val="3B5117"/>
              </w:rPr>
              <w:t xml:space="preserve">action </w:t>
            </w:r>
            <w:r w:rsidR="00CA1A76" w:rsidRPr="005E64FD">
              <w:rPr>
                <w:b/>
                <w:color w:val="3B5117"/>
              </w:rPr>
              <w:t>17</w:t>
            </w:r>
            <w:r w:rsidR="00CE4BAC" w:rsidRPr="005E64FD">
              <w:rPr>
                <w:b/>
                <w:color w:val="3B5117"/>
              </w:rPr>
              <w:t>.</w:t>
            </w:r>
            <w:r w:rsidR="00F5521E">
              <w:rPr>
                <w:b/>
                <w:color w:val="3B5117"/>
              </w:rPr>
              <w:t>3</w:t>
            </w:r>
            <w:r w:rsidR="00CE7986">
              <w:rPr>
                <w:b/>
                <w:color w:val="3B5117"/>
              </w:rPr>
              <w:t> — </w:t>
            </w:r>
            <w:r w:rsidR="00CE4BAC" w:rsidRPr="005E64FD">
              <w:rPr>
                <w:b/>
                <w:color w:val="3B5117"/>
              </w:rPr>
              <w:t>Meet unmet demand for psychosocial supports</w:t>
            </w:r>
          </w:p>
        </w:tc>
      </w:tr>
      <w:tr w:rsidR="00CE4BAC" w:rsidRPr="00750BE2" w14:paraId="2D75CDAE" w14:textId="77777777" w:rsidTr="00A8238A">
        <w:tc>
          <w:tcPr>
            <w:tcW w:w="5000" w:type="pct"/>
            <w:tcBorders>
              <w:top w:val="nil"/>
              <w:left w:val="nil"/>
              <w:bottom w:val="nil"/>
              <w:right w:val="nil"/>
            </w:tcBorders>
            <w:shd w:val="clear" w:color="auto" w:fill="F2F2F2" w:themeFill="background1" w:themeFillShade="F2"/>
            <w:tcMar>
              <w:left w:w="170" w:type="dxa"/>
              <w:right w:w="170" w:type="dxa"/>
            </w:tcMar>
          </w:tcPr>
          <w:p w14:paraId="7A093C1E" w14:textId="77777777" w:rsidR="002B538C" w:rsidRDefault="002B538C" w:rsidP="002B538C">
            <w:pPr>
              <w:pStyle w:val="Rec"/>
              <w:keepNext/>
            </w:pPr>
            <w:r>
              <w:t>All people who have psychosocial needs arising from mental ill</w:t>
            </w:r>
            <w:r>
              <w:noBreakHyphen/>
              <w:t>health should have access to adequate psychosocial support.</w:t>
            </w:r>
          </w:p>
          <w:p w14:paraId="4F54524B" w14:textId="77777777" w:rsidR="002B538C" w:rsidRPr="009558A9" w:rsidRDefault="002B538C" w:rsidP="002B538C">
            <w:pPr>
              <w:pStyle w:val="Rec"/>
              <w:tabs>
                <w:tab w:val="center" w:pos="4224"/>
              </w:tabs>
              <w:rPr>
                <w:i/>
              </w:rPr>
            </w:pPr>
            <w:r>
              <w:rPr>
                <w:i/>
              </w:rPr>
              <w:t>Start now</w:t>
            </w:r>
          </w:p>
          <w:p w14:paraId="70E5E9C6" w14:textId="77777777" w:rsidR="002B538C" w:rsidRPr="00671EE6" w:rsidRDefault="002B538C" w:rsidP="002B538C">
            <w:pPr>
              <w:pStyle w:val="RecBullet"/>
            </w:pPr>
            <w:r>
              <w:t>Access</w:t>
            </w:r>
            <w:r w:rsidRPr="00124BF9">
              <w:t xml:space="preserve"> criteria for psychosocial supports</w:t>
            </w:r>
            <w:r>
              <w:t xml:space="preserve"> should be adjusted</w:t>
            </w:r>
            <w:r w:rsidRPr="00124BF9">
              <w:t xml:space="preserve"> such that potential participants </w:t>
            </w:r>
            <w:r>
              <w:t>would</w:t>
            </w:r>
            <w:r w:rsidRPr="00124BF9">
              <w:t xml:space="preserve"> not </w:t>
            </w:r>
            <w:r>
              <w:t xml:space="preserve">be </w:t>
            </w:r>
            <w:r w:rsidRPr="00124BF9">
              <w:t>required to have a diagnosis</w:t>
            </w:r>
            <w:r>
              <w:t xml:space="preserve"> of mental illness before</w:t>
            </w:r>
            <w:r w:rsidRPr="00124BF9">
              <w:t xml:space="preserve"> </w:t>
            </w:r>
            <w:r>
              <w:t>approaching a</w:t>
            </w:r>
            <w:r w:rsidRPr="00124BF9">
              <w:t xml:space="preserve"> service</w:t>
            </w:r>
            <w:r>
              <w:t>.</w:t>
            </w:r>
            <w:r w:rsidRPr="00124BF9">
              <w:t xml:space="preserve"> </w:t>
            </w:r>
            <w:r>
              <w:t>However, an</w:t>
            </w:r>
            <w:r w:rsidRPr="00124BF9">
              <w:t xml:space="preserve"> initial functional assessment </w:t>
            </w:r>
            <w:r>
              <w:t xml:space="preserve">must be undertaken by the service </w:t>
            </w:r>
            <w:r w:rsidRPr="00124BF9">
              <w:t xml:space="preserve">to determine </w:t>
            </w:r>
            <w:r>
              <w:t>the individual’s</w:t>
            </w:r>
            <w:r w:rsidRPr="00124BF9">
              <w:t xml:space="preserve"> psychosocial needs </w:t>
            </w:r>
            <w:r>
              <w:t>and the level of support required.</w:t>
            </w:r>
          </w:p>
          <w:p w14:paraId="3F464BAA" w14:textId="77777777" w:rsidR="002B538C" w:rsidRPr="000C679A" w:rsidRDefault="002B538C" w:rsidP="00291482">
            <w:pPr>
              <w:pStyle w:val="BoxListBullet2"/>
              <w:tabs>
                <w:tab w:val="clear" w:pos="567"/>
              </w:tabs>
              <w:ind w:left="624"/>
            </w:pPr>
            <w:r w:rsidRPr="000C679A">
              <w:t xml:space="preserve">Where the information provided by the participant and the </w:t>
            </w:r>
            <w:r>
              <w:t xml:space="preserve">functional </w:t>
            </w:r>
            <w:r w:rsidRPr="000C679A">
              <w:t xml:space="preserve">assessment indicate that the need for psychosocial support arises from a mental illness, the provider should work with the participant to facilitate their </w:t>
            </w:r>
            <w:r>
              <w:t xml:space="preserve">timely </w:t>
            </w:r>
            <w:r w:rsidRPr="000C679A">
              <w:t>access to a clinical assessment</w:t>
            </w:r>
            <w:r>
              <w:t xml:space="preserve"> and any necessary clinical intervention</w:t>
            </w:r>
            <w:r w:rsidRPr="000C679A">
              <w:t>.</w:t>
            </w:r>
          </w:p>
          <w:p w14:paraId="52F7D59E" w14:textId="77777777" w:rsidR="00392CCB" w:rsidRDefault="00392CCB" w:rsidP="00392CCB">
            <w:pPr>
              <w:pStyle w:val="RecBullet"/>
            </w:pPr>
            <w:r w:rsidRPr="00392CCB">
              <w:t xml:space="preserve">The shortfall in the provision of psychosocial supports outside of the National Disability Insurance Scheme should be estimated and published at both State and Territory and regional levels. </w:t>
            </w:r>
          </w:p>
          <w:p w14:paraId="352F9718" w14:textId="1550CF4B" w:rsidR="009F1F8D" w:rsidRDefault="009F1F8D" w:rsidP="00392CCB">
            <w:pPr>
              <w:pStyle w:val="RecBullet"/>
            </w:pPr>
            <w:r w:rsidRPr="009F1F8D">
              <w:t xml:space="preserve">State and Territory Governments should continue working with the National Disability Insurance Agency to clarify the interface between the mainstream mental health system and the </w:t>
            </w:r>
            <w:r w:rsidR="00B63CDC" w:rsidRPr="00392CCB">
              <w:t>National Disability Insurance Scheme</w:t>
            </w:r>
            <w:r w:rsidRPr="009F1F8D">
              <w:t>.</w:t>
            </w:r>
          </w:p>
          <w:p w14:paraId="2E3FE84B" w14:textId="77777777" w:rsidR="002B538C" w:rsidRPr="009558A9" w:rsidRDefault="002B538C" w:rsidP="002B538C">
            <w:pPr>
              <w:pStyle w:val="Rec"/>
              <w:tabs>
                <w:tab w:val="center" w:pos="4224"/>
              </w:tabs>
              <w:rPr>
                <w:i/>
              </w:rPr>
            </w:pPr>
            <w:r>
              <w:rPr>
                <w:i/>
              </w:rPr>
              <w:t>Start later</w:t>
            </w:r>
          </w:p>
          <w:p w14:paraId="64BF563E" w14:textId="77777777" w:rsidR="002B538C" w:rsidRDefault="002B538C" w:rsidP="002B538C">
            <w:pPr>
              <w:pStyle w:val="RecBullet"/>
            </w:pPr>
            <w:r>
              <w:t xml:space="preserve">State and Territory Governments, with support from the Australian Government, should, over time, increase the quantum of funding allocated to psychosocial supports to meet the estimated shortfall. </w:t>
            </w:r>
          </w:p>
          <w:p w14:paraId="1B5C6FED" w14:textId="4D9E0EE2" w:rsidR="002B538C" w:rsidRPr="00984D43" w:rsidRDefault="002B538C" w:rsidP="002B538C">
            <w:pPr>
              <w:pStyle w:val="RecBullet"/>
            </w:pPr>
            <w:r>
              <w:t>The demand for psychosocial support services by people with mental illness in a region should be estimated as a component of integrated regional planning.</w:t>
            </w:r>
          </w:p>
          <w:p w14:paraId="35AF9F0F" w14:textId="443EA40D" w:rsidR="001F23C2" w:rsidRDefault="002B538C" w:rsidP="002B538C">
            <w:pPr>
              <w:pStyle w:val="RecBullet"/>
            </w:pPr>
            <w:r w:rsidRPr="00B27FFB">
              <w:t>Psychosocial support services should provide data to their regional commissioning body on the number and nature of functional assessments they have undertaken of individuals receiving their support services.</w:t>
            </w:r>
          </w:p>
        </w:tc>
      </w:tr>
      <w:tr w:rsidR="00CE4BAC" w14:paraId="58947C4B"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1B604DC7" w14:textId="77777777" w:rsidR="00CE4BAC" w:rsidRDefault="00CE4BAC" w:rsidP="00A8238A">
            <w:pPr>
              <w:pStyle w:val="Space"/>
              <w:keepLines/>
            </w:pPr>
          </w:p>
        </w:tc>
      </w:tr>
      <w:tr w:rsidR="00CE4BAC" w:rsidRPr="000863A5" w14:paraId="3AEAE029" w14:textId="77777777" w:rsidTr="00A8238A">
        <w:tc>
          <w:tcPr>
            <w:tcW w:w="5000" w:type="pct"/>
            <w:tcBorders>
              <w:top w:val="single" w:sz="6" w:space="0" w:color="78A22F"/>
              <w:left w:val="nil"/>
              <w:bottom w:val="nil"/>
              <w:right w:val="nil"/>
            </w:tcBorders>
          </w:tcPr>
          <w:p w14:paraId="53714181" w14:textId="77777777" w:rsidR="00CE4BAC" w:rsidRPr="00626D32" w:rsidRDefault="00CE4BAC" w:rsidP="00A8238A">
            <w:pPr>
              <w:pStyle w:val="BoxSpaceBelow"/>
              <w:keepLines/>
            </w:pPr>
          </w:p>
        </w:tc>
      </w:tr>
    </w:tbl>
    <w:p w14:paraId="45A55D79" w14:textId="3BE6BF8F" w:rsidR="00582093" w:rsidRDefault="00CE1144" w:rsidP="00C56499">
      <w:pPr>
        <w:pStyle w:val="Heading3"/>
        <w:pageBreakBefore/>
        <w:spacing w:before="240"/>
      </w:pPr>
      <w:r>
        <w:lastRenderedPageBreak/>
        <w:t>Carers and families</w:t>
      </w:r>
    </w:p>
    <w:p w14:paraId="73FFB462" w14:textId="38B4107D" w:rsidR="002F13D3" w:rsidRPr="002F13D3" w:rsidRDefault="002F13D3" w:rsidP="002F13D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2F13D3" w:rsidRPr="005E64FD" w14:paraId="37E81711" w14:textId="77777777" w:rsidTr="00010889">
        <w:trPr>
          <w:tblHeader/>
        </w:trPr>
        <w:tc>
          <w:tcPr>
            <w:tcW w:w="5000" w:type="pct"/>
            <w:tcBorders>
              <w:top w:val="single" w:sz="6" w:space="0" w:color="78A22F"/>
              <w:left w:val="nil"/>
              <w:bottom w:val="nil"/>
              <w:right w:val="nil"/>
            </w:tcBorders>
            <w:shd w:val="clear" w:color="auto" w:fill="auto"/>
            <w:tcMar>
              <w:left w:w="170" w:type="dxa"/>
              <w:right w:w="170" w:type="dxa"/>
            </w:tcMar>
          </w:tcPr>
          <w:p w14:paraId="33B8141B" w14:textId="439E9279" w:rsidR="002F13D3" w:rsidRPr="005E64FD" w:rsidRDefault="000E5201" w:rsidP="005E64FD">
            <w:pPr>
              <w:pStyle w:val="RecTitle"/>
              <w:spacing w:before="120"/>
              <w:rPr>
                <w:b/>
                <w:color w:val="3B5117"/>
              </w:rPr>
            </w:pPr>
            <w:r w:rsidRPr="005E64FD">
              <w:rPr>
                <w:b/>
                <w:color w:val="3B5117"/>
              </w:rPr>
              <w:t xml:space="preserve">ACtion </w:t>
            </w:r>
            <w:r w:rsidR="00010889" w:rsidRPr="005E64FD">
              <w:rPr>
                <w:b/>
                <w:color w:val="3B5117"/>
              </w:rPr>
              <w:t>1</w:t>
            </w:r>
            <w:r w:rsidR="00CA1A76" w:rsidRPr="005E64FD">
              <w:rPr>
                <w:b/>
                <w:color w:val="3B5117"/>
              </w:rPr>
              <w:t>8</w:t>
            </w:r>
            <w:r w:rsidR="00010889" w:rsidRPr="005E64FD">
              <w:rPr>
                <w:b/>
                <w:color w:val="3B5117"/>
              </w:rPr>
              <w:t>.1</w:t>
            </w:r>
            <w:r w:rsidR="00CE7986">
              <w:rPr>
                <w:b/>
                <w:color w:val="3B5117"/>
              </w:rPr>
              <w:t> — </w:t>
            </w:r>
            <w:r w:rsidR="002F13D3" w:rsidRPr="005E64FD">
              <w:rPr>
                <w:b/>
                <w:color w:val="3B5117"/>
              </w:rPr>
              <w:t>Family</w:t>
            </w:r>
            <w:r w:rsidR="002F13D3" w:rsidRPr="005E64FD">
              <w:rPr>
                <w:b/>
                <w:color w:val="3B5117"/>
              </w:rPr>
              <w:noBreakHyphen/>
              <w:t xml:space="preserve"> and carer</w:t>
            </w:r>
            <w:r w:rsidR="002F13D3" w:rsidRPr="005E64FD">
              <w:rPr>
                <w:b/>
                <w:color w:val="3B5117"/>
              </w:rPr>
              <w:noBreakHyphen/>
              <w:t>inclusive practice</w:t>
            </w:r>
            <w:r w:rsidR="002B538C">
              <w:rPr>
                <w:b/>
                <w:color w:val="3B5117"/>
              </w:rPr>
              <w:t>s</w:t>
            </w:r>
          </w:p>
        </w:tc>
      </w:tr>
      <w:tr w:rsidR="002F13D3" w:rsidRPr="002F13D3" w14:paraId="08D9FD83" w14:textId="77777777" w:rsidTr="002F13D3">
        <w:tc>
          <w:tcPr>
            <w:tcW w:w="5000" w:type="pct"/>
            <w:tcBorders>
              <w:top w:val="nil"/>
              <w:left w:val="nil"/>
              <w:bottom w:val="nil"/>
              <w:right w:val="nil"/>
            </w:tcBorders>
            <w:shd w:val="clear" w:color="auto" w:fill="F2F2F2"/>
            <w:tcMar>
              <w:left w:w="170" w:type="dxa"/>
              <w:right w:w="170" w:type="dxa"/>
            </w:tcMar>
          </w:tcPr>
          <w:p w14:paraId="5DC9B70C" w14:textId="77777777" w:rsidR="00B44201" w:rsidRPr="001D5B43" w:rsidRDefault="00B44201" w:rsidP="00B44201">
            <w:pPr>
              <w:keepNext/>
              <w:keepLines/>
              <w:spacing w:before="120" w:line="280" w:lineRule="atLeast"/>
              <w:rPr>
                <w:rFonts w:ascii="Arial" w:hAnsi="Arial"/>
                <w:sz w:val="22"/>
                <w:szCs w:val="20"/>
              </w:rPr>
            </w:pPr>
            <w:r w:rsidRPr="001D5B43">
              <w:rPr>
                <w:rFonts w:ascii="Arial" w:hAnsi="Arial"/>
                <w:sz w:val="22"/>
                <w:szCs w:val="20"/>
              </w:rPr>
              <w:t>Family</w:t>
            </w:r>
            <w:r>
              <w:rPr>
                <w:rFonts w:ascii="Arial" w:hAnsi="Arial"/>
                <w:sz w:val="22"/>
                <w:szCs w:val="20"/>
              </w:rPr>
              <w:noBreakHyphen/>
            </w:r>
            <w:r w:rsidRPr="001D5B43">
              <w:rPr>
                <w:rFonts w:ascii="Arial" w:hAnsi="Arial"/>
                <w:sz w:val="22"/>
                <w:szCs w:val="20"/>
              </w:rPr>
              <w:t xml:space="preserve"> and carer</w:t>
            </w:r>
            <w:r>
              <w:rPr>
                <w:rFonts w:ascii="Arial" w:hAnsi="Arial"/>
                <w:sz w:val="22"/>
                <w:szCs w:val="20"/>
              </w:rPr>
              <w:noBreakHyphen/>
            </w:r>
            <w:r w:rsidRPr="001D5B43">
              <w:rPr>
                <w:rFonts w:ascii="Arial" w:hAnsi="Arial"/>
                <w:sz w:val="22"/>
                <w:szCs w:val="20"/>
              </w:rPr>
              <w:t xml:space="preserve">inclusive </w:t>
            </w:r>
            <w:r>
              <w:rPr>
                <w:rFonts w:ascii="Arial" w:hAnsi="Arial"/>
                <w:sz w:val="22"/>
                <w:szCs w:val="20"/>
              </w:rPr>
              <w:t>practices require</w:t>
            </w:r>
            <w:r w:rsidRPr="001D5B43">
              <w:rPr>
                <w:rFonts w:ascii="Arial" w:hAnsi="Arial"/>
                <w:sz w:val="22"/>
                <w:szCs w:val="20"/>
              </w:rPr>
              <w:t xml:space="preserve"> mental health services to consider family members’ and carers’ needs</w:t>
            </w:r>
            <w:r>
              <w:rPr>
                <w:rFonts w:ascii="Arial" w:hAnsi="Arial"/>
                <w:sz w:val="22"/>
                <w:szCs w:val="20"/>
              </w:rPr>
              <w:t>,</w:t>
            </w:r>
            <w:r w:rsidRPr="001D5B43">
              <w:rPr>
                <w:rFonts w:ascii="Arial" w:hAnsi="Arial"/>
                <w:sz w:val="22"/>
                <w:szCs w:val="20"/>
              </w:rPr>
              <w:t xml:space="preserve"> and their role in contributing to the </w:t>
            </w:r>
            <w:r>
              <w:rPr>
                <w:rFonts w:ascii="Arial" w:hAnsi="Arial"/>
                <w:sz w:val="22"/>
                <w:szCs w:val="20"/>
              </w:rPr>
              <w:t>recovery of individuals with mental illness. This includes</w:t>
            </w:r>
            <w:r w:rsidRPr="00B74162">
              <w:rPr>
                <w:rFonts w:ascii="Arial" w:hAnsi="Arial"/>
                <w:sz w:val="22"/>
                <w:szCs w:val="20"/>
              </w:rPr>
              <w:t xml:space="preserve"> </w:t>
            </w:r>
            <w:r>
              <w:rPr>
                <w:rFonts w:ascii="Arial" w:hAnsi="Arial"/>
                <w:sz w:val="22"/>
                <w:szCs w:val="20"/>
              </w:rPr>
              <w:t xml:space="preserve">children in families affected by </w:t>
            </w:r>
            <w:r w:rsidRPr="00B74162">
              <w:rPr>
                <w:rFonts w:ascii="Arial" w:hAnsi="Arial"/>
                <w:sz w:val="22"/>
                <w:szCs w:val="20"/>
              </w:rPr>
              <w:t>mental illness</w:t>
            </w:r>
            <w:r w:rsidRPr="001D5B43">
              <w:rPr>
                <w:rFonts w:ascii="Arial" w:hAnsi="Arial"/>
                <w:sz w:val="22"/>
                <w:szCs w:val="20"/>
              </w:rPr>
              <w:t xml:space="preserve">. </w:t>
            </w:r>
          </w:p>
          <w:p w14:paraId="1E803954" w14:textId="604D3ADA" w:rsidR="00B44201" w:rsidRPr="009558A9" w:rsidRDefault="00B44201" w:rsidP="00B44201">
            <w:pPr>
              <w:pStyle w:val="Rec"/>
              <w:rPr>
                <w:i/>
              </w:rPr>
            </w:pPr>
            <w:r>
              <w:rPr>
                <w:i/>
              </w:rPr>
              <w:t>Start now</w:t>
            </w:r>
          </w:p>
          <w:p w14:paraId="3824098F" w14:textId="193DEC43" w:rsidR="00B44201" w:rsidRDefault="00B44201" w:rsidP="00B44201">
            <w:pPr>
              <w:pStyle w:val="RecBullet"/>
            </w:pPr>
            <w:r w:rsidRPr="001359D3">
              <w:t xml:space="preserve">Where this is not already occurring, </w:t>
            </w:r>
            <w:r>
              <w:t>s</w:t>
            </w:r>
            <w:r w:rsidRPr="00D01290">
              <w:t xml:space="preserve">tate and </w:t>
            </w:r>
            <w:r>
              <w:t>t</w:t>
            </w:r>
            <w:r w:rsidRPr="00D01290">
              <w:t xml:space="preserve">erritory </w:t>
            </w:r>
            <w:r>
              <w:t xml:space="preserve">community and inpatient </w:t>
            </w:r>
            <w:r w:rsidRPr="00D01290">
              <w:t>mental health</w:t>
            </w:r>
            <w:r>
              <w:t xml:space="preserve">care </w:t>
            </w:r>
            <w:r w:rsidRPr="00D01290">
              <w:t>services should routinely collect responses to the Carer Experience Survey. The data collect</w:t>
            </w:r>
            <w:r>
              <w:t xml:space="preserve">ed should be sufficient to enable </w:t>
            </w:r>
            <w:r w:rsidRPr="00427693">
              <w:t>benchmarking and to provide services with evidence of their compliance against the related sections of</w:t>
            </w:r>
            <w:r>
              <w:t xml:space="preserve"> the National Standards for Mental Health Services and the National Safety and Quality Health Service Standards.</w:t>
            </w:r>
          </w:p>
          <w:p w14:paraId="598F75B6" w14:textId="77777777" w:rsidR="00B44201" w:rsidRPr="002F13D3" w:rsidRDefault="00B44201" w:rsidP="00B44201">
            <w:pPr>
              <w:pStyle w:val="RecBullet"/>
              <w:rPr>
                <w:szCs w:val="22"/>
              </w:rPr>
            </w:pPr>
            <w:r w:rsidRPr="002F13D3">
              <w:rPr>
                <w:szCs w:val="22"/>
              </w:rPr>
              <w:t xml:space="preserve">The Australian Institute of Health and Welfare should use the data to report </w:t>
            </w:r>
            <w:r>
              <w:rPr>
                <w:szCs w:val="22"/>
              </w:rPr>
              <w:t>annually</w:t>
            </w:r>
            <w:r w:rsidRPr="002F13D3">
              <w:rPr>
                <w:szCs w:val="22"/>
              </w:rPr>
              <w:t xml:space="preserve"> on survey collection rates and </w:t>
            </w:r>
            <w:r>
              <w:rPr>
                <w:szCs w:val="22"/>
              </w:rPr>
              <w:t>carer experiences</w:t>
            </w:r>
            <w:r w:rsidRPr="002F13D3">
              <w:rPr>
                <w:szCs w:val="22"/>
              </w:rPr>
              <w:t xml:space="preserve"> at the </w:t>
            </w:r>
            <w:r>
              <w:rPr>
                <w:szCs w:val="22"/>
              </w:rPr>
              <w:t>regional</w:t>
            </w:r>
            <w:r w:rsidRPr="002F13D3">
              <w:rPr>
                <w:szCs w:val="22"/>
              </w:rPr>
              <w:t xml:space="preserve"> level.</w:t>
            </w:r>
          </w:p>
          <w:p w14:paraId="7279D326" w14:textId="124E2AE6" w:rsidR="00B44201" w:rsidRDefault="00B44201" w:rsidP="00B44201">
            <w:pPr>
              <w:pStyle w:val="RecBullet"/>
            </w:pPr>
            <w:r w:rsidRPr="00D01290">
              <w:t xml:space="preserve">The Australian Government should amend the </w:t>
            </w:r>
            <w:r w:rsidRPr="002F13D3">
              <w:t>M</w:t>
            </w:r>
            <w:r>
              <w:t xml:space="preserve">edicare </w:t>
            </w:r>
            <w:r w:rsidRPr="002F13D3">
              <w:t>B</w:t>
            </w:r>
            <w:r>
              <w:t xml:space="preserve">enefits </w:t>
            </w:r>
            <w:r w:rsidRPr="002F13D3">
              <w:t>S</w:t>
            </w:r>
            <w:r>
              <w:t>chedule</w:t>
            </w:r>
            <w:r w:rsidRPr="002F13D3">
              <w:t xml:space="preserve"> </w:t>
            </w:r>
            <w:r w:rsidRPr="00D01290">
              <w:t>so that</w:t>
            </w:r>
            <w:r>
              <w:t xml:space="preserve"> family interventions provided by psychologists and other allied mental health professionals are rebated.</w:t>
            </w:r>
          </w:p>
          <w:p w14:paraId="46A64D2B" w14:textId="77777777" w:rsidR="00B44201" w:rsidRPr="00112630" w:rsidRDefault="00B44201" w:rsidP="00291482">
            <w:pPr>
              <w:pStyle w:val="BoxListBullet2"/>
              <w:tabs>
                <w:tab w:val="clear" w:pos="567"/>
              </w:tabs>
              <w:ind w:left="680" w:hanging="340"/>
            </w:pPr>
            <w:r w:rsidRPr="00112630">
              <w:t>Family and carer consultations with the consumer present should count towards session limits for psychological therapy.</w:t>
            </w:r>
          </w:p>
          <w:p w14:paraId="74EB47E7" w14:textId="0EA05E2A" w:rsidR="00B44201" w:rsidRPr="00112630" w:rsidRDefault="00B44201" w:rsidP="00291482">
            <w:pPr>
              <w:pStyle w:val="BoxListBullet2"/>
              <w:tabs>
                <w:tab w:val="clear" w:pos="567"/>
              </w:tabs>
              <w:ind w:left="680" w:hanging="340"/>
            </w:pPr>
            <w:r w:rsidRPr="00112630">
              <w:t>Family and carer consultations without the consumer present should be limited to four per 12 month period.</w:t>
            </w:r>
          </w:p>
          <w:p w14:paraId="01326E98" w14:textId="77777777" w:rsidR="00B44201" w:rsidRPr="00FF54E1" w:rsidRDefault="00B44201" w:rsidP="00B44201">
            <w:pPr>
              <w:pStyle w:val="RecBullet"/>
            </w:pPr>
            <w:r w:rsidRPr="007715B3">
              <w:t>State and Territory Governments</w:t>
            </w:r>
            <w:r w:rsidRPr="00DE068C">
              <w:t xml:space="preserve"> s</w:t>
            </w:r>
            <w:r w:rsidRPr="00FF54E1">
              <w:t>hould</w:t>
            </w:r>
            <w:r>
              <w:t>, over time,</w:t>
            </w:r>
            <w:r w:rsidRPr="002F13D3">
              <w:t xml:space="preserve"> </w:t>
            </w:r>
            <w:r>
              <w:t>work towards ensuring</w:t>
            </w:r>
            <w:r w:rsidRPr="00FF54E1">
              <w:t xml:space="preserve"> </w:t>
            </w:r>
            <w:r>
              <w:t>the workforce capacity exists</w:t>
            </w:r>
            <w:r w:rsidRPr="00FF54E1">
              <w:t xml:space="preserve"> </w:t>
            </w:r>
            <w:r>
              <w:t xml:space="preserve">in each region </w:t>
            </w:r>
            <w:r w:rsidRPr="00FF54E1">
              <w:t>to implement family</w:t>
            </w:r>
            <w:r>
              <w:noBreakHyphen/>
            </w:r>
            <w:r w:rsidRPr="00FF54E1">
              <w:t xml:space="preserve"> and carer</w:t>
            </w:r>
            <w:r>
              <w:noBreakHyphen/>
            </w:r>
            <w:r w:rsidRPr="00FF54E1">
              <w:t>inclusive practice</w:t>
            </w:r>
            <w:r>
              <w:t>s</w:t>
            </w:r>
            <w:r w:rsidRPr="00FF54E1">
              <w:t xml:space="preserve"> within </w:t>
            </w:r>
            <w:r>
              <w:t>S</w:t>
            </w:r>
            <w:r w:rsidRPr="00D01290">
              <w:t xml:space="preserve">tate and </w:t>
            </w:r>
            <w:r>
              <w:t xml:space="preserve">Territory community and inpatient </w:t>
            </w:r>
            <w:r w:rsidRPr="00D01290">
              <w:t>mental health</w:t>
            </w:r>
            <w:r>
              <w:t xml:space="preserve">care </w:t>
            </w:r>
            <w:r w:rsidRPr="00D01290">
              <w:t>services</w:t>
            </w:r>
            <w:r w:rsidRPr="00FF54E1">
              <w:t>. The</w:t>
            </w:r>
            <w:r>
              <w:t xml:space="preserve">se </w:t>
            </w:r>
            <w:r w:rsidRPr="00F768AE">
              <w:t>services should identif</w:t>
            </w:r>
            <w:r>
              <w:t>y</w:t>
            </w:r>
            <w:r w:rsidRPr="00F768AE">
              <w:t xml:space="preserve"> people with responsibility for</w:t>
            </w:r>
            <w:r w:rsidRPr="00FF54E1">
              <w:t>:</w:t>
            </w:r>
          </w:p>
          <w:p w14:paraId="06C9727F" w14:textId="77777777" w:rsidR="00B44201" w:rsidRPr="00112630" w:rsidRDefault="00B44201" w:rsidP="00291482">
            <w:pPr>
              <w:pStyle w:val="BoxListBullet2"/>
              <w:tabs>
                <w:tab w:val="clear" w:pos="567"/>
              </w:tabs>
              <w:ind w:left="680" w:hanging="340"/>
            </w:pPr>
            <w:r w:rsidRPr="00112630">
              <w:t>supporting family and carer participation in co</w:t>
            </w:r>
            <w:r w:rsidRPr="00112630">
              <w:noBreakHyphen/>
              <w:t>design and service improvement processes</w:t>
            </w:r>
          </w:p>
          <w:p w14:paraId="793A2B3B" w14:textId="77777777" w:rsidR="00B44201" w:rsidRPr="00112630" w:rsidRDefault="00B44201" w:rsidP="00291482">
            <w:pPr>
              <w:pStyle w:val="BoxListBullet2"/>
              <w:tabs>
                <w:tab w:val="clear" w:pos="567"/>
              </w:tabs>
              <w:ind w:left="680" w:hanging="340"/>
            </w:pPr>
            <w:r w:rsidRPr="00112630">
              <w:t>providing and supervising carer peer work within mental healthcare services</w:t>
            </w:r>
          </w:p>
          <w:p w14:paraId="47996B82" w14:textId="77777777" w:rsidR="00B44201" w:rsidRPr="00112630" w:rsidRDefault="00B44201" w:rsidP="00291482">
            <w:pPr>
              <w:pStyle w:val="BoxListBullet2"/>
              <w:tabs>
                <w:tab w:val="clear" w:pos="567"/>
              </w:tabs>
              <w:ind w:left="680" w:hanging="340"/>
            </w:pPr>
            <w:r w:rsidRPr="00112630">
              <w:t>providing advice to clinicians and managers about how to improve family</w:t>
            </w:r>
            <w:r w:rsidRPr="00112630">
              <w:noBreakHyphen/>
              <w:t xml:space="preserve"> and carer</w:t>
            </w:r>
            <w:r w:rsidRPr="00112630">
              <w:noBreakHyphen/>
              <w:t>inclusive practices</w:t>
            </w:r>
          </w:p>
          <w:p w14:paraId="29CD6AA2" w14:textId="77777777" w:rsidR="00B44201" w:rsidRDefault="00B44201" w:rsidP="00291482">
            <w:pPr>
              <w:pStyle w:val="BoxListBullet2"/>
              <w:tabs>
                <w:tab w:val="clear" w:pos="567"/>
              </w:tabs>
              <w:ind w:left="680" w:hanging="340"/>
            </w:pPr>
            <w:r w:rsidRPr="00112630">
              <w:t>facilitating training opportunities to improve family</w:t>
            </w:r>
            <w:r w:rsidRPr="00112630">
              <w:noBreakHyphen/>
              <w:t xml:space="preserve"> and carer</w:t>
            </w:r>
            <w:r w:rsidRPr="00112630">
              <w:noBreakHyphen/>
              <w:t>inclusive practices</w:t>
            </w:r>
          </w:p>
          <w:p w14:paraId="14B1ECE6" w14:textId="01BCBC91" w:rsidR="002F13D3" w:rsidRPr="002F13D3" w:rsidRDefault="00870607" w:rsidP="00291482">
            <w:pPr>
              <w:pStyle w:val="BoxListBullet2"/>
              <w:tabs>
                <w:tab w:val="clear" w:pos="567"/>
              </w:tabs>
              <w:ind w:left="680" w:hanging="340"/>
            </w:pPr>
            <w:r w:rsidRPr="00FF54E1">
              <w:t>promoting the use of effective family interventions</w:t>
            </w:r>
            <w:r>
              <w:t>.</w:t>
            </w:r>
          </w:p>
        </w:tc>
      </w:tr>
      <w:tr w:rsidR="002F13D3" w:rsidRPr="002F13D3" w14:paraId="69F7F15A"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2DDF48C8" w14:textId="77777777" w:rsidR="002F13D3" w:rsidRPr="002F13D3" w:rsidRDefault="002F13D3" w:rsidP="00AA695D">
            <w:pPr>
              <w:keepNext/>
              <w:spacing w:line="120" w:lineRule="exact"/>
              <w:jc w:val="both"/>
              <w:rPr>
                <w:rFonts w:ascii="Arial" w:hAnsi="Arial"/>
                <w:sz w:val="20"/>
                <w:szCs w:val="20"/>
              </w:rPr>
            </w:pPr>
          </w:p>
        </w:tc>
      </w:tr>
      <w:tr w:rsidR="002F13D3" w:rsidRPr="002F13D3" w14:paraId="6FAA86ED" w14:textId="77777777" w:rsidTr="00010889">
        <w:tc>
          <w:tcPr>
            <w:tcW w:w="5000" w:type="pct"/>
            <w:tcBorders>
              <w:top w:val="single" w:sz="6" w:space="0" w:color="78A22F"/>
              <w:left w:val="nil"/>
              <w:bottom w:val="nil"/>
              <w:right w:val="nil"/>
            </w:tcBorders>
          </w:tcPr>
          <w:p w14:paraId="67F2FB96" w14:textId="1106E2A5" w:rsidR="002F13D3" w:rsidRPr="002F13D3" w:rsidRDefault="002F13D3" w:rsidP="00AA695D">
            <w:pPr>
              <w:spacing w:before="60" w:after="60" w:line="80" w:lineRule="exact"/>
              <w:jc w:val="both"/>
              <w:rPr>
                <w:rFonts w:ascii="Arial" w:hAnsi="Arial"/>
                <w:sz w:val="14"/>
                <w:szCs w:val="20"/>
              </w:rPr>
            </w:pPr>
          </w:p>
        </w:tc>
      </w:tr>
    </w:tbl>
    <w:p w14:paraId="384A4684" w14:textId="197ACAA5" w:rsidR="0023161D" w:rsidRPr="0023161D" w:rsidRDefault="0023161D" w:rsidP="00AA695D">
      <w:pPr>
        <w:pStyle w:val="BoxSpaceAbove"/>
        <w:keepLines/>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23161D" w:rsidRPr="005E64FD" w14:paraId="0D38CF76" w14:textId="77777777" w:rsidTr="00BC48C9">
        <w:trPr>
          <w:tblHeader/>
        </w:trPr>
        <w:tc>
          <w:tcPr>
            <w:tcW w:w="5000" w:type="pct"/>
            <w:tcBorders>
              <w:top w:val="single" w:sz="6" w:space="0" w:color="78A22F"/>
              <w:left w:val="nil"/>
              <w:bottom w:val="nil"/>
              <w:right w:val="nil"/>
            </w:tcBorders>
            <w:shd w:val="clear" w:color="auto" w:fill="auto"/>
            <w:tcMar>
              <w:left w:w="170" w:type="dxa"/>
              <w:right w:w="170" w:type="dxa"/>
            </w:tcMar>
          </w:tcPr>
          <w:p w14:paraId="147FFDD0" w14:textId="25161F00" w:rsidR="0023161D" w:rsidRPr="005E64FD" w:rsidRDefault="000E5201" w:rsidP="00AA695D">
            <w:pPr>
              <w:pStyle w:val="RecTitle"/>
              <w:spacing w:before="120"/>
              <w:rPr>
                <w:b/>
                <w:color w:val="3B5117"/>
              </w:rPr>
            </w:pPr>
            <w:r w:rsidRPr="005E64FD">
              <w:rPr>
                <w:b/>
                <w:color w:val="3B5117"/>
              </w:rPr>
              <w:t xml:space="preserve">ACtion </w:t>
            </w:r>
            <w:r w:rsidR="00CA1A76" w:rsidRPr="005E64FD">
              <w:rPr>
                <w:b/>
                <w:color w:val="3B5117"/>
              </w:rPr>
              <w:t>18</w:t>
            </w:r>
            <w:r w:rsidR="0023161D" w:rsidRPr="005E64FD">
              <w:rPr>
                <w:b/>
                <w:color w:val="3B5117"/>
              </w:rPr>
              <w:t>.2</w:t>
            </w:r>
            <w:r w:rsidR="00CE7986">
              <w:rPr>
                <w:b/>
                <w:color w:val="3B5117"/>
              </w:rPr>
              <w:t> — </w:t>
            </w:r>
            <w:r w:rsidR="0023161D" w:rsidRPr="005E64FD">
              <w:rPr>
                <w:b/>
                <w:color w:val="3B5117"/>
              </w:rPr>
              <w:t>FAMILY AND CARER SUPPORT SERVICES</w:t>
            </w:r>
          </w:p>
        </w:tc>
      </w:tr>
      <w:tr w:rsidR="0023161D" w:rsidRPr="0023161D" w14:paraId="302675A2" w14:textId="77777777" w:rsidTr="0023161D">
        <w:tc>
          <w:tcPr>
            <w:tcW w:w="5000" w:type="pct"/>
            <w:tcBorders>
              <w:top w:val="nil"/>
              <w:left w:val="nil"/>
              <w:bottom w:val="nil"/>
              <w:right w:val="nil"/>
            </w:tcBorders>
            <w:shd w:val="clear" w:color="auto" w:fill="F2F2F2"/>
            <w:tcMar>
              <w:left w:w="170" w:type="dxa"/>
              <w:right w:w="170" w:type="dxa"/>
            </w:tcMar>
          </w:tcPr>
          <w:p w14:paraId="577B8C80" w14:textId="7E1DDDAC" w:rsidR="0023161D" w:rsidRPr="0023161D" w:rsidRDefault="0023161D" w:rsidP="00AA695D">
            <w:pPr>
              <w:pStyle w:val="Rec"/>
              <w:keepNext/>
            </w:pPr>
            <w:r w:rsidRPr="0023161D">
              <w:t xml:space="preserve">Government responsibilities for </w:t>
            </w:r>
            <w:r w:rsidR="00971F11">
              <w:t xml:space="preserve">family and </w:t>
            </w:r>
            <w:r w:rsidRPr="0023161D">
              <w:t xml:space="preserve">carer support services should be </w:t>
            </w:r>
            <w:r w:rsidR="002B538C">
              <w:t>clarified</w:t>
            </w:r>
            <w:r w:rsidRPr="0023161D">
              <w:t>.</w:t>
            </w:r>
          </w:p>
          <w:p w14:paraId="39C9F1E7" w14:textId="16016729" w:rsidR="0023161D" w:rsidRPr="0023161D" w:rsidRDefault="00203C0F" w:rsidP="00AA695D">
            <w:pPr>
              <w:pStyle w:val="Rec"/>
              <w:keepNext/>
              <w:rPr>
                <w:i/>
              </w:rPr>
            </w:pPr>
            <w:r>
              <w:rPr>
                <w:i/>
              </w:rPr>
              <w:t>S</w:t>
            </w:r>
            <w:r w:rsidR="002B538C">
              <w:rPr>
                <w:i/>
              </w:rPr>
              <w:t>tart now</w:t>
            </w:r>
          </w:p>
          <w:p w14:paraId="1351F7DF" w14:textId="6CC9B2BC" w:rsidR="00971F11" w:rsidRDefault="00971F11" w:rsidP="00AA695D">
            <w:pPr>
              <w:pStyle w:val="Rec"/>
              <w:keepNext/>
            </w:pPr>
            <w:r>
              <w:t xml:space="preserve">The </w:t>
            </w:r>
            <w:r w:rsidR="007F2490">
              <w:t>recommended</w:t>
            </w:r>
            <w:r w:rsidR="000D538F">
              <w:t xml:space="preserve"> </w:t>
            </w:r>
            <w:r>
              <w:t>National Mental Health and Suicide Prevention Agreement (</w:t>
            </w:r>
            <w:r w:rsidR="000D538F">
              <w:t xml:space="preserve">action </w:t>
            </w:r>
            <w:r>
              <w:t>2</w:t>
            </w:r>
            <w:r w:rsidR="00422DE4">
              <w:t>3</w:t>
            </w:r>
            <w:r>
              <w:t>.3) should state that State and Territory Governments would be responsible for planning and funding:</w:t>
            </w:r>
          </w:p>
          <w:p w14:paraId="4A9EEE64" w14:textId="77777777" w:rsidR="00971F11" w:rsidRDefault="00D24FD8" w:rsidP="00AA695D">
            <w:pPr>
              <w:pStyle w:val="RecBullet"/>
              <w:keepNext/>
            </w:pPr>
            <w:r>
              <w:t>c</w:t>
            </w:r>
            <w:r w:rsidR="00971F11">
              <w:t>arer support services related to the mental health caring role</w:t>
            </w:r>
          </w:p>
          <w:p w14:paraId="4E2C5E00" w14:textId="16BCE825" w:rsidR="00971F11" w:rsidRDefault="00D24FD8" w:rsidP="00AA695D">
            <w:pPr>
              <w:pStyle w:val="RecBullet"/>
              <w:keepNext/>
            </w:pPr>
            <w:r>
              <w:t>f</w:t>
            </w:r>
            <w:r w:rsidR="00971F11">
              <w:t>amily support services for families affected by mental illness.</w:t>
            </w:r>
          </w:p>
          <w:p w14:paraId="171F0084" w14:textId="4EDF4E02" w:rsidR="00CA3137" w:rsidRDefault="00203C0F" w:rsidP="00AA695D">
            <w:pPr>
              <w:pStyle w:val="Rec"/>
              <w:keepNext/>
            </w:pPr>
            <w:r w:rsidRPr="001A5E28">
              <w:rPr>
                <w:i/>
              </w:rPr>
              <w:t>S</w:t>
            </w:r>
            <w:r w:rsidR="006B7FCA" w:rsidRPr="001A5E28">
              <w:rPr>
                <w:i/>
              </w:rPr>
              <w:t>tart later</w:t>
            </w:r>
          </w:p>
          <w:p w14:paraId="1B638B9E" w14:textId="77777777" w:rsidR="00D52CB8" w:rsidRDefault="00CA3137" w:rsidP="00AA695D">
            <w:pPr>
              <w:pStyle w:val="Rec"/>
              <w:keepNext/>
            </w:pPr>
            <w:r>
              <w:t>T</w:t>
            </w:r>
            <w:r w:rsidR="0023161D" w:rsidRPr="0023161D">
              <w:t xml:space="preserve">he Australian Government Department of Social Services should </w:t>
            </w:r>
            <w:r w:rsidR="00D52CB8">
              <w:t xml:space="preserve">use data </w:t>
            </w:r>
            <w:r w:rsidR="006563AC">
              <w:t xml:space="preserve">it collects </w:t>
            </w:r>
            <w:r w:rsidR="00D52CB8">
              <w:t xml:space="preserve">on changes in carer outcomes to </w:t>
            </w:r>
            <w:r w:rsidR="0023161D" w:rsidRPr="0023161D">
              <w:t xml:space="preserve">evaluate and </w:t>
            </w:r>
            <w:r w:rsidR="00D52CB8">
              <w:t xml:space="preserve">report </w:t>
            </w:r>
            <w:r w:rsidR="0023161D" w:rsidRPr="0023161D">
              <w:t xml:space="preserve">publicly </w:t>
            </w:r>
            <w:r w:rsidR="00D52CB8">
              <w:t>on:</w:t>
            </w:r>
          </w:p>
          <w:p w14:paraId="54EFE0B3" w14:textId="77777777" w:rsidR="0023161D" w:rsidRPr="0023161D" w:rsidRDefault="0023161D" w:rsidP="00AA695D">
            <w:pPr>
              <w:pStyle w:val="RecBullet"/>
              <w:keepNext/>
            </w:pPr>
            <w:r w:rsidRPr="0023161D">
              <w:t>how well the Carer Gateway meets the needs of mental health carers relative to other types of carers</w:t>
            </w:r>
          </w:p>
          <w:p w14:paraId="118C04A1" w14:textId="77777777" w:rsidR="0023161D" w:rsidRPr="0023161D" w:rsidRDefault="0023161D" w:rsidP="00AA695D">
            <w:pPr>
              <w:pStyle w:val="RecBullet"/>
              <w:keepNext/>
            </w:pPr>
            <w:r w:rsidRPr="0023161D">
              <w:t>how well the Carer Gateway meets the needs of young carers, Aboriginal and Torres Strait Islander carers and culturally and linguistically diverse carers</w:t>
            </w:r>
          </w:p>
          <w:p w14:paraId="439A408C" w14:textId="6822A2DD" w:rsidR="00D52CB8" w:rsidRDefault="0023161D" w:rsidP="00AA695D">
            <w:pPr>
              <w:pStyle w:val="RecBullet"/>
              <w:keepNext/>
            </w:pPr>
            <w:r w:rsidRPr="0023161D">
              <w:t>the effectiveness of Carer Gateway services in achieving carers’ employment goals.</w:t>
            </w:r>
          </w:p>
          <w:p w14:paraId="0FAB0D35" w14:textId="209FD5BA" w:rsidR="0023161D" w:rsidRPr="0023161D" w:rsidRDefault="00D52CB8" w:rsidP="00EC3212">
            <w:pPr>
              <w:pStyle w:val="Rec"/>
              <w:keepNext/>
            </w:pPr>
            <w:r>
              <w:t xml:space="preserve">The evaluation should also assess </w:t>
            </w:r>
            <w:r w:rsidRPr="0023161D">
              <w:t>the effectiveness of referral pathways between the Carer Gateway and mental health carer support services funded by State and Territor</w:t>
            </w:r>
            <w:r w:rsidR="00EC3212">
              <w:t>y Government</w:t>
            </w:r>
            <w:r w:rsidRPr="0023161D">
              <w:t>s</w:t>
            </w:r>
            <w:r>
              <w:t>.</w:t>
            </w:r>
            <w:r w:rsidR="0023161D" w:rsidRPr="0023161D">
              <w:t xml:space="preserve"> </w:t>
            </w:r>
          </w:p>
        </w:tc>
      </w:tr>
      <w:tr w:rsidR="0023161D" w:rsidRPr="0023161D" w14:paraId="766A26D1" w14:textId="77777777" w:rsidTr="003B3426">
        <w:tc>
          <w:tcPr>
            <w:tcW w:w="5000" w:type="pct"/>
            <w:tcBorders>
              <w:top w:val="nil"/>
              <w:left w:val="nil"/>
              <w:bottom w:val="single" w:sz="4" w:space="0" w:color="78A22F"/>
              <w:right w:val="nil"/>
            </w:tcBorders>
            <w:shd w:val="clear" w:color="auto" w:fill="F2F2F2" w:themeFill="background1" w:themeFillShade="F2"/>
            <w:tcMar>
              <w:left w:w="170" w:type="dxa"/>
              <w:right w:w="170" w:type="dxa"/>
            </w:tcMar>
          </w:tcPr>
          <w:p w14:paraId="4E7B975A" w14:textId="77777777" w:rsidR="0023161D" w:rsidRPr="0023161D" w:rsidRDefault="0023161D" w:rsidP="00AA695D">
            <w:pPr>
              <w:keepNext/>
              <w:keepLines/>
              <w:spacing w:line="120" w:lineRule="exact"/>
              <w:jc w:val="both"/>
              <w:rPr>
                <w:rFonts w:ascii="Arial" w:hAnsi="Arial"/>
                <w:sz w:val="20"/>
                <w:szCs w:val="20"/>
              </w:rPr>
            </w:pPr>
          </w:p>
        </w:tc>
      </w:tr>
      <w:tr w:rsidR="001A5E28" w:rsidRPr="0023161D" w14:paraId="2A7CDCAB" w14:textId="77777777" w:rsidTr="001A5E28">
        <w:tc>
          <w:tcPr>
            <w:tcW w:w="5000" w:type="pct"/>
            <w:tcBorders>
              <w:top w:val="single" w:sz="4" w:space="0" w:color="78A22F"/>
              <w:left w:val="nil"/>
              <w:bottom w:val="nil"/>
              <w:right w:val="nil"/>
            </w:tcBorders>
            <w:shd w:val="clear" w:color="auto" w:fill="auto"/>
            <w:tcMar>
              <w:left w:w="170" w:type="dxa"/>
              <w:right w:w="170" w:type="dxa"/>
            </w:tcMar>
          </w:tcPr>
          <w:p w14:paraId="6F299D1A" w14:textId="77777777" w:rsidR="001A5E28" w:rsidRPr="0023161D" w:rsidRDefault="001A5E28" w:rsidP="00AA695D">
            <w:pPr>
              <w:pStyle w:val="BoxSpaceBelow"/>
              <w:keepNext/>
              <w:keepLines/>
            </w:pPr>
          </w:p>
        </w:tc>
      </w:tr>
    </w:tbl>
    <w:p w14:paraId="05404E28" w14:textId="0379439B" w:rsidR="002F13D3" w:rsidRPr="002F13D3" w:rsidRDefault="002F13D3" w:rsidP="002F13D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8"/>
      </w:tblGrid>
      <w:tr w:rsidR="002F13D3" w:rsidRPr="002F13D3" w14:paraId="00575D6C" w14:textId="77777777" w:rsidTr="00010889">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0F02FAAC" w14:textId="6849F890" w:rsidR="002F13D3" w:rsidRPr="002F13D3" w:rsidRDefault="002F13D3" w:rsidP="002F13D3">
            <w:pPr>
              <w:keepNext/>
              <w:keepLines/>
              <w:spacing w:before="120" w:line="280" w:lineRule="atLeast"/>
              <w:jc w:val="both"/>
              <w:rPr>
                <w:rFonts w:ascii="Arial" w:hAnsi="Arial"/>
                <w:caps/>
                <w:noProof/>
                <w:sz w:val="18"/>
                <w:szCs w:val="20"/>
              </w:rPr>
            </w:pPr>
            <w:r w:rsidRPr="002F13D3">
              <w:rPr>
                <w:rFonts w:ascii="Arial" w:hAnsi="Arial"/>
                <w:caps/>
                <w:sz w:val="18"/>
                <w:szCs w:val="20"/>
              </w:rPr>
              <w:t>Finding</w:t>
            </w:r>
            <w:r>
              <w:rPr>
                <w:rFonts w:ascii="Arial" w:hAnsi="Arial"/>
                <w:caps/>
                <w:sz w:val="18"/>
                <w:szCs w:val="20"/>
              </w:rPr>
              <w:t xml:space="preserve"> </w:t>
            </w:r>
            <w:r w:rsidR="005E7E94">
              <w:rPr>
                <w:rFonts w:ascii="Arial" w:hAnsi="Arial"/>
                <w:caps/>
                <w:sz w:val="18"/>
                <w:szCs w:val="20"/>
              </w:rPr>
              <w:t>18</w:t>
            </w:r>
            <w:r>
              <w:rPr>
                <w:rFonts w:ascii="Arial" w:hAnsi="Arial"/>
                <w:caps/>
                <w:sz w:val="18"/>
                <w:szCs w:val="20"/>
              </w:rPr>
              <w:t>.1</w:t>
            </w:r>
            <w:r w:rsidR="00CE7986">
              <w:rPr>
                <w:rFonts w:ascii="Arial" w:hAnsi="Arial"/>
                <w:caps/>
                <w:noProof/>
                <w:sz w:val="18"/>
                <w:szCs w:val="20"/>
              </w:rPr>
              <w:t> — </w:t>
            </w:r>
            <w:r w:rsidRPr="002F13D3">
              <w:rPr>
                <w:rFonts w:ascii="Arial" w:hAnsi="Arial"/>
                <w:caps/>
                <w:noProof/>
                <w:sz w:val="18"/>
                <w:szCs w:val="20"/>
              </w:rPr>
              <w:t>Income support for carers IS unnecessarily complex</w:t>
            </w:r>
          </w:p>
        </w:tc>
      </w:tr>
      <w:tr w:rsidR="002F13D3" w:rsidRPr="002F13D3" w14:paraId="66142F8C" w14:textId="77777777" w:rsidTr="00010889">
        <w:trPr>
          <w:cantSplit/>
        </w:trPr>
        <w:tc>
          <w:tcPr>
            <w:tcW w:w="5000" w:type="pct"/>
            <w:tcBorders>
              <w:top w:val="nil"/>
              <w:left w:val="nil"/>
              <w:bottom w:val="nil"/>
              <w:right w:val="nil"/>
            </w:tcBorders>
            <w:shd w:val="clear" w:color="auto" w:fill="F2F2F2"/>
            <w:tcMar>
              <w:left w:w="170" w:type="dxa"/>
              <w:right w:w="170" w:type="dxa"/>
            </w:tcMar>
          </w:tcPr>
          <w:p w14:paraId="32A7AFE8" w14:textId="77777777" w:rsidR="002F13D3" w:rsidRPr="002F13D3" w:rsidRDefault="002F13D3" w:rsidP="00AA695D">
            <w:pPr>
              <w:pStyle w:val="Finding"/>
            </w:pPr>
            <w:r w:rsidRPr="002F13D3">
              <w:t>The existence of a Carer Payment, Carer Allowance and Carer Supplement that all achieve similar objectives, but have some arbitrary differences in eligibility, contributes to an income support system that is complex and not well understood by carers.</w:t>
            </w:r>
          </w:p>
        </w:tc>
      </w:tr>
      <w:tr w:rsidR="002F13D3" w:rsidRPr="002F13D3" w14:paraId="1B7538AF" w14:textId="77777777" w:rsidTr="001A5E28">
        <w:trPr>
          <w:cantSplit/>
        </w:trPr>
        <w:tc>
          <w:tcPr>
            <w:tcW w:w="5000" w:type="pct"/>
            <w:tcBorders>
              <w:top w:val="nil"/>
              <w:left w:val="nil"/>
              <w:bottom w:val="single" w:sz="6" w:space="0" w:color="78A22F"/>
              <w:right w:val="nil"/>
            </w:tcBorders>
            <w:shd w:val="clear" w:color="auto" w:fill="F2F2F2"/>
            <w:tcMar>
              <w:left w:w="170" w:type="dxa"/>
              <w:right w:w="170" w:type="dxa"/>
            </w:tcMar>
          </w:tcPr>
          <w:p w14:paraId="2F70F509" w14:textId="77777777" w:rsidR="002F13D3" w:rsidRPr="002F13D3" w:rsidRDefault="002F13D3" w:rsidP="002F13D3">
            <w:pPr>
              <w:keepNext/>
              <w:keepLines/>
              <w:spacing w:line="120" w:lineRule="exact"/>
              <w:jc w:val="both"/>
              <w:rPr>
                <w:rFonts w:ascii="Arial" w:hAnsi="Arial"/>
                <w:sz w:val="20"/>
                <w:szCs w:val="20"/>
              </w:rPr>
            </w:pPr>
          </w:p>
        </w:tc>
      </w:tr>
      <w:tr w:rsidR="001A5E28" w:rsidRPr="002F13D3" w14:paraId="160FC0F7" w14:textId="77777777" w:rsidTr="001A5E28">
        <w:trPr>
          <w:cantSplit/>
        </w:trPr>
        <w:tc>
          <w:tcPr>
            <w:tcW w:w="5000" w:type="pct"/>
            <w:tcBorders>
              <w:top w:val="single" w:sz="6" w:space="0" w:color="78A22F"/>
              <w:left w:val="nil"/>
              <w:bottom w:val="nil"/>
              <w:right w:val="nil"/>
            </w:tcBorders>
            <w:shd w:val="clear" w:color="auto" w:fill="auto"/>
            <w:tcMar>
              <w:left w:w="170" w:type="dxa"/>
              <w:right w:w="170" w:type="dxa"/>
            </w:tcMar>
          </w:tcPr>
          <w:p w14:paraId="476202BC" w14:textId="77777777" w:rsidR="001A5E28" w:rsidRPr="002F13D3" w:rsidRDefault="001A5E28" w:rsidP="001A5E28">
            <w:pPr>
              <w:pStyle w:val="BoxSpaceBelow"/>
            </w:pPr>
          </w:p>
        </w:tc>
      </w:tr>
    </w:tbl>
    <w:p w14:paraId="7C703CAA" w14:textId="77777777" w:rsidR="002F13D3" w:rsidRPr="00D41518" w:rsidRDefault="002F13D3" w:rsidP="00F00D7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D41518" w:rsidRPr="005E64FD" w14:paraId="7F148826" w14:textId="77777777" w:rsidTr="00462628">
        <w:trPr>
          <w:tblHeader/>
        </w:trPr>
        <w:tc>
          <w:tcPr>
            <w:tcW w:w="5000" w:type="pct"/>
            <w:tcBorders>
              <w:top w:val="single" w:sz="6" w:space="0" w:color="78A22F"/>
              <w:left w:val="nil"/>
              <w:bottom w:val="nil"/>
              <w:right w:val="nil"/>
            </w:tcBorders>
            <w:shd w:val="clear" w:color="auto" w:fill="auto"/>
            <w:tcMar>
              <w:left w:w="170" w:type="dxa"/>
              <w:right w:w="170" w:type="dxa"/>
            </w:tcMar>
          </w:tcPr>
          <w:p w14:paraId="78D42ECE" w14:textId="1E2A7D42" w:rsidR="00D41518" w:rsidRPr="005E64FD" w:rsidRDefault="000E5201" w:rsidP="00AA695D">
            <w:pPr>
              <w:pStyle w:val="RecTitle"/>
              <w:spacing w:before="120"/>
              <w:ind w:left="1390" w:hanging="1390"/>
              <w:rPr>
                <w:b/>
                <w:color w:val="3B5117"/>
              </w:rPr>
            </w:pPr>
            <w:r w:rsidRPr="005E64FD">
              <w:rPr>
                <w:b/>
                <w:color w:val="3B5117"/>
              </w:rPr>
              <w:t xml:space="preserve">ACtion </w:t>
            </w:r>
            <w:r w:rsidR="00D41518" w:rsidRPr="005E64FD">
              <w:rPr>
                <w:b/>
                <w:color w:val="3B5117"/>
              </w:rPr>
              <w:t>1</w:t>
            </w:r>
            <w:r w:rsidR="00CA1A76" w:rsidRPr="005E64FD">
              <w:rPr>
                <w:b/>
                <w:color w:val="3B5117"/>
              </w:rPr>
              <w:t>8</w:t>
            </w:r>
            <w:r w:rsidR="00D41518" w:rsidRPr="005E64FD">
              <w:rPr>
                <w:b/>
                <w:color w:val="3B5117"/>
              </w:rPr>
              <w:t>.</w:t>
            </w:r>
            <w:r w:rsidR="00DF3A58" w:rsidRPr="005E64FD">
              <w:rPr>
                <w:b/>
                <w:color w:val="3B5117"/>
              </w:rPr>
              <w:t>3</w:t>
            </w:r>
            <w:r w:rsidR="00CE7986">
              <w:rPr>
                <w:b/>
                <w:color w:val="3B5117"/>
              </w:rPr>
              <w:t> — </w:t>
            </w:r>
            <w:r w:rsidR="00D41518" w:rsidRPr="005E64FD">
              <w:rPr>
                <w:b/>
                <w:color w:val="3B5117"/>
              </w:rPr>
              <w:t>REDUCE BARRIERS TO ACCESSING INCOME SUPPORT FOR MENTAL HEALTH CARERS</w:t>
            </w:r>
          </w:p>
        </w:tc>
      </w:tr>
      <w:tr w:rsidR="00D41518" w:rsidRPr="00D41518" w14:paraId="7E69C9FC" w14:textId="77777777" w:rsidTr="00462628">
        <w:tc>
          <w:tcPr>
            <w:tcW w:w="5000" w:type="pct"/>
            <w:tcBorders>
              <w:top w:val="nil"/>
              <w:left w:val="nil"/>
              <w:bottom w:val="nil"/>
              <w:right w:val="nil"/>
            </w:tcBorders>
            <w:shd w:val="clear" w:color="auto" w:fill="F2F2F2"/>
            <w:tcMar>
              <w:left w:w="170" w:type="dxa"/>
              <w:right w:w="170" w:type="dxa"/>
            </w:tcMar>
          </w:tcPr>
          <w:p w14:paraId="3C6E7640" w14:textId="067E04A0" w:rsidR="005E7E94" w:rsidRDefault="005E7E94" w:rsidP="001A5E28">
            <w:pPr>
              <w:pStyle w:val="Rec"/>
              <w:keepNext/>
            </w:pPr>
            <w:r>
              <w:t>Eligibility requirements for income support payments should change to better address the needs of mental health carers</w:t>
            </w:r>
            <w:r w:rsidR="0016514A">
              <w:t>.</w:t>
            </w:r>
          </w:p>
          <w:p w14:paraId="51B8089F" w14:textId="6B96F050" w:rsidR="00D41518" w:rsidRPr="0016514A" w:rsidRDefault="00203C0F" w:rsidP="001A5E28">
            <w:pPr>
              <w:keepNext/>
              <w:keepLines/>
              <w:spacing w:before="120" w:line="280" w:lineRule="atLeast"/>
              <w:jc w:val="both"/>
              <w:rPr>
                <w:rFonts w:ascii="Arial" w:hAnsi="Arial"/>
                <w:sz w:val="22"/>
                <w:szCs w:val="22"/>
              </w:rPr>
            </w:pPr>
            <w:r w:rsidRPr="0016514A">
              <w:rPr>
                <w:rFonts w:ascii="Arial" w:hAnsi="Arial"/>
                <w:i/>
                <w:sz w:val="22"/>
                <w:szCs w:val="22"/>
              </w:rPr>
              <w:t>S</w:t>
            </w:r>
            <w:r w:rsidR="002B538C" w:rsidRPr="0016514A">
              <w:rPr>
                <w:rFonts w:ascii="Arial" w:hAnsi="Arial"/>
                <w:i/>
                <w:sz w:val="22"/>
                <w:szCs w:val="22"/>
              </w:rPr>
              <w:t>tart now</w:t>
            </w:r>
          </w:p>
          <w:p w14:paraId="1C2FAE7B" w14:textId="6DA91493" w:rsidR="00D41518" w:rsidRPr="00D41518" w:rsidRDefault="00D41518" w:rsidP="001A5E28">
            <w:pPr>
              <w:pStyle w:val="Rec"/>
              <w:keepNext/>
            </w:pPr>
            <w:r w:rsidRPr="00D41518">
              <w:t>The Australian Government Department of Social Services (DSS) should complete its review of the Adult Disability Assessment Tool used to assess eligibility for Carer Payment and Carer Allowance. DSS should:</w:t>
            </w:r>
          </w:p>
          <w:p w14:paraId="6C455BAE" w14:textId="77777777" w:rsidR="00D41518" w:rsidRPr="00D41518" w:rsidRDefault="00D41518" w:rsidP="001A5E28">
            <w:pPr>
              <w:pStyle w:val="RecBullet"/>
              <w:keepNext/>
            </w:pPr>
            <w:r w:rsidRPr="00D41518">
              <w:t xml:space="preserve">publish its findings from the review and field testing process </w:t>
            </w:r>
          </w:p>
          <w:p w14:paraId="3BDB087D" w14:textId="77777777" w:rsidR="00D41518" w:rsidRPr="00D41518" w:rsidRDefault="00D41518" w:rsidP="001A5E28">
            <w:pPr>
              <w:pStyle w:val="RecBullet"/>
              <w:keepNext/>
            </w:pPr>
            <w:r w:rsidRPr="00D41518">
              <w:t>consult with carers and health professionals before setting revised weightings for the new questions and the minimum score required to be eligible for each payment</w:t>
            </w:r>
          </w:p>
          <w:p w14:paraId="5CE17B00" w14:textId="7C20ECAA" w:rsidR="00D41518" w:rsidRPr="00D41518" w:rsidRDefault="00D41518" w:rsidP="001A5E28">
            <w:pPr>
              <w:pStyle w:val="RecBullet"/>
              <w:keepNext/>
            </w:pPr>
            <w:r w:rsidRPr="00D41518">
              <w:t xml:space="preserve">expand the list of persons who can complete the health professional questionnaire to include </w:t>
            </w:r>
            <w:r w:rsidR="006C54AE">
              <w:t xml:space="preserve">psychologists and </w:t>
            </w:r>
            <w:r w:rsidR="000D538F" w:rsidRPr="000D538F">
              <w:t>accredited</w:t>
            </w:r>
            <w:r w:rsidR="006C54AE">
              <w:t xml:space="preserve"> mental health </w:t>
            </w:r>
            <w:r w:rsidR="000D538F" w:rsidRPr="000D538F">
              <w:t>social workers</w:t>
            </w:r>
            <w:r w:rsidRPr="00D41518">
              <w:t>.</w:t>
            </w:r>
          </w:p>
          <w:p w14:paraId="513895CD" w14:textId="66570C28" w:rsidR="00D41518" w:rsidRPr="0016514A" w:rsidRDefault="00203C0F" w:rsidP="001A5E28">
            <w:pPr>
              <w:keepNext/>
              <w:keepLines/>
              <w:spacing w:before="120" w:line="280" w:lineRule="atLeast"/>
              <w:rPr>
                <w:rFonts w:ascii="Arial" w:hAnsi="Arial"/>
                <w:b/>
                <w:sz w:val="22"/>
                <w:szCs w:val="22"/>
              </w:rPr>
            </w:pPr>
            <w:r w:rsidRPr="0016514A">
              <w:rPr>
                <w:rFonts w:ascii="Arial" w:hAnsi="Arial"/>
                <w:i/>
                <w:sz w:val="22"/>
                <w:szCs w:val="22"/>
              </w:rPr>
              <w:t>S</w:t>
            </w:r>
            <w:r w:rsidR="002B538C" w:rsidRPr="0016514A">
              <w:rPr>
                <w:rFonts w:ascii="Arial" w:hAnsi="Arial"/>
                <w:i/>
                <w:sz w:val="22"/>
                <w:szCs w:val="22"/>
              </w:rPr>
              <w:t>tart later</w:t>
            </w:r>
          </w:p>
          <w:p w14:paraId="02D7BB68" w14:textId="44BD8A4F" w:rsidR="00D41518" w:rsidRPr="00D41518" w:rsidRDefault="00917ABC" w:rsidP="001A5E28">
            <w:pPr>
              <w:pStyle w:val="Rec"/>
              <w:keepNext/>
            </w:pPr>
            <w:r>
              <w:t>The Australian Government</w:t>
            </w:r>
            <w:r w:rsidRPr="00D41518">
              <w:t xml:space="preserve"> </w:t>
            </w:r>
            <w:r w:rsidR="00D41518" w:rsidRPr="00D41518">
              <w:t xml:space="preserve">should amend </w:t>
            </w:r>
            <w:r w:rsidR="00DF3A58">
              <w:t xml:space="preserve">the </w:t>
            </w:r>
            <w:r w:rsidR="00D41518" w:rsidRPr="00D41518">
              <w:t>eligibi</w:t>
            </w:r>
            <w:r w:rsidR="00DF3A58">
              <w:t>lity criteria for Carer Payment</w:t>
            </w:r>
            <w:r w:rsidR="00D41518" w:rsidRPr="00D41518">
              <w:t xml:space="preserve"> and Carer Allowance</w:t>
            </w:r>
            <w:r w:rsidR="002B3012">
              <w:t xml:space="preserve"> </w:t>
            </w:r>
            <w:r w:rsidR="002B3012" w:rsidRPr="002B3012">
              <w:t>for mental health carers, and consider adopting these changes for other carers</w:t>
            </w:r>
            <w:r w:rsidR="00D41518" w:rsidRPr="00D41518">
              <w:t xml:space="preserve">. Amendments </w:t>
            </w:r>
            <w:r w:rsidR="002B3012" w:rsidRPr="002B3012">
              <w:t xml:space="preserve">for mental health carers </w:t>
            </w:r>
            <w:r w:rsidR="00D41518" w:rsidRPr="00D41518">
              <w:t xml:space="preserve">should include: </w:t>
            </w:r>
          </w:p>
          <w:p w14:paraId="293D47C5" w14:textId="77777777" w:rsidR="002B3012" w:rsidRDefault="002B3012" w:rsidP="001A5E28">
            <w:pPr>
              <w:pStyle w:val="RecBullet"/>
              <w:keepNext/>
            </w:pPr>
            <w:r>
              <w:t>for both payments, replacing the requirement that care must be provided in a private residence that is the home of the care recipient with a requirement that the care recipient must reside in a private residence</w:t>
            </w:r>
          </w:p>
          <w:p w14:paraId="2EF712E2" w14:textId="77777777" w:rsidR="002B3012" w:rsidRDefault="002B3012" w:rsidP="001A5E28">
            <w:pPr>
              <w:pStyle w:val="RecBullet"/>
              <w:keepNext/>
            </w:pPr>
            <w:r>
              <w:t>for Carer Payment, replacing the requirement to provide ‘constant care’ with the requirement to provide ‘care on a regular basis every week’</w:t>
            </w:r>
          </w:p>
          <w:p w14:paraId="579C2910" w14:textId="77777777" w:rsidR="002B3012" w:rsidRDefault="002B3012" w:rsidP="001A5E28">
            <w:pPr>
              <w:pStyle w:val="RecBullet"/>
              <w:keepNext/>
            </w:pPr>
            <w:r>
              <w:t>for Carer Payment, replacing the 25 hour per week restriction on work, study and volunteering with a 100 hour per month restriction on work only</w:t>
            </w:r>
          </w:p>
          <w:p w14:paraId="1CE03729" w14:textId="77777777" w:rsidR="002B3012" w:rsidRDefault="002B3012" w:rsidP="001A5E28">
            <w:pPr>
              <w:pStyle w:val="RecBullet"/>
              <w:keepNext/>
            </w:pPr>
            <w:r>
              <w:t>for Carer Allowance, replacing the requirement to provide ‘care and attention on a daily basis’ with the requirement to provide ‘care on a regular basis every week’</w:t>
            </w:r>
          </w:p>
          <w:p w14:paraId="60B0EC65" w14:textId="16241ECF" w:rsidR="00D41518" w:rsidRPr="00D41518" w:rsidRDefault="002B3012" w:rsidP="001A5E28">
            <w:pPr>
              <w:pStyle w:val="RecBullet"/>
              <w:keepNext/>
            </w:pPr>
            <w:r>
              <w:t>for Carer Allowance, removing the requirements for the carer to either live with the care recipient or to provide care that relates to the care recipient’s bodily functions or to sustaining their life and for more than 20 hours per week.</w:t>
            </w:r>
          </w:p>
        </w:tc>
      </w:tr>
      <w:tr w:rsidR="00D41518" w:rsidRPr="00D41518" w14:paraId="57A13841"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3B76CCF2" w14:textId="77777777" w:rsidR="00D41518" w:rsidRPr="00D41518" w:rsidRDefault="00D41518" w:rsidP="001A5E28">
            <w:pPr>
              <w:keepNext/>
              <w:keepLines/>
              <w:spacing w:line="120" w:lineRule="exact"/>
              <w:rPr>
                <w:rFonts w:ascii="Arial" w:hAnsi="Arial"/>
                <w:sz w:val="20"/>
                <w:szCs w:val="20"/>
              </w:rPr>
            </w:pPr>
          </w:p>
        </w:tc>
      </w:tr>
      <w:tr w:rsidR="00D41518" w:rsidRPr="00D41518" w14:paraId="698D1C98" w14:textId="77777777" w:rsidTr="00462628">
        <w:tc>
          <w:tcPr>
            <w:tcW w:w="5000" w:type="pct"/>
            <w:tcBorders>
              <w:top w:val="single" w:sz="6" w:space="0" w:color="78A22F"/>
              <w:left w:val="nil"/>
              <w:bottom w:val="nil"/>
              <w:right w:val="nil"/>
            </w:tcBorders>
          </w:tcPr>
          <w:p w14:paraId="5EF7F55F" w14:textId="77777777" w:rsidR="00D41518" w:rsidRPr="00D41518" w:rsidRDefault="00D41518" w:rsidP="001A5E28">
            <w:pPr>
              <w:keepNext/>
              <w:keepLines/>
              <w:spacing w:before="60" w:after="60" w:line="80" w:lineRule="exact"/>
              <w:rPr>
                <w:rFonts w:ascii="Arial" w:hAnsi="Arial"/>
                <w:sz w:val="14"/>
                <w:szCs w:val="20"/>
              </w:rPr>
            </w:pPr>
          </w:p>
        </w:tc>
      </w:tr>
    </w:tbl>
    <w:p w14:paraId="354048E3" w14:textId="48284E53" w:rsidR="00582093" w:rsidRDefault="00CE1144" w:rsidP="00F00D75">
      <w:pPr>
        <w:pStyle w:val="Heading3"/>
        <w:pageBreakBefore/>
      </w:pPr>
      <w:r>
        <w:lastRenderedPageBreak/>
        <w:t>Income and</w:t>
      </w:r>
      <w:r w:rsidR="00582093">
        <w:t xml:space="preserve"> employment</w:t>
      </w:r>
      <w:r>
        <w:t xml:space="preserve"> support</w:t>
      </w:r>
    </w:p>
    <w:p w14:paraId="7E38EE8C" w14:textId="77777777" w:rsidR="00D41518" w:rsidRPr="00D41518" w:rsidRDefault="00D41518" w:rsidP="00F00D7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D41518" w:rsidRPr="005E64FD" w14:paraId="3742F6DA" w14:textId="77777777" w:rsidTr="00462628">
        <w:trPr>
          <w:tblHeader/>
        </w:trPr>
        <w:tc>
          <w:tcPr>
            <w:tcW w:w="5000" w:type="pct"/>
            <w:tcBorders>
              <w:top w:val="single" w:sz="6" w:space="0" w:color="78A22F"/>
              <w:left w:val="nil"/>
              <w:bottom w:val="nil"/>
              <w:right w:val="nil"/>
            </w:tcBorders>
            <w:shd w:val="clear" w:color="auto" w:fill="auto"/>
            <w:tcMar>
              <w:left w:w="170" w:type="dxa"/>
              <w:right w:w="170" w:type="dxa"/>
            </w:tcMar>
          </w:tcPr>
          <w:p w14:paraId="69247900" w14:textId="1F451E17" w:rsidR="00D41518" w:rsidRPr="005E64FD" w:rsidRDefault="000A2A93" w:rsidP="005E64FD">
            <w:pPr>
              <w:pStyle w:val="RecTitle"/>
              <w:spacing w:before="120"/>
              <w:rPr>
                <w:b/>
                <w:color w:val="3B5117"/>
              </w:rPr>
            </w:pPr>
            <w:r w:rsidRPr="005E64FD">
              <w:rPr>
                <w:b/>
                <w:color w:val="3B5117"/>
              </w:rPr>
              <w:t>action</w:t>
            </w:r>
            <w:r w:rsidRPr="005E64FD" w:rsidDel="000A2A93">
              <w:rPr>
                <w:b/>
                <w:color w:val="3B5117"/>
              </w:rPr>
              <w:t xml:space="preserve"> </w:t>
            </w:r>
            <w:r w:rsidR="00CA1A76" w:rsidRPr="005E64FD">
              <w:rPr>
                <w:b/>
                <w:color w:val="3B5117"/>
              </w:rPr>
              <w:t>19</w:t>
            </w:r>
            <w:r w:rsidR="00D41518" w:rsidRPr="005E64FD">
              <w:rPr>
                <w:b/>
                <w:color w:val="3B5117"/>
              </w:rPr>
              <w:t>.1</w:t>
            </w:r>
            <w:r w:rsidR="00CE7986">
              <w:rPr>
                <w:b/>
                <w:color w:val="3B5117"/>
              </w:rPr>
              <w:t> — </w:t>
            </w:r>
            <w:r w:rsidR="00D41518" w:rsidRPr="005E64FD">
              <w:rPr>
                <w:b/>
                <w:color w:val="3B5117"/>
              </w:rPr>
              <w:t xml:space="preserve">employment support assessment </w:t>
            </w:r>
            <w:r w:rsidR="00B01B05" w:rsidRPr="005E64FD">
              <w:rPr>
                <w:b/>
                <w:color w:val="3B5117"/>
              </w:rPr>
              <w:t>tools</w:t>
            </w:r>
          </w:p>
        </w:tc>
      </w:tr>
      <w:tr w:rsidR="00D41518" w:rsidRPr="00D41518" w14:paraId="511A99AE" w14:textId="77777777" w:rsidTr="00462628">
        <w:tc>
          <w:tcPr>
            <w:tcW w:w="5000" w:type="pct"/>
            <w:tcBorders>
              <w:top w:val="nil"/>
              <w:left w:val="nil"/>
              <w:bottom w:val="nil"/>
              <w:right w:val="nil"/>
            </w:tcBorders>
            <w:shd w:val="clear" w:color="auto" w:fill="F2F2F2"/>
            <w:tcMar>
              <w:left w:w="170" w:type="dxa"/>
              <w:right w:w="170" w:type="dxa"/>
            </w:tcMar>
          </w:tcPr>
          <w:p w14:paraId="1F04DAB8" w14:textId="58B489A5" w:rsidR="003A0F00" w:rsidRPr="003A0F00" w:rsidRDefault="003A0F00" w:rsidP="001A5E28">
            <w:pPr>
              <w:pStyle w:val="Rec"/>
            </w:pPr>
            <w:r w:rsidRPr="003A0F00">
              <w:t xml:space="preserve">Assessment tools that stream </w:t>
            </w:r>
            <w:r w:rsidR="003B29F0">
              <w:t>participants</w:t>
            </w:r>
            <w:r w:rsidR="003B29F0" w:rsidRPr="003A0F00">
              <w:t xml:space="preserve"> </w:t>
            </w:r>
            <w:r w:rsidRPr="003A0F00">
              <w:t xml:space="preserve">into different levels of employment support programs should be </w:t>
            </w:r>
            <w:r w:rsidR="00191C3C">
              <w:t xml:space="preserve">made </w:t>
            </w:r>
            <w:r w:rsidRPr="003A0F00">
              <w:t xml:space="preserve">more relevant to </w:t>
            </w:r>
            <w:r w:rsidR="00055F7D">
              <w:t>people</w:t>
            </w:r>
            <w:r w:rsidRPr="003A0F00">
              <w:t xml:space="preserve"> with mental illness.</w:t>
            </w:r>
          </w:p>
          <w:p w14:paraId="1847904D" w14:textId="77777777" w:rsidR="003A0F00" w:rsidRPr="00324F31" w:rsidRDefault="00881F9C" w:rsidP="001A5E28">
            <w:pPr>
              <w:pStyle w:val="Rec"/>
              <w:rPr>
                <w:i/>
              </w:rPr>
            </w:pPr>
            <w:r>
              <w:rPr>
                <w:i/>
              </w:rPr>
              <w:t>Start now</w:t>
            </w:r>
          </w:p>
          <w:p w14:paraId="0C778A15" w14:textId="312BC678" w:rsidR="003A0F00" w:rsidRPr="003A0F00" w:rsidRDefault="003A0F00" w:rsidP="009121CD">
            <w:pPr>
              <w:pStyle w:val="RecBullet"/>
            </w:pPr>
            <w:r w:rsidRPr="003A0F00">
              <w:t xml:space="preserve">The Department of Education, Skills and Employment should increase the Job Seeker Classification Instrument’s relevance for </w:t>
            </w:r>
            <w:r w:rsidR="003B29F0">
              <w:t>participants</w:t>
            </w:r>
            <w:r w:rsidR="003B29F0" w:rsidRPr="003A0F00">
              <w:t xml:space="preserve"> </w:t>
            </w:r>
            <w:r w:rsidRPr="003A0F00">
              <w:t>with mental illness by:</w:t>
            </w:r>
          </w:p>
          <w:p w14:paraId="60F8EC44" w14:textId="77777777" w:rsidR="003A0F00" w:rsidRPr="003A0F00" w:rsidRDefault="003A0F00" w:rsidP="00291482">
            <w:pPr>
              <w:pStyle w:val="BoxListBullet2"/>
              <w:tabs>
                <w:tab w:val="clear" w:pos="567"/>
              </w:tabs>
              <w:ind w:left="680" w:hanging="340"/>
            </w:pPr>
            <w:r w:rsidRPr="003A0F00">
              <w:t xml:space="preserve">providing more specific guidance to </w:t>
            </w:r>
            <w:r w:rsidR="004422C8">
              <w:t>job seekers</w:t>
            </w:r>
            <w:r w:rsidRPr="003A0F00">
              <w:t xml:space="preserve"> about the types of </w:t>
            </w:r>
            <w:r w:rsidR="004422C8">
              <w:t xml:space="preserve">impacts on their functionality resulting from </w:t>
            </w:r>
            <w:r w:rsidRPr="003A0F00">
              <w:t>illness or disabilit</w:t>
            </w:r>
            <w:r w:rsidR="004422C8">
              <w:t>y that are</w:t>
            </w:r>
            <w:r w:rsidRPr="003A0F00">
              <w:t xml:space="preserve"> relevant to </w:t>
            </w:r>
            <w:r w:rsidR="004422C8">
              <w:t xml:space="preserve">their </w:t>
            </w:r>
            <w:r w:rsidRPr="003A0F00">
              <w:t>employability and work capacity</w:t>
            </w:r>
          </w:p>
          <w:p w14:paraId="488CE616" w14:textId="4AC5A928" w:rsidR="003A0F00" w:rsidRPr="003A0F00" w:rsidRDefault="003A0F00" w:rsidP="00291482">
            <w:pPr>
              <w:pStyle w:val="BoxListBullet2"/>
              <w:tabs>
                <w:tab w:val="clear" w:pos="567"/>
              </w:tabs>
              <w:ind w:left="680" w:hanging="340"/>
            </w:pPr>
            <w:r w:rsidRPr="003A0F00">
              <w:t xml:space="preserve">adding a short form mental health </w:t>
            </w:r>
            <w:r w:rsidR="003B29F0">
              <w:t>assessment</w:t>
            </w:r>
            <w:r w:rsidR="003B29F0" w:rsidRPr="003A0F00">
              <w:t xml:space="preserve"> </w:t>
            </w:r>
            <w:r w:rsidRPr="003A0F00">
              <w:t xml:space="preserve">tool to the </w:t>
            </w:r>
            <w:r w:rsidR="00B432E8">
              <w:t>Job</w:t>
            </w:r>
            <w:r w:rsidR="003B29F0">
              <w:t xml:space="preserve"> S</w:t>
            </w:r>
            <w:r w:rsidR="00B432E8">
              <w:t xml:space="preserve">eeker </w:t>
            </w:r>
            <w:r w:rsidR="002B538C">
              <w:t>C</w:t>
            </w:r>
            <w:r w:rsidR="00B432E8">
              <w:t xml:space="preserve">lassification </w:t>
            </w:r>
            <w:r w:rsidR="002B538C">
              <w:t>I</w:t>
            </w:r>
            <w:r w:rsidRPr="003A0F00">
              <w:t>nstrument</w:t>
            </w:r>
            <w:r w:rsidR="003B29F0">
              <w:t>.</w:t>
            </w:r>
          </w:p>
          <w:p w14:paraId="6063BDB8" w14:textId="158A45AD" w:rsidR="006D6480" w:rsidRDefault="003A0F00" w:rsidP="009121CD">
            <w:pPr>
              <w:pStyle w:val="RecBullet"/>
            </w:pPr>
            <w:r w:rsidRPr="003A0F00">
              <w:t xml:space="preserve">The Department of Social Services should supplement the Employment Services Assessment with the Personal and Social Performance Scale or similar instrument to more accurately assess the employability of </w:t>
            </w:r>
            <w:r w:rsidR="003B29F0">
              <w:t>participants</w:t>
            </w:r>
            <w:r w:rsidR="003B29F0" w:rsidRPr="003A0F00">
              <w:t xml:space="preserve"> </w:t>
            </w:r>
            <w:r w:rsidRPr="003A0F00">
              <w:t>with mental illness.</w:t>
            </w:r>
          </w:p>
          <w:p w14:paraId="6D7232FA" w14:textId="1E1D88C6" w:rsidR="00D41518" w:rsidRPr="00D41518" w:rsidRDefault="004422C8" w:rsidP="009121CD">
            <w:pPr>
              <w:pStyle w:val="RecBullet"/>
              <w:rPr>
                <w:szCs w:val="24"/>
              </w:rPr>
            </w:pPr>
            <w:r>
              <w:t>Once</w:t>
            </w:r>
            <w:r w:rsidR="006D6480" w:rsidRPr="006D6480">
              <w:t xml:space="preserve"> the </w:t>
            </w:r>
            <w:r w:rsidR="002019F6">
              <w:t>new m</w:t>
            </w:r>
            <w:r w:rsidR="006D6480" w:rsidRPr="006D6480">
              <w:t xml:space="preserve">ental </w:t>
            </w:r>
            <w:r w:rsidR="002019F6">
              <w:t>h</w:t>
            </w:r>
            <w:r w:rsidR="006D6480" w:rsidRPr="006D6480">
              <w:t xml:space="preserve">ealth </w:t>
            </w:r>
            <w:r w:rsidR="002019F6">
              <w:t>a</w:t>
            </w:r>
            <w:r w:rsidR="006D6480" w:rsidRPr="006D6480">
              <w:t xml:space="preserve">ssessment </w:t>
            </w:r>
            <w:r w:rsidR="002019F6">
              <w:t>tool</w:t>
            </w:r>
            <w:r w:rsidR="006D6480" w:rsidRPr="006D6480">
              <w:t xml:space="preserve"> is developed and </w:t>
            </w:r>
            <w:r>
              <w:t>in common use (</w:t>
            </w:r>
            <w:r w:rsidR="009B273D">
              <w:t xml:space="preserve">action </w:t>
            </w:r>
            <w:r w:rsidR="003B29F0">
              <w:t>10</w:t>
            </w:r>
            <w:r>
              <w:t>.</w:t>
            </w:r>
            <w:r w:rsidR="00055F7D">
              <w:t>4</w:t>
            </w:r>
            <w:r>
              <w:t>)</w:t>
            </w:r>
            <w:r w:rsidR="006D6480" w:rsidRPr="006D6480">
              <w:t xml:space="preserve">, </w:t>
            </w:r>
            <w:r w:rsidR="003B29F0">
              <w:t>participants</w:t>
            </w:r>
            <w:r w:rsidR="003B29F0" w:rsidRPr="003A0F00">
              <w:t xml:space="preserve"> </w:t>
            </w:r>
            <w:r w:rsidR="006D6480" w:rsidRPr="006D6480">
              <w:t xml:space="preserve">should be given a choice to share </w:t>
            </w:r>
            <w:r w:rsidR="00EA5A29">
              <w:t>the information</w:t>
            </w:r>
            <w:r w:rsidR="006D6480" w:rsidRPr="006D6480">
              <w:t xml:space="preserve"> contained </w:t>
            </w:r>
            <w:r w:rsidR="00EA5A29">
              <w:t>in their clinical assessment</w:t>
            </w:r>
            <w:r w:rsidR="006D6480" w:rsidRPr="006D6480">
              <w:t xml:space="preserve"> </w:t>
            </w:r>
            <w:r>
              <w:t xml:space="preserve">when completing </w:t>
            </w:r>
            <w:r w:rsidR="00EA5A29">
              <w:t xml:space="preserve">their employment </w:t>
            </w:r>
            <w:r>
              <w:t>assessment under the</w:t>
            </w:r>
            <w:r w:rsidR="006D6480" w:rsidRPr="006D6480">
              <w:t xml:space="preserve"> </w:t>
            </w:r>
            <w:r w:rsidRPr="00EA5A29">
              <w:t>Job Seeker Classification Index or the Employment Services Assessment</w:t>
            </w:r>
            <w:r w:rsidR="00EA5A29">
              <w:t>. Any sharing of information should require the</w:t>
            </w:r>
            <w:r w:rsidR="006D6480" w:rsidRPr="006D6480">
              <w:t xml:space="preserve"> </w:t>
            </w:r>
            <w:r w:rsidR="003B29F0">
              <w:t>participant’s</w:t>
            </w:r>
            <w:r w:rsidR="003B29F0" w:rsidRPr="003A0F00">
              <w:t xml:space="preserve"> </w:t>
            </w:r>
            <w:r w:rsidR="006D6480" w:rsidRPr="006D6480">
              <w:t xml:space="preserve">explicit consent. </w:t>
            </w:r>
          </w:p>
        </w:tc>
      </w:tr>
      <w:tr w:rsidR="00D41518" w:rsidRPr="00D41518" w14:paraId="3726BF2C"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0486819B" w14:textId="77777777" w:rsidR="00D41518" w:rsidRPr="00D41518" w:rsidRDefault="00D41518" w:rsidP="00D41518">
            <w:pPr>
              <w:keepNext/>
              <w:keepLines/>
              <w:spacing w:line="120" w:lineRule="exact"/>
              <w:jc w:val="both"/>
              <w:rPr>
                <w:rFonts w:ascii="Arial" w:hAnsi="Arial"/>
                <w:sz w:val="20"/>
                <w:szCs w:val="20"/>
              </w:rPr>
            </w:pPr>
          </w:p>
        </w:tc>
      </w:tr>
      <w:tr w:rsidR="00D41518" w:rsidRPr="00D41518" w14:paraId="3B550CA3" w14:textId="77777777" w:rsidTr="00462628">
        <w:tc>
          <w:tcPr>
            <w:tcW w:w="5000" w:type="pct"/>
            <w:tcBorders>
              <w:top w:val="single" w:sz="6" w:space="0" w:color="78A22F"/>
              <w:left w:val="nil"/>
              <w:bottom w:val="nil"/>
              <w:right w:val="nil"/>
            </w:tcBorders>
            <w:tcMar>
              <w:left w:w="170" w:type="dxa"/>
              <w:right w:w="170" w:type="dxa"/>
            </w:tcMar>
          </w:tcPr>
          <w:p w14:paraId="6480C6BC" w14:textId="77777777" w:rsidR="00D41518" w:rsidRPr="00D41518" w:rsidRDefault="00D41518" w:rsidP="00D41518">
            <w:pPr>
              <w:keepLines/>
              <w:spacing w:before="60" w:after="60" w:line="80" w:lineRule="exact"/>
              <w:jc w:val="both"/>
              <w:rPr>
                <w:rFonts w:ascii="Arial" w:hAnsi="Arial"/>
                <w:sz w:val="14"/>
                <w:szCs w:val="20"/>
              </w:rPr>
            </w:pPr>
          </w:p>
        </w:tc>
      </w:tr>
    </w:tbl>
    <w:p w14:paraId="48D2AA19" w14:textId="77777777" w:rsidR="00D41518" w:rsidRPr="00D41518" w:rsidRDefault="00D41518" w:rsidP="001A5E28">
      <w:pPr>
        <w:pStyle w:val="BoxSpaceAbove"/>
        <w:keepLines/>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D41518" w:rsidRPr="005E64FD" w14:paraId="70E4CA96" w14:textId="77777777" w:rsidTr="00462628">
        <w:trPr>
          <w:tblHeader/>
        </w:trPr>
        <w:tc>
          <w:tcPr>
            <w:tcW w:w="5000" w:type="pct"/>
            <w:tcBorders>
              <w:top w:val="single" w:sz="6" w:space="0" w:color="78A22F"/>
              <w:left w:val="nil"/>
              <w:bottom w:val="nil"/>
              <w:right w:val="nil"/>
            </w:tcBorders>
            <w:shd w:val="clear" w:color="auto" w:fill="auto"/>
            <w:tcMar>
              <w:left w:w="170" w:type="dxa"/>
              <w:right w:w="170" w:type="dxa"/>
            </w:tcMar>
          </w:tcPr>
          <w:p w14:paraId="54D4559A" w14:textId="4B9C7FEE" w:rsidR="00D41518" w:rsidRPr="005E64FD" w:rsidRDefault="000A2A93" w:rsidP="005E64FD">
            <w:pPr>
              <w:pStyle w:val="RecTitle"/>
              <w:spacing w:before="120"/>
              <w:rPr>
                <w:b/>
                <w:color w:val="3B5117"/>
              </w:rPr>
            </w:pPr>
            <w:r w:rsidRPr="005E64FD">
              <w:rPr>
                <w:b/>
                <w:color w:val="3B5117"/>
              </w:rPr>
              <w:t>action</w:t>
            </w:r>
            <w:r w:rsidRPr="005E64FD" w:rsidDel="000A2A93">
              <w:rPr>
                <w:b/>
                <w:color w:val="3B5117"/>
              </w:rPr>
              <w:t xml:space="preserve"> </w:t>
            </w:r>
            <w:r w:rsidR="00CA1A76" w:rsidRPr="005E64FD">
              <w:rPr>
                <w:b/>
                <w:color w:val="3B5117"/>
              </w:rPr>
              <w:t>19</w:t>
            </w:r>
            <w:r w:rsidR="00D41518" w:rsidRPr="005E64FD">
              <w:rPr>
                <w:b/>
                <w:color w:val="3B5117"/>
              </w:rPr>
              <w:t>.2</w:t>
            </w:r>
            <w:r w:rsidR="00CE7986">
              <w:rPr>
                <w:b/>
                <w:color w:val="3B5117"/>
              </w:rPr>
              <w:t> — </w:t>
            </w:r>
            <w:r w:rsidR="00D41518" w:rsidRPr="005E64FD">
              <w:rPr>
                <w:b/>
                <w:color w:val="3B5117"/>
              </w:rPr>
              <w:t xml:space="preserve">tailor ONLINE employment </w:t>
            </w:r>
            <w:r w:rsidR="00395C32" w:rsidRPr="005E64FD">
              <w:rPr>
                <w:b/>
                <w:color w:val="3B5117"/>
              </w:rPr>
              <w:t xml:space="preserve">support </w:t>
            </w:r>
          </w:p>
        </w:tc>
      </w:tr>
      <w:tr w:rsidR="00D41518" w:rsidRPr="00D41518" w14:paraId="69B0A367" w14:textId="77777777" w:rsidTr="00462628">
        <w:tc>
          <w:tcPr>
            <w:tcW w:w="5000" w:type="pct"/>
            <w:tcBorders>
              <w:top w:val="nil"/>
              <w:left w:val="nil"/>
              <w:bottom w:val="nil"/>
              <w:right w:val="nil"/>
            </w:tcBorders>
            <w:shd w:val="clear" w:color="auto" w:fill="F2F2F2"/>
            <w:tcMar>
              <w:left w:w="170" w:type="dxa"/>
              <w:right w:w="170" w:type="dxa"/>
            </w:tcMar>
          </w:tcPr>
          <w:p w14:paraId="143CCDF0" w14:textId="337AAF91" w:rsidR="00D41518" w:rsidRPr="00D41518" w:rsidRDefault="00D41518" w:rsidP="001A5E28">
            <w:pPr>
              <w:pStyle w:val="Rec"/>
              <w:keepNext/>
            </w:pPr>
            <w:r w:rsidRPr="00D41518">
              <w:t xml:space="preserve">Ongoing development of the New Employment Services should </w:t>
            </w:r>
            <w:r w:rsidR="00055F7D">
              <w:t xml:space="preserve">explicitly </w:t>
            </w:r>
            <w:r w:rsidRPr="00D41518">
              <w:t xml:space="preserve">consider the needs of participants with mental illness. </w:t>
            </w:r>
          </w:p>
          <w:p w14:paraId="7BB523F6" w14:textId="77777777" w:rsidR="00D41518" w:rsidRPr="00D41518" w:rsidRDefault="00881F9C" w:rsidP="001A5E28">
            <w:pPr>
              <w:pStyle w:val="Rec"/>
              <w:keepNext/>
              <w:rPr>
                <w:i/>
              </w:rPr>
            </w:pPr>
            <w:r w:rsidRPr="00881F9C">
              <w:rPr>
                <w:i/>
              </w:rPr>
              <w:t>Start now</w:t>
            </w:r>
          </w:p>
          <w:p w14:paraId="6F3181E9" w14:textId="77777777" w:rsidR="00D41518" w:rsidRPr="00D41518" w:rsidRDefault="00D41518" w:rsidP="001A5E28">
            <w:pPr>
              <w:pStyle w:val="Rec"/>
              <w:keepNext/>
            </w:pPr>
            <w:r w:rsidRPr="00D41518">
              <w:t xml:space="preserve">As part of the national rollout of New Employment Services, and drawing on evidence of the trial underway from 2019 to 2022, the Department of </w:t>
            </w:r>
            <w:r w:rsidR="003E6630">
              <w:t xml:space="preserve">Education, </w:t>
            </w:r>
            <w:r w:rsidR="003E6630" w:rsidRPr="00D41518">
              <w:t>Skills</w:t>
            </w:r>
            <w:r w:rsidR="003E6630">
              <w:t xml:space="preserve"> and</w:t>
            </w:r>
            <w:r w:rsidR="003E6630" w:rsidRPr="00D41518">
              <w:t xml:space="preserve"> </w:t>
            </w:r>
            <w:r w:rsidRPr="00D41518">
              <w:t>Employment should:</w:t>
            </w:r>
          </w:p>
          <w:p w14:paraId="5951B710" w14:textId="77777777" w:rsidR="007E310B" w:rsidRPr="00D41518" w:rsidRDefault="007E310B" w:rsidP="001A5E28">
            <w:pPr>
              <w:pStyle w:val="RecBullet"/>
              <w:keepNext/>
            </w:pPr>
            <w:r w:rsidRPr="00D41518">
              <w:t xml:space="preserve">ensure participants with inadequate digital literacy and/or mental illness </w:t>
            </w:r>
            <w:r w:rsidR="00EA5A29">
              <w:t xml:space="preserve">are able to choose to </w:t>
            </w:r>
            <w:r w:rsidRPr="00D41518">
              <w:t>maintain access to face-to-face services</w:t>
            </w:r>
          </w:p>
          <w:p w14:paraId="2EE8BE8D" w14:textId="77777777" w:rsidR="006D6480" w:rsidRDefault="006D6480" w:rsidP="001A5E28">
            <w:pPr>
              <w:pStyle w:val="RecBullet"/>
              <w:keepNext/>
            </w:pPr>
            <w:r w:rsidRPr="006D6480">
              <w:t>not allocate any participants who have reported a mental illness to Digital First unless they have chosen this stream or been determined to not be at high risk of long-term unemployment (potentially through an in-person assessment by the Job Seeker Classification Instrument or Employment Services Assessment)</w:t>
            </w:r>
          </w:p>
          <w:p w14:paraId="31E2E39E" w14:textId="77777777" w:rsidR="006B73AB" w:rsidRDefault="007E310B" w:rsidP="001A5E28">
            <w:pPr>
              <w:pStyle w:val="RecBullet"/>
              <w:keepNext/>
            </w:pPr>
            <w:r w:rsidRPr="00D41518">
              <w:t>assess the potential for online peer group support for participants with mental illness as part of the Digital First software</w:t>
            </w:r>
          </w:p>
          <w:p w14:paraId="6842E74F" w14:textId="0DCBCB1E" w:rsidR="00D41518" w:rsidRPr="007E310B" w:rsidRDefault="006B73AB" w:rsidP="001A5E28">
            <w:pPr>
              <w:pStyle w:val="RecBullet"/>
              <w:keepNext/>
            </w:pPr>
            <w:r w:rsidRPr="00D41518">
              <w:t xml:space="preserve">ensure scope for participants to inform service providers of </w:t>
            </w:r>
            <w:r>
              <w:t>a</w:t>
            </w:r>
            <w:r w:rsidRPr="00D41518">
              <w:t xml:space="preserve"> relapse in mental illness in a timely manner</w:t>
            </w:r>
            <w:r>
              <w:t>.</w:t>
            </w:r>
            <w:r w:rsidRPr="00D41518">
              <w:t xml:space="preserve"> </w:t>
            </w:r>
          </w:p>
        </w:tc>
      </w:tr>
      <w:tr w:rsidR="00D41518" w:rsidRPr="00D41518" w14:paraId="2D2AFCBF"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3879A13A" w14:textId="77777777" w:rsidR="00D41518" w:rsidRPr="00D41518" w:rsidRDefault="00D41518" w:rsidP="001A5E28">
            <w:pPr>
              <w:keepNext/>
              <w:keepLines/>
              <w:spacing w:line="120" w:lineRule="exact"/>
              <w:jc w:val="both"/>
              <w:rPr>
                <w:rFonts w:ascii="Arial" w:hAnsi="Arial"/>
                <w:sz w:val="20"/>
                <w:szCs w:val="20"/>
              </w:rPr>
            </w:pPr>
          </w:p>
        </w:tc>
      </w:tr>
      <w:tr w:rsidR="00D41518" w:rsidRPr="00D41518" w14:paraId="5650261B" w14:textId="77777777" w:rsidTr="00462628">
        <w:tc>
          <w:tcPr>
            <w:tcW w:w="5000" w:type="pct"/>
            <w:tcBorders>
              <w:top w:val="single" w:sz="6" w:space="0" w:color="78A22F"/>
              <w:left w:val="nil"/>
              <w:bottom w:val="nil"/>
              <w:right w:val="nil"/>
            </w:tcBorders>
            <w:tcMar>
              <w:left w:w="170" w:type="dxa"/>
              <w:right w:w="170" w:type="dxa"/>
            </w:tcMar>
          </w:tcPr>
          <w:p w14:paraId="652EFA95" w14:textId="77777777" w:rsidR="00D41518" w:rsidRPr="00D41518" w:rsidRDefault="00D41518" w:rsidP="001A5E28">
            <w:pPr>
              <w:keepNext/>
              <w:keepLines/>
              <w:spacing w:before="60" w:after="60" w:line="80" w:lineRule="exact"/>
              <w:jc w:val="both"/>
              <w:rPr>
                <w:rFonts w:ascii="Arial" w:hAnsi="Arial"/>
                <w:sz w:val="14"/>
                <w:szCs w:val="20"/>
              </w:rPr>
            </w:pPr>
          </w:p>
        </w:tc>
      </w:tr>
    </w:tbl>
    <w:p w14:paraId="5BD2BCF0" w14:textId="77777777" w:rsidR="00D41518" w:rsidRDefault="00D41518" w:rsidP="00F00D7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3E6630" w:rsidRPr="005E64FD" w14:paraId="2DDA72A7" w14:textId="77777777" w:rsidTr="00036AEC">
        <w:trPr>
          <w:tblHeader/>
        </w:trPr>
        <w:tc>
          <w:tcPr>
            <w:tcW w:w="5000" w:type="pct"/>
            <w:tcBorders>
              <w:top w:val="single" w:sz="6" w:space="0" w:color="78A22F"/>
              <w:left w:val="nil"/>
              <w:bottom w:val="nil"/>
              <w:right w:val="nil"/>
            </w:tcBorders>
            <w:shd w:val="clear" w:color="auto" w:fill="auto"/>
            <w:tcMar>
              <w:left w:w="170" w:type="dxa"/>
              <w:right w:w="170" w:type="dxa"/>
            </w:tcMar>
          </w:tcPr>
          <w:p w14:paraId="3EA728F1" w14:textId="592978AD" w:rsidR="003E6630" w:rsidRPr="005E64FD" w:rsidRDefault="000A2A93" w:rsidP="005E64FD">
            <w:pPr>
              <w:pStyle w:val="RecTitle"/>
              <w:spacing w:before="120"/>
              <w:rPr>
                <w:b/>
                <w:color w:val="3B5117"/>
              </w:rPr>
            </w:pPr>
            <w:r w:rsidRPr="005E64FD">
              <w:rPr>
                <w:b/>
                <w:color w:val="3B5117"/>
              </w:rPr>
              <w:t>action</w:t>
            </w:r>
            <w:r w:rsidRPr="005E64FD" w:rsidDel="000A2A93">
              <w:rPr>
                <w:b/>
                <w:color w:val="3B5117"/>
              </w:rPr>
              <w:t xml:space="preserve"> </w:t>
            </w:r>
            <w:r w:rsidR="00CA1A76" w:rsidRPr="005E64FD">
              <w:rPr>
                <w:b/>
                <w:color w:val="3B5117"/>
              </w:rPr>
              <w:t>19</w:t>
            </w:r>
            <w:r w:rsidR="003E6630" w:rsidRPr="005E64FD">
              <w:rPr>
                <w:b/>
                <w:color w:val="3B5117"/>
              </w:rPr>
              <w:t>.3</w:t>
            </w:r>
            <w:r w:rsidR="00CE7986">
              <w:rPr>
                <w:b/>
                <w:color w:val="3B5117"/>
              </w:rPr>
              <w:t> — </w:t>
            </w:r>
            <w:r w:rsidR="003E6630" w:rsidRPr="005E64FD">
              <w:rPr>
                <w:b/>
                <w:color w:val="3B5117"/>
              </w:rPr>
              <w:t>MUTUAL OBLIGATION REQUIREMENTS</w:t>
            </w:r>
          </w:p>
        </w:tc>
      </w:tr>
      <w:tr w:rsidR="003E6630" w:rsidRPr="003E6630" w14:paraId="2C46A64E" w14:textId="77777777" w:rsidTr="00036AEC">
        <w:tc>
          <w:tcPr>
            <w:tcW w:w="5000" w:type="pct"/>
            <w:tcBorders>
              <w:top w:val="nil"/>
              <w:left w:val="nil"/>
              <w:bottom w:val="nil"/>
              <w:right w:val="nil"/>
            </w:tcBorders>
            <w:shd w:val="clear" w:color="auto" w:fill="F2F2F2"/>
            <w:tcMar>
              <w:left w:w="170" w:type="dxa"/>
              <w:right w:w="170" w:type="dxa"/>
            </w:tcMar>
          </w:tcPr>
          <w:p w14:paraId="44C324EA" w14:textId="28E7023B" w:rsidR="004B035B" w:rsidRPr="009121CD" w:rsidRDefault="004B035B" w:rsidP="001A5E28">
            <w:pPr>
              <w:pStyle w:val="Rec"/>
              <w:rPr>
                <w:iCs/>
              </w:rPr>
            </w:pPr>
            <w:r>
              <w:t xml:space="preserve">Mutual obligation requirements need to be adjusted so that they better </w:t>
            </w:r>
            <w:r w:rsidR="00113ED0">
              <w:t>assist</w:t>
            </w:r>
            <w:r>
              <w:t xml:space="preserve"> j</w:t>
            </w:r>
            <w:r w:rsidRPr="00D9298F">
              <w:t xml:space="preserve">ob seekers with complex </w:t>
            </w:r>
            <w:r>
              <w:t xml:space="preserve">mental health </w:t>
            </w:r>
            <w:r w:rsidRPr="00D9298F">
              <w:t>needs</w:t>
            </w:r>
            <w:r>
              <w:t xml:space="preserve"> to find employment.</w:t>
            </w:r>
          </w:p>
          <w:p w14:paraId="4BB9CFD8" w14:textId="32676CBC" w:rsidR="004B035B" w:rsidRDefault="00881F9C" w:rsidP="001A5E28">
            <w:pPr>
              <w:pStyle w:val="Rec"/>
              <w:rPr>
                <w:i/>
              </w:rPr>
            </w:pPr>
            <w:r w:rsidRPr="00881F9C">
              <w:rPr>
                <w:i/>
              </w:rPr>
              <w:t>Start now</w:t>
            </w:r>
          </w:p>
          <w:p w14:paraId="306D46FD" w14:textId="3BEA0A15" w:rsidR="003E6630" w:rsidRPr="003E6630" w:rsidRDefault="003E6630" w:rsidP="001A5E28">
            <w:pPr>
              <w:pStyle w:val="Rec"/>
            </w:pPr>
            <w:r w:rsidRPr="003E6630">
              <w:t xml:space="preserve">The Departments of Human Services; Social Services; and </w:t>
            </w:r>
            <w:r>
              <w:t xml:space="preserve">Education, </w:t>
            </w:r>
            <w:r w:rsidRPr="003E6630">
              <w:t>Skills</w:t>
            </w:r>
            <w:r>
              <w:t xml:space="preserve"> a</w:t>
            </w:r>
            <w:r w:rsidR="00B27360">
              <w:t>n</w:t>
            </w:r>
            <w:r>
              <w:t>d</w:t>
            </w:r>
            <w:r w:rsidRPr="003E6630">
              <w:t xml:space="preserve"> Employment should:</w:t>
            </w:r>
          </w:p>
          <w:p w14:paraId="6B4914F9" w14:textId="77777777" w:rsidR="003E6630" w:rsidRPr="003E6630" w:rsidRDefault="003E6630" w:rsidP="001A5E28">
            <w:pPr>
              <w:pStyle w:val="RecBullet"/>
            </w:pPr>
            <w:r w:rsidRPr="003E6630">
              <w:t xml:space="preserve">provide greater flexibility in the application of the Targeted Compliance Framework </w:t>
            </w:r>
            <w:r w:rsidR="006D6480">
              <w:t>and Job Seeker Compliance Framework</w:t>
            </w:r>
            <w:r w:rsidRPr="003E6630">
              <w:t xml:space="preserve"> for job</w:t>
            </w:r>
            <w:r w:rsidR="00EA5A29">
              <w:t xml:space="preserve"> </w:t>
            </w:r>
            <w:r w:rsidRPr="003E6630">
              <w:t>seekers experiencing mental illness</w:t>
            </w:r>
          </w:p>
          <w:p w14:paraId="6DB69615" w14:textId="77777777" w:rsidR="003E6630" w:rsidRPr="003E6630" w:rsidRDefault="003E6630" w:rsidP="001A5E28">
            <w:pPr>
              <w:pStyle w:val="RecBullet"/>
            </w:pPr>
            <w:r w:rsidRPr="003E6630">
              <w:t xml:space="preserve">assess systematically whether employment </w:t>
            </w:r>
            <w:r w:rsidR="00395C32">
              <w:t>support</w:t>
            </w:r>
            <w:r w:rsidR="00395C32" w:rsidRPr="003E6630">
              <w:t xml:space="preserve"> </w:t>
            </w:r>
            <w:r w:rsidRPr="003E6630">
              <w:t>providers are meeting their obligations to provide personalised Job Plans that go beyond compliance, targeted at job</w:t>
            </w:r>
            <w:r w:rsidR="00EA5A29">
              <w:t xml:space="preserve"> </w:t>
            </w:r>
            <w:r w:rsidRPr="003E6630">
              <w:t>seekers with complex needs</w:t>
            </w:r>
          </w:p>
          <w:p w14:paraId="10A886C3" w14:textId="1C91A478" w:rsidR="003E6630" w:rsidRPr="003E6630" w:rsidRDefault="003E6630" w:rsidP="001A5E28">
            <w:pPr>
              <w:pStyle w:val="RecBullet"/>
            </w:pPr>
            <w:r w:rsidRPr="003E6630">
              <w:t xml:space="preserve">extend </w:t>
            </w:r>
            <w:r w:rsidR="00EA5A29">
              <w:t>to five</w:t>
            </w:r>
            <w:r w:rsidR="00EA5A29" w:rsidRPr="003E6630">
              <w:t xml:space="preserve"> business days </w:t>
            </w:r>
            <w:r w:rsidRPr="003E6630">
              <w:t xml:space="preserve">the period of time that job seekers with </w:t>
            </w:r>
            <w:r w:rsidR="00C8238A">
              <w:t>both mental illness and</w:t>
            </w:r>
            <w:r w:rsidR="006D6480">
              <w:t xml:space="preserve"> </w:t>
            </w:r>
            <w:r w:rsidRPr="003E6630">
              <w:t>complex needs have to consider and propose changes to their Job Plan.</w:t>
            </w:r>
          </w:p>
        </w:tc>
      </w:tr>
      <w:tr w:rsidR="003E6630" w:rsidRPr="003E6630" w14:paraId="5CA2B1FA" w14:textId="77777777" w:rsidTr="003B3426">
        <w:tc>
          <w:tcPr>
            <w:tcW w:w="5000" w:type="pct"/>
            <w:tcBorders>
              <w:top w:val="nil"/>
              <w:left w:val="nil"/>
              <w:bottom w:val="single" w:sz="4" w:space="0" w:color="78A22F"/>
              <w:right w:val="nil"/>
            </w:tcBorders>
            <w:shd w:val="clear" w:color="auto" w:fill="F2F2F2" w:themeFill="background1" w:themeFillShade="F2"/>
            <w:tcMar>
              <w:left w:w="170" w:type="dxa"/>
              <w:right w:w="170" w:type="dxa"/>
            </w:tcMar>
          </w:tcPr>
          <w:p w14:paraId="2D66D268" w14:textId="77777777" w:rsidR="003E6630" w:rsidRPr="003E6630" w:rsidRDefault="003E6630" w:rsidP="003E6630">
            <w:pPr>
              <w:keepNext/>
              <w:keepLines/>
              <w:spacing w:line="120" w:lineRule="exact"/>
              <w:jc w:val="both"/>
              <w:rPr>
                <w:rFonts w:ascii="Arial" w:hAnsi="Arial"/>
                <w:sz w:val="20"/>
                <w:szCs w:val="20"/>
              </w:rPr>
            </w:pPr>
          </w:p>
        </w:tc>
      </w:tr>
      <w:tr w:rsidR="003E6630" w:rsidRPr="003E6630" w14:paraId="5D357CDD" w14:textId="77777777" w:rsidTr="00036AEC">
        <w:tc>
          <w:tcPr>
            <w:tcW w:w="5000" w:type="pct"/>
            <w:tcBorders>
              <w:top w:val="single" w:sz="4" w:space="0" w:color="78A22F"/>
              <w:left w:val="nil"/>
              <w:bottom w:val="nil"/>
              <w:right w:val="nil"/>
            </w:tcBorders>
            <w:tcMar>
              <w:left w:w="170" w:type="dxa"/>
              <w:right w:w="170" w:type="dxa"/>
            </w:tcMar>
          </w:tcPr>
          <w:p w14:paraId="6892A79F" w14:textId="77777777" w:rsidR="003E6630" w:rsidRPr="003E6630" w:rsidRDefault="003E6630" w:rsidP="003E6630">
            <w:pPr>
              <w:keepLines/>
              <w:spacing w:before="60" w:after="60" w:line="80" w:lineRule="exact"/>
              <w:jc w:val="both"/>
              <w:rPr>
                <w:rFonts w:ascii="Arial" w:hAnsi="Arial"/>
                <w:sz w:val="14"/>
                <w:szCs w:val="20"/>
              </w:rPr>
            </w:pPr>
          </w:p>
        </w:tc>
      </w:tr>
    </w:tbl>
    <w:p w14:paraId="68041F05" w14:textId="77777777" w:rsidR="003E6630" w:rsidRPr="00D41518" w:rsidRDefault="003E6630" w:rsidP="00C56499">
      <w:pPr>
        <w:pStyle w:val="BoxSpaceAbove"/>
        <w:keepLines/>
        <w:pageBreakBefor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D41518" w:rsidRPr="005E64FD" w14:paraId="50A5E8BF" w14:textId="77777777" w:rsidTr="00462628">
        <w:trPr>
          <w:tblHeader/>
        </w:trPr>
        <w:tc>
          <w:tcPr>
            <w:tcW w:w="5000" w:type="pct"/>
            <w:tcBorders>
              <w:top w:val="single" w:sz="6" w:space="0" w:color="78A22F"/>
              <w:left w:val="nil"/>
              <w:bottom w:val="nil"/>
              <w:right w:val="nil"/>
            </w:tcBorders>
            <w:shd w:val="clear" w:color="auto" w:fill="auto"/>
            <w:tcMar>
              <w:left w:w="170" w:type="dxa"/>
              <w:right w:w="170" w:type="dxa"/>
            </w:tcMar>
          </w:tcPr>
          <w:p w14:paraId="012702DF" w14:textId="63017E00" w:rsidR="00D41518" w:rsidRPr="005E64FD" w:rsidRDefault="000A2A93" w:rsidP="009121CD">
            <w:pPr>
              <w:pStyle w:val="RecTitle"/>
              <w:spacing w:before="120"/>
              <w:rPr>
                <w:b/>
                <w:color w:val="3B5117"/>
              </w:rPr>
            </w:pPr>
            <w:r w:rsidRPr="005E64FD">
              <w:rPr>
                <w:b/>
                <w:color w:val="3B5117"/>
              </w:rPr>
              <w:t>action</w:t>
            </w:r>
            <w:r w:rsidRPr="005E64FD" w:rsidDel="000A2A93">
              <w:rPr>
                <w:b/>
                <w:color w:val="3B5117"/>
              </w:rPr>
              <w:t xml:space="preserve"> </w:t>
            </w:r>
            <w:r w:rsidR="00CA1A76" w:rsidRPr="005E64FD">
              <w:rPr>
                <w:b/>
                <w:color w:val="3B5117"/>
              </w:rPr>
              <w:t>19</w:t>
            </w:r>
            <w:r w:rsidR="00D41518" w:rsidRPr="005E64FD">
              <w:rPr>
                <w:b/>
                <w:color w:val="3B5117"/>
              </w:rPr>
              <w:t>.</w:t>
            </w:r>
            <w:r w:rsidR="003E6630" w:rsidRPr="005E64FD">
              <w:rPr>
                <w:b/>
                <w:color w:val="3B5117"/>
              </w:rPr>
              <w:t>4</w:t>
            </w:r>
            <w:r w:rsidR="00CE7986">
              <w:rPr>
                <w:b/>
                <w:color w:val="3B5117"/>
              </w:rPr>
              <w:t> — </w:t>
            </w:r>
            <w:r w:rsidR="00D41518" w:rsidRPr="005E64FD">
              <w:rPr>
                <w:b/>
                <w:color w:val="3B5117"/>
              </w:rPr>
              <w:t xml:space="preserve">staged rollout of </w:t>
            </w:r>
            <w:r w:rsidR="009121CD">
              <w:rPr>
                <w:b/>
                <w:color w:val="3B5117"/>
              </w:rPr>
              <w:t>the</w:t>
            </w:r>
            <w:r w:rsidR="001D796A" w:rsidRPr="005E64FD">
              <w:rPr>
                <w:b/>
                <w:color w:val="3B5117"/>
              </w:rPr>
              <w:t xml:space="preserve"> </w:t>
            </w:r>
            <w:r w:rsidR="00D41518" w:rsidRPr="005E64FD">
              <w:rPr>
                <w:b/>
                <w:color w:val="3B5117"/>
              </w:rPr>
              <w:t xml:space="preserve">individual Placement and Support </w:t>
            </w:r>
            <w:r w:rsidR="001D796A" w:rsidRPr="005E64FD">
              <w:rPr>
                <w:b/>
                <w:color w:val="3B5117"/>
              </w:rPr>
              <w:t xml:space="preserve">program </w:t>
            </w:r>
          </w:p>
        </w:tc>
      </w:tr>
      <w:tr w:rsidR="00D41518" w:rsidRPr="00D41518" w14:paraId="319C04CD" w14:textId="77777777" w:rsidTr="00462628">
        <w:tc>
          <w:tcPr>
            <w:tcW w:w="5000" w:type="pct"/>
            <w:tcBorders>
              <w:top w:val="nil"/>
              <w:left w:val="nil"/>
              <w:bottom w:val="nil"/>
              <w:right w:val="nil"/>
            </w:tcBorders>
            <w:shd w:val="clear" w:color="auto" w:fill="F2F2F2"/>
            <w:tcMar>
              <w:left w:w="170" w:type="dxa"/>
              <w:right w:w="170" w:type="dxa"/>
            </w:tcMar>
          </w:tcPr>
          <w:p w14:paraId="2E83A846" w14:textId="77777777" w:rsidR="009121CD" w:rsidRPr="00D41518" w:rsidRDefault="009121CD" w:rsidP="009121CD">
            <w:pPr>
              <w:pStyle w:val="Rec"/>
            </w:pPr>
            <w:r w:rsidRPr="00D41518">
              <w:t xml:space="preserve">The Individual Placement and Support (IPS) model of employment support should be extended beyond its current limited application through a staged rollout to (potentially) all </w:t>
            </w:r>
            <w:r>
              <w:t xml:space="preserve">relevant </w:t>
            </w:r>
            <w:r w:rsidRPr="00D41518">
              <w:t xml:space="preserve">State and Territory Government community </w:t>
            </w:r>
            <w:r>
              <w:t>ambulatory</w:t>
            </w:r>
            <w:r w:rsidRPr="00D41518">
              <w:t xml:space="preserve"> mental health</w:t>
            </w:r>
            <w:r>
              <w:t>care services</w:t>
            </w:r>
            <w:r w:rsidRPr="00D41518">
              <w:t xml:space="preserve">. </w:t>
            </w:r>
          </w:p>
          <w:p w14:paraId="0BDB5FCC" w14:textId="77777777" w:rsidR="009121CD" w:rsidRPr="00D41518" w:rsidRDefault="009121CD" w:rsidP="009121CD">
            <w:pPr>
              <w:pStyle w:val="Rec"/>
              <w:rPr>
                <w:i/>
              </w:rPr>
            </w:pPr>
            <w:r>
              <w:rPr>
                <w:i/>
              </w:rPr>
              <w:t>Start now</w:t>
            </w:r>
          </w:p>
          <w:p w14:paraId="79F6CAD4" w14:textId="15A0C58E" w:rsidR="009121CD" w:rsidRPr="00D41518" w:rsidRDefault="009121CD" w:rsidP="009121CD">
            <w:pPr>
              <w:pStyle w:val="RecBullet"/>
            </w:pPr>
            <w:r w:rsidRPr="00D41518">
              <w:t>Governments should</w:t>
            </w:r>
            <w:r>
              <w:t xml:space="preserve"> roll</w:t>
            </w:r>
            <w:r w:rsidR="00A5207E">
              <w:t xml:space="preserve"> </w:t>
            </w:r>
            <w:r>
              <w:t>out and review</w:t>
            </w:r>
            <w:r w:rsidRPr="00D41518">
              <w:t xml:space="preserve"> the IPS program to better establish the factors that influence its cost-effectiveness</w:t>
            </w:r>
            <w:r>
              <w:t xml:space="preserve"> to different demographic groups</w:t>
            </w:r>
            <w:r w:rsidRPr="00D41518">
              <w:t>.</w:t>
            </w:r>
          </w:p>
          <w:p w14:paraId="0BD0304A" w14:textId="77777777" w:rsidR="009121CD" w:rsidRPr="00D41518" w:rsidRDefault="009121CD" w:rsidP="009121CD">
            <w:pPr>
              <w:pStyle w:val="RecBullet"/>
              <w:rPr>
                <w:b/>
              </w:rPr>
            </w:pPr>
            <w:r w:rsidRPr="00D41518">
              <w:t>The program should initially be open to all non</w:t>
            </w:r>
            <w:r w:rsidRPr="00D41518">
              <w:noBreakHyphen/>
              <w:t xml:space="preserve">employed consumers of community </w:t>
            </w:r>
            <w:r>
              <w:t xml:space="preserve">ambulatory </w:t>
            </w:r>
            <w:r w:rsidRPr="00D41518">
              <w:t>mental health</w:t>
            </w:r>
            <w:r>
              <w:t>care</w:t>
            </w:r>
            <w:r w:rsidRPr="00D41518">
              <w:t xml:space="preserve"> services who express a desire to participate. Participation in the program should fulfil </w:t>
            </w:r>
            <w:r>
              <w:t xml:space="preserve">any </w:t>
            </w:r>
            <w:r w:rsidRPr="00D41518">
              <w:t>mutual obligation requirements for income support recipients.</w:t>
            </w:r>
          </w:p>
          <w:p w14:paraId="4CD9315E" w14:textId="77777777" w:rsidR="009121CD" w:rsidRDefault="009121CD" w:rsidP="009121CD">
            <w:pPr>
              <w:pStyle w:val="RecBullet"/>
            </w:pPr>
            <w:r>
              <w:t xml:space="preserve">IPS specialists should be directly employed by community ambulatory mental healthcare services. </w:t>
            </w:r>
          </w:p>
          <w:p w14:paraId="4347BC9D" w14:textId="77777777" w:rsidR="009121CD" w:rsidRPr="00D41518" w:rsidRDefault="009121CD" w:rsidP="009121CD">
            <w:pPr>
              <w:pStyle w:val="Rec"/>
              <w:rPr>
                <w:i/>
              </w:rPr>
            </w:pPr>
            <w:r>
              <w:rPr>
                <w:i/>
              </w:rPr>
              <w:t>Start later</w:t>
            </w:r>
          </w:p>
          <w:p w14:paraId="321BA83B" w14:textId="68D6D3DA" w:rsidR="009121CD" w:rsidRDefault="009121CD" w:rsidP="009121CD">
            <w:pPr>
              <w:pStyle w:val="RecBullet"/>
            </w:pPr>
            <w:r>
              <w:t>The</w:t>
            </w:r>
            <w:r w:rsidRPr="00D41518">
              <w:t xml:space="preserve"> IPS program </w:t>
            </w:r>
            <w:r>
              <w:t>roll</w:t>
            </w:r>
            <w:r w:rsidRPr="00D41518">
              <w:t xml:space="preserve">out </w:t>
            </w:r>
            <w:r>
              <w:t>should be accompanied by</w:t>
            </w:r>
            <w:r w:rsidRPr="00D41518">
              <w:t xml:space="preserve"> </w:t>
            </w:r>
            <w:r>
              <w:t>information</w:t>
            </w:r>
            <w:r w:rsidRPr="00D41518">
              <w:t xml:space="preserve"> shar</w:t>
            </w:r>
            <w:r>
              <w:t>ing</w:t>
            </w:r>
            <w:r w:rsidRPr="00D41518">
              <w:t xml:space="preserve"> </w:t>
            </w:r>
            <w:r>
              <w:t>between IPS sites</w:t>
            </w:r>
            <w:r w:rsidRPr="00D41518">
              <w:t xml:space="preserve"> </w:t>
            </w:r>
            <w:r w:rsidRPr="006D6480">
              <w:t xml:space="preserve">to </w:t>
            </w:r>
            <w:r>
              <w:t>allow dissemination of</w:t>
            </w:r>
            <w:r w:rsidRPr="00D41518">
              <w:t xml:space="preserve"> best practice. If </w:t>
            </w:r>
            <w:r>
              <w:t>a site does not demonstrate similar net</w:t>
            </w:r>
            <w:r w:rsidRPr="00D41518">
              <w:t xml:space="preserve"> benefits </w:t>
            </w:r>
            <w:r>
              <w:t>to the original IPS sites, the program’s</w:t>
            </w:r>
            <w:r w:rsidRPr="00D41518">
              <w:t xml:space="preserve"> design </w:t>
            </w:r>
            <w:r>
              <w:t xml:space="preserve">for that site </w:t>
            </w:r>
            <w:r w:rsidRPr="00D41518">
              <w:t>(and if necessary, its desirability) should be re-appraised.</w:t>
            </w:r>
          </w:p>
          <w:p w14:paraId="4E4113A8" w14:textId="6A11A710" w:rsidR="00D41518" w:rsidRPr="00D41518" w:rsidRDefault="009121CD" w:rsidP="009121CD">
            <w:pPr>
              <w:pStyle w:val="RecBullet"/>
            </w:pPr>
            <w:r>
              <w:t>Over the longer term, Governments should fund the IPS program on a fee-for-service basis, and require fidelity to the IPS model as a condition of this funding.</w:t>
            </w:r>
          </w:p>
        </w:tc>
      </w:tr>
      <w:tr w:rsidR="00D41518" w:rsidRPr="00D41518" w14:paraId="0C6B8683"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4970EE1C" w14:textId="77777777" w:rsidR="00D41518" w:rsidRPr="00D41518" w:rsidRDefault="00D41518" w:rsidP="001A5E28">
            <w:pPr>
              <w:keepNext/>
              <w:keepLines/>
              <w:spacing w:line="120" w:lineRule="exact"/>
              <w:jc w:val="both"/>
              <w:rPr>
                <w:rFonts w:ascii="Arial" w:hAnsi="Arial"/>
                <w:sz w:val="20"/>
                <w:szCs w:val="20"/>
              </w:rPr>
            </w:pPr>
          </w:p>
        </w:tc>
      </w:tr>
      <w:tr w:rsidR="00D41518" w:rsidRPr="00D41518" w14:paraId="5CF7A9AB" w14:textId="77777777" w:rsidTr="00462628">
        <w:tc>
          <w:tcPr>
            <w:tcW w:w="5000" w:type="pct"/>
            <w:tcBorders>
              <w:top w:val="single" w:sz="6" w:space="0" w:color="78A22F"/>
              <w:left w:val="nil"/>
              <w:bottom w:val="nil"/>
              <w:right w:val="nil"/>
            </w:tcBorders>
            <w:tcMar>
              <w:left w:w="170" w:type="dxa"/>
              <w:right w:w="170" w:type="dxa"/>
            </w:tcMar>
          </w:tcPr>
          <w:p w14:paraId="1413F701" w14:textId="77777777" w:rsidR="00D41518" w:rsidRPr="00D41518" w:rsidRDefault="00D41518" w:rsidP="001A5E28">
            <w:pPr>
              <w:keepNext/>
              <w:keepLines/>
              <w:spacing w:before="60" w:after="60" w:line="80" w:lineRule="exact"/>
              <w:jc w:val="both"/>
              <w:rPr>
                <w:rFonts w:ascii="Arial" w:hAnsi="Arial"/>
                <w:sz w:val="14"/>
                <w:szCs w:val="20"/>
              </w:rPr>
            </w:pPr>
          </w:p>
        </w:tc>
      </w:tr>
    </w:tbl>
    <w:p w14:paraId="2434E9D4" w14:textId="77777777" w:rsidR="00D41518" w:rsidRDefault="00D41518" w:rsidP="001A5E28">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A267E3" w:rsidRPr="005E64FD" w14:paraId="695F342B" w14:textId="77777777" w:rsidTr="00F627E4">
        <w:trPr>
          <w:tblHeader/>
        </w:trPr>
        <w:tc>
          <w:tcPr>
            <w:tcW w:w="5000" w:type="pct"/>
            <w:tcBorders>
              <w:top w:val="single" w:sz="6" w:space="0" w:color="78A22F"/>
              <w:left w:val="nil"/>
              <w:bottom w:val="nil"/>
              <w:right w:val="nil"/>
            </w:tcBorders>
            <w:shd w:val="clear" w:color="auto" w:fill="auto"/>
            <w:tcMar>
              <w:left w:w="170" w:type="dxa"/>
              <w:right w:w="170" w:type="dxa"/>
            </w:tcMar>
          </w:tcPr>
          <w:p w14:paraId="1CFB224A" w14:textId="33619D30" w:rsidR="00A267E3" w:rsidRPr="005E64FD" w:rsidRDefault="000A2A93" w:rsidP="005E64FD">
            <w:pPr>
              <w:pStyle w:val="RecTitle"/>
              <w:spacing w:before="120"/>
              <w:rPr>
                <w:b/>
                <w:color w:val="3B5117"/>
              </w:rPr>
            </w:pPr>
            <w:r w:rsidRPr="005E64FD">
              <w:rPr>
                <w:b/>
                <w:color w:val="3B5117"/>
              </w:rPr>
              <w:t xml:space="preserve">action </w:t>
            </w:r>
            <w:r w:rsidR="00A267E3" w:rsidRPr="005E64FD">
              <w:rPr>
                <w:b/>
                <w:color w:val="3B5117"/>
              </w:rPr>
              <w:t>1</w:t>
            </w:r>
            <w:r w:rsidR="00CA1A76" w:rsidRPr="005E64FD">
              <w:rPr>
                <w:b/>
                <w:color w:val="3B5117"/>
              </w:rPr>
              <w:t>9</w:t>
            </w:r>
            <w:r w:rsidR="00A267E3" w:rsidRPr="005E64FD">
              <w:rPr>
                <w:b/>
                <w:color w:val="3B5117"/>
              </w:rPr>
              <w:t>.5</w:t>
            </w:r>
            <w:r w:rsidR="00CE7986">
              <w:rPr>
                <w:b/>
                <w:color w:val="3B5117"/>
              </w:rPr>
              <w:t> — </w:t>
            </w:r>
            <w:r w:rsidR="00A267E3" w:rsidRPr="005E64FD">
              <w:rPr>
                <w:b/>
                <w:color w:val="3B5117"/>
              </w:rPr>
              <w:t xml:space="preserve">work incentives for dsp recipients </w:t>
            </w:r>
          </w:p>
        </w:tc>
      </w:tr>
      <w:tr w:rsidR="00A267E3" w:rsidRPr="003E6630" w14:paraId="3EB384AA" w14:textId="77777777" w:rsidTr="00F627E4">
        <w:tc>
          <w:tcPr>
            <w:tcW w:w="5000" w:type="pct"/>
            <w:tcBorders>
              <w:top w:val="nil"/>
              <w:left w:val="nil"/>
              <w:bottom w:val="nil"/>
              <w:right w:val="nil"/>
            </w:tcBorders>
            <w:shd w:val="clear" w:color="auto" w:fill="F2F2F2"/>
            <w:tcMar>
              <w:left w:w="170" w:type="dxa"/>
              <w:right w:w="170" w:type="dxa"/>
            </w:tcMar>
          </w:tcPr>
          <w:p w14:paraId="0B40B0B1" w14:textId="5CB78E55" w:rsidR="00542195" w:rsidRPr="00EC0583" w:rsidRDefault="00EE50FB" w:rsidP="005A57FC">
            <w:pPr>
              <w:pStyle w:val="Rec"/>
            </w:pPr>
            <w:r>
              <w:t>Disability Support Pension (</w:t>
            </w:r>
            <w:r w:rsidR="00542195">
              <w:t>DSP</w:t>
            </w:r>
            <w:r>
              <w:t>)</w:t>
            </w:r>
            <w:r w:rsidR="00542195">
              <w:t xml:space="preserve"> recipients</w:t>
            </w:r>
            <w:r>
              <w:t xml:space="preserve"> </w:t>
            </w:r>
            <w:r w:rsidR="00542195">
              <w:t xml:space="preserve">with a capacity to work </w:t>
            </w:r>
            <w:r>
              <w:t xml:space="preserve">should have improved incentives </w:t>
            </w:r>
            <w:r w:rsidR="00542195">
              <w:t>to find employment.</w:t>
            </w:r>
          </w:p>
          <w:p w14:paraId="046133CF" w14:textId="779787C6" w:rsidR="005A57FC" w:rsidRPr="00B534CB" w:rsidRDefault="00881F9C" w:rsidP="005A57FC">
            <w:pPr>
              <w:pStyle w:val="Rec"/>
              <w:rPr>
                <w:i/>
              </w:rPr>
            </w:pPr>
            <w:r>
              <w:rPr>
                <w:i/>
              </w:rPr>
              <w:t>Start now</w:t>
            </w:r>
          </w:p>
          <w:p w14:paraId="200D4C0A" w14:textId="3D503678" w:rsidR="00A267E3" w:rsidRDefault="00EE50FB" w:rsidP="001A5E28">
            <w:pPr>
              <w:pStyle w:val="Rec"/>
            </w:pPr>
            <w:r>
              <w:t xml:space="preserve">The Australian Government should </w:t>
            </w:r>
            <w:r w:rsidRPr="00203C0F">
              <w:t>increase</w:t>
            </w:r>
            <w:r>
              <w:t xml:space="preserve"> </w:t>
            </w:r>
            <w:r w:rsidR="00A267E3">
              <w:t>the weekly hour limit above which no DSP is payable from 30</w:t>
            </w:r>
            <w:r w:rsidR="005F59A7">
              <w:t> </w:t>
            </w:r>
            <w:r w:rsidR="00A267E3">
              <w:t>to 38</w:t>
            </w:r>
            <w:r w:rsidR="005F59A7">
              <w:t> </w:t>
            </w:r>
            <w:r w:rsidR="00A267E3">
              <w:t>ordinary full time hours of work</w:t>
            </w:r>
            <w:r w:rsidR="00B36685">
              <w:t>. T</w:t>
            </w:r>
            <w:r w:rsidR="00A267E3">
              <w:t xml:space="preserve">he requirement that a person </w:t>
            </w:r>
            <w:r w:rsidR="00B36685">
              <w:t>would</w:t>
            </w:r>
            <w:r w:rsidR="00A267E3">
              <w:t xml:space="preserve"> lose eligibility for the DSP if they work for more than 30</w:t>
            </w:r>
            <w:r w:rsidR="005A57FC">
              <w:t> </w:t>
            </w:r>
            <w:r w:rsidR="00A267E3">
              <w:t>hours per week for more than two years</w:t>
            </w:r>
            <w:r w:rsidR="00B36685">
              <w:t xml:space="preserve"> should be retained</w:t>
            </w:r>
            <w:r w:rsidR="006D6480">
              <w:t>.</w:t>
            </w:r>
          </w:p>
          <w:p w14:paraId="392AEC2E" w14:textId="77777777" w:rsidR="00A267E3" w:rsidRPr="003E6630" w:rsidRDefault="000A2A93" w:rsidP="00542195">
            <w:pPr>
              <w:pStyle w:val="Rec"/>
            </w:pPr>
            <w:r>
              <w:t>Services Australia</w:t>
            </w:r>
            <w:r w:rsidR="00FF2136" w:rsidRPr="00FF2136">
              <w:t xml:space="preserve"> should ensure DSP recipients are well informed of their entitlement to work </w:t>
            </w:r>
            <w:r w:rsidR="00B36685">
              <w:t xml:space="preserve">for a period </w:t>
            </w:r>
            <w:r w:rsidR="00FF2136" w:rsidRPr="00FF2136">
              <w:t>without losing access to the DSP.</w:t>
            </w:r>
          </w:p>
        </w:tc>
      </w:tr>
      <w:tr w:rsidR="00A267E3" w:rsidRPr="003E6630" w14:paraId="698EB5D1" w14:textId="77777777" w:rsidTr="003B3426">
        <w:tc>
          <w:tcPr>
            <w:tcW w:w="5000" w:type="pct"/>
            <w:tcBorders>
              <w:top w:val="nil"/>
              <w:left w:val="nil"/>
              <w:bottom w:val="single" w:sz="4" w:space="0" w:color="78A22F"/>
              <w:right w:val="nil"/>
            </w:tcBorders>
            <w:shd w:val="clear" w:color="auto" w:fill="F2F2F2" w:themeFill="background1" w:themeFillShade="F2"/>
            <w:tcMar>
              <w:left w:w="170" w:type="dxa"/>
              <w:right w:w="170" w:type="dxa"/>
            </w:tcMar>
          </w:tcPr>
          <w:p w14:paraId="07F55370" w14:textId="77777777" w:rsidR="00A267E3" w:rsidRPr="003E6630" w:rsidRDefault="00A267E3" w:rsidP="00F627E4">
            <w:pPr>
              <w:keepNext/>
              <w:keepLines/>
              <w:spacing w:line="120" w:lineRule="exact"/>
              <w:jc w:val="both"/>
              <w:rPr>
                <w:rFonts w:ascii="Arial" w:hAnsi="Arial"/>
                <w:sz w:val="20"/>
                <w:szCs w:val="20"/>
              </w:rPr>
            </w:pPr>
          </w:p>
        </w:tc>
      </w:tr>
      <w:tr w:rsidR="00A267E3" w:rsidRPr="003E6630" w14:paraId="561BA9A0" w14:textId="77777777" w:rsidTr="00F627E4">
        <w:tc>
          <w:tcPr>
            <w:tcW w:w="5000" w:type="pct"/>
            <w:tcBorders>
              <w:top w:val="single" w:sz="4" w:space="0" w:color="78A22F"/>
              <w:left w:val="nil"/>
              <w:bottom w:val="nil"/>
              <w:right w:val="nil"/>
            </w:tcBorders>
            <w:tcMar>
              <w:left w:w="170" w:type="dxa"/>
              <w:right w:w="170" w:type="dxa"/>
            </w:tcMar>
          </w:tcPr>
          <w:p w14:paraId="22E213BB" w14:textId="77777777" w:rsidR="00A267E3" w:rsidRPr="003E6630" w:rsidRDefault="00A267E3" w:rsidP="00F627E4">
            <w:pPr>
              <w:keepLines/>
              <w:spacing w:before="60" w:after="60" w:line="80" w:lineRule="exact"/>
              <w:jc w:val="both"/>
              <w:rPr>
                <w:rFonts w:ascii="Arial" w:hAnsi="Arial"/>
                <w:sz w:val="14"/>
                <w:szCs w:val="20"/>
              </w:rPr>
            </w:pPr>
          </w:p>
        </w:tc>
      </w:tr>
    </w:tbl>
    <w:p w14:paraId="7E473DE8" w14:textId="3B60780F" w:rsidR="00582093" w:rsidRDefault="00CE1144" w:rsidP="00582093">
      <w:pPr>
        <w:pStyle w:val="Heading3"/>
      </w:pPr>
      <w:r>
        <w:lastRenderedPageBreak/>
        <w:t>Housing and homelessness</w:t>
      </w:r>
    </w:p>
    <w:p w14:paraId="0E1EE4DF" w14:textId="77777777" w:rsidR="00D41518" w:rsidRPr="00D41518" w:rsidRDefault="00D41518" w:rsidP="00F00D7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D41518" w:rsidRPr="005E64FD" w14:paraId="5353FDCE" w14:textId="77777777" w:rsidTr="00462628">
        <w:trPr>
          <w:tblHeader/>
        </w:trPr>
        <w:tc>
          <w:tcPr>
            <w:tcW w:w="5000" w:type="pct"/>
            <w:tcBorders>
              <w:top w:val="single" w:sz="6" w:space="0" w:color="78A22F"/>
              <w:left w:val="nil"/>
              <w:bottom w:val="nil"/>
              <w:right w:val="nil"/>
            </w:tcBorders>
            <w:shd w:val="clear" w:color="auto" w:fill="auto"/>
            <w:tcMar>
              <w:left w:w="170" w:type="dxa"/>
              <w:right w:w="170" w:type="dxa"/>
            </w:tcMar>
          </w:tcPr>
          <w:p w14:paraId="523EEE97" w14:textId="736F9D6A" w:rsidR="00D41518" w:rsidRPr="005E64FD" w:rsidRDefault="00FE11AE" w:rsidP="005E64FD">
            <w:pPr>
              <w:pStyle w:val="RecTitle"/>
              <w:spacing w:before="120"/>
              <w:rPr>
                <w:b/>
                <w:color w:val="3B5117"/>
              </w:rPr>
            </w:pPr>
            <w:r w:rsidRPr="005E64FD">
              <w:rPr>
                <w:b/>
                <w:color w:val="3B5117"/>
              </w:rPr>
              <w:t xml:space="preserve">action </w:t>
            </w:r>
            <w:r w:rsidR="00CA1A76" w:rsidRPr="005E64FD">
              <w:rPr>
                <w:b/>
                <w:color w:val="3B5117"/>
              </w:rPr>
              <w:t>20</w:t>
            </w:r>
            <w:r w:rsidR="00D41518" w:rsidRPr="005E64FD">
              <w:rPr>
                <w:b/>
                <w:color w:val="3B5117"/>
              </w:rPr>
              <w:t>.1</w:t>
            </w:r>
            <w:r w:rsidR="00CE7986">
              <w:rPr>
                <w:b/>
                <w:color w:val="3B5117"/>
              </w:rPr>
              <w:t> — </w:t>
            </w:r>
            <w:r w:rsidR="00D41518" w:rsidRPr="005E64FD">
              <w:rPr>
                <w:b/>
                <w:color w:val="3B5117"/>
              </w:rPr>
              <w:t>Housing security for people with mental illness</w:t>
            </w:r>
          </w:p>
        </w:tc>
      </w:tr>
      <w:tr w:rsidR="00D41518" w:rsidRPr="00D41518" w14:paraId="2B53D1EC" w14:textId="77777777" w:rsidTr="00462628">
        <w:tc>
          <w:tcPr>
            <w:tcW w:w="5000" w:type="pct"/>
            <w:tcBorders>
              <w:top w:val="nil"/>
              <w:left w:val="nil"/>
              <w:bottom w:val="nil"/>
              <w:right w:val="nil"/>
            </w:tcBorders>
            <w:shd w:val="clear" w:color="auto" w:fill="F2F2F2"/>
            <w:tcMar>
              <w:left w:w="170" w:type="dxa"/>
              <w:right w:w="170" w:type="dxa"/>
            </w:tcMar>
          </w:tcPr>
          <w:p w14:paraId="583CB7B4" w14:textId="15063E08" w:rsidR="00D41518" w:rsidRPr="00D41518" w:rsidRDefault="00D41518" w:rsidP="001A5E28">
            <w:pPr>
              <w:pStyle w:val="Rec"/>
            </w:pPr>
            <w:r w:rsidRPr="00D41518">
              <w:t xml:space="preserve">Housing services should increase their capacity to </w:t>
            </w:r>
            <w:r w:rsidR="00B262E4">
              <w:t>reduce</w:t>
            </w:r>
            <w:r w:rsidR="00295B21">
              <w:t xml:space="preserve"> the risk of</w:t>
            </w:r>
            <w:r w:rsidRPr="00D41518">
              <w:t xml:space="preserve"> people with mental illness experiencing housing issues </w:t>
            </w:r>
            <w:r w:rsidR="003C46E8">
              <w:t xml:space="preserve">(such as housing that is of low quality or of insecure tenure) </w:t>
            </w:r>
            <w:r w:rsidRPr="00D41518">
              <w:t>or losing their home.</w:t>
            </w:r>
          </w:p>
          <w:p w14:paraId="2C605580" w14:textId="77777777" w:rsidR="00D41518" w:rsidRPr="00B5700C" w:rsidRDefault="002246D6" w:rsidP="00D41518">
            <w:pPr>
              <w:keepLines/>
              <w:spacing w:before="120" w:line="280" w:lineRule="atLeast"/>
              <w:jc w:val="both"/>
              <w:rPr>
                <w:rFonts w:ascii="Arial" w:hAnsi="Arial"/>
                <w:i/>
                <w:sz w:val="22"/>
                <w:szCs w:val="22"/>
              </w:rPr>
            </w:pPr>
            <w:r w:rsidRPr="00B5700C">
              <w:rPr>
                <w:rFonts w:ascii="Arial" w:hAnsi="Arial"/>
                <w:i/>
                <w:sz w:val="22"/>
                <w:szCs w:val="22"/>
              </w:rPr>
              <w:t>Start now</w:t>
            </w:r>
          </w:p>
          <w:p w14:paraId="06BCD291" w14:textId="4AC10EF4" w:rsidR="00AA71F6" w:rsidRPr="00D41518" w:rsidRDefault="00D41518" w:rsidP="00F008A2">
            <w:pPr>
              <w:pStyle w:val="RecBullet"/>
            </w:pPr>
            <w:r w:rsidRPr="00EF3D9E">
              <w:t xml:space="preserve">Each State and Territory Government </w:t>
            </w:r>
            <w:r>
              <w:t xml:space="preserve">should </w:t>
            </w:r>
            <w:r w:rsidR="00842135">
              <w:t>provide</w:t>
            </w:r>
            <w:r w:rsidRPr="00EF3D9E">
              <w:t xml:space="preserve"> mental health training and resources </w:t>
            </w:r>
            <w:r w:rsidR="00AD65FC">
              <w:t>to</w:t>
            </w:r>
            <w:r>
              <w:t xml:space="preserve"> </w:t>
            </w:r>
            <w:r w:rsidRPr="00EF3D9E">
              <w:t>social housing workers. Training should incorporate awareness about how to identify ea</w:t>
            </w:r>
            <w:r w:rsidRPr="00D41518">
              <w:t xml:space="preserve">rly warning signs of mental illness and the benefits of early intervention. It should also provide advice on appropriate interventions to stabilise existing tenancies for people with mental </w:t>
            </w:r>
            <w:r w:rsidR="00F008A2">
              <w:t>illness</w:t>
            </w:r>
            <w:r w:rsidRPr="00D41518">
              <w:t>, such as connecting tenants to mental health services.</w:t>
            </w:r>
          </w:p>
          <w:p w14:paraId="14E6A798" w14:textId="22A5BF2E" w:rsidR="002A1AA8" w:rsidRDefault="002A1AA8" w:rsidP="00F008A2">
            <w:pPr>
              <w:pStyle w:val="RecBullet"/>
            </w:pPr>
            <w:r w:rsidRPr="005964F2">
              <w:t xml:space="preserve">State and Territory Governments should work with the relevant bodies, including the real estate institutes, to </w:t>
            </w:r>
            <w:r>
              <w:t xml:space="preserve">help </w:t>
            </w:r>
            <w:r w:rsidRPr="005964F2">
              <w:t>organise training and resources on mental health for private sector real estate agents</w:t>
            </w:r>
            <w:r>
              <w:t xml:space="preserve"> </w:t>
            </w:r>
            <w:r w:rsidRPr="00D75B30">
              <w:t>as part of their professional development</w:t>
            </w:r>
            <w:r w:rsidRPr="005964F2">
              <w:t>.</w:t>
            </w:r>
          </w:p>
          <w:p w14:paraId="6FB83E6B" w14:textId="6A6885B5" w:rsidR="00842135" w:rsidRPr="00671EE6" w:rsidRDefault="00D41518" w:rsidP="00F008A2">
            <w:pPr>
              <w:pStyle w:val="RecBullet"/>
            </w:pPr>
            <w:r>
              <w:t xml:space="preserve">State and </w:t>
            </w:r>
            <w:r w:rsidR="00D93C5E">
              <w:t>t</w:t>
            </w:r>
            <w:r>
              <w:t>erritory social housing authorities should review their policies relating to anti</w:t>
            </w:r>
            <w:r>
              <w:noBreakHyphen/>
              <w:t>social behaviour, temporary absences and information sharing</w:t>
            </w:r>
            <w:r w:rsidR="00AA71F6">
              <w:t xml:space="preserve"> </w:t>
            </w:r>
            <w:r w:rsidR="00F820F8" w:rsidRPr="00324F31">
              <w:t>between institutional care facilities and housing authorities</w:t>
            </w:r>
            <w:r w:rsidR="00F820F8">
              <w:t xml:space="preserve"> </w:t>
            </w:r>
            <w:r>
              <w:t>to provide consideration for people with mental illness, to reduce the risk of eviction</w:t>
            </w:r>
            <w:r w:rsidR="00295B21">
              <w:t>.</w:t>
            </w:r>
          </w:p>
          <w:p w14:paraId="0A3F84A9" w14:textId="64FFAB0D" w:rsidR="00AD65FC" w:rsidRPr="00AD65FC" w:rsidRDefault="00AD65FC" w:rsidP="00291482">
            <w:pPr>
              <w:pStyle w:val="BoxListBullet2"/>
              <w:tabs>
                <w:tab w:val="clear" w:pos="567"/>
              </w:tabs>
              <w:ind w:left="680" w:hanging="340"/>
            </w:pPr>
            <w:r w:rsidRPr="00AD65FC">
              <w:t xml:space="preserve">The review of anti-social behaviour policies should </w:t>
            </w:r>
            <w:r w:rsidR="00295B21">
              <w:t>take</w:t>
            </w:r>
            <w:r w:rsidR="00295B21" w:rsidRPr="00AD65FC">
              <w:t xml:space="preserve"> into account the episodic nature of mental illness </w:t>
            </w:r>
            <w:r w:rsidR="00295B21">
              <w:t xml:space="preserve">and </w:t>
            </w:r>
            <w:r w:rsidRPr="00AD65FC">
              <w:t>ensure a fair balance between the needs of the tenant experiencing mental illness</w:t>
            </w:r>
            <w:r w:rsidR="00295B21">
              <w:t xml:space="preserve"> and the needs </w:t>
            </w:r>
            <w:r w:rsidRPr="00AD65FC">
              <w:t>of other tenants sharing a housing facility.</w:t>
            </w:r>
          </w:p>
          <w:p w14:paraId="41D10F8D" w14:textId="77777777" w:rsidR="00D41518" w:rsidRPr="00D41518" w:rsidRDefault="00D41518" w:rsidP="00F008A2">
            <w:pPr>
              <w:pStyle w:val="RecBullet"/>
            </w:pPr>
            <w:r w:rsidRPr="00EF3D9E">
              <w:t xml:space="preserve">Each </w:t>
            </w:r>
            <w:r w:rsidRPr="00203C0F">
              <w:t>State</w:t>
            </w:r>
            <w:r w:rsidRPr="00EF3D9E">
              <w:t xml:space="preserve"> and Territory Government, with support from the </w:t>
            </w:r>
            <w:r w:rsidRPr="00D41518">
              <w:t xml:space="preserve">Australian Government, should ensure that tenants with mental illness who live in the private housing market have the same ready access to tenancy support services as those in social housing by meeting </w:t>
            </w:r>
            <w:r w:rsidR="00295B21">
              <w:t>any</w:t>
            </w:r>
            <w:r w:rsidRPr="00D41518">
              <w:t xml:space="preserve"> unmet demand for these services.</w:t>
            </w:r>
          </w:p>
          <w:p w14:paraId="0C4E6AFE" w14:textId="77777777" w:rsidR="00D41518" w:rsidRPr="00D41518" w:rsidRDefault="002246D6" w:rsidP="00AD65FC">
            <w:pPr>
              <w:pStyle w:val="Rec"/>
              <w:rPr>
                <w:i/>
              </w:rPr>
            </w:pPr>
            <w:r w:rsidRPr="002246D6">
              <w:rPr>
                <w:i/>
              </w:rPr>
              <w:t>Start later</w:t>
            </w:r>
          </w:p>
          <w:p w14:paraId="376B52CA" w14:textId="77777777" w:rsidR="00D41518" w:rsidRPr="00D41518" w:rsidRDefault="00D41518" w:rsidP="001A5E28">
            <w:pPr>
              <w:pStyle w:val="Rec"/>
            </w:pPr>
            <w:r>
              <w:t xml:space="preserve">State and Territory Governments should monitor the </w:t>
            </w:r>
            <w:r w:rsidR="00CF5224">
              <w:t xml:space="preserve">effects </w:t>
            </w:r>
            <w:r>
              <w:t>of forthcoming reforms to residential tenancy legislation, including no</w:t>
            </w:r>
            <w:r>
              <w:noBreakHyphen/>
              <w:t xml:space="preserve">grounds evictions, and assess the potential </w:t>
            </w:r>
            <w:r w:rsidR="00CF5224">
              <w:t xml:space="preserve">effects </w:t>
            </w:r>
            <w:r>
              <w:t>for people with mental illness who rent in the private market</w:t>
            </w:r>
            <w:r w:rsidRPr="00453AFC">
              <w:t>.</w:t>
            </w:r>
          </w:p>
        </w:tc>
      </w:tr>
      <w:tr w:rsidR="00D41518" w:rsidRPr="00D41518" w14:paraId="74E21BA1"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49A90999" w14:textId="77777777" w:rsidR="00D41518" w:rsidRPr="00D41518" w:rsidRDefault="00D41518" w:rsidP="00D41518">
            <w:pPr>
              <w:keepNext/>
              <w:keepLines/>
              <w:spacing w:line="120" w:lineRule="exact"/>
              <w:jc w:val="both"/>
              <w:rPr>
                <w:rFonts w:ascii="Arial" w:hAnsi="Arial"/>
                <w:sz w:val="20"/>
                <w:szCs w:val="20"/>
              </w:rPr>
            </w:pPr>
          </w:p>
        </w:tc>
      </w:tr>
      <w:tr w:rsidR="00D41518" w:rsidRPr="00D41518" w14:paraId="50E6018D" w14:textId="77777777" w:rsidTr="00462628">
        <w:tc>
          <w:tcPr>
            <w:tcW w:w="5000" w:type="pct"/>
            <w:tcBorders>
              <w:top w:val="single" w:sz="6" w:space="0" w:color="78A22F"/>
              <w:left w:val="nil"/>
              <w:bottom w:val="nil"/>
              <w:right w:val="nil"/>
            </w:tcBorders>
          </w:tcPr>
          <w:p w14:paraId="214AE2A8" w14:textId="77777777" w:rsidR="00D41518" w:rsidRPr="00D41518" w:rsidRDefault="00D41518" w:rsidP="00D41518">
            <w:pPr>
              <w:keepLines/>
              <w:spacing w:before="60" w:after="60" w:line="80" w:lineRule="exact"/>
              <w:jc w:val="both"/>
              <w:rPr>
                <w:rFonts w:ascii="Arial" w:hAnsi="Arial"/>
                <w:sz w:val="14"/>
                <w:szCs w:val="20"/>
              </w:rPr>
            </w:pPr>
          </w:p>
        </w:tc>
      </w:tr>
    </w:tbl>
    <w:p w14:paraId="09447280" w14:textId="7391A00A" w:rsidR="006A5959" w:rsidRPr="004E3B94" w:rsidRDefault="001A5E28" w:rsidP="006A5959">
      <w:pPr>
        <w:pStyle w:val="BoxSpaceAbove"/>
      </w:pPr>
      <w:r>
        <w:lastRenderedPageBreak/>
        <w:t>\</w:t>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6A5959" w:rsidRPr="005E64FD" w14:paraId="10A10A23" w14:textId="77777777" w:rsidTr="0041796D">
        <w:trPr>
          <w:tblHeader/>
        </w:trPr>
        <w:tc>
          <w:tcPr>
            <w:tcW w:w="5000" w:type="pct"/>
            <w:tcBorders>
              <w:top w:val="single" w:sz="6" w:space="0" w:color="78A22F"/>
              <w:left w:val="nil"/>
              <w:bottom w:val="nil"/>
              <w:right w:val="nil"/>
            </w:tcBorders>
            <w:shd w:val="clear" w:color="auto" w:fill="auto"/>
            <w:tcMar>
              <w:left w:w="170" w:type="dxa"/>
              <w:right w:w="170" w:type="dxa"/>
            </w:tcMar>
          </w:tcPr>
          <w:p w14:paraId="21E95CFD" w14:textId="69E300B1" w:rsidR="006A5959" w:rsidRPr="005E64FD" w:rsidRDefault="006A5959" w:rsidP="0041796D">
            <w:pPr>
              <w:pStyle w:val="RecTitle"/>
              <w:spacing w:before="120"/>
              <w:rPr>
                <w:b/>
                <w:color w:val="3B5117"/>
              </w:rPr>
            </w:pPr>
            <w:r w:rsidRPr="005E64FD">
              <w:rPr>
                <w:b/>
                <w:color w:val="3B5117"/>
              </w:rPr>
              <w:t>action 20.2</w:t>
            </w:r>
            <w:r w:rsidR="00CE7986">
              <w:rPr>
                <w:b/>
                <w:color w:val="3B5117"/>
              </w:rPr>
              <w:t> — </w:t>
            </w:r>
            <w:r w:rsidRPr="005E64FD">
              <w:rPr>
                <w:b/>
                <w:color w:val="3B5117"/>
              </w:rPr>
              <w:t>no discharge into homelessness</w:t>
            </w:r>
          </w:p>
        </w:tc>
      </w:tr>
      <w:tr w:rsidR="006A5959" w:rsidRPr="00750BE2" w14:paraId="526EAAA6" w14:textId="77777777" w:rsidTr="0041796D">
        <w:tc>
          <w:tcPr>
            <w:tcW w:w="5000" w:type="pct"/>
            <w:tcBorders>
              <w:top w:val="nil"/>
              <w:left w:val="nil"/>
              <w:bottom w:val="nil"/>
              <w:right w:val="nil"/>
            </w:tcBorders>
            <w:shd w:val="clear" w:color="auto" w:fill="F2F2F2" w:themeFill="background1" w:themeFillShade="F2"/>
            <w:tcMar>
              <w:left w:w="170" w:type="dxa"/>
              <w:right w:w="170" w:type="dxa"/>
            </w:tcMar>
          </w:tcPr>
          <w:p w14:paraId="41A49CAE" w14:textId="77777777" w:rsidR="005E1057" w:rsidRDefault="005E1057" w:rsidP="005E1057">
            <w:pPr>
              <w:pStyle w:val="Rec"/>
              <w:keepNext/>
            </w:pPr>
            <w:r>
              <w:t xml:space="preserve">People with mental illness should be supported so that they are not discharged from hospitals, correctional facilities and institutional care into homelessness. </w:t>
            </w:r>
          </w:p>
          <w:p w14:paraId="631B9E25" w14:textId="2FCF8C46" w:rsidR="005E1057" w:rsidRPr="00914A92" w:rsidRDefault="005E1057" w:rsidP="005E1057">
            <w:pPr>
              <w:pStyle w:val="Rec"/>
              <w:keepNext/>
              <w:tabs>
                <w:tab w:val="left" w:pos="1416"/>
              </w:tabs>
              <w:rPr>
                <w:i/>
              </w:rPr>
            </w:pPr>
            <w:r>
              <w:rPr>
                <w:i/>
              </w:rPr>
              <w:t>Start now</w:t>
            </w:r>
          </w:p>
          <w:p w14:paraId="358ED09A" w14:textId="4DD647CD" w:rsidR="005E1057" w:rsidRPr="00930F14" w:rsidRDefault="005E1057" w:rsidP="005E1057">
            <w:pPr>
              <w:pStyle w:val="RecBullet"/>
            </w:pPr>
            <w:r>
              <w:t>Each State and Territory Government, with support from the Australian Government, should commit to a nationally consistent formal policy of no exits into homelessness for people w</w:t>
            </w:r>
            <w:r w:rsidRPr="00930F14">
              <w:t xml:space="preserve">ith mental illness who are discharged from hospitals, correctional facilities </w:t>
            </w:r>
            <w:r w:rsidR="00B262E4">
              <w:t>or</w:t>
            </w:r>
            <w:r w:rsidR="00B262E4" w:rsidRPr="00930F14">
              <w:t xml:space="preserve"> </w:t>
            </w:r>
            <w:r w:rsidRPr="00930F14">
              <w:t xml:space="preserve">institutional care. </w:t>
            </w:r>
          </w:p>
          <w:p w14:paraId="42E571A5" w14:textId="308D61A9" w:rsidR="005E1057" w:rsidRPr="00930F14" w:rsidRDefault="005E1057" w:rsidP="005E1057">
            <w:pPr>
              <w:pStyle w:val="RecBullet"/>
            </w:pPr>
            <w:r w:rsidRPr="00930F14">
              <w:t xml:space="preserve">Governments should ensure that people with mental illness who are discharged from hospitals, correctional facilities </w:t>
            </w:r>
            <w:r w:rsidR="00B262E4">
              <w:t>or</w:t>
            </w:r>
            <w:r w:rsidR="00B262E4" w:rsidRPr="00930F14">
              <w:t xml:space="preserve"> </w:t>
            </w:r>
            <w:r w:rsidRPr="00930F14">
              <w:t>institutional care receive a comprehensive mental health discharge plan, and have ready access to transitional housing, while services have the capacity to meet their needs. These programs should integrate care coordination and access to accommodation.</w:t>
            </w:r>
          </w:p>
          <w:p w14:paraId="7745AEA4" w14:textId="77777777" w:rsidR="005E1057" w:rsidRPr="00930F14" w:rsidRDefault="005E1057" w:rsidP="005E1057">
            <w:pPr>
              <w:pStyle w:val="Rec"/>
              <w:keepNext/>
              <w:rPr>
                <w:i/>
              </w:rPr>
            </w:pPr>
            <w:r w:rsidRPr="00930F14">
              <w:rPr>
                <w:i/>
              </w:rPr>
              <w:t>Start later</w:t>
            </w:r>
          </w:p>
          <w:p w14:paraId="366EC454" w14:textId="4749B267" w:rsidR="006A5959" w:rsidRDefault="005E1057" w:rsidP="005E1057">
            <w:pPr>
              <w:pStyle w:val="RecBullet"/>
            </w:pPr>
            <w:r w:rsidRPr="001A68D3">
              <w:t xml:space="preserve">As part of the next negotiation of the National Housing and Homelessness Agreement, </w:t>
            </w:r>
            <w:r>
              <w:t xml:space="preserve">a requirement should be included for </w:t>
            </w:r>
            <w:r w:rsidRPr="00CB3BD7">
              <w:t>State and Territory Governments to monitor and report on discharging into homelessness</w:t>
            </w:r>
            <w:r>
              <w:t>.</w:t>
            </w:r>
          </w:p>
        </w:tc>
      </w:tr>
      <w:tr w:rsidR="006A5959" w14:paraId="540A8623"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7A957DDD" w14:textId="77777777" w:rsidR="006A5959" w:rsidRDefault="006A5959" w:rsidP="0041796D">
            <w:pPr>
              <w:pStyle w:val="Space"/>
              <w:keepLines/>
            </w:pPr>
          </w:p>
        </w:tc>
      </w:tr>
      <w:tr w:rsidR="006A5959" w:rsidRPr="000863A5" w14:paraId="5E72A4DB" w14:textId="77777777" w:rsidTr="0041796D">
        <w:tc>
          <w:tcPr>
            <w:tcW w:w="5000" w:type="pct"/>
            <w:tcBorders>
              <w:top w:val="single" w:sz="6" w:space="0" w:color="78A22F"/>
              <w:left w:val="nil"/>
              <w:bottom w:val="nil"/>
              <w:right w:val="nil"/>
            </w:tcBorders>
            <w:shd w:val="clear" w:color="auto" w:fill="auto"/>
            <w:tcMar>
              <w:left w:w="170" w:type="dxa"/>
              <w:right w:w="170" w:type="dxa"/>
            </w:tcMar>
          </w:tcPr>
          <w:p w14:paraId="32C8DA7C" w14:textId="77777777" w:rsidR="006A5959" w:rsidRPr="00626D32" w:rsidRDefault="006A5959" w:rsidP="0041796D">
            <w:pPr>
              <w:pStyle w:val="BoxSpaceBelow"/>
              <w:keepLines/>
            </w:pPr>
          </w:p>
        </w:tc>
      </w:tr>
    </w:tbl>
    <w:p w14:paraId="6F2B4F48" w14:textId="77777777" w:rsidR="006A5959" w:rsidRPr="004E3B94" w:rsidRDefault="006A5959" w:rsidP="001A5E28">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6A5959" w:rsidRPr="005E64FD" w14:paraId="2A0152EF" w14:textId="77777777" w:rsidTr="0041796D">
        <w:trPr>
          <w:tblHeader/>
        </w:trPr>
        <w:tc>
          <w:tcPr>
            <w:tcW w:w="5000" w:type="pct"/>
            <w:tcBorders>
              <w:top w:val="single" w:sz="6" w:space="0" w:color="78A22F"/>
              <w:left w:val="nil"/>
              <w:bottom w:val="nil"/>
              <w:right w:val="nil"/>
            </w:tcBorders>
            <w:shd w:val="clear" w:color="auto" w:fill="auto"/>
            <w:tcMar>
              <w:left w:w="170" w:type="dxa"/>
              <w:right w:w="170" w:type="dxa"/>
            </w:tcMar>
          </w:tcPr>
          <w:p w14:paraId="6B8D624F" w14:textId="0CC6A0A4" w:rsidR="006A5959" w:rsidRPr="005E64FD" w:rsidRDefault="006A5959" w:rsidP="0041796D">
            <w:pPr>
              <w:pStyle w:val="RecTitle"/>
              <w:spacing w:before="120"/>
              <w:rPr>
                <w:b/>
                <w:color w:val="3B5117"/>
              </w:rPr>
            </w:pPr>
            <w:r w:rsidRPr="005E64FD">
              <w:rPr>
                <w:b/>
                <w:color w:val="3B5117"/>
              </w:rPr>
              <w:t>action 20.3</w:t>
            </w:r>
            <w:r w:rsidR="00CE7986">
              <w:rPr>
                <w:b/>
                <w:color w:val="3B5117"/>
              </w:rPr>
              <w:t> — </w:t>
            </w:r>
            <w:r w:rsidRPr="005E64FD">
              <w:rPr>
                <w:b/>
                <w:color w:val="3B5117"/>
              </w:rPr>
              <w:t>Support for people to find and maintain housing</w:t>
            </w:r>
          </w:p>
        </w:tc>
      </w:tr>
      <w:tr w:rsidR="006A5959" w:rsidRPr="00750BE2" w14:paraId="032E989B" w14:textId="77777777" w:rsidTr="0041796D">
        <w:tc>
          <w:tcPr>
            <w:tcW w:w="5000" w:type="pct"/>
            <w:tcBorders>
              <w:top w:val="nil"/>
              <w:left w:val="nil"/>
              <w:bottom w:val="nil"/>
              <w:right w:val="nil"/>
            </w:tcBorders>
            <w:shd w:val="clear" w:color="auto" w:fill="F2F2F2" w:themeFill="background1" w:themeFillShade="F2"/>
            <w:tcMar>
              <w:left w:w="170" w:type="dxa"/>
              <w:right w:w="170" w:type="dxa"/>
            </w:tcMar>
          </w:tcPr>
          <w:p w14:paraId="0FD75366" w14:textId="77777777" w:rsidR="006A5959" w:rsidRDefault="006A5959" w:rsidP="0041796D">
            <w:pPr>
              <w:pStyle w:val="Rec"/>
              <w:keepNext/>
            </w:pPr>
            <w:r w:rsidRPr="00B60B0E">
              <w:t>Housing and homelessness services should have the capacity to support people with severe mental illness to find and maintain housing in the community.</w:t>
            </w:r>
          </w:p>
          <w:p w14:paraId="52A728D9" w14:textId="2CAD0EB4" w:rsidR="006A5959" w:rsidRPr="00914A92" w:rsidRDefault="005E1057" w:rsidP="0041796D">
            <w:pPr>
              <w:pStyle w:val="Rec"/>
              <w:keepNext/>
              <w:rPr>
                <w:i/>
              </w:rPr>
            </w:pPr>
            <w:r>
              <w:rPr>
                <w:i/>
              </w:rPr>
              <w:t>Start now</w:t>
            </w:r>
          </w:p>
          <w:p w14:paraId="71D700E5" w14:textId="77777777" w:rsidR="006A5959" w:rsidRDefault="006A5959" w:rsidP="005E1057">
            <w:pPr>
              <w:pStyle w:val="RecBullet"/>
            </w:pPr>
            <w:r>
              <w:t xml:space="preserve">The National Disability Insurance Agency should continue to amend its Specialist Disability Accommodation strategy and policies to encourage development of </w:t>
            </w:r>
            <w:r w:rsidRPr="005E1057">
              <w:t>long</w:t>
            </w:r>
            <w:r w:rsidRPr="005E1057">
              <w:noBreakHyphen/>
              <w:t>term supported accommodation</w:t>
            </w:r>
            <w:r>
              <w:t xml:space="preserve"> for National Disability Insurance Scheme recipients with severe and persistent mental illness. This should include lifting the restrictions of the number of people who can reside in newly developed Specialist Disability Accommodation, and providing more detail on how the NDIA will deal with liability problems concerning property damage. </w:t>
            </w:r>
          </w:p>
          <w:p w14:paraId="604A38E4" w14:textId="77777777" w:rsidR="006A5959" w:rsidRDefault="006A5959" w:rsidP="005E1057">
            <w:pPr>
              <w:pStyle w:val="RecBullet"/>
            </w:pPr>
            <w:r>
              <w:t xml:space="preserve">State and Territory Governments, working with housing support providers and with support from the Australian Government, should address the shortfall in the number of </w:t>
            </w:r>
            <w:r w:rsidRPr="005E1057">
              <w:t>supported housing places</w:t>
            </w:r>
            <w:r>
              <w:t xml:space="preserve"> for people with severe mental illness by providing a combination of long</w:t>
            </w:r>
            <w:r>
              <w:noBreakHyphen/>
              <w:t xml:space="preserve">term housing options for people with severe mental illness who require integrated housing and mental health supports. </w:t>
            </w:r>
          </w:p>
          <w:p w14:paraId="1A756BA8" w14:textId="77777777" w:rsidR="006A5959" w:rsidRDefault="006A5959" w:rsidP="005E1057">
            <w:pPr>
              <w:pStyle w:val="RecBullet"/>
            </w:pPr>
            <w:r>
              <w:t xml:space="preserve">State and Territory Governments, with support from the Australian Government, should address the gap in </w:t>
            </w:r>
            <w:r w:rsidRPr="005E1057">
              <w:t>homelessness services</w:t>
            </w:r>
            <w:r>
              <w:t xml:space="preserve"> for people with mental illness, including scaling up longer</w:t>
            </w:r>
            <w:r>
              <w:noBreakHyphen/>
              <w:t>term housing options such as Housing First programs.</w:t>
            </w:r>
          </w:p>
          <w:p w14:paraId="25AFC3EE" w14:textId="77777777" w:rsidR="006A5959" w:rsidRPr="00D43347" w:rsidRDefault="006A5959" w:rsidP="00291482">
            <w:pPr>
              <w:pStyle w:val="BoxListBullet2"/>
              <w:tabs>
                <w:tab w:val="clear" w:pos="567"/>
              </w:tabs>
              <w:ind w:left="680" w:hanging="340"/>
            </w:pPr>
            <w:r w:rsidRPr="00D43347">
              <w:t xml:space="preserve">Housing First programs should target people who experience severe and complex mental illness, are persistently homeless, and are unlikely to respond to existing homelessness services. </w:t>
            </w:r>
          </w:p>
          <w:p w14:paraId="62FC4844" w14:textId="07D35325" w:rsidR="006A5959" w:rsidRPr="00C62490" w:rsidRDefault="006A5959" w:rsidP="00291482">
            <w:pPr>
              <w:pStyle w:val="BoxListBullet2"/>
              <w:tabs>
                <w:tab w:val="clear" w:pos="567"/>
              </w:tabs>
              <w:ind w:left="680" w:hanging="340"/>
            </w:pPr>
            <w:r w:rsidRPr="00D43347">
              <w:t>This would require governments to invest in homelessness services that make long</w:t>
            </w:r>
            <w:r>
              <w:noBreakHyphen/>
            </w:r>
            <w:r w:rsidRPr="00D43347">
              <w:t>term housing available specifically for these programs.</w:t>
            </w:r>
          </w:p>
          <w:p w14:paraId="036D4B7F" w14:textId="698BBF7D" w:rsidR="006A5959" w:rsidRPr="00D41518" w:rsidRDefault="005E1057" w:rsidP="0041796D">
            <w:pPr>
              <w:pStyle w:val="Rec"/>
              <w:keepNext/>
              <w:rPr>
                <w:i/>
              </w:rPr>
            </w:pPr>
            <w:r>
              <w:rPr>
                <w:i/>
              </w:rPr>
              <w:t>Start later</w:t>
            </w:r>
          </w:p>
          <w:p w14:paraId="12F6051B" w14:textId="77777777" w:rsidR="006A5959" w:rsidRDefault="006A5959" w:rsidP="005E1057">
            <w:pPr>
              <w:pStyle w:val="RecBullet"/>
            </w:pPr>
            <w:r w:rsidRPr="001A68D3">
              <w:t xml:space="preserve">As part of the next negotiation of the National Housing and Homelessness Agreement, </w:t>
            </w:r>
            <w:r>
              <w:t>governments</w:t>
            </w:r>
            <w:r w:rsidRPr="001A68D3">
              <w:t xml:space="preserve"> should increase the quantum of funding for housing and homelessness services</w:t>
            </w:r>
            <w:r>
              <w:t>, with particular attention to expanding</w:t>
            </w:r>
            <w:r w:rsidRPr="001A68D3">
              <w:t xml:space="preserve"> provision of housing and homelessness services for people with mental illness.</w:t>
            </w:r>
          </w:p>
        </w:tc>
      </w:tr>
      <w:tr w:rsidR="006A5959" w14:paraId="19E8A50F"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2DA123D6" w14:textId="77777777" w:rsidR="006A5959" w:rsidRDefault="006A5959" w:rsidP="0041796D">
            <w:pPr>
              <w:pStyle w:val="Space"/>
              <w:keepLines/>
            </w:pPr>
          </w:p>
        </w:tc>
      </w:tr>
      <w:tr w:rsidR="006A5959" w:rsidRPr="000863A5" w14:paraId="5E35538D" w14:textId="77777777" w:rsidTr="0041796D">
        <w:tc>
          <w:tcPr>
            <w:tcW w:w="5000" w:type="pct"/>
            <w:tcBorders>
              <w:top w:val="single" w:sz="6" w:space="0" w:color="78A22F"/>
              <w:left w:val="nil"/>
              <w:bottom w:val="nil"/>
              <w:right w:val="nil"/>
            </w:tcBorders>
            <w:shd w:val="clear" w:color="auto" w:fill="auto"/>
            <w:tcMar>
              <w:left w:w="170" w:type="dxa"/>
              <w:right w:w="170" w:type="dxa"/>
            </w:tcMar>
          </w:tcPr>
          <w:p w14:paraId="0D10F28A" w14:textId="77777777" w:rsidR="006A5959" w:rsidRPr="00626D32" w:rsidRDefault="006A5959" w:rsidP="0041796D">
            <w:pPr>
              <w:pStyle w:val="BoxSpaceBelow"/>
              <w:keepLines/>
            </w:pPr>
          </w:p>
        </w:tc>
      </w:tr>
    </w:tbl>
    <w:p w14:paraId="3789E4D8" w14:textId="54F18996" w:rsidR="00582093" w:rsidRDefault="00B20151" w:rsidP="00582093">
      <w:pPr>
        <w:pStyle w:val="Heading3"/>
      </w:pPr>
      <w:r>
        <w:lastRenderedPageBreak/>
        <w:t>Justice</w:t>
      </w:r>
    </w:p>
    <w:p w14:paraId="401CF348" w14:textId="5129792C" w:rsidR="00BE1326" w:rsidRDefault="00BE1326" w:rsidP="00F00D7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BE1326" w:rsidRPr="005E64FD" w14:paraId="78CC626B" w14:textId="77777777" w:rsidTr="002F0A34">
        <w:trPr>
          <w:tblHeader/>
        </w:trPr>
        <w:tc>
          <w:tcPr>
            <w:tcW w:w="5000" w:type="pct"/>
            <w:tcBorders>
              <w:top w:val="single" w:sz="6" w:space="0" w:color="78A22F"/>
              <w:left w:val="nil"/>
              <w:bottom w:val="nil"/>
              <w:right w:val="nil"/>
            </w:tcBorders>
            <w:shd w:val="clear" w:color="auto" w:fill="auto"/>
            <w:tcMar>
              <w:left w:w="170" w:type="dxa"/>
              <w:right w:w="170" w:type="dxa"/>
            </w:tcMar>
          </w:tcPr>
          <w:p w14:paraId="31ADEF91" w14:textId="053C05ED" w:rsidR="00BE1326" w:rsidRPr="005E64FD" w:rsidRDefault="00BE10BF" w:rsidP="005E64FD">
            <w:pPr>
              <w:pStyle w:val="RecTitle"/>
              <w:spacing w:before="120"/>
              <w:rPr>
                <w:b/>
                <w:color w:val="3B5117"/>
              </w:rPr>
            </w:pPr>
            <w:r w:rsidRPr="005E64FD">
              <w:rPr>
                <w:b/>
                <w:color w:val="3B5117"/>
              </w:rPr>
              <w:t>ACTIon</w:t>
            </w:r>
            <w:r w:rsidR="00BE1326" w:rsidRPr="005E64FD">
              <w:rPr>
                <w:b/>
                <w:color w:val="3B5117"/>
              </w:rPr>
              <w:t xml:space="preserve"> </w:t>
            </w:r>
            <w:r w:rsidR="00836B99" w:rsidRPr="005E64FD">
              <w:rPr>
                <w:b/>
                <w:color w:val="3B5117"/>
              </w:rPr>
              <w:t>21</w:t>
            </w:r>
            <w:r w:rsidR="00BE1326" w:rsidRPr="005E64FD">
              <w:rPr>
                <w:b/>
                <w:color w:val="3B5117"/>
              </w:rPr>
              <w:t xml:space="preserve">.1 —Early intervention </w:t>
            </w:r>
            <w:r w:rsidR="00EB6372" w:rsidRPr="005E64FD">
              <w:rPr>
                <w:b/>
                <w:color w:val="3B5117"/>
              </w:rPr>
              <w:t>in the criminal justice system</w:t>
            </w:r>
          </w:p>
        </w:tc>
      </w:tr>
      <w:tr w:rsidR="00BE1326" w:rsidRPr="00750BE2" w14:paraId="292E8C28" w14:textId="77777777" w:rsidTr="002F0A34">
        <w:tc>
          <w:tcPr>
            <w:tcW w:w="5000" w:type="pct"/>
            <w:tcBorders>
              <w:top w:val="nil"/>
              <w:left w:val="nil"/>
              <w:bottom w:val="nil"/>
              <w:right w:val="nil"/>
            </w:tcBorders>
            <w:shd w:val="clear" w:color="auto" w:fill="F2F2F2" w:themeFill="background1" w:themeFillShade="F2"/>
            <w:tcMar>
              <w:left w:w="170" w:type="dxa"/>
              <w:right w:w="170" w:type="dxa"/>
            </w:tcMar>
          </w:tcPr>
          <w:p w14:paraId="1C18BCFB" w14:textId="7DC04671" w:rsidR="00590B10" w:rsidRPr="004B70B8" w:rsidRDefault="00590B10" w:rsidP="002F0A34">
            <w:pPr>
              <w:pStyle w:val="Rec"/>
              <w:keepNext/>
              <w:rPr>
                <w:iCs/>
              </w:rPr>
            </w:pPr>
            <w:r>
              <w:rPr>
                <w:iCs/>
              </w:rPr>
              <w:t xml:space="preserve">An early intervention approach is needed to address the over-representation of people with mental illness </w:t>
            </w:r>
            <w:r>
              <w:t>across all stages of</w:t>
            </w:r>
            <w:r w:rsidRPr="00AF0F03">
              <w:t xml:space="preserve"> the criminal justice system</w:t>
            </w:r>
            <w:r>
              <w:rPr>
                <w:iCs/>
              </w:rPr>
              <w:t>.</w:t>
            </w:r>
          </w:p>
          <w:p w14:paraId="53E88D6B" w14:textId="32EBD35F" w:rsidR="00BE1326" w:rsidRPr="00DF067A" w:rsidRDefault="002246D6" w:rsidP="002F0A34">
            <w:pPr>
              <w:pStyle w:val="Rec"/>
              <w:keepNext/>
              <w:rPr>
                <w:i/>
              </w:rPr>
            </w:pPr>
            <w:r w:rsidRPr="002246D6">
              <w:rPr>
                <w:i/>
              </w:rPr>
              <w:t>Start now</w:t>
            </w:r>
          </w:p>
          <w:p w14:paraId="1B86271A" w14:textId="0196ADE5" w:rsidR="00A7675E" w:rsidRDefault="00A7675E" w:rsidP="00A7675E">
            <w:pPr>
              <w:pStyle w:val="Rec"/>
            </w:pPr>
            <w:r w:rsidRPr="00AF0F03">
              <w:t>State and Territory Governments should support an early intervention approach</w:t>
            </w:r>
            <w:r w:rsidR="00590B10">
              <w:t xml:space="preserve"> that would</w:t>
            </w:r>
            <w:r w:rsidR="003053CD">
              <w:t xml:space="preserve"> ensure people who are at high risk of coming into contact with the criminal justice system are identified, and provided appropriate support, such as mental healthcare and housing, to reduce their risk of offending</w:t>
            </w:r>
            <w:r w:rsidR="00562C4B" w:rsidRPr="00E83EF7">
              <w:t>.</w:t>
            </w:r>
          </w:p>
          <w:p w14:paraId="0496D323" w14:textId="3F1A78CE" w:rsidR="00BE1326" w:rsidRDefault="00BE1326" w:rsidP="003053CD">
            <w:pPr>
              <w:pStyle w:val="Rec"/>
            </w:pPr>
            <w:r>
              <w:t>In doing so, State and Territory Governments should continue trialling early intervention initiatives</w:t>
            </w:r>
            <w:r w:rsidR="003053CD">
              <w:t xml:space="preserve">, such as the </w:t>
            </w:r>
            <w:r w:rsidR="003053CD" w:rsidRPr="00E65037">
              <w:rPr>
                <w:i/>
              </w:rPr>
              <w:t>Youth on Track</w:t>
            </w:r>
            <w:r w:rsidR="003053CD">
              <w:t xml:space="preserve"> program</w:t>
            </w:r>
            <w:r>
              <w:t>, and ensure associated evaluation and research is undertaken to build an evidence base about specific programs that are effective in reducing offending</w:t>
            </w:r>
            <w:r w:rsidRPr="008A65AE">
              <w:t>.</w:t>
            </w:r>
          </w:p>
        </w:tc>
      </w:tr>
      <w:tr w:rsidR="00BE1326" w14:paraId="5F37085F"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79C394F9" w14:textId="77777777" w:rsidR="00BE1326" w:rsidRDefault="00BE1326" w:rsidP="002F0A34">
            <w:pPr>
              <w:pStyle w:val="Space"/>
              <w:keepLines/>
            </w:pPr>
          </w:p>
        </w:tc>
      </w:tr>
      <w:tr w:rsidR="00BE1326" w:rsidRPr="000863A5" w14:paraId="5452945E" w14:textId="77777777" w:rsidTr="002F0A34">
        <w:tc>
          <w:tcPr>
            <w:tcW w:w="5000" w:type="pct"/>
            <w:tcBorders>
              <w:top w:val="single" w:sz="6" w:space="0" w:color="78A22F"/>
              <w:left w:val="nil"/>
              <w:bottom w:val="nil"/>
              <w:right w:val="nil"/>
            </w:tcBorders>
          </w:tcPr>
          <w:p w14:paraId="5D48FE59" w14:textId="77777777" w:rsidR="00BE1326" w:rsidRPr="00626D32" w:rsidRDefault="00BE1326" w:rsidP="002F0A34">
            <w:pPr>
              <w:pStyle w:val="BoxSpaceBelow"/>
            </w:pPr>
          </w:p>
        </w:tc>
      </w:tr>
    </w:tbl>
    <w:p w14:paraId="7F12B389" w14:textId="77777777" w:rsidR="00BE1326" w:rsidRPr="00D41518" w:rsidRDefault="00BE1326" w:rsidP="00F00D7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8"/>
      </w:tblGrid>
      <w:tr w:rsidR="00D41518" w:rsidRPr="00D41518" w14:paraId="0F822C2D" w14:textId="77777777" w:rsidTr="00462628">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0B7E835D" w14:textId="0A06CEFB" w:rsidR="00D41518" w:rsidRPr="00D41518" w:rsidRDefault="00D41518" w:rsidP="00632BCA">
            <w:pPr>
              <w:keepNext/>
              <w:keepLines/>
              <w:spacing w:before="120" w:line="280" w:lineRule="atLeast"/>
              <w:jc w:val="both"/>
              <w:rPr>
                <w:rFonts w:ascii="Arial" w:hAnsi="Arial"/>
                <w:caps/>
                <w:noProof/>
                <w:sz w:val="18"/>
                <w:szCs w:val="20"/>
              </w:rPr>
            </w:pPr>
            <w:r w:rsidRPr="00D41518">
              <w:rPr>
                <w:rFonts w:ascii="Arial" w:hAnsi="Arial"/>
                <w:caps/>
                <w:sz w:val="18"/>
                <w:szCs w:val="20"/>
              </w:rPr>
              <w:t xml:space="preserve">Finding </w:t>
            </w:r>
            <w:r w:rsidR="00632BCA">
              <w:rPr>
                <w:rFonts w:ascii="Arial" w:hAnsi="Arial"/>
                <w:caps/>
                <w:sz w:val="18"/>
                <w:szCs w:val="20"/>
              </w:rPr>
              <w:t>21</w:t>
            </w:r>
            <w:r w:rsidRPr="00D41518">
              <w:rPr>
                <w:rFonts w:ascii="Arial" w:hAnsi="Arial"/>
                <w:caps/>
                <w:sz w:val="18"/>
                <w:szCs w:val="20"/>
              </w:rPr>
              <w:t>.</w:t>
            </w:r>
            <w:r w:rsidR="00343290">
              <w:rPr>
                <w:rFonts w:ascii="Arial" w:hAnsi="Arial"/>
                <w:caps/>
                <w:sz w:val="18"/>
                <w:szCs w:val="20"/>
              </w:rPr>
              <w:t>1</w:t>
            </w:r>
            <w:r w:rsidR="00CE7986">
              <w:rPr>
                <w:rFonts w:ascii="Arial" w:hAnsi="Arial"/>
                <w:caps/>
                <w:sz w:val="18"/>
                <w:szCs w:val="20"/>
              </w:rPr>
              <w:t> — </w:t>
            </w:r>
            <w:r w:rsidRPr="00D41518">
              <w:rPr>
                <w:rFonts w:ascii="Arial" w:hAnsi="Arial"/>
                <w:caps/>
                <w:sz w:val="18"/>
                <w:szCs w:val="20"/>
              </w:rPr>
              <w:t xml:space="preserve">police responses rely on community mental health services </w:t>
            </w:r>
          </w:p>
        </w:tc>
      </w:tr>
      <w:tr w:rsidR="00D41518" w:rsidRPr="00D41518" w14:paraId="735EFF08" w14:textId="77777777" w:rsidTr="00462628">
        <w:trPr>
          <w:cantSplit/>
        </w:trPr>
        <w:tc>
          <w:tcPr>
            <w:tcW w:w="5000" w:type="pct"/>
            <w:tcBorders>
              <w:top w:val="nil"/>
              <w:left w:val="nil"/>
              <w:bottom w:val="nil"/>
              <w:right w:val="nil"/>
            </w:tcBorders>
            <w:shd w:val="clear" w:color="auto" w:fill="F2F2F2"/>
            <w:tcMar>
              <w:left w:w="170" w:type="dxa"/>
              <w:right w:w="170" w:type="dxa"/>
            </w:tcMar>
          </w:tcPr>
          <w:p w14:paraId="0FE58654" w14:textId="0B5C1756" w:rsidR="00D41518" w:rsidRPr="00D41518" w:rsidRDefault="00D41518" w:rsidP="004B70B8">
            <w:pPr>
              <w:pStyle w:val="Finding"/>
            </w:pPr>
            <w:r w:rsidRPr="00D41518">
              <w:t>The effectiveness of police responses to mental health related incidents relies heavily on mental health services being available in the community. Police responses are limited by a ‘bounce back’ problem</w:t>
            </w:r>
            <w:r w:rsidR="00CE7986">
              <w:t> — </w:t>
            </w:r>
            <w:r w:rsidRPr="00D41518">
              <w:t>where</w:t>
            </w:r>
            <w:r w:rsidR="00C3168C">
              <w:t>by</w:t>
            </w:r>
            <w:r w:rsidRPr="00D41518">
              <w:t xml:space="preserve"> </w:t>
            </w:r>
            <w:r w:rsidR="00550BEE">
              <w:t>p</w:t>
            </w:r>
            <w:r w:rsidR="00550BEE" w:rsidRPr="00D41518">
              <w:t>olice respond multiple times to the same individuals experiencing mental health crises</w:t>
            </w:r>
            <w:r w:rsidR="00550BEE">
              <w:t xml:space="preserve">. In some cases, these </w:t>
            </w:r>
            <w:r w:rsidRPr="00D41518">
              <w:t xml:space="preserve">individuals </w:t>
            </w:r>
            <w:r w:rsidR="00550BEE">
              <w:t xml:space="preserve">are referred to </w:t>
            </w:r>
            <w:r w:rsidRPr="00D41518">
              <w:t>mental health services by police</w:t>
            </w:r>
            <w:r w:rsidR="00550BEE">
              <w:t>, but</w:t>
            </w:r>
            <w:r w:rsidRPr="00D41518">
              <w:t xml:space="preserve"> are unable to access appropriate treatment and care, and are discharged without support. </w:t>
            </w:r>
          </w:p>
        </w:tc>
      </w:tr>
      <w:tr w:rsidR="00D41518" w:rsidRPr="00D41518" w14:paraId="02D8AB08" w14:textId="77777777" w:rsidTr="00462628">
        <w:trPr>
          <w:cantSplit/>
        </w:trPr>
        <w:tc>
          <w:tcPr>
            <w:tcW w:w="5000" w:type="pct"/>
            <w:tcBorders>
              <w:top w:val="nil"/>
              <w:left w:val="nil"/>
              <w:bottom w:val="single" w:sz="6" w:space="0" w:color="78A22F"/>
              <w:right w:val="nil"/>
            </w:tcBorders>
            <w:shd w:val="clear" w:color="auto" w:fill="F2F2F2"/>
            <w:tcMar>
              <w:left w:w="170" w:type="dxa"/>
              <w:right w:w="170" w:type="dxa"/>
            </w:tcMar>
          </w:tcPr>
          <w:p w14:paraId="1E6AD0CB" w14:textId="77777777" w:rsidR="00D41518" w:rsidRPr="00D41518" w:rsidRDefault="00D41518" w:rsidP="00D41518">
            <w:pPr>
              <w:keepNext/>
              <w:keepLines/>
              <w:spacing w:line="120" w:lineRule="exact"/>
              <w:jc w:val="both"/>
              <w:rPr>
                <w:rFonts w:ascii="Arial" w:hAnsi="Arial"/>
                <w:sz w:val="20"/>
                <w:szCs w:val="20"/>
              </w:rPr>
            </w:pPr>
          </w:p>
        </w:tc>
      </w:tr>
      <w:tr w:rsidR="00D41518" w:rsidRPr="00D41518" w14:paraId="44730BC1" w14:textId="77777777" w:rsidTr="00462628">
        <w:trPr>
          <w:cantSplit/>
        </w:trPr>
        <w:tc>
          <w:tcPr>
            <w:tcW w:w="5000" w:type="pct"/>
            <w:tcBorders>
              <w:top w:val="single" w:sz="6" w:space="0" w:color="78A22F"/>
              <w:left w:val="nil"/>
              <w:bottom w:val="nil"/>
              <w:right w:val="nil"/>
            </w:tcBorders>
            <w:tcMar>
              <w:left w:w="170" w:type="dxa"/>
              <w:right w:w="170" w:type="dxa"/>
            </w:tcMar>
          </w:tcPr>
          <w:p w14:paraId="4D25F69F" w14:textId="77777777" w:rsidR="00D41518" w:rsidRPr="00D41518" w:rsidRDefault="00D41518" w:rsidP="008642A2">
            <w:pPr>
              <w:spacing w:before="60" w:after="60" w:line="80" w:lineRule="exact"/>
              <w:jc w:val="both"/>
              <w:rPr>
                <w:rFonts w:ascii="Arial" w:hAnsi="Arial"/>
                <w:sz w:val="14"/>
                <w:szCs w:val="20"/>
              </w:rPr>
            </w:pPr>
          </w:p>
        </w:tc>
      </w:tr>
    </w:tbl>
    <w:p w14:paraId="0C96BB5D" w14:textId="77777777" w:rsidR="00D41518" w:rsidRPr="00D41518" w:rsidRDefault="00D41518" w:rsidP="008642A2">
      <w:pPr>
        <w:pStyle w:val="BoxSpaceAbove"/>
        <w:keepLines/>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D41518" w:rsidRPr="005E64FD" w14:paraId="1A746273" w14:textId="77777777" w:rsidTr="00462628">
        <w:trPr>
          <w:tblHeader/>
        </w:trPr>
        <w:tc>
          <w:tcPr>
            <w:tcW w:w="5000" w:type="pct"/>
            <w:tcBorders>
              <w:top w:val="single" w:sz="6" w:space="0" w:color="78A22F"/>
              <w:left w:val="nil"/>
              <w:bottom w:val="nil"/>
              <w:right w:val="nil"/>
            </w:tcBorders>
            <w:shd w:val="clear" w:color="auto" w:fill="auto"/>
            <w:tcMar>
              <w:left w:w="170" w:type="dxa"/>
              <w:right w:w="170" w:type="dxa"/>
            </w:tcMar>
          </w:tcPr>
          <w:p w14:paraId="0D9EA6DF" w14:textId="5411AE35" w:rsidR="00D41518" w:rsidRPr="005E64FD" w:rsidRDefault="00BE10BF" w:rsidP="005E64FD">
            <w:pPr>
              <w:pStyle w:val="RecTitle"/>
              <w:spacing w:before="120"/>
              <w:rPr>
                <w:b/>
                <w:color w:val="3B5117"/>
              </w:rPr>
            </w:pPr>
            <w:r w:rsidRPr="005E64FD">
              <w:rPr>
                <w:b/>
                <w:color w:val="3B5117"/>
              </w:rPr>
              <w:t>ACTION</w:t>
            </w:r>
            <w:r w:rsidR="00D41518" w:rsidRPr="005E64FD">
              <w:rPr>
                <w:b/>
                <w:color w:val="3B5117"/>
              </w:rPr>
              <w:t xml:space="preserve"> </w:t>
            </w:r>
            <w:r w:rsidR="00836B99" w:rsidRPr="005E64FD">
              <w:rPr>
                <w:b/>
                <w:color w:val="3B5117"/>
              </w:rPr>
              <w:t>21</w:t>
            </w:r>
            <w:r w:rsidR="00D41518" w:rsidRPr="005E64FD">
              <w:rPr>
                <w:b/>
                <w:color w:val="3B5117"/>
              </w:rPr>
              <w:t>.</w:t>
            </w:r>
            <w:r w:rsidR="007529D4" w:rsidRPr="005E64FD">
              <w:rPr>
                <w:b/>
                <w:color w:val="3B5117"/>
              </w:rPr>
              <w:t>2</w:t>
            </w:r>
            <w:r w:rsidR="00CE7986">
              <w:rPr>
                <w:b/>
                <w:color w:val="3B5117"/>
              </w:rPr>
              <w:t> — </w:t>
            </w:r>
            <w:r w:rsidR="00D41518" w:rsidRPr="005E64FD">
              <w:rPr>
                <w:b/>
                <w:color w:val="3B5117"/>
              </w:rPr>
              <w:t xml:space="preserve">support for POLICE </w:t>
            </w:r>
          </w:p>
        </w:tc>
      </w:tr>
      <w:tr w:rsidR="00D41518" w:rsidRPr="00D41518" w14:paraId="4B883E4F" w14:textId="77777777" w:rsidTr="00462628">
        <w:tc>
          <w:tcPr>
            <w:tcW w:w="5000" w:type="pct"/>
            <w:tcBorders>
              <w:top w:val="nil"/>
              <w:left w:val="nil"/>
              <w:bottom w:val="nil"/>
              <w:right w:val="nil"/>
            </w:tcBorders>
            <w:shd w:val="clear" w:color="auto" w:fill="F2F2F2"/>
            <w:tcMar>
              <w:left w:w="170" w:type="dxa"/>
              <w:right w:w="170" w:type="dxa"/>
            </w:tcMar>
          </w:tcPr>
          <w:p w14:paraId="7DF19A69" w14:textId="2EDB10BB" w:rsidR="00D41518" w:rsidRPr="00D41518" w:rsidRDefault="00644CBA" w:rsidP="008642A2">
            <w:pPr>
              <w:pStyle w:val="Rec"/>
              <w:keepNext/>
            </w:pPr>
            <w:r>
              <w:t xml:space="preserve">Responses to </w:t>
            </w:r>
            <w:r w:rsidRPr="00D41518">
              <w:t xml:space="preserve">mental health </w:t>
            </w:r>
            <w:r>
              <w:t>related incidents should follow a</w:t>
            </w:r>
            <w:r w:rsidR="00D41518" w:rsidRPr="00D41518">
              <w:t xml:space="preserve"> systematic approach</w:t>
            </w:r>
            <w:r>
              <w:t xml:space="preserve">, </w:t>
            </w:r>
            <w:r w:rsidR="00D41518" w:rsidRPr="00D41518">
              <w:t xml:space="preserve">to support </w:t>
            </w:r>
            <w:r w:rsidR="00F85B8A">
              <w:t xml:space="preserve">both the individual with mental illness and the </w:t>
            </w:r>
            <w:r w:rsidR="00D41518" w:rsidRPr="00D41518">
              <w:t>police</w:t>
            </w:r>
            <w:r w:rsidR="00F85B8A">
              <w:t xml:space="preserve"> responders</w:t>
            </w:r>
            <w:r w:rsidR="00D41518" w:rsidRPr="00D41518">
              <w:t>.</w:t>
            </w:r>
          </w:p>
          <w:p w14:paraId="38BD96AC" w14:textId="77777777" w:rsidR="00D41518" w:rsidRPr="00D41518" w:rsidRDefault="002246D6" w:rsidP="008642A2">
            <w:pPr>
              <w:pStyle w:val="Rec"/>
              <w:keepNext/>
              <w:rPr>
                <w:i/>
              </w:rPr>
            </w:pPr>
            <w:r w:rsidRPr="002246D6">
              <w:rPr>
                <w:i/>
              </w:rPr>
              <w:t>Start now</w:t>
            </w:r>
          </w:p>
          <w:p w14:paraId="5C4A06F2" w14:textId="251D9134" w:rsidR="00D41518" w:rsidRPr="00D41518" w:rsidRDefault="00D41518" w:rsidP="008642A2">
            <w:pPr>
              <w:pStyle w:val="Rec"/>
              <w:keepNext/>
            </w:pPr>
            <w:r w:rsidRPr="00D41518">
              <w:t xml:space="preserve">All State and Territory Governments should implement initiatives that enable police, </w:t>
            </w:r>
            <w:r w:rsidR="008F7283">
              <w:t xml:space="preserve">mental </w:t>
            </w:r>
            <w:r w:rsidRPr="00D41518">
              <w:t xml:space="preserve">health and ambulance services to collectively respond to mental </w:t>
            </w:r>
            <w:r w:rsidR="00AD4FB0" w:rsidRPr="00D41518">
              <w:t>health</w:t>
            </w:r>
            <w:r w:rsidR="00AD4FB0">
              <w:noBreakHyphen/>
            </w:r>
            <w:r w:rsidR="008F7283">
              <w:t>related incidents</w:t>
            </w:r>
            <w:r w:rsidRPr="00D41518">
              <w:t xml:space="preserve">. </w:t>
            </w:r>
            <w:r w:rsidR="008F7283">
              <w:t>A</w:t>
            </w:r>
            <w:r w:rsidRPr="00D41518">
              <w:t>pproach</w:t>
            </w:r>
            <w:r w:rsidR="008F7283">
              <w:t>es</w:t>
            </w:r>
            <w:r w:rsidRPr="00D41518">
              <w:t xml:space="preserve"> undertaken in Queensland </w:t>
            </w:r>
            <w:r w:rsidR="008F7283">
              <w:t xml:space="preserve">and Western Australia </w:t>
            </w:r>
            <w:r w:rsidR="00F85B8A">
              <w:t>sh</w:t>
            </w:r>
            <w:r w:rsidRPr="00D41518">
              <w:t>ould be considered.</w:t>
            </w:r>
          </w:p>
          <w:p w14:paraId="1EF9502D" w14:textId="77777777" w:rsidR="00D41518" w:rsidRPr="00D41518" w:rsidRDefault="00D41518" w:rsidP="008642A2">
            <w:pPr>
              <w:pStyle w:val="Rec"/>
              <w:keepNext/>
            </w:pPr>
            <w:r w:rsidRPr="00D41518">
              <w:t>The initiatives should ensure that:</w:t>
            </w:r>
          </w:p>
          <w:p w14:paraId="5D859527" w14:textId="77777777" w:rsidR="002F239E" w:rsidRPr="00D07F94" w:rsidRDefault="002F239E" w:rsidP="008642A2">
            <w:pPr>
              <w:pStyle w:val="RecBullet"/>
              <w:keepNext/>
            </w:pPr>
            <w:r w:rsidRPr="008638DE">
              <w:t>mental health professionals are embedded in police communication centres to provide real</w:t>
            </w:r>
            <w:r>
              <w:noBreakHyphen/>
            </w:r>
            <w:r w:rsidRPr="008638DE">
              <w:t>time information on the individual to whom police are responding, to advise on responses and referral pathways, and to prioritise deployment of co</w:t>
            </w:r>
            <w:r w:rsidRPr="008638DE">
              <w:noBreakHyphen/>
              <w:t xml:space="preserve">responder </w:t>
            </w:r>
            <w:r w:rsidRPr="00713801">
              <w:t>resources</w:t>
            </w:r>
          </w:p>
          <w:p w14:paraId="68B7EBF5" w14:textId="77777777" w:rsidR="002F239E" w:rsidRPr="00D07F94" w:rsidRDefault="002F239E" w:rsidP="008642A2">
            <w:pPr>
              <w:pStyle w:val="RecBullet"/>
              <w:keepNext/>
            </w:pPr>
            <w:r w:rsidRPr="008638DE">
              <w:t>police, mental health professionals and/or ambulance services are able to co</w:t>
            </w:r>
            <w:r>
              <w:noBreakHyphen/>
            </w:r>
            <w:r w:rsidRPr="008638DE">
              <w:t xml:space="preserve">respond to mental health </w:t>
            </w:r>
            <w:r>
              <w:t xml:space="preserve">related incidents </w:t>
            </w:r>
            <w:r w:rsidRPr="008638DE">
              <w:t>if necessary</w:t>
            </w:r>
          </w:p>
          <w:p w14:paraId="72E3FA55" w14:textId="6E6D2D94" w:rsidR="002F239E" w:rsidRPr="00D07F94" w:rsidRDefault="002F239E" w:rsidP="008642A2">
            <w:pPr>
              <w:pStyle w:val="RecBullet"/>
              <w:keepNext/>
            </w:pPr>
            <w:r w:rsidRPr="008638DE">
              <w:t>roles and responsibilities of all service providers are clearly defined</w:t>
            </w:r>
            <w:r>
              <w:t xml:space="preserve"> and aligned with existing </w:t>
            </w:r>
            <w:r w:rsidR="00550BEE">
              <w:t xml:space="preserve">memoranda </w:t>
            </w:r>
            <w:r>
              <w:t xml:space="preserve">of </w:t>
            </w:r>
            <w:r w:rsidR="00550BEE">
              <w:t xml:space="preserve">understanding </w:t>
            </w:r>
            <w:r>
              <w:t>or other protocols between police, mental health services and ambulance services</w:t>
            </w:r>
          </w:p>
          <w:p w14:paraId="2F077109" w14:textId="17E9554E" w:rsidR="00D33E8F" w:rsidRPr="007541CF" w:rsidRDefault="002F239E" w:rsidP="008642A2">
            <w:pPr>
              <w:pStyle w:val="RecBullet"/>
              <w:keepNext/>
            </w:pPr>
            <w:r w:rsidRPr="008638DE">
              <w:t>approaches are tailored to meet the needs of particular groups, such as Aboriginal and Torres Strait Islander people</w:t>
            </w:r>
            <w:r w:rsidR="00E975B3">
              <w:t xml:space="preserve"> or people from culturally </w:t>
            </w:r>
            <w:r w:rsidR="00550BEE">
              <w:t>and linguistically</w:t>
            </w:r>
            <w:r w:rsidR="00E975B3">
              <w:t xml:space="preserve"> diverse backgrounds</w:t>
            </w:r>
            <w:r w:rsidRPr="008638DE">
              <w:t>.</w:t>
            </w:r>
          </w:p>
        </w:tc>
      </w:tr>
      <w:tr w:rsidR="00D41518" w:rsidRPr="00D41518" w14:paraId="456DA17B"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44CB46F3" w14:textId="77777777" w:rsidR="00D41518" w:rsidRPr="00D41518" w:rsidRDefault="00D41518" w:rsidP="008642A2">
            <w:pPr>
              <w:keepNext/>
              <w:keepLines/>
              <w:spacing w:line="120" w:lineRule="exact"/>
              <w:jc w:val="both"/>
              <w:rPr>
                <w:rFonts w:ascii="Arial" w:hAnsi="Arial"/>
                <w:sz w:val="20"/>
                <w:szCs w:val="20"/>
              </w:rPr>
            </w:pPr>
          </w:p>
        </w:tc>
      </w:tr>
      <w:tr w:rsidR="00D41518" w:rsidRPr="00D41518" w14:paraId="2EC7B8B4" w14:textId="77777777" w:rsidTr="00462628">
        <w:tc>
          <w:tcPr>
            <w:tcW w:w="5000" w:type="pct"/>
            <w:tcBorders>
              <w:top w:val="single" w:sz="6" w:space="0" w:color="78A22F"/>
              <w:left w:val="nil"/>
              <w:bottom w:val="nil"/>
              <w:right w:val="nil"/>
            </w:tcBorders>
          </w:tcPr>
          <w:p w14:paraId="19D8D749" w14:textId="77777777" w:rsidR="00D41518" w:rsidRPr="00D41518" w:rsidRDefault="00D41518" w:rsidP="008642A2">
            <w:pPr>
              <w:keepNext/>
              <w:keepLines/>
              <w:spacing w:before="60" w:after="60" w:line="80" w:lineRule="exact"/>
              <w:jc w:val="both"/>
              <w:rPr>
                <w:rFonts w:ascii="Arial" w:hAnsi="Arial"/>
                <w:sz w:val="14"/>
                <w:szCs w:val="20"/>
              </w:rPr>
            </w:pPr>
          </w:p>
        </w:tc>
      </w:tr>
    </w:tbl>
    <w:p w14:paraId="3F05992C" w14:textId="06EDEE65" w:rsidR="005F2C7E" w:rsidRDefault="005F2C7E" w:rsidP="005F2C7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5F2C7E" w:rsidRPr="005E64FD" w14:paraId="186DDD8D" w14:textId="77777777" w:rsidTr="00211236">
        <w:trPr>
          <w:tblHeader/>
        </w:trPr>
        <w:tc>
          <w:tcPr>
            <w:tcW w:w="5000" w:type="pct"/>
            <w:tcBorders>
              <w:top w:val="single" w:sz="6" w:space="0" w:color="78A22F"/>
              <w:left w:val="nil"/>
              <w:bottom w:val="nil"/>
              <w:right w:val="nil"/>
            </w:tcBorders>
            <w:shd w:val="clear" w:color="auto" w:fill="auto"/>
            <w:tcMar>
              <w:left w:w="170" w:type="dxa"/>
              <w:right w:w="170" w:type="dxa"/>
            </w:tcMar>
          </w:tcPr>
          <w:p w14:paraId="54D20746" w14:textId="6CE63B8C" w:rsidR="005F2C7E" w:rsidRPr="005E64FD" w:rsidRDefault="00BE10BF" w:rsidP="005E64FD">
            <w:pPr>
              <w:pStyle w:val="RecTitle"/>
              <w:spacing w:before="120"/>
              <w:rPr>
                <w:b/>
                <w:color w:val="3B5117"/>
              </w:rPr>
            </w:pPr>
            <w:r w:rsidRPr="005E64FD">
              <w:rPr>
                <w:b/>
                <w:color w:val="3B5117"/>
              </w:rPr>
              <w:t>ACTION</w:t>
            </w:r>
            <w:r w:rsidR="005F2C7E" w:rsidRPr="005E64FD">
              <w:rPr>
                <w:b/>
                <w:color w:val="3B5117"/>
              </w:rPr>
              <w:t xml:space="preserve"> </w:t>
            </w:r>
            <w:r w:rsidR="00836B99" w:rsidRPr="005E64FD">
              <w:rPr>
                <w:b/>
                <w:color w:val="3B5117"/>
              </w:rPr>
              <w:t>21</w:t>
            </w:r>
            <w:r w:rsidR="005F2C7E" w:rsidRPr="005E64FD">
              <w:rPr>
                <w:b/>
                <w:color w:val="3B5117"/>
              </w:rPr>
              <w:t>.3</w:t>
            </w:r>
            <w:r w:rsidR="00CE7986">
              <w:rPr>
                <w:b/>
                <w:color w:val="3B5117"/>
              </w:rPr>
              <w:t> — </w:t>
            </w:r>
            <w:r w:rsidR="005F2C7E" w:rsidRPr="005E64FD">
              <w:rPr>
                <w:b/>
                <w:color w:val="3B5117"/>
              </w:rPr>
              <w:t>improving access to court diversion programs</w:t>
            </w:r>
          </w:p>
        </w:tc>
      </w:tr>
      <w:tr w:rsidR="005F2C7E" w:rsidRPr="00750BE2" w14:paraId="1623E742" w14:textId="77777777" w:rsidTr="00211236">
        <w:tc>
          <w:tcPr>
            <w:tcW w:w="5000" w:type="pct"/>
            <w:tcBorders>
              <w:top w:val="nil"/>
              <w:left w:val="nil"/>
              <w:bottom w:val="nil"/>
              <w:right w:val="nil"/>
            </w:tcBorders>
            <w:shd w:val="clear" w:color="auto" w:fill="F2F2F2" w:themeFill="background1" w:themeFillShade="F2"/>
            <w:tcMar>
              <w:left w:w="170" w:type="dxa"/>
              <w:right w:w="170" w:type="dxa"/>
            </w:tcMar>
          </w:tcPr>
          <w:p w14:paraId="43C7A6F4" w14:textId="42FCCC78" w:rsidR="00590B10" w:rsidRPr="0055490C" w:rsidRDefault="00590B10" w:rsidP="00211236">
            <w:pPr>
              <w:pStyle w:val="Rec"/>
              <w:keepNext/>
              <w:rPr>
                <w:iCs/>
              </w:rPr>
            </w:pPr>
            <w:r>
              <w:rPr>
                <w:iCs/>
              </w:rPr>
              <w:t>Court diversion programs can be beneficial to people with mental illness.</w:t>
            </w:r>
          </w:p>
          <w:p w14:paraId="49D92AE3" w14:textId="3CDEA0B2" w:rsidR="005F2C7E" w:rsidRPr="00DF067A" w:rsidRDefault="002246D6" w:rsidP="00211236">
            <w:pPr>
              <w:pStyle w:val="Rec"/>
              <w:keepNext/>
              <w:rPr>
                <w:i/>
              </w:rPr>
            </w:pPr>
            <w:r w:rsidRPr="002246D6">
              <w:rPr>
                <w:i/>
              </w:rPr>
              <w:t>Start now</w:t>
            </w:r>
          </w:p>
          <w:p w14:paraId="2B4F16F0" w14:textId="2F9631A8" w:rsidR="005F2C7E" w:rsidRDefault="005F2C7E" w:rsidP="00211236">
            <w:pPr>
              <w:pStyle w:val="Rec"/>
            </w:pPr>
            <w:r>
              <w:t>State and Territory Governments should ensure that all individuals with mental illness who would benefit from court diversion programs</w:t>
            </w:r>
            <w:r w:rsidR="00CE7986">
              <w:t> — </w:t>
            </w:r>
            <w:r>
              <w:t>that link individuals to appropriate mental health treatment and social support</w:t>
            </w:r>
            <w:r w:rsidR="00CE7986">
              <w:t> — </w:t>
            </w:r>
            <w:r>
              <w:t>can access them. This should include ensuring court diversion programs are:</w:t>
            </w:r>
          </w:p>
          <w:p w14:paraId="142FD22D" w14:textId="77777777" w:rsidR="005F2C7E" w:rsidRDefault="005F2C7E" w:rsidP="00211236">
            <w:pPr>
              <w:pStyle w:val="RecBullet"/>
            </w:pPr>
            <w:r>
              <w:t>available and accessible jurisdiction</w:t>
            </w:r>
            <w:r>
              <w:noBreakHyphen/>
              <w:t>wide, including in regional and remote areas</w:t>
            </w:r>
          </w:p>
          <w:p w14:paraId="099ECBC9" w14:textId="42547BFB" w:rsidR="005F2C7E" w:rsidRDefault="005F2C7E" w:rsidP="00211236">
            <w:pPr>
              <w:pStyle w:val="RecBullet"/>
            </w:pPr>
            <w:r>
              <w:t>adequately resourced, including funding and appropriately trained staff.</w:t>
            </w:r>
          </w:p>
          <w:p w14:paraId="2BFCA3C8" w14:textId="77777777" w:rsidR="005F2C7E" w:rsidRDefault="005F2C7E" w:rsidP="00211236">
            <w:pPr>
              <w:pStyle w:val="Rec"/>
            </w:pPr>
            <w:r>
              <w:t>In doing so, State and Territory Governments should ensure there is adequate coordination with relevant agencies pr</w:t>
            </w:r>
            <w:r w:rsidR="00F85B8A">
              <w:t>oviding services to individuals</w:t>
            </w:r>
            <w:r>
              <w:t xml:space="preserve"> who are referred by the court diversion program, particularly health and housing.</w:t>
            </w:r>
          </w:p>
        </w:tc>
      </w:tr>
      <w:tr w:rsidR="005F2C7E" w14:paraId="0830BC8F"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7A6B79E8" w14:textId="77777777" w:rsidR="005F2C7E" w:rsidRDefault="005F2C7E" w:rsidP="00211236">
            <w:pPr>
              <w:pStyle w:val="Space"/>
              <w:keepLines/>
            </w:pPr>
          </w:p>
        </w:tc>
      </w:tr>
      <w:tr w:rsidR="005F2C7E" w:rsidRPr="000863A5" w14:paraId="35D1B0C0" w14:textId="77777777" w:rsidTr="00211236">
        <w:tc>
          <w:tcPr>
            <w:tcW w:w="5000" w:type="pct"/>
            <w:tcBorders>
              <w:top w:val="single" w:sz="6" w:space="0" w:color="78A22F"/>
              <w:left w:val="nil"/>
              <w:bottom w:val="nil"/>
              <w:right w:val="nil"/>
            </w:tcBorders>
          </w:tcPr>
          <w:p w14:paraId="50BE766A" w14:textId="77777777" w:rsidR="005F2C7E" w:rsidRPr="00626D32" w:rsidRDefault="005F2C7E" w:rsidP="00211236">
            <w:pPr>
              <w:pStyle w:val="BoxSpaceBelow"/>
            </w:pPr>
          </w:p>
        </w:tc>
      </w:tr>
    </w:tbl>
    <w:p w14:paraId="1A7FBD65" w14:textId="77777777" w:rsidR="00D41518" w:rsidRPr="00D41518" w:rsidRDefault="00D41518" w:rsidP="008642A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D41518" w:rsidRPr="005E64FD" w14:paraId="39579D4C" w14:textId="77777777" w:rsidTr="00462628">
        <w:trPr>
          <w:tblHeader/>
        </w:trPr>
        <w:tc>
          <w:tcPr>
            <w:tcW w:w="5000" w:type="pct"/>
            <w:tcBorders>
              <w:top w:val="single" w:sz="6" w:space="0" w:color="78A22F"/>
              <w:left w:val="nil"/>
              <w:bottom w:val="nil"/>
              <w:right w:val="nil"/>
            </w:tcBorders>
            <w:shd w:val="clear" w:color="auto" w:fill="auto"/>
            <w:tcMar>
              <w:left w:w="170" w:type="dxa"/>
              <w:right w:w="170" w:type="dxa"/>
            </w:tcMar>
          </w:tcPr>
          <w:p w14:paraId="319196EC" w14:textId="6B8E7D16" w:rsidR="00D41518" w:rsidRPr="005E64FD" w:rsidRDefault="00BE10BF" w:rsidP="005E64FD">
            <w:pPr>
              <w:pStyle w:val="RecTitle"/>
              <w:spacing w:before="120"/>
              <w:rPr>
                <w:b/>
                <w:color w:val="3B5117"/>
              </w:rPr>
            </w:pPr>
            <w:r w:rsidRPr="005E64FD">
              <w:rPr>
                <w:b/>
                <w:color w:val="3B5117"/>
              </w:rPr>
              <w:t>ACTION</w:t>
            </w:r>
            <w:r w:rsidR="00D41518" w:rsidRPr="005E64FD">
              <w:rPr>
                <w:b/>
                <w:color w:val="3B5117"/>
              </w:rPr>
              <w:t xml:space="preserve"> </w:t>
            </w:r>
            <w:r w:rsidR="00836B99" w:rsidRPr="005E64FD">
              <w:rPr>
                <w:b/>
                <w:color w:val="3B5117"/>
              </w:rPr>
              <w:t>21</w:t>
            </w:r>
            <w:r w:rsidR="00D41518" w:rsidRPr="005E64FD">
              <w:rPr>
                <w:b/>
                <w:color w:val="3B5117"/>
              </w:rPr>
              <w:t>.</w:t>
            </w:r>
            <w:r w:rsidR="009A2712" w:rsidRPr="005E64FD">
              <w:rPr>
                <w:b/>
                <w:color w:val="3B5117"/>
              </w:rPr>
              <w:t>4</w:t>
            </w:r>
            <w:r w:rsidR="00CE7986">
              <w:rPr>
                <w:b/>
                <w:color w:val="3B5117"/>
              </w:rPr>
              <w:t> — </w:t>
            </w:r>
            <w:r w:rsidR="00D41518" w:rsidRPr="005E64FD">
              <w:rPr>
                <w:b/>
                <w:color w:val="3B5117"/>
              </w:rPr>
              <w:t>mental healthcare in correctional facilities and on release</w:t>
            </w:r>
          </w:p>
        </w:tc>
      </w:tr>
      <w:tr w:rsidR="00D41518" w:rsidRPr="00D41518" w14:paraId="11383B94" w14:textId="77777777" w:rsidTr="00462628">
        <w:tc>
          <w:tcPr>
            <w:tcW w:w="5000" w:type="pct"/>
            <w:tcBorders>
              <w:top w:val="nil"/>
              <w:left w:val="nil"/>
              <w:bottom w:val="nil"/>
              <w:right w:val="nil"/>
            </w:tcBorders>
            <w:shd w:val="clear" w:color="auto" w:fill="F2F2F2"/>
            <w:tcMar>
              <w:left w:w="170" w:type="dxa"/>
              <w:right w:w="170" w:type="dxa"/>
            </w:tcMar>
          </w:tcPr>
          <w:p w14:paraId="713A43F9" w14:textId="77777777" w:rsidR="00D41518" w:rsidRPr="00D41518" w:rsidRDefault="00D41518" w:rsidP="008642A2">
            <w:pPr>
              <w:pStyle w:val="Rec"/>
            </w:pPr>
            <w:r w:rsidRPr="00D41518">
              <w:t>Mental health</w:t>
            </w:r>
            <w:r w:rsidR="00E02287">
              <w:t xml:space="preserve">care in </w:t>
            </w:r>
            <w:r w:rsidRPr="00D41518">
              <w:t xml:space="preserve">correctional facilities should be </w:t>
            </w:r>
            <w:r w:rsidR="00E02287">
              <w:t>equivalent to that in the community and mental healthcare should be continued seamlessly as people enter and leave correctional facilities.</w:t>
            </w:r>
            <w:r w:rsidR="00E02287" w:rsidRPr="00D41518" w:rsidDel="00E02287">
              <w:t xml:space="preserve"> </w:t>
            </w:r>
          </w:p>
          <w:p w14:paraId="634E9FB7" w14:textId="77777777" w:rsidR="00D41518" w:rsidRPr="00D41518" w:rsidRDefault="002246D6" w:rsidP="008642A2">
            <w:pPr>
              <w:pStyle w:val="Rec"/>
              <w:rPr>
                <w:i/>
              </w:rPr>
            </w:pPr>
            <w:r w:rsidRPr="002246D6">
              <w:rPr>
                <w:i/>
              </w:rPr>
              <w:t>Start now</w:t>
            </w:r>
          </w:p>
          <w:p w14:paraId="5A521DD9" w14:textId="03577317" w:rsidR="00913318" w:rsidRDefault="006C0569" w:rsidP="008642A2">
            <w:pPr>
              <w:pStyle w:val="Rec"/>
            </w:pPr>
            <w:r>
              <w:t>The Australian Commission on Safety and Quality in Health Care should review the National Safety and Quality Health Service Standards to determine how they apply to, and can be implemented in</w:t>
            </w:r>
            <w:r w:rsidR="006727C2">
              <w:t>,</w:t>
            </w:r>
            <w:r>
              <w:t xml:space="preserve"> correctional settings. </w:t>
            </w:r>
            <w:r w:rsidR="00D41518" w:rsidRPr="00D41518">
              <w:t xml:space="preserve">All State and Territory Governments should </w:t>
            </w:r>
            <w:r w:rsidR="00913318">
              <w:t>ensure that:</w:t>
            </w:r>
          </w:p>
          <w:p w14:paraId="1B4FFD07" w14:textId="47E3AB0D" w:rsidR="000E14D7" w:rsidRPr="009A2712" w:rsidRDefault="000E14D7" w:rsidP="009A2712">
            <w:pPr>
              <w:pStyle w:val="RecBullet"/>
            </w:pPr>
            <w:r>
              <w:t xml:space="preserve">there is </w:t>
            </w:r>
            <w:r w:rsidRPr="009A2712">
              <w:t>mental health screening and assessment of all individuals (</w:t>
            </w:r>
            <w:r w:rsidR="0047372D">
              <w:t xml:space="preserve">whether </w:t>
            </w:r>
            <w:r w:rsidR="0047372D" w:rsidRPr="009A2712">
              <w:t xml:space="preserve">sentenced or </w:t>
            </w:r>
            <w:r w:rsidR="0047372D">
              <w:t>not</w:t>
            </w:r>
            <w:r w:rsidRPr="009A2712">
              <w:t>) by a mental health professional on admission to correctional facilities, and on an ongoing basis where appropriate</w:t>
            </w:r>
          </w:p>
          <w:p w14:paraId="66AABE4C" w14:textId="77777777" w:rsidR="000E14D7" w:rsidRPr="00516102" w:rsidRDefault="000E14D7" w:rsidP="009A2712">
            <w:pPr>
              <w:pStyle w:val="RecBullet"/>
              <w:rPr>
                <w:b/>
              </w:rPr>
            </w:pPr>
            <w:r w:rsidRPr="009A2712">
              <w:t>mental health information obtained from screening and assessment is comprehensive enough to inform</w:t>
            </w:r>
            <w:r w:rsidRPr="00E53835">
              <w:t xml:space="preserve"> resourcing of mental health services in correctional facilities</w:t>
            </w:r>
          </w:p>
          <w:p w14:paraId="3F5351C3" w14:textId="77777777" w:rsidR="000E14D7" w:rsidRDefault="000E14D7" w:rsidP="000E14D7">
            <w:pPr>
              <w:pStyle w:val="RecBullet"/>
            </w:pPr>
            <w:r>
              <w:t xml:space="preserve">with consent from the individual, there is communication with any of their </w:t>
            </w:r>
            <w:r w:rsidR="00456524">
              <w:t xml:space="preserve">existing </w:t>
            </w:r>
            <w:r>
              <w:t>mental health providers to further inform mental health needs</w:t>
            </w:r>
          </w:p>
          <w:p w14:paraId="7A746BBF" w14:textId="77777777" w:rsidR="000E14D7" w:rsidRDefault="000E14D7" w:rsidP="000E14D7">
            <w:pPr>
              <w:pStyle w:val="RecBullet"/>
            </w:pPr>
            <w:r>
              <w:t xml:space="preserve">individuals in correctional facilities are able to access timely and appropriate mental healthcare, </w:t>
            </w:r>
            <w:r w:rsidR="004F4D00">
              <w:t xml:space="preserve">of a standard </w:t>
            </w:r>
            <w:r>
              <w:t>equivalent to that in the community</w:t>
            </w:r>
          </w:p>
          <w:p w14:paraId="5F566A48" w14:textId="2715F29A" w:rsidR="00D41518" w:rsidRPr="007541CF" w:rsidRDefault="007541CF" w:rsidP="004F4D00">
            <w:pPr>
              <w:pStyle w:val="RecBullet"/>
            </w:pPr>
            <w:r>
              <w:t xml:space="preserve">mental health information obtained from screening and assessment is used to inform transition planning for the individual upon release. </w:t>
            </w:r>
            <w:r w:rsidR="004F4D00">
              <w:t>Transition planning</w:t>
            </w:r>
            <w:r>
              <w:t xml:space="preserve"> should be completed and, with consent from the individual, shared with community based mental health services, case managers and other </w:t>
            </w:r>
            <w:r w:rsidR="004F4D00">
              <w:t>relevant</w:t>
            </w:r>
            <w:r>
              <w:t xml:space="preserve"> parties, at a time before release that is reasonable for the planning of continued mental healthcare </w:t>
            </w:r>
            <w:r w:rsidR="004F4D00">
              <w:t xml:space="preserve">of the individual </w:t>
            </w:r>
            <w:r>
              <w:t>in the community.</w:t>
            </w:r>
          </w:p>
        </w:tc>
      </w:tr>
      <w:tr w:rsidR="00D41518" w:rsidRPr="00D41518" w14:paraId="326FC59A"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35525410" w14:textId="77777777" w:rsidR="00D41518" w:rsidRPr="00D41518" w:rsidRDefault="00D41518" w:rsidP="00D41518">
            <w:pPr>
              <w:keepNext/>
              <w:keepLines/>
              <w:spacing w:line="120" w:lineRule="exact"/>
              <w:jc w:val="both"/>
              <w:rPr>
                <w:rFonts w:ascii="Arial" w:hAnsi="Arial"/>
                <w:sz w:val="20"/>
                <w:szCs w:val="20"/>
              </w:rPr>
            </w:pPr>
          </w:p>
        </w:tc>
      </w:tr>
      <w:tr w:rsidR="00D41518" w:rsidRPr="00D41518" w14:paraId="62C73726" w14:textId="77777777" w:rsidTr="00462628">
        <w:tc>
          <w:tcPr>
            <w:tcW w:w="5000" w:type="pct"/>
            <w:tcBorders>
              <w:top w:val="single" w:sz="6" w:space="0" w:color="78A22F"/>
              <w:left w:val="nil"/>
              <w:bottom w:val="nil"/>
              <w:right w:val="nil"/>
            </w:tcBorders>
          </w:tcPr>
          <w:p w14:paraId="04FC6BFB" w14:textId="77777777" w:rsidR="00D41518" w:rsidRPr="00D41518" w:rsidRDefault="00D41518" w:rsidP="00D41518">
            <w:pPr>
              <w:keepLines/>
              <w:spacing w:before="60" w:after="60" w:line="80" w:lineRule="exact"/>
              <w:jc w:val="both"/>
              <w:rPr>
                <w:rFonts w:ascii="Arial" w:hAnsi="Arial"/>
                <w:sz w:val="14"/>
                <w:szCs w:val="20"/>
              </w:rPr>
            </w:pPr>
          </w:p>
        </w:tc>
      </w:tr>
    </w:tbl>
    <w:p w14:paraId="0F9BAB23" w14:textId="77777777" w:rsidR="006827AE" w:rsidRDefault="006827AE" w:rsidP="00F00D7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6827AE" w:rsidRPr="005E64FD" w14:paraId="5F67862D" w14:textId="77777777" w:rsidTr="00722332">
        <w:trPr>
          <w:tblHeader/>
        </w:trPr>
        <w:tc>
          <w:tcPr>
            <w:tcW w:w="5000" w:type="pct"/>
            <w:tcBorders>
              <w:top w:val="single" w:sz="6" w:space="0" w:color="78A22F"/>
              <w:left w:val="nil"/>
              <w:bottom w:val="nil"/>
              <w:right w:val="nil"/>
            </w:tcBorders>
            <w:shd w:val="clear" w:color="auto" w:fill="auto"/>
            <w:tcMar>
              <w:left w:w="170" w:type="dxa"/>
              <w:right w:w="170" w:type="dxa"/>
            </w:tcMar>
          </w:tcPr>
          <w:p w14:paraId="62011AA1" w14:textId="409F914C" w:rsidR="006827AE" w:rsidRPr="005E64FD" w:rsidRDefault="006827AE" w:rsidP="005E64FD">
            <w:pPr>
              <w:pStyle w:val="RecTitle"/>
              <w:spacing w:before="120"/>
              <w:rPr>
                <w:b/>
                <w:color w:val="3B5117"/>
              </w:rPr>
            </w:pPr>
            <w:r w:rsidRPr="005E64FD">
              <w:rPr>
                <w:b/>
                <w:color w:val="3B5117"/>
              </w:rPr>
              <w:t xml:space="preserve">ACTION </w:t>
            </w:r>
            <w:r w:rsidR="00836B99" w:rsidRPr="005E64FD">
              <w:rPr>
                <w:b/>
                <w:color w:val="3B5117"/>
              </w:rPr>
              <w:t>21</w:t>
            </w:r>
            <w:r w:rsidRPr="005E64FD">
              <w:rPr>
                <w:b/>
                <w:color w:val="3B5117"/>
              </w:rPr>
              <w:t>.</w:t>
            </w:r>
            <w:r w:rsidR="009A2712" w:rsidRPr="005E64FD">
              <w:rPr>
                <w:b/>
                <w:color w:val="3B5117"/>
              </w:rPr>
              <w:t>5</w:t>
            </w:r>
            <w:r w:rsidR="00CE7986">
              <w:rPr>
                <w:b/>
                <w:color w:val="3B5117"/>
              </w:rPr>
              <w:t> — </w:t>
            </w:r>
            <w:r w:rsidRPr="005E64FD">
              <w:rPr>
                <w:b/>
                <w:color w:val="3B5117"/>
              </w:rPr>
              <w:t>forensic mental healthcare</w:t>
            </w:r>
          </w:p>
        </w:tc>
      </w:tr>
      <w:tr w:rsidR="006827AE" w:rsidRPr="00750BE2" w14:paraId="2AE80F32" w14:textId="77777777" w:rsidTr="00722332">
        <w:tc>
          <w:tcPr>
            <w:tcW w:w="5000" w:type="pct"/>
            <w:tcBorders>
              <w:top w:val="nil"/>
              <w:left w:val="nil"/>
              <w:bottom w:val="nil"/>
              <w:right w:val="nil"/>
            </w:tcBorders>
            <w:shd w:val="clear" w:color="auto" w:fill="F2F2F2" w:themeFill="background1" w:themeFillShade="F2"/>
            <w:tcMar>
              <w:left w:w="170" w:type="dxa"/>
              <w:right w:w="170" w:type="dxa"/>
            </w:tcMar>
          </w:tcPr>
          <w:p w14:paraId="21935792" w14:textId="77777777" w:rsidR="006827AE" w:rsidRDefault="002246D6" w:rsidP="008642A2">
            <w:pPr>
              <w:pStyle w:val="Rec"/>
              <w:keepNext/>
              <w:rPr>
                <w:i/>
              </w:rPr>
            </w:pPr>
            <w:r w:rsidRPr="002246D6">
              <w:rPr>
                <w:i/>
              </w:rPr>
              <w:t>Start now</w:t>
            </w:r>
          </w:p>
          <w:p w14:paraId="2C93531B" w14:textId="77777777" w:rsidR="006827AE" w:rsidRPr="000C6B46" w:rsidRDefault="006827AE" w:rsidP="008642A2">
            <w:pPr>
              <w:pStyle w:val="Rec"/>
              <w:keepNext/>
              <w:rPr>
                <w:i/>
              </w:rPr>
            </w:pPr>
            <w:r>
              <w:t>The Australian, State and Territory Governments should complete the forensic mental health component of the National Mental Health Service Planning Framework, which should then be used by State and Territory Governments to quantify the level of unmet demand for forensic mental healthcare. This should inform planning and funding of forensic mental healthcare, including forensic services and facilities, for adults and young people. The plans developed for forensic mental healthcare should be made publicly available.</w:t>
            </w:r>
          </w:p>
        </w:tc>
      </w:tr>
      <w:tr w:rsidR="006827AE" w14:paraId="2A91197E"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239BC995" w14:textId="77777777" w:rsidR="006827AE" w:rsidRDefault="006827AE" w:rsidP="008642A2">
            <w:pPr>
              <w:pStyle w:val="Space"/>
              <w:keepLines/>
            </w:pPr>
          </w:p>
        </w:tc>
      </w:tr>
      <w:tr w:rsidR="006827AE" w:rsidRPr="000863A5" w14:paraId="5DFA06C4" w14:textId="77777777" w:rsidTr="00722332">
        <w:tc>
          <w:tcPr>
            <w:tcW w:w="5000" w:type="pct"/>
            <w:tcBorders>
              <w:top w:val="single" w:sz="6" w:space="0" w:color="78A22F"/>
              <w:left w:val="nil"/>
              <w:bottom w:val="nil"/>
              <w:right w:val="nil"/>
            </w:tcBorders>
          </w:tcPr>
          <w:p w14:paraId="1B8BD1BD" w14:textId="77777777" w:rsidR="006827AE" w:rsidRPr="00626D32" w:rsidRDefault="006827AE" w:rsidP="00AA695D">
            <w:pPr>
              <w:pStyle w:val="BoxSpaceBelow"/>
            </w:pPr>
          </w:p>
        </w:tc>
      </w:tr>
    </w:tbl>
    <w:p w14:paraId="5BE27580" w14:textId="4F908DF6" w:rsidR="00D41518" w:rsidRPr="00D41518" w:rsidRDefault="00D41518" w:rsidP="00AA695D">
      <w:pPr>
        <w:pStyle w:val="BoxSpaceAbove"/>
        <w:keepLines/>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D41518" w:rsidRPr="005E64FD" w14:paraId="5BF56868" w14:textId="77777777" w:rsidTr="00462628">
        <w:trPr>
          <w:tblHeader/>
        </w:trPr>
        <w:tc>
          <w:tcPr>
            <w:tcW w:w="5000" w:type="pct"/>
            <w:tcBorders>
              <w:top w:val="single" w:sz="6" w:space="0" w:color="78A22F"/>
              <w:left w:val="nil"/>
              <w:bottom w:val="nil"/>
              <w:right w:val="nil"/>
            </w:tcBorders>
            <w:shd w:val="clear" w:color="auto" w:fill="auto"/>
            <w:tcMar>
              <w:left w:w="170" w:type="dxa"/>
              <w:right w:w="170" w:type="dxa"/>
            </w:tcMar>
          </w:tcPr>
          <w:p w14:paraId="19C2A9B6" w14:textId="460832AF" w:rsidR="00D41518" w:rsidRPr="005E64FD" w:rsidRDefault="00BE10BF" w:rsidP="00AA695D">
            <w:pPr>
              <w:pStyle w:val="RecTitle"/>
              <w:spacing w:before="120"/>
              <w:ind w:left="1531" w:hanging="1531"/>
              <w:rPr>
                <w:b/>
                <w:color w:val="3B5117"/>
              </w:rPr>
            </w:pPr>
            <w:r w:rsidRPr="005E64FD">
              <w:rPr>
                <w:b/>
                <w:color w:val="3B5117"/>
              </w:rPr>
              <w:t>ACTION</w:t>
            </w:r>
            <w:r w:rsidR="00D41518" w:rsidRPr="005E64FD">
              <w:rPr>
                <w:b/>
                <w:color w:val="3B5117"/>
              </w:rPr>
              <w:t xml:space="preserve"> </w:t>
            </w:r>
            <w:r w:rsidR="00836B99" w:rsidRPr="005E64FD">
              <w:rPr>
                <w:b/>
                <w:color w:val="3B5117"/>
              </w:rPr>
              <w:t>21</w:t>
            </w:r>
            <w:r w:rsidR="00D41518" w:rsidRPr="005E64FD">
              <w:rPr>
                <w:b/>
                <w:color w:val="3B5117"/>
              </w:rPr>
              <w:t>.</w:t>
            </w:r>
            <w:r w:rsidR="009A2712" w:rsidRPr="005E64FD">
              <w:rPr>
                <w:b/>
                <w:color w:val="3B5117"/>
              </w:rPr>
              <w:t>6</w:t>
            </w:r>
            <w:r w:rsidR="00CE7986">
              <w:rPr>
                <w:b/>
                <w:color w:val="3B5117"/>
              </w:rPr>
              <w:t> — </w:t>
            </w:r>
            <w:r w:rsidR="00D41518" w:rsidRPr="005E64FD">
              <w:rPr>
                <w:b/>
                <w:color w:val="3B5117"/>
              </w:rPr>
              <w:t xml:space="preserve">aboriginal and torres strait islander people </w:t>
            </w:r>
            <w:r w:rsidR="00477B93" w:rsidRPr="005E64FD">
              <w:rPr>
                <w:b/>
                <w:color w:val="3B5117"/>
              </w:rPr>
              <w:t>who are incarcerated</w:t>
            </w:r>
          </w:p>
        </w:tc>
      </w:tr>
      <w:tr w:rsidR="00D41518" w:rsidRPr="00D41518" w14:paraId="2A4754CE" w14:textId="77777777" w:rsidTr="00462628">
        <w:tc>
          <w:tcPr>
            <w:tcW w:w="5000" w:type="pct"/>
            <w:tcBorders>
              <w:top w:val="nil"/>
              <w:left w:val="nil"/>
              <w:bottom w:val="nil"/>
              <w:right w:val="nil"/>
            </w:tcBorders>
            <w:shd w:val="clear" w:color="auto" w:fill="F2F2F2"/>
            <w:tcMar>
              <w:left w:w="170" w:type="dxa"/>
              <w:right w:w="170" w:type="dxa"/>
            </w:tcMar>
          </w:tcPr>
          <w:p w14:paraId="70B34DF2" w14:textId="77777777" w:rsidR="00D41518" w:rsidRPr="00D41518" w:rsidRDefault="002246D6" w:rsidP="00AA695D">
            <w:pPr>
              <w:keepNext/>
              <w:keepLines/>
              <w:spacing w:before="120" w:line="280" w:lineRule="atLeast"/>
              <w:jc w:val="both"/>
              <w:rPr>
                <w:rFonts w:ascii="Arial" w:hAnsi="Arial"/>
                <w:i/>
                <w:szCs w:val="20"/>
              </w:rPr>
            </w:pPr>
            <w:r w:rsidRPr="002246D6">
              <w:rPr>
                <w:rFonts w:ascii="Arial" w:hAnsi="Arial"/>
                <w:i/>
                <w:szCs w:val="20"/>
              </w:rPr>
              <w:t>Start now</w:t>
            </w:r>
          </w:p>
          <w:p w14:paraId="29C239E5" w14:textId="77777777" w:rsidR="000D1837" w:rsidRDefault="000D1837" w:rsidP="00D92450">
            <w:pPr>
              <w:pStyle w:val="Rec"/>
              <w:keepNext/>
            </w:pPr>
            <w:r>
              <w:t xml:space="preserve">State and Territory Governments should ensure Aboriginal and Torres Strait Islander people in correctional facilities have access to mental health supports and services that are culturally </w:t>
            </w:r>
            <w:r w:rsidR="002C0C02">
              <w:t>capable</w:t>
            </w:r>
            <w:r>
              <w:t>. These services should be:</w:t>
            </w:r>
          </w:p>
          <w:p w14:paraId="1B33DF22" w14:textId="0F956AD5" w:rsidR="000D1837" w:rsidRPr="00E84C99" w:rsidRDefault="000D1837" w:rsidP="00AA695D">
            <w:pPr>
              <w:pStyle w:val="RecBullet"/>
              <w:keepNext/>
            </w:pPr>
            <w:r w:rsidRPr="00E53835">
              <w:t>designed, developed and delivered by Aboriginal and Torres Strait Islander organisations where possible</w:t>
            </w:r>
          </w:p>
          <w:p w14:paraId="3003E622" w14:textId="77777777" w:rsidR="000D1837" w:rsidRPr="00E84C99" w:rsidRDefault="000D1837" w:rsidP="00AA695D">
            <w:pPr>
              <w:pStyle w:val="RecBullet"/>
              <w:keepNext/>
            </w:pPr>
            <w:r w:rsidRPr="00E53835">
              <w:t xml:space="preserve">trauma-informed, particularly when services are delivered to </w:t>
            </w:r>
            <w:r>
              <w:t>Aboriginal and Torres Strait Islander women</w:t>
            </w:r>
            <w:r w:rsidRPr="00E53835">
              <w:t xml:space="preserve"> </w:t>
            </w:r>
          </w:p>
          <w:p w14:paraId="20A06478" w14:textId="3E8FCFB5" w:rsidR="000D1837" w:rsidRPr="00E84C99" w:rsidRDefault="000D1837" w:rsidP="00AA695D">
            <w:pPr>
              <w:pStyle w:val="RecBullet"/>
              <w:keepNext/>
            </w:pPr>
            <w:r w:rsidRPr="00E53835">
              <w:t>focused on practical application particularly for those on remand or short sentences who need to reintegrate</w:t>
            </w:r>
            <w:r w:rsidR="00AD5F46">
              <w:t xml:space="preserve"> into the community</w:t>
            </w:r>
          </w:p>
          <w:p w14:paraId="443B1953" w14:textId="27634397" w:rsidR="00D41518" w:rsidRPr="00D41518" w:rsidRDefault="00D41518" w:rsidP="00D92450">
            <w:pPr>
              <w:pStyle w:val="RecBullet"/>
              <w:keepNext/>
            </w:pPr>
            <w:r w:rsidRPr="00D41518">
              <w:t xml:space="preserve">connected to culturally </w:t>
            </w:r>
            <w:r w:rsidR="002C0C02">
              <w:t>capable</w:t>
            </w:r>
            <w:r w:rsidR="002C0C02" w:rsidRPr="00D41518">
              <w:t xml:space="preserve"> </w:t>
            </w:r>
            <w:r w:rsidRPr="00D41518">
              <w:t xml:space="preserve">mental healthcare </w:t>
            </w:r>
            <w:r w:rsidR="00E0029A">
              <w:t>and</w:t>
            </w:r>
            <w:r w:rsidR="007960BE">
              <w:t xml:space="preserve"> ps</w:t>
            </w:r>
            <w:r w:rsidR="00906BF2">
              <w:t>ycho</w:t>
            </w:r>
            <w:r w:rsidR="007960BE">
              <w:t xml:space="preserve">social supports </w:t>
            </w:r>
            <w:r w:rsidRPr="00D41518">
              <w:t xml:space="preserve">in the community </w:t>
            </w:r>
            <w:r w:rsidR="0038596C">
              <w:t xml:space="preserve">for </w:t>
            </w:r>
            <w:r w:rsidR="00D92450">
              <w:t>A</w:t>
            </w:r>
            <w:r w:rsidR="0038596C">
              <w:t xml:space="preserve">boriginal and Torres Strait </w:t>
            </w:r>
            <w:r w:rsidR="00D92450">
              <w:t>I</w:t>
            </w:r>
            <w:r w:rsidR="0038596C">
              <w:t>sland</w:t>
            </w:r>
            <w:r w:rsidR="00D92450">
              <w:t>er</w:t>
            </w:r>
            <w:r w:rsidR="0038596C">
              <w:t xml:space="preserve"> people </w:t>
            </w:r>
            <w:r w:rsidRPr="00D41518">
              <w:t>upon release from correctional facilities.</w:t>
            </w:r>
          </w:p>
        </w:tc>
      </w:tr>
      <w:tr w:rsidR="00D41518" w:rsidRPr="00D41518" w14:paraId="7919672C"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0D8D1989" w14:textId="77777777" w:rsidR="00D41518" w:rsidRPr="00D41518" w:rsidRDefault="00D41518" w:rsidP="00AA695D">
            <w:pPr>
              <w:spacing w:line="120" w:lineRule="exact"/>
              <w:jc w:val="both"/>
              <w:rPr>
                <w:rFonts w:ascii="Arial" w:hAnsi="Arial"/>
                <w:sz w:val="20"/>
                <w:szCs w:val="20"/>
              </w:rPr>
            </w:pPr>
          </w:p>
        </w:tc>
      </w:tr>
      <w:tr w:rsidR="008642A2" w:rsidRPr="00D41518" w14:paraId="49CCBD1E" w14:textId="77777777" w:rsidTr="008642A2">
        <w:tc>
          <w:tcPr>
            <w:tcW w:w="5000" w:type="pct"/>
            <w:tcBorders>
              <w:top w:val="single" w:sz="6" w:space="0" w:color="78A22F"/>
              <w:left w:val="nil"/>
              <w:bottom w:val="nil"/>
              <w:right w:val="nil"/>
            </w:tcBorders>
            <w:shd w:val="clear" w:color="auto" w:fill="auto"/>
            <w:tcMar>
              <w:left w:w="170" w:type="dxa"/>
              <w:right w:w="170" w:type="dxa"/>
            </w:tcMar>
          </w:tcPr>
          <w:p w14:paraId="3F0BFBEE" w14:textId="77777777" w:rsidR="008642A2" w:rsidRPr="00D41518" w:rsidRDefault="008642A2" w:rsidP="00AA695D">
            <w:pPr>
              <w:pStyle w:val="BoxSpaceBelow"/>
            </w:pPr>
          </w:p>
        </w:tc>
      </w:tr>
    </w:tbl>
    <w:p w14:paraId="051EA3E3" w14:textId="77777777" w:rsidR="006827AE" w:rsidRPr="00D41518" w:rsidRDefault="006827AE" w:rsidP="00F00D7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6827AE" w:rsidRPr="005E64FD" w14:paraId="28E99A0C" w14:textId="77777777" w:rsidTr="00722332">
        <w:trPr>
          <w:tblHeader/>
        </w:trPr>
        <w:tc>
          <w:tcPr>
            <w:tcW w:w="5000" w:type="pct"/>
            <w:tcBorders>
              <w:top w:val="single" w:sz="6" w:space="0" w:color="78A22F"/>
              <w:left w:val="nil"/>
              <w:bottom w:val="nil"/>
              <w:right w:val="nil"/>
            </w:tcBorders>
            <w:shd w:val="clear" w:color="auto" w:fill="auto"/>
            <w:tcMar>
              <w:left w:w="170" w:type="dxa"/>
              <w:right w:w="170" w:type="dxa"/>
            </w:tcMar>
          </w:tcPr>
          <w:p w14:paraId="0381E2E2" w14:textId="1A99D2C8" w:rsidR="006827AE" w:rsidRPr="005E64FD" w:rsidRDefault="006827AE" w:rsidP="00AA695D">
            <w:pPr>
              <w:pStyle w:val="RecTitle"/>
              <w:spacing w:before="120"/>
              <w:rPr>
                <w:b/>
                <w:color w:val="3B5117"/>
              </w:rPr>
            </w:pPr>
            <w:r w:rsidRPr="005E64FD">
              <w:rPr>
                <w:b/>
                <w:color w:val="3B5117"/>
              </w:rPr>
              <w:t xml:space="preserve">ACTION </w:t>
            </w:r>
            <w:r w:rsidR="00836B99" w:rsidRPr="005E64FD">
              <w:rPr>
                <w:b/>
                <w:color w:val="3B5117"/>
              </w:rPr>
              <w:t>21</w:t>
            </w:r>
            <w:r w:rsidRPr="005E64FD">
              <w:rPr>
                <w:b/>
                <w:color w:val="3B5117"/>
              </w:rPr>
              <w:t>.</w:t>
            </w:r>
            <w:r w:rsidR="009A2712" w:rsidRPr="005E64FD">
              <w:rPr>
                <w:b/>
                <w:color w:val="3B5117"/>
              </w:rPr>
              <w:t>7</w:t>
            </w:r>
            <w:r w:rsidR="00CE7986">
              <w:rPr>
                <w:b/>
                <w:color w:val="3B5117"/>
              </w:rPr>
              <w:t> — </w:t>
            </w:r>
            <w:r w:rsidR="00CE26AA" w:rsidRPr="005E64FD">
              <w:rPr>
                <w:b/>
                <w:color w:val="3B5117"/>
              </w:rPr>
              <w:t>health justice partnerships and disability justice strategies</w:t>
            </w:r>
          </w:p>
        </w:tc>
      </w:tr>
      <w:tr w:rsidR="006827AE" w:rsidRPr="00D41518" w14:paraId="32B9DC8B" w14:textId="77777777" w:rsidTr="00722332">
        <w:tc>
          <w:tcPr>
            <w:tcW w:w="5000" w:type="pct"/>
            <w:tcBorders>
              <w:top w:val="nil"/>
              <w:left w:val="nil"/>
              <w:bottom w:val="nil"/>
              <w:right w:val="nil"/>
            </w:tcBorders>
            <w:shd w:val="clear" w:color="auto" w:fill="F2F2F2"/>
            <w:tcMar>
              <w:left w:w="170" w:type="dxa"/>
              <w:right w:w="170" w:type="dxa"/>
            </w:tcMar>
          </w:tcPr>
          <w:p w14:paraId="1B388743" w14:textId="5C744656" w:rsidR="00082012" w:rsidRDefault="00082012" w:rsidP="00AA695D">
            <w:pPr>
              <w:pStyle w:val="Rec"/>
              <w:keepNext/>
            </w:pPr>
            <w:r>
              <w:t xml:space="preserve">Integrating legal and health services for people with mental illness can lead to better outcomes for both individuals and the justice system. </w:t>
            </w:r>
          </w:p>
          <w:p w14:paraId="709BFEC6" w14:textId="6FB17E48" w:rsidR="00082012" w:rsidRPr="00D92450" w:rsidRDefault="00082012" w:rsidP="00AA695D">
            <w:pPr>
              <w:pStyle w:val="Rec"/>
              <w:keepNext/>
              <w:rPr>
                <w:i/>
              </w:rPr>
            </w:pPr>
            <w:r>
              <w:rPr>
                <w:i/>
              </w:rPr>
              <w:t>Start now</w:t>
            </w:r>
          </w:p>
          <w:p w14:paraId="7DDC69B6" w14:textId="7B6BBD2B" w:rsidR="00082012" w:rsidRDefault="00082012" w:rsidP="00AA695D">
            <w:pPr>
              <w:pStyle w:val="Rec"/>
              <w:keepNext/>
            </w:pPr>
            <w:r w:rsidRPr="00AE1554">
              <w:t xml:space="preserve">State and Territory Governments should fund pilot programs </w:t>
            </w:r>
            <w:r>
              <w:t>of multi</w:t>
            </w:r>
            <w:r>
              <w:noBreakHyphen/>
              <w:t>site health justice partnerships</w:t>
            </w:r>
            <w:r w:rsidR="009A2712">
              <w:t xml:space="preserve"> </w:t>
            </w:r>
            <w:r>
              <w:t>to:</w:t>
            </w:r>
          </w:p>
          <w:p w14:paraId="0BD05FC9" w14:textId="77777777" w:rsidR="00082012" w:rsidRDefault="00082012" w:rsidP="00AA695D">
            <w:pPr>
              <w:pStyle w:val="RecBullet"/>
              <w:keepNext/>
            </w:pPr>
            <w:r w:rsidRPr="00AE1554">
              <w:t>improve access to legal services for people with mental illness</w:t>
            </w:r>
          </w:p>
          <w:p w14:paraId="53F74E73" w14:textId="088DA646" w:rsidR="00082012" w:rsidRDefault="00082012" w:rsidP="00AA695D">
            <w:pPr>
              <w:pStyle w:val="RecBullet"/>
              <w:keepNext/>
            </w:pPr>
            <w:r>
              <w:t xml:space="preserve">enable larger volumes of data to be collected </w:t>
            </w:r>
            <w:r w:rsidR="00644CBA">
              <w:t>and</w:t>
            </w:r>
            <w:r>
              <w:t xml:space="preserve"> build </w:t>
            </w:r>
            <w:r w:rsidR="00FC5DD2">
              <w:t xml:space="preserve">an </w:t>
            </w:r>
            <w:r>
              <w:t>evidence base</w:t>
            </w:r>
          </w:p>
          <w:p w14:paraId="518986F7" w14:textId="307BB942" w:rsidR="00082012" w:rsidRDefault="00082012" w:rsidP="00AA695D">
            <w:pPr>
              <w:pStyle w:val="RecBullet"/>
              <w:keepNext/>
            </w:pPr>
            <w:r>
              <w:t xml:space="preserve">inform future policy and program development in this area. </w:t>
            </w:r>
          </w:p>
          <w:p w14:paraId="58A04CE8" w14:textId="060181DB" w:rsidR="009A2712" w:rsidRDefault="009A2712" w:rsidP="00AA695D">
            <w:pPr>
              <w:pStyle w:val="Rec"/>
              <w:keepNext/>
            </w:pPr>
            <w:r>
              <w:t xml:space="preserve">Funding should also be allocated to rigorous evaluations of the pilot programs. </w:t>
            </w:r>
          </w:p>
          <w:p w14:paraId="72F91948" w14:textId="1EBBF3C7" w:rsidR="00082012" w:rsidRDefault="00082012" w:rsidP="00AA695D">
            <w:pPr>
              <w:pStyle w:val="Rec"/>
              <w:keepNext/>
              <w:rPr>
                <w:iCs/>
              </w:rPr>
            </w:pPr>
            <w:r>
              <w:t xml:space="preserve">State and Territory Governments should consult with relevant </w:t>
            </w:r>
            <w:r w:rsidRPr="00AE1554">
              <w:t xml:space="preserve">stakeholders to ensure a </w:t>
            </w:r>
            <w:r>
              <w:t>coordinated approach.</w:t>
            </w:r>
          </w:p>
          <w:p w14:paraId="24C77CB4" w14:textId="6D9F8184" w:rsidR="006827AE" w:rsidRPr="008642A2" w:rsidRDefault="002246D6" w:rsidP="00AA695D">
            <w:pPr>
              <w:pStyle w:val="Rec"/>
              <w:keepNext/>
              <w:rPr>
                <w:i/>
              </w:rPr>
            </w:pPr>
            <w:r w:rsidRPr="008642A2">
              <w:rPr>
                <w:i/>
              </w:rPr>
              <w:t>Start later</w:t>
            </w:r>
          </w:p>
          <w:p w14:paraId="1407BDAA" w14:textId="7F6FE98D" w:rsidR="006827AE" w:rsidRPr="00D41518" w:rsidRDefault="006827AE" w:rsidP="00AA695D">
            <w:pPr>
              <w:pStyle w:val="Rec"/>
              <w:keepNext/>
            </w:pPr>
            <w:r w:rsidRPr="00D41518">
              <w:t xml:space="preserve">All State and Territory Governments should continue to develop </w:t>
            </w:r>
            <w:r w:rsidR="00311BDA">
              <w:t xml:space="preserve">and implement </w:t>
            </w:r>
            <w:r w:rsidRPr="00D41518">
              <w:t xml:space="preserve">disability justice strategies to ensure the rights of people with mental illness are protected and promoted in their interactions with the justice system. Disability justice strategies should consider how people with mental illness can be better supported to: </w:t>
            </w:r>
          </w:p>
          <w:p w14:paraId="0803E60C" w14:textId="77777777" w:rsidR="006827AE" w:rsidRPr="00D41518" w:rsidRDefault="006827AE" w:rsidP="00AA695D">
            <w:pPr>
              <w:pStyle w:val="RecBullet"/>
              <w:keepNext/>
            </w:pPr>
            <w:r w:rsidRPr="00D41518">
              <w:t>initiate legal proceedings</w:t>
            </w:r>
          </w:p>
          <w:p w14:paraId="189D122F" w14:textId="77777777" w:rsidR="006827AE" w:rsidRPr="00D41518" w:rsidRDefault="006827AE" w:rsidP="00AA695D">
            <w:pPr>
              <w:pStyle w:val="RecBullet"/>
              <w:keepNext/>
            </w:pPr>
            <w:r w:rsidRPr="00D41518">
              <w:t>participate in the justice system</w:t>
            </w:r>
          </w:p>
          <w:p w14:paraId="18F9658F" w14:textId="6F452769" w:rsidR="006827AE" w:rsidRPr="00D41518" w:rsidRDefault="006827AE" w:rsidP="00AA695D">
            <w:pPr>
              <w:pStyle w:val="RecBullet"/>
              <w:keepNext/>
            </w:pPr>
            <w:r w:rsidRPr="00D41518">
              <w:t>access other appropriate support in the community, where required.</w:t>
            </w:r>
          </w:p>
        </w:tc>
      </w:tr>
      <w:tr w:rsidR="006827AE" w:rsidRPr="00D41518" w14:paraId="218A14B3"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1F4E7FD0" w14:textId="77777777" w:rsidR="006827AE" w:rsidRPr="00D41518" w:rsidRDefault="006827AE" w:rsidP="00AA695D">
            <w:pPr>
              <w:keepNext/>
              <w:keepLines/>
              <w:spacing w:line="120" w:lineRule="exact"/>
              <w:jc w:val="both"/>
              <w:rPr>
                <w:rFonts w:ascii="Arial" w:hAnsi="Arial"/>
                <w:sz w:val="20"/>
                <w:szCs w:val="20"/>
              </w:rPr>
            </w:pPr>
          </w:p>
        </w:tc>
      </w:tr>
      <w:tr w:rsidR="006827AE" w:rsidRPr="00D41518" w14:paraId="08A48781" w14:textId="77777777" w:rsidTr="00722332">
        <w:tc>
          <w:tcPr>
            <w:tcW w:w="5000" w:type="pct"/>
            <w:tcBorders>
              <w:top w:val="single" w:sz="6" w:space="0" w:color="78A22F"/>
              <w:left w:val="nil"/>
              <w:bottom w:val="nil"/>
              <w:right w:val="nil"/>
            </w:tcBorders>
          </w:tcPr>
          <w:p w14:paraId="4948CB1A" w14:textId="77777777" w:rsidR="006827AE" w:rsidRPr="00D41518" w:rsidRDefault="006827AE" w:rsidP="00AA695D">
            <w:pPr>
              <w:keepNext/>
              <w:keepLines/>
              <w:spacing w:before="60" w:after="60" w:line="80" w:lineRule="exact"/>
              <w:jc w:val="both"/>
              <w:rPr>
                <w:rFonts w:ascii="Arial" w:hAnsi="Arial"/>
                <w:sz w:val="14"/>
                <w:szCs w:val="20"/>
              </w:rPr>
            </w:pPr>
          </w:p>
        </w:tc>
      </w:tr>
    </w:tbl>
    <w:p w14:paraId="318379BE" w14:textId="77777777" w:rsidR="00713EA6" w:rsidRPr="008642A2" w:rsidRDefault="00713EA6" w:rsidP="00F00D7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D41518" w:rsidRPr="005E64FD" w14:paraId="1E0D0040" w14:textId="77777777" w:rsidTr="00462628">
        <w:trPr>
          <w:tblHeader/>
        </w:trPr>
        <w:tc>
          <w:tcPr>
            <w:tcW w:w="5000" w:type="pct"/>
            <w:tcBorders>
              <w:top w:val="single" w:sz="6" w:space="0" w:color="78A22F"/>
              <w:left w:val="nil"/>
              <w:bottom w:val="nil"/>
              <w:right w:val="nil"/>
            </w:tcBorders>
            <w:shd w:val="clear" w:color="auto" w:fill="auto"/>
            <w:tcMar>
              <w:left w:w="170" w:type="dxa"/>
              <w:right w:w="170" w:type="dxa"/>
            </w:tcMar>
          </w:tcPr>
          <w:p w14:paraId="4F662E5A" w14:textId="6F7FECCE" w:rsidR="00D41518" w:rsidRPr="005E64FD" w:rsidRDefault="00BE10BF" w:rsidP="005E64FD">
            <w:pPr>
              <w:pStyle w:val="RecTitle"/>
              <w:spacing w:before="120"/>
              <w:rPr>
                <w:b/>
                <w:color w:val="3B5117"/>
              </w:rPr>
            </w:pPr>
            <w:r w:rsidRPr="005E64FD">
              <w:rPr>
                <w:b/>
                <w:color w:val="3B5117"/>
              </w:rPr>
              <w:t>ACTION</w:t>
            </w:r>
            <w:r w:rsidR="00D41518" w:rsidRPr="005E64FD">
              <w:rPr>
                <w:b/>
                <w:color w:val="3B5117"/>
              </w:rPr>
              <w:t xml:space="preserve"> </w:t>
            </w:r>
            <w:r w:rsidR="00836B99" w:rsidRPr="005E64FD">
              <w:rPr>
                <w:b/>
                <w:color w:val="3B5117"/>
              </w:rPr>
              <w:t>21</w:t>
            </w:r>
            <w:r w:rsidR="00D41518" w:rsidRPr="005E64FD">
              <w:rPr>
                <w:b/>
                <w:color w:val="3B5117"/>
              </w:rPr>
              <w:t>.</w:t>
            </w:r>
            <w:r w:rsidR="009A2712" w:rsidRPr="005E64FD">
              <w:rPr>
                <w:b/>
                <w:color w:val="3B5117"/>
              </w:rPr>
              <w:t>8</w:t>
            </w:r>
            <w:r w:rsidR="00CE7986">
              <w:rPr>
                <w:b/>
                <w:color w:val="3B5117"/>
              </w:rPr>
              <w:t> — </w:t>
            </w:r>
            <w:r w:rsidR="00D41518" w:rsidRPr="005E64FD">
              <w:rPr>
                <w:b/>
                <w:color w:val="3B5117"/>
              </w:rPr>
              <w:t>LEGAL REPRESENTATION at MENTAL HEALTH TRIBUNALs</w:t>
            </w:r>
          </w:p>
        </w:tc>
      </w:tr>
      <w:tr w:rsidR="00D41518" w:rsidRPr="00D41518" w14:paraId="42412119" w14:textId="77777777" w:rsidTr="00462628">
        <w:tc>
          <w:tcPr>
            <w:tcW w:w="5000" w:type="pct"/>
            <w:tcBorders>
              <w:top w:val="nil"/>
              <w:left w:val="nil"/>
              <w:bottom w:val="nil"/>
              <w:right w:val="nil"/>
            </w:tcBorders>
            <w:shd w:val="clear" w:color="auto" w:fill="F2F2F2"/>
            <w:tcMar>
              <w:left w:w="170" w:type="dxa"/>
              <w:right w:w="170" w:type="dxa"/>
            </w:tcMar>
          </w:tcPr>
          <w:p w14:paraId="453EFDC7" w14:textId="0072EE5E" w:rsidR="00082012" w:rsidRPr="00D92450" w:rsidRDefault="00082012" w:rsidP="008642A2">
            <w:pPr>
              <w:pStyle w:val="Rec"/>
              <w:keepNext/>
            </w:pPr>
            <w:r>
              <w:t>People with mental illness require appropriate legal representation to protect their rights.</w:t>
            </w:r>
          </w:p>
          <w:p w14:paraId="73CF4AA6" w14:textId="68C59F32" w:rsidR="00D41518" w:rsidRPr="00DC6DAC" w:rsidRDefault="008642A2" w:rsidP="008642A2">
            <w:pPr>
              <w:pStyle w:val="Rec"/>
              <w:keepNext/>
              <w:rPr>
                <w:i/>
              </w:rPr>
            </w:pPr>
            <w:r>
              <w:rPr>
                <w:i/>
              </w:rPr>
              <w:t>Start now</w:t>
            </w:r>
          </w:p>
          <w:p w14:paraId="726FB35E" w14:textId="0D8E02C4" w:rsidR="00D41518" w:rsidRPr="00D41518" w:rsidRDefault="00D41518" w:rsidP="008642A2">
            <w:pPr>
              <w:pStyle w:val="Rec"/>
              <w:keepNext/>
              <w:rPr>
                <w:b/>
              </w:rPr>
            </w:pPr>
            <w:r w:rsidRPr="001C1A62">
              <w:t xml:space="preserve">State and Territory Governments should </w:t>
            </w:r>
            <w:r w:rsidR="006E6A40" w:rsidRPr="001C1A62">
              <w:t xml:space="preserve">ensure people </w:t>
            </w:r>
            <w:r w:rsidRPr="00D41518">
              <w:t>appearing before mental health tribunals and other tribunals that hear matters arising from mental health legislation</w:t>
            </w:r>
            <w:r w:rsidR="006E6A40" w:rsidRPr="001C1A62">
              <w:t xml:space="preserve"> have </w:t>
            </w:r>
            <w:r w:rsidR="0056273B">
              <w:t>a</w:t>
            </w:r>
            <w:r w:rsidR="006E6A40" w:rsidRPr="001C1A62">
              <w:t xml:space="preserve"> right to access legal representation</w:t>
            </w:r>
            <w:r w:rsidRPr="001C1A62">
              <w:t xml:space="preserve">. </w:t>
            </w:r>
            <w:r w:rsidR="006E6A40" w:rsidRPr="001C1A62">
              <w:t xml:space="preserve">To </w:t>
            </w:r>
            <w:r w:rsidR="004F4D00">
              <w:t>facilitate</w:t>
            </w:r>
            <w:r w:rsidR="006E6A40" w:rsidRPr="001C1A62">
              <w:t xml:space="preserve"> this, State and Territory Governments should adequately resource legal assistance services for this purpose</w:t>
            </w:r>
            <w:r w:rsidR="00CE7986">
              <w:t> — </w:t>
            </w:r>
            <w:r w:rsidR="004F4D00">
              <w:t xml:space="preserve">for example, </w:t>
            </w:r>
            <w:r w:rsidRPr="00D41518">
              <w:t xml:space="preserve">through broader legal </w:t>
            </w:r>
            <w:r w:rsidR="006E6A40" w:rsidRPr="001C1A62">
              <w:t xml:space="preserve">assistance </w:t>
            </w:r>
            <w:r w:rsidRPr="00D41518">
              <w:t xml:space="preserve">funding or a specific legal </w:t>
            </w:r>
            <w:r w:rsidR="006E6A40" w:rsidRPr="001C1A62">
              <w:t xml:space="preserve">assistance </w:t>
            </w:r>
            <w:r w:rsidRPr="00D41518">
              <w:t>grant.</w:t>
            </w:r>
          </w:p>
        </w:tc>
      </w:tr>
      <w:tr w:rsidR="00D41518" w:rsidRPr="00D41518" w14:paraId="1F8998F2"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579F90FA" w14:textId="77777777" w:rsidR="00D41518" w:rsidRPr="00D41518" w:rsidRDefault="00D41518" w:rsidP="008642A2">
            <w:pPr>
              <w:keepNext/>
              <w:keepLines/>
              <w:spacing w:line="120" w:lineRule="exact"/>
              <w:jc w:val="both"/>
              <w:rPr>
                <w:rFonts w:ascii="Arial" w:hAnsi="Arial"/>
                <w:sz w:val="20"/>
                <w:szCs w:val="20"/>
              </w:rPr>
            </w:pPr>
          </w:p>
        </w:tc>
      </w:tr>
      <w:tr w:rsidR="00D41518" w:rsidRPr="00D41518" w14:paraId="0142DBD5" w14:textId="77777777" w:rsidTr="00462628">
        <w:tc>
          <w:tcPr>
            <w:tcW w:w="5000" w:type="pct"/>
            <w:tcBorders>
              <w:top w:val="single" w:sz="6" w:space="0" w:color="78A22F"/>
              <w:left w:val="nil"/>
              <w:bottom w:val="nil"/>
              <w:right w:val="nil"/>
            </w:tcBorders>
          </w:tcPr>
          <w:p w14:paraId="7CBD3262" w14:textId="77777777" w:rsidR="00D41518" w:rsidRPr="00D41518" w:rsidRDefault="00D41518" w:rsidP="00F00D75">
            <w:pPr>
              <w:spacing w:before="60" w:after="60" w:line="80" w:lineRule="exact"/>
              <w:jc w:val="both"/>
              <w:rPr>
                <w:rFonts w:ascii="Arial" w:hAnsi="Arial"/>
                <w:sz w:val="14"/>
                <w:szCs w:val="20"/>
              </w:rPr>
            </w:pPr>
          </w:p>
        </w:tc>
      </w:tr>
    </w:tbl>
    <w:p w14:paraId="7CF8222A" w14:textId="77777777" w:rsidR="001C1A62" w:rsidRPr="00D41518" w:rsidRDefault="001C1A62" w:rsidP="00F00D75">
      <w:pPr>
        <w:pStyle w:val="BoxSpaceAbove"/>
        <w:keepLines/>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1C1A62" w:rsidRPr="005E64FD" w14:paraId="7907C16A" w14:textId="77777777" w:rsidTr="009840DB">
        <w:trPr>
          <w:tblHeader/>
        </w:trPr>
        <w:tc>
          <w:tcPr>
            <w:tcW w:w="5000" w:type="pct"/>
            <w:tcBorders>
              <w:top w:val="single" w:sz="6" w:space="0" w:color="78A22F"/>
              <w:left w:val="nil"/>
              <w:bottom w:val="nil"/>
              <w:right w:val="nil"/>
            </w:tcBorders>
            <w:shd w:val="clear" w:color="auto" w:fill="auto"/>
            <w:tcMar>
              <w:left w:w="170" w:type="dxa"/>
              <w:right w:w="170" w:type="dxa"/>
            </w:tcMar>
          </w:tcPr>
          <w:p w14:paraId="56439068" w14:textId="32401EF2" w:rsidR="001C1A62" w:rsidRPr="005E64FD" w:rsidRDefault="00BE10BF" w:rsidP="00F00D75">
            <w:pPr>
              <w:pStyle w:val="RecTitle"/>
              <w:spacing w:before="120"/>
              <w:rPr>
                <w:b/>
                <w:color w:val="3B5117"/>
              </w:rPr>
            </w:pPr>
            <w:r w:rsidRPr="005E64FD">
              <w:rPr>
                <w:b/>
                <w:color w:val="3B5117"/>
              </w:rPr>
              <w:t>ACTION</w:t>
            </w:r>
            <w:r w:rsidR="001C1A62" w:rsidRPr="005E64FD">
              <w:rPr>
                <w:b/>
                <w:color w:val="3B5117"/>
              </w:rPr>
              <w:t xml:space="preserve"> </w:t>
            </w:r>
            <w:r w:rsidR="00836B99" w:rsidRPr="005E64FD">
              <w:rPr>
                <w:b/>
                <w:color w:val="3B5117"/>
              </w:rPr>
              <w:t>21</w:t>
            </w:r>
            <w:r w:rsidR="001C1A62" w:rsidRPr="005E64FD">
              <w:rPr>
                <w:b/>
                <w:color w:val="3B5117"/>
              </w:rPr>
              <w:t>.</w:t>
            </w:r>
            <w:r w:rsidR="009A2712" w:rsidRPr="005E64FD">
              <w:rPr>
                <w:b/>
                <w:color w:val="3B5117"/>
              </w:rPr>
              <w:t>9</w:t>
            </w:r>
            <w:r w:rsidR="00CE7986">
              <w:rPr>
                <w:b/>
                <w:color w:val="3B5117"/>
              </w:rPr>
              <w:t> — </w:t>
            </w:r>
            <w:r w:rsidR="00BF6A9B" w:rsidRPr="005E64FD">
              <w:rPr>
                <w:b/>
                <w:color w:val="3B5117"/>
              </w:rPr>
              <w:t xml:space="preserve">INDIVIDUAL </w:t>
            </w:r>
            <w:r w:rsidR="001C1A62" w:rsidRPr="005E64FD">
              <w:rPr>
                <w:b/>
                <w:color w:val="3B5117"/>
              </w:rPr>
              <w:t>NON</w:t>
            </w:r>
            <w:r w:rsidR="00ED7D64" w:rsidRPr="005E64FD">
              <w:rPr>
                <w:b/>
                <w:color w:val="3B5117"/>
              </w:rPr>
              <w:noBreakHyphen/>
            </w:r>
            <w:r w:rsidR="001C1A62" w:rsidRPr="005E64FD">
              <w:rPr>
                <w:b/>
                <w:color w:val="3B5117"/>
              </w:rPr>
              <w:t xml:space="preserve">LEGAL ADVOCACY SERVICES </w:t>
            </w:r>
          </w:p>
        </w:tc>
      </w:tr>
      <w:tr w:rsidR="001C1A62" w:rsidRPr="00D41518" w14:paraId="0158BCB7" w14:textId="77777777" w:rsidTr="009840DB">
        <w:tc>
          <w:tcPr>
            <w:tcW w:w="5000" w:type="pct"/>
            <w:tcBorders>
              <w:top w:val="nil"/>
              <w:left w:val="nil"/>
              <w:bottom w:val="nil"/>
              <w:right w:val="nil"/>
            </w:tcBorders>
            <w:shd w:val="clear" w:color="auto" w:fill="F2F2F2"/>
            <w:tcMar>
              <w:left w:w="170" w:type="dxa"/>
              <w:right w:w="170" w:type="dxa"/>
            </w:tcMar>
          </w:tcPr>
          <w:p w14:paraId="00A4E9DF" w14:textId="2E570C48" w:rsidR="00082012" w:rsidRPr="00D92450" w:rsidRDefault="00082012" w:rsidP="00F00D75">
            <w:pPr>
              <w:pStyle w:val="Rec"/>
              <w:keepNext/>
            </w:pPr>
            <w:r>
              <w:t xml:space="preserve">Non-legal advocates can help support </w:t>
            </w:r>
            <w:r w:rsidR="00D92450">
              <w:t>i</w:t>
            </w:r>
            <w:r>
              <w:t xml:space="preserve">ndividuals </w:t>
            </w:r>
            <w:r w:rsidR="00A13DCB">
              <w:t xml:space="preserve">subject to involuntary detention </w:t>
            </w:r>
            <w:r>
              <w:t>under mental health legislation.</w:t>
            </w:r>
          </w:p>
          <w:p w14:paraId="39940555" w14:textId="10F0CAE8" w:rsidR="001C1A62" w:rsidRPr="00D41518" w:rsidRDefault="002246D6" w:rsidP="00F00D75">
            <w:pPr>
              <w:pStyle w:val="Rec"/>
              <w:keepNext/>
              <w:rPr>
                <w:i/>
              </w:rPr>
            </w:pPr>
            <w:r w:rsidRPr="002246D6">
              <w:rPr>
                <w:i/>
              </w:rPr>
              <w:t>Start later</w:t>
            </w:r>
          </w:p>
          <w:p w14:paraId="7E9D513C" w14:textId="77777777" w:rsidR="001C1A62" w:rsidRPr="00D41518" w:rsidRDefault="001C1A62" w:rsidP="00F00D75">
            <w:pPr>
              <w:pStyle w:val="Rec"/>
              <w:keepNext/>
            </w:pPr>
            <w:r w:rsidRPr="00D41518">
              <w:t xml:space="preserve">State and Territory Governments should ensure </w:t>
            </w:r>
            <w:r w:rsidR="001402AE" w:rsidRPr="00D41518">
              <w:t xml:space="preserve">individual </w:t>
            </w:r>
            <w:r w:rsidRPr="00D41518">
              <w:t>non</w:t>
            </w:r>
            <w:r w:rsidR="00ED7D64">
              <w:noBreakHyphen/>
            </w:r>
            <w:r w:rsidRPr="00D41518">
              <w:t xml:space="preserve">legal advocacy services are available for </w:t>
            </w:r>
            <w:r w:rsidR="005E714D">
              <w:t>any</w:t>
            </w:r>
            <w:r w:rsidR="005E714D" w:rsidRPr="00D41518">
              <w:t xml:space="preserve"> </w:t>
            </w:r>
            <w:r w:rsidRPr="00D41518">
              <w:t>individual</w:t>
            </w:r>
            <w:r w:rsidR="005E714D">
              <w:t xml:space="preserve"> detained under </w:t>
            </w:r>
            <w:r w:rsidRPr="00D41518">
              <w:t>mental health legislation. In particular, services should:</w:t>
            </w:r>
          </w:p>
          <w:p w14:paraId="7442764F" w14:textId="77777777" w:rsidR="00E72C32" w:rsidRPr="00E84C99" w:rsidRDefault="00E72C32" w:rsidP="00F00D75">
            <w:pPr>
              <w:pStyle w:val="RecBullet"/>
              <w:keepNext/>
            </w:pPr>
            <w:r w:rsidRPr="00E53835">
              <w:t>focus on facilitating supported decision</w:t>
            </w:r>
            <w:r>
              <w:t xml:space="preserve"> </w:t>
            </w:r>
            <w:r w:rsidRPr="00E53835">
              <w:t>making by individuals</w:t>
            </w:r>
          </w:p>
          <w:p w14:paraId="34C1BD4B" w14:textId="77777777" w:rsidR="00E72C32" w:rsidRPr="00E84C99" w:rsidRDefault="00E72C32" w:rsidP="00F00D75">
            <w:pPr>
              <w:pStyle w:val="RecBullet"/>
              <w:keepNext/>
            </w:pPr>
            <w:r w:rsidRPr="00E53835">
              <w:t xml:space="preserve">be </w:t>
            </w:r>
            <w:r>
              <w:t xml:space="preserve">adequately </w:t>
            </w:r>
            <w:r w:rsidRPr="00E53835">
              <w:t>resourced to provide assistance to individuals who require it</w:t>
            </w:r>
          </w:p>
          <w:p w14:paraId="0787C52F" w14:textId="01FD19A7" w:rsidR="00E72C32" w:rsidRPr="00324F31" w:rsidRDefault="00E72C32" w:rsidP="00F00D75">
            <w:pPr>
              <w:pStyle w:val="RecBullet"/>
              <w:keepNext/>
              <w:rPr>
                <w:b/>
              </w:rPr>
            </w:pPr>
            <w:r>
              <w:t>not</w:t>
            </w:r>
            <w:r w:rsidRPr="00E53835">
              <w:t xml:space="preserve"> replace legal advocacy services</w:t>
            </w:r>
            <w:r w:rsidRPr="00C72A98">
              <w:t>.</w:t>
            </w:r>
          </w:p>
          <w:p w14:paraId="7EA454DE" w14:textId="77777777" w:rsidR="005E714D" w:rsidRPr="00D41518" w:rsidRDefault="00392900" w:rsidP="00F00D75">
            <w:pPr>
              <w:pStyle w:val="Rec"/>
              <w:keepNext/>
              <w:rPr>
                <w:b/>
              </w:rPr>
            </w:pPr>
            <w:r>
              <w:t>Where</w:t>
            </w:r>
            <w:r w:rsidR="00DE2D71" w:rsidRPr="000267C5">
              <w:t xml:space="preserve"> an individual is detained under mental health legislation,</w:t>
            </w:r>
            <w:r w:rsidR="00DE2D71">
              <w:t xml:space="preserve"> or </w:t>
            </w:r>
            <w:r>
              <w:t>agrees to</w:t>
            </w:r>
            <w:r w:rsidR="00DE2D71">
              <w:t xml:space="preserve"> mental health treatment </w:t>
            </w:r>
            <w:r>
              <w:t xml:space="preserve">in lieu </w:t>
            </w:r>
            <w:r w:rsidR="00DE2D71">
              <w:t>of being detained under mental health legislation</w:t>
            </w:r>
            <w:r>
              <w:t>, the treating facility should notify non</w:t>
            </w:r>
            <w:r w:rsidR="00F0637D">
              <w:noBreakHyphen/>
            </w:r>
            <w:r>
              <w:t>legal advocacy services and the individual’s family or carer</w:t>
            </w:r>
            <w:r w:rsidR="00DE2D71">
              <w:t>.</w:t>
            </w:r>
          </w:p>
        </w:tc>
      </w:tr>
      <w:tr w:rsidR="001C1A62" w:rsidRPr="00D41518" w14:paraId="44ED0F9F"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444C79E5" w14:textId="77777777" w:rsidR="001C1A62" w:rsidRPr="00D41518" w:rsidRDefault="001C1A62" w:rsidP="008642A2">
            <w:pPr>
              <w:keepNext/>
              <w:keepLines/>
              <w:spacing w:line="120" w:lineRule="exact"/>
              <w:jc w:val="both"/>
              <w:rPr>
                <w:rFonts w:ascii="Arial" w:hAnsi="Arial"/>
                <w:sz w:val="20"/>
                <w:szCs w:val="20"/>
              </w:rPr>
            </w:pPr>
          </w:p>
        </w:tc>
      </w:tr>
      <w:tr w:rsidR="008642A2" w:rsidRPr="00D41518" w14:paraId="74F10840" w14:textId="77777777" w:rsidTr="008642A2">
        <w:tc>
          <w:tcPr>
            <w:tcW w:w="5000" w:type="pct"/>
            <w:tcBorders>
              <w:top w:val="single" w:sz="6" w:space="0" w:color="78A22F"/>
              <w:left w:val="nil"/>
              <w:bottom w:val="nil"/>
              <w:right w:val="nil"/>
            </w:tcBorders>
            <w:shd w:val="clear" w:color="auto" w:fill="auto"/>
            <w:tcMar>
              <w:left w:w="170" w:type="dxa"/>
              <w:right w:w="170" w:type="dxa"/>
            </w:tcMar>
          </w:tcPr>
          <w:p w14:paraId="18CFBF77" w14:textId="77777777" w:rsidR="008642A2" w:rsidRPr="00D41518" w:rsidRDefault="008642A2" w:rsidP="008642A2">
            <w:pPr>
              <w:pStyle w:val="BoxSpaceBelow"/>
            </w:pPr>
          </w:p>
        </w:tc>
      </w:tr>
    </w:tbl>
    <w:p w14:paraId="557D2C5D" w14:textId="79220704" w:rsidR="001C1A62" w:rsidRDefault="001C1A62" w:rsidP="008642A2">
      <w:pPr>
        <w:pStyle w:val="BoxSpaceAbove"/>
        <w:keepLines/>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1C1A62" w:rsidRPr="005E64FD" w14:paraId="4C39C89F" w14:textId="77777777" w:rsidTr="009840DB">
        <w:trPr>
          <w:tblHeader/>
        </w:trPr>
        <w:tc>
          <w:tcPr>
            <w:tcW w:w="5000" w:type="pct"/>
            <w:tcBorders>
              <w:top w:val="single" w:sz="6" w:space="0" w:color="78A22F"/>
              <w:left w:val="nil"/>
              <w:bottom w:val="nil"/>
              <w:right w:val="nil"/>
            </w:tcBorders>
            <w:shd w:val="clear" w:color="auto" w:fill="auto"/>
            <w:tcMar>
              <w:left w:w="170" w:type="dxa"/>
              <w:right w:w="170" w:type="dxa"/>
            </w:tcMar>
          </w:tcPr>
          <w:p w14:paraId="3E1BD150" w14:textId="6F37DE0A" w:rsidR="001C1A62" w:rsidRPr="005E64FD" w:rsidRDefault="00BE10BF" w:rsidP="00AD4FB0">
            <w:pPr>
              <w:pStyle w:val="RecTitle"/>
              <w:spacing w:before="120"/>
              <w:rPr>
                <w:b/>
                <w:color w:val="3B5117"/>
              </w:rPr>
            </w:pPr>
            <w:r w:rsidRPr="005E64FD">
              <w:rPr>
                <w:b/>
                <w:color w:val="3B5117"/>
              </w:rPr>
              <w:t>ACTION</w:t>
            </w:r>
            <w:r w:rsidR="001C1A62" w:rsidRPr="005E64FD">
              <w:rPr>
                <w:b/>
                <w:color w:val="3B5117"/>
              </w:rPr>
              <w:t xml:space="preserve"> </w:t>
            </w:r>
            <w:r w:rsidR="00836B99" w:rsidRPr="005E64FD">
              <w:rPr>
                <w:b/>
                <w:color w:val="3B5117"/>
              </w:rPr>
              <w:t>21</w:t>
            </w:r>
            <w:r w:rsidR="00B028B3" w:rsidRPr="005E64FD">
              <w:rPr>
                <w:b/>
                <w:color w:val="3B5117"/>
              </w:rPr>
              <w:t>.</w:t>
            </w:r>
            <w:r w:rsidR="009A2712" w:rsidRPr="005E64FD">
              <w:rPr>
                <w:b/>
                <w:color w:val="3B5117"/>
              </w:rPr>
              <w:t>10</w:t>
            </w:r>
            <w:r w:rsidR="00CE7986">
              <w:rPr>
                <w:b/>
                <w:color w:val="3B5117"/>
              </w:rPr>
              <w:t> — </w:t>
            </w:r>
            <w:r w:rsidR="00AD4FB0">
              <w:rPr>
                <w:b/>
                <w:color w:val="3B5117"/>
              </w:rPr>
              <w:t xml:space="preserve">Mental </w:t>
            </w:r>
            <w:r w:rsidR="00FC5DD2">
              <w:rPr>
                <w:b/>
                <w:color w:val="3B5117"/>
              </w:rPr>
              <w:t xml:space="preserve">health </w:t>
            </w:r>
            <w:r w:rsidR="001C1A62" w:rsidRPr="005E64FD">
              <w:rPr>
                <w:b/>
                <w:color w:val="3B5117"/>
              </w:rPr>
              <w:t>ADvance</w:t>
            </w:r>
            <w:r w:rsidR="006B7594" w:rsidRPr="005E64FD">
              <w:rPr>
                <w:b/>
                <w:color w:val="3B5117"/>
              </w:rPr>
              <w:t xml:space="preserve"> </w:t>
            </w:r>
            <w:r w:rsidR="001C1A62" w:rsidRPr="005E64FD">
              <w:rPr>
                <w:b/>
                <w:color w:val="3B5117"/>
              </w:rPr>
              <w:t>directives</w:t>
            </w:r>
          </w:p>
        </w:tc>
      </w:tr>
      <w:tr w:rsidR="001C1A62" w:rsidRPr="00750BE2" w14:paraId="2ED56DF7" w14:textId="77777777" w:rsidTr="009840DB">
        <w:tc>
          <w:tcPr>
            <w:tcW w:w="5000" w:type="pct"/>
            <w:tcBorders>
              <w:top w:val="nil"/>
              <w:left w:val="nil"/>
              <w:bottom w:val="nil"/>
              <w:right w:val="nil"/>
            </w:tcBorders>
            <w:shd w:val="clear" w:color="auto" w:fill="F2F2F2" w:themeFill="background1" w:themeFillShade="F2"/>
            <w:tcMar>
              <w:left w:w="170" w:type="dxa"/>
              <w:right w:w="170" w:type="dxa"/>
            </w:tcMar>
          </w:tcPr>
          <w:p w14:paraId="31F3C275" w14:textId="005CB1D5" w:rsidR="00082012" w:rsidRPr="00D92450" w:rsidRDefault="00AD4FB0" w:rsidP="008642A2">
            <w:pPr>
              <w:pStyle w:val="Rec"/>
              <w:keepNext/>
              <w:rPr>
                <w:iCs/>
              </w:rPr>
            </w:pPr>
            <w:r>
              <w:rPr>
                <w:iCs/>
              </w:rPr>
              <w:t>Mental health a</w:t>
            </w:r>
            <w:r w:rsidR="00082012">
              <w:rPr>
                <w:iCs/>
              </w:rPr>
              <w:t>dvance directives can help ensure that the wishes of a person with mental illness are able to be met.</w:t>
            </w:r>
          </w:p>
          <w:p w14:paraId="5FD25E71" w14:textId="542F343C" w:rsidR="00A7312F" w:rsidRDefault="002246D6" w:rsidP="008642A2">
            <w:pPr>
              <w:pStyle w:val="Rec"/>
              <w:keepNext/>
            </w:pPr>
            <w:r w:rsidRPr="002246D6">
              <w:rPr>
                <w:i/>
              </w:rPr>
              <w:t>Start now</w:t>
            </w:r>
          </w:p>
          <w:p w14:paraId="247DF75C" w14:textId="7F1EE110" w:rsidR="00A7312F" w:rsidRDefault="00A7312F" w:rsidP="008642A2">
            <w:pPr>
              <w:pStyle w:val="Rec"/>
              <w:keepNext/>
            </w:pPr>
            <w:r>
              <w:t>State and Territory Governments should ensure that advance directives are:</w:t>
            </w:r>
          </w:p>
          <w:p w14:paraId="0F8743E4" w14:textId="750B943B" w:rsidR="00A7312F" w:rsidRDefault="00A7312F" w:rsidP="008642A2">
            <w:pPr>
              <w:pStyle w:val="RecBullet"/>
              <w:keepNext/>
            </w:pPr>
            <w:r>
              <w:t>formally recognised in mental health legislation</w:t>
            </w:r>
          </w:p>
          <w:p w14:paraId="53442F89" w14:textId="1CDB6615" w:rsidR="00A7312F" w:rsidRDefault="00A7312F" w:rsidP="008642A2">
            <w:pPr>
              <w:pStyle w:val="RecBullet"/>
              <w:keepNext/>
            </w:pPr>
            <w:r>
              <w:t>actively promoted to raise awareness among mental health consumers of the scope to use such an instrument to state their preferences regarding future treatment and recovery, to nominate a carer, and to specify the types of information to be shared with that carer</w:t>
            </w:r>
          </w:p>
          <w:p w14:paraId="79E06CF6" w14:textId="4AC6B8D9" w:rsidR="00A7312F" w:rsidRDefault="00A7312F" w:rsidP="008642A2">
            <w:pPr>
              <w:pStyle w:val="RecBullet"/>
              <w:keepNext/>
            </w:pPr>
            <w:r>
              <w:t xml:space="preserve">contain safeguards </w:t>
            </w:r>
            <w:r w:rsidR="00644CBA">
              <w:t xml:space="preserve">that </w:t>
            </w:r>
            <w:r>
              <w:t>balance consumer choice against urgent treatment needs</w:t>
            </w:r>
          </w:p>
          <w:p w14:paraId="31C12389" w14:textId="54ACF978" w:rsidR="00A7312F" w:rsidRDefault="00A7312F" w:rsidP="00D92450">
            <w:pPr>
              <w:pStyle w:val="RecBullet"/>
              <w:keepNext/>
            </w:pPr>
            <w:r>
              <w:t>easily accessible by any mental health service.</w:t>
            </w:r>
          </w:p>
          <w:p w14:paraId="597D1682" w14:textId="44AE3F5D" w:rsidR="001C1A62" w:rsidRPr="00521A95" w:rsidRDefault="00A7312F" w:rsidP="00AD4FB0">
            <w:pPr>
              <w:pStyle w:val="Rec"/>
              <w:keepNext/>
            </w:pPr>
            <w:r>
              <w:t>State and Territory Governments should seek to ensure individuals can access support to help them complete an advance directive, if it is required.</w:t>
            </w:r>
          </w:p>
        </w:tc>
      </w:tr>
      <w:tr w:rsidR="001C1A62" w14:paraId="0D13D0F9"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4CE8766B" w14:textId="77777777" w:rsidR="001C1A62" w:rsidRDefault="001C1A62" w:rsidP="008642A2">
            <w:pPr>
              <w:pStyle w:val="Space"/>
              <w:keepLines/>
            </w:pPr>
          </w:p>
        </w:tc>
      </w:tr>
      <w:tr w:rsidR="001C1A62" w:rsidRPr="000863A5" w14:paraId="7F16FC0B" w14:textId="77777777" w:rsidTr="009840DB">
        <w:tc>
          <w:tcPr>
            <w:tcW w:w="5000" w:type="pct"/>
            <w:tcBorders>
              <w:top w:val="single" w:sz="6" w:space="0" w:color="78A22F"/>
              <w:left w:val="nil"/>
              <w:bottom w:val="nil"/>
              <w:right w:val="nil"/>
            </w:tcBorders>
          </w:tcPr>
          <w:p w14:paraId="4C449BBA" w14:textId="77777777" w:rsidR="001C1A62" w:rsidRPr="00626D32" w:rsidRDefault="001C1A62" w:rsidP="008642A2">
            <w:pPr>
              <w:pStyle w:val="BoxSpaceBelow"/>
              <w:keepNext/>
              <w:keepLines/>
            </w:pPr>
          </w:p>
        </w:tc>
      </w:tr>
    </w:tbl>
    <w:p w14:paraId="0A909C12" w14:textId="77777777" w:rsidR="00EB4CF2" w:rsidRDefault="00EB4CF2" w:rsidP="005847E8">
      <w:pPr>
        <w:pStyle w:val="BoxSpaceAbove"/>
        <w:pageBreakBefore/>
        <w:tabs>
          <w:tab w:val="left" w:pos="1092"/>
        </w:tabs>
        <w:spacing w:before="240"/>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EB4CF2" w:rsidRPr="005E64FD" w14:paraId="299D0ADA" w14:textId="77777777" w:rsidTr="002F0A34">
        <w:trPr>
          <w:tblHeader/>
        </w:trPr>
        <w:tc>
          <w:tcPr>
            <w:tcW w:w="5000" w:type="pct"/>
            <w:tcBorders>
              <w:top w:val="single" w:sz="6" w:space="0" w:color="78A22F"/>
              <w:left w:val="nil"/>
              <w:bottom w:val="nil"/>
              <w:right w:val="nil"/>
            </w:tcBorders>
            <w:shd w:val="clear" w:color="auto" w:fill="auto"/>
            <w:tcMar>
              <w:left w:w="170" w:type="dxa"/>
              <w:right w:w="170" w:type="dxa"/>
            </w:tcMar>
          </w:tcPr>
          <w:p w14:paraId="68C0056D" w14:textId="45C725D6" w:rsidR="00EB4CF2" w:rsidRPr="005E64FD" w:rsidRDefault="00BE10BF" w:rsidP="005E64FD">
            <w:pPr>
              <w:pStyle w:val="RecTitle"/>
              <w:spacing w:before="120"/>
              <w:rPr>
                <w:b/>
                <w:color w:val="3B5117"/>
              </w:rPr>
            </w:pPr>
            <w:r w:rsidRPr="005E64FD">
              <w:rPr>
                <w:b/>
                <w:color w:val="3B5117"/>
              </w:rPr>
              <w:t>ACTION</w:t>
            </w:r>
            <w:r w:rsidR="00EB4CF2" w:rsidRPr="005E64FD">
              <w:rPr>
                <w:b/>
                <w:color w:val="3B5117"/>
              </w:rPr>
              <w:t xml:space="preserve"> </w:t>
            </w:r>
            <w:r w:rsidR="00836B99" w:rsidRPr="005E64FD">
              <w:rPr>
                <w:b/>
                <w:color w:val="3B5117"/>
              </w:rPr>
              <w:t>21</w:t>
            </w:r>
            <w:r w:rsidR="00EB4CF2" w:rsidRPr="005E64FD">
              <w:rPr>
                <w:b/>
                <w:color w:val="3B5117"/>
              </w:rPr>
              <w:t>.</w:t>
            </w:r>
            <w:r w:rsidR="009A2712" w:rsidRPr="005E64FD">
              <w:rPr>
                <w:b/>
                <w:color w:val="3B5117"/>
              </w:rPr>
              <w:t>11</w:t>
            </w:r>
            <w:r w:rsidR="00CE7986">
              <w:rPr>
                <w:b/>
                <w:color w:val="3B5117"/>
              </w:rPr>
              <w:t> — </w:t>
            </w:r>
            <w:r w:rsidR="00EB4CF2" w:rsidRPr="005E64FD">
              <w:rPr>
                <w:b/>
                <w:color w:val="3B5117"/>
              </w:rPr>
              <w:t xml:space="preserve">MUTUAL RECOGNITION OF MENTAL HEALTH </w:t>
            </w:r>
            <w:r w:rsidR="007175C2">
              <w:rPr>
                <w:b/>
                <w:color w:val="3B5117"/>
              </w:rPr>
              <w:t xml:space="preserve">treatment </w:t>
            </w:r>
            <w:r w:rsidR="00EB4CF2" w:rsidRPr="005E64FD">
              <w:rPr>
                <w:b/>
                <w:color w:val="3B5117"/>
              </w:rPr>
              <w:t>ORDERS</w:t>
            </w:r>
          </w:p>
        </w:tc>
      </w:tr>
      <w:tr w:rsidR="00EB4CF2" w:rsidRPr="00750BE2" w14:paraId="3BADF0B0" w14:textId="77777777" w:rsidTr="002F0A34">
        <w:tc>
          <w:tcPr>
            <w:tcW w:w="5000" w:type="pct"/>
            <w:tcBorders>
              <w:top w:val="nil"/>
              <w:left w:val="nil"/>
              <w:bottom w:val="nil"/>
              <w:right w:val="nil"/>
            </w:tcBorders>
            <w:shd w:val="clear" w:color="auto" w:fill="F2F2F2" w:themeFill="background1" w:themeFillShade="F2"/>
            <w:tcMar>
              <w:left w:w="170" w:type="dxa"/>
              <w:right w:w="170" w:type="dxa"/>
            </w:tcMar>
          </w:tcPr>
          <w:p w14:paraId="7F550B58" w14:textId="35BFCDA9" w:rsidR="00DB50E3" w:rsidRPr="00D92450" w:rsidRDefault="00DB50E3" w:rsidP="00EB4CF2">
            <w:pPr>
              <w:pStyle w:val="Rec"/>
              <w:rPr>
                <w:iCs/>
              </w:rPr>
            </w:pPr>
            <w:r>
              <w:t xml:space="preserve">State and Territory Governments should ensure there is mutual recognition of mental health </w:t>
            </w:r>
            <w:r w:rsidR="007175C2">
              <w:t xml:space="preserve">treatment </w:t>
            </w:r>
            <w:r>
              <w:t>orders across Australia.</w:t>
            </w:r>
          </w:p>
          <w:p w14:paraId="08B62863" w14:textId="4AB0E52F" w:rsidR="00EB4CF2" w:rsidRPr="009558A9" w:rsidRDefault="002246D6" w:rsidP="00EB4CF2">
            <w:pPr>
              <w:pStyle w:val="Rec"/>
              <w:rPr>
                <w:i/>
              </w:rPr>
            </w:pPr>
            <w:r w:rsidRPr="002246D6">
              <w:rPr>
                <w:i/>
              </w:rPr>
              <w:t>Start later</w:t>
            </w:r>
          </w:p>
          <w:p w14:paraId="355549F9" w14:textId="61352881" w:rsidR="00EB4CF2" w:rsidRDefault="00EB4CF2" w:rsidP="00EB4CF2">
            <w:pPr>
              <w:pStyle w:val="Rec"/>
            </w:pPr>
            <w:r>
              <w:t xml:space="preserve">The Safety and Quality Partnership Standing Committee should complete work on an appropriate national approach to ensure </w:t>
            </w:r>
            <w:r w:rsidR="00644CBA">
              <w:t xml:space="preserve">mutual recognition of mental health </w:t>
            </w:r>
            <w:r w:rsidR="007175C2">
              <w:t xml:space="preserve">treatment </w:t>
            </w:r>
            <w:r w:rsidR="00644CBA">
              <w:t>orders</w:t>
            </w:r>
            <w:r>
              <w:t xml:space="preserve">. The national approach should consider both legislative mechanisms and implementation needs, and be agreed to by all State and Territory Governments. This should be </w:t>
            </w:r>
            <w:r w:rsidR="00644CBA">
              <w:t xml:space="preserve">completed </w:t>
            </w:r>
            <w:r>
              <w:t>by 2025.</w:t>
            </w:r>
          </w:p>
          <w:p w14:paraId="2403AA6E" w14:textId="77777777" w:rsidR="00EB4CF2" w:rsidRPr="00521A95" w:rsidRDefault="00EB4CF2" w:rsidP="00392900">
            <w:pPr>
              <w:pStyle w:val="Rec"/>
              <w:keepNext/>
            </w:pPr>
            <w:r>
              <w:t>All State and Territory Governments should work collaboratively to implement the national approach.</w:t>
            </w:r>
          </w:p>
        </w:tc>
      </w:tr>
      <w:tr w:rsidR="00EB4CF2" w14:paraId="2076AAE8"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1AF768A8" w14:textId="77777777" w:rsidR="00EB4CF2" w:rsidRDefault="00EB4CF2" w:rsidP="002F0A34">
            <w:pPr>
              <w:pStyle w:val="Space"/>
              <w:keepLines/>
            </w:pPr>
          </w:p>
        </w:tc>
      </w:tr>
      <w:tr w:rsidR="00EB4CF2" w:rsidRPr="000863A5" w14:paraId="79321171" w14:textId="77777777" w:rsidTr="002F0A34">
        <w:tc>
          <w:tcPr>
            <w:tcW w:w="5000" w:type="pct"/>
            <w:tcBorders>
              <w:top w:val="single" w:sz="6" w:space="0" w:color="78A22F"/>
              <w:left w:val="nil"/>
              <w:bottom w:val="nil"/>
              <w:right w:val="nil"/>
            </w:tcBorders>
          </w:tcPr>
          <w:p w14:paraId="038750C4" w14:textId="77777777" w:rsidR="00EB4CF2" w:rsidRPr="00626D32" w:rsidRDefault="00EB4CF2" w:rsidP="002F0A34">
            <w:pPr>
              <w:pStyle w:val="BoxSpaceBelow"/>
              <w:keepLines/>
            </w:pPr>
          </w:p>
        </w:tc>
      </w:tr>
    </w:tbl>
    <w:p w14:paraId="345B1AA4" w14:textId="4E711A5E" w:rsidR="00D41518" w:rsidRPr="00D41518" w:rsidRDefault="00D41518" w:rsidP="005847E8">
      <w:pPr>
        <w:keepNext/>
        <w:keepLines/>
        <w:pageBreakBefore/>
        <w:spacing w:before="600" w:after="240" w:line="400" w:lineRule="exact"/>
        <w:ind w:left="1418" w:hanging="1418"/>
        <w:outlineLvl w:val="1"/>
        <w:rPr>
          <w:rFonts w:ascii="Arial" w:hAnsi="Arial"/>
          <w:b/>
          <w:color w:val="39531E"/>
          <w:sz w:val="32"/>
          <w:szCs w:val="20"/>
        </w:rPr>
      </w:pPr>
      <w:r w:rsidRPr="00D41518">
        <w:rPr>
          <w:rFonts w:ascii="Arial" w:hAnsi="Arial"/>
          <w:b/>
          <w:color w:val="39531E"/>
          <w:sz w:val="32"/>
          <w:szCs w:val="20"/>
        </w:rPr>
        <w:lastRenderedPageBreak/>
        <w:t>PART V</w:t>
      </w:r>
      <w:r w:rsidRPr="00D41518">
        <w:rPr>
          <w:rFonts w:ascii="Arial" w:hAnsi="Arial"/>
          <w:b/>
          <w:color w:val="39531E"/>
          <w:sz w:val="32"/>
          <w:szCs w:val="20"/>
        </w:rPr>
        <w:tab/>
      </w:r>
      <w:r w:rsidRPr="00D41518">
        <w:rPr>
          <w:rFonts w:ascii="Arial" w:hAnsi="Arial"/>
          <w:b/>
          <w:color w:val="39531E"/>
          <w:sz w:val="32"/>
          <w:szCs w:val="20"/>
        </w:rPr>
        <w:tab/>
      </w:r>
      <w:r w:rsidR="001B4578">
        <w:rPr>
          <w:rFonts w:ascii="Arial" w:hAnsi="Arial"/>
          <w:b/>
          <w:color w:val="39531E"/>
          <w:sz w:val="32"/>
          <w:szCs w:val="20"/>
        </w:rPr>
        <w:t>Enable</w:t>
      </w:r>
      <w:r w:rsidR="00B20151">
        <w:rPr>
          <w:rFonts w:ascii="Arial" w:hAnsi="Arial"/>
          <w:b/>
          <w:color w:val="39531E"/>
          <w:sz w:val="32"/>
          <w:szCs w:val="20"/>
        </w:rPr>
        <w:t>r</w:t>
      </w:r>
      <w:r w:rsidR="001B4578">
        <w:rPr>
          <w:rFonts w:ascii="Arial" w:hAnsi="Arial"/>
          <w:b/>
          <w:color w:val="39531E"/>
          <w:sz w:val="32"/>
          <w:szCs w:val="20"/>
        </w:rPr>
        <w:t xml:space="preserve">s </w:t>
      </w:r>
      <w:r w:rsidR="00B20151">
        <w:rPr>
          <w:rFonts w:ascii="Arial" w:hAnsi="Arial"/>
          <w:b/>
          <w:color w:val="39531E"/>
          <w:sz w:val="32"/>
          <w:szCs w:val="20"/>
        </w:rPr>
        <w:t>o</w:t>
      </w:r>
      <w:r w:rsidR="001B4578">
        <w:rPr>
          <w:rFonts w:ascii="Arial" w:hAnsi="Arial"/>
          <w:b/>
          <w:color w:val="39531E"/>
          <w:sz w:val="32"/>
          <w:szCs w:val="20"/>
        </w:rPr>
        <w:t xml:space="preserve">f </w:t>
      </w:r>
      <w:r w:rsidR="00854FC7">
        <w:rPr>
          <w:rFonts w:ascii="Arial" w:hAnsi="Arial"/>
          <w:b/>
          <w:color w:val="39531E"/>
          <w:sz w:val="32"/>
          <w:szCs w:val="20"/>
        </w:rPr>
        <w:t>reform</w:t>
      </w:r>
    </w:p>
    <w:p w14:paraId="2619CA5D" w14:textId="72DA2209" w:rsidR="00C90F18" w:rsidRDefault="00B20151" w:rsidP="00C90F18">
      <w:pPr>
        <w:pStyle w:val="Heading3"/>
      </w:pPr>
      <w:r>
        <w:t>Governance</w:t>
      </w:r>
    </w:p>
    <w:p w14:paraId="52E01912" w14:textId="77777777" w:rsidR="008642A2" w:rsidRPr="008642A2" w:rsidRDefault="008642A2" w:rsidP="008642A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D41518" w:rsidRPr="005E64FD" w14:paraId="55A727B6" w14:textId="77777777" w:rsidTr="00462628">
        <w:trPr>
          <w:tblHeader/>
        </w:trPr>
        <w:tc>
          <w:tcPr>
            <w:tcW w:w="5000" w:type="pct"/>
            <w:tcBorders>
              <w:top w:val="single" w:sz="6" w:space="0" w:color="78A22F"/>
              <w:left w:val="nil"/>
              <w:bottom w:val="nil"/>
              <w:right w:val="nil"/>
            </w:tcBorders>
            <w:shd w:val="clear" w:color="auto" w:fill="auto"/>
            <w:tcMar>
              <w:left w:w="170" w:type="dxa"/>
              <w:right w:w="170" w:type="dxa"/>
            </w:tcMar>
          </w:tcPr>
          <w:p w14:paraId="16A1BB9D" w14:textId="119E9F4F" w:rsidR="00D41518" w:rsidRPr="005E64FD" w:rsidRDefault="00EB6833" w:rsidP="005E64FD">
            <w:pPr>
              <w:pStyle w:val="RecTitle"/>
              <w:spacing w:before="120"/>
              <w:rPr>
                <w:b/>
                <w:color w:val="3B5117"/>
              </w:rPr>
            </w:pPr>
            <w:r w:rsidRPr="005E64FD">
              <w:rPr>
                <w:b/>
                <w:color w:val="3B5117"/>
              </w:rPr>
              <w:t xml:space="preserve">action </w:t>
            </w:r>
            <w:r w:rsidR="00D41518" w:rsidRPr="005E64FD">
              <w:rPr>
                <w:b/>
                <w:color w:val="3B5117"/>
              </w:rPr>
              <w:t>22.</w:t>
            </w:r>
            <w:r w:rsidR="00211F74" w:rsidRPr="005E64FD">
              <w:rPr>
                <w:b/>
                <w:color w:val="3B5117"/>
              </w:rPr>
              <w:t>1</w:t>
            </w:r>
            <w:r w:rsidR="00CE7986">
              <w:rPr>
                <w:b/>
                <w:color w:val="3B5117"/>
              </w:rPr>
              <w:t> — </w:t>
            </w:r>
            <w:r w:rsidR="00D41518" w:rsidRPr="005E64FD">
              <w:rPr>
                <w:b/>
                <w:color w:val="3B5117"/>
              </w:rPr>
              <w:t>A new whole-of-government mental health strategy</w:t>
            </w:r>
          </w:p>
        </w:tc>
      </w:tr>
      <w:tr w:rsidR="00D41518" w:rsidRPr="00D41518" w14:paraId="7005B81C" w14:textId="77777777" w:rsidTr="00462628">
        <w:tc>
          <w:tcPr>
            <w:tcW w:w="5000" w:type="pct"/>
            <w:tcBorders>
              <w:top w:val="nil"/>
              <w:left w:val="nil"/>
              <w:bottom w:val="nil"/>
              <w:right w:val="nil"/>
            </w:tcBorders>
            <w:shd w:val="clear" w:color="auto" w:fill="F2F2F2"/>
            <w:tcMar>
              <w:left w:w="170" w:type="dxa"/>
              <w:right w:w="170" w:type="dxa"/>
            </w:tcMar>
          </w:tcPr>
          <w:p w14:paraId="08AB5B5F" w14:textId="00A7D64C" w:rsidR="00D41518" w:rsidRPr="00D41518" w:rsidRDefault="00D41518" w:rsidP="008642A2">
            <w:pPr>
              <w:pStyle w:val="Rec"/>
            </w:pPr>
            <w:r w:rsidRPr="00D41518">
              <w:t xml:space="preserve">A national strategy that integrates services and supports </w:t>
            </w:r>
            <w:r w:rsidR="00D92450">
              <w:t xml:space="preserve">that are </w:t>
            </w:r>
            <w:r w:rsidRPr="00D41518">
              <w:t>delivered in health and non</w:t>
            </w:r>
            <w:r w:rsidRPr="00D41518">
              <w:noBreakHyphen/>
              <w:t>health sectors should guide the efficient allocation of government funds and other resources to improve mental health outcomes over the long term.</w:t>
            </w:r>
          </w:p>
          <w:p w14:paraId="30DCEE5B" w14:textId="77777777" w:rsidR="00D41518" w:rsidRPr="00D41518" w:rsidRDefault="002246D6" w:rsidP="008642A2">
            <w:pPr>
              <w:pStyle w:val="Rec"/>
              <w:rPr>
                <w:i/>
              </w:rPr>
            </w:pPr>
            <w:r w:rsidRPr="002246D6">
              <w:rPr>
                <w:i/>
              </w:rPr>
              <w:t>Start now</w:t>
            </w:r>
          </w:p>
          <w:p w14:paraId="26B0DE4B" w14:textId="01BF0D91" w:rsidR="00D41518" w:rsidRPr="00D41518" w:rsidRDefault="008D5701" w:rsidP="008642A2">
            <w:pPr>
              <w:pStyle w:val="Rec"/>
            </w:pPr>
            <w:r>
              <w:t>The Australian, State and Territory Governments</w:t>
            </w:r>
            <w:r w:rsidRPr="00031C0B">
              <w:t xml:space="preserve"> </w:t>
            </w:r>
            <w:r w:rsidR="00D41518" w:rsidRPr="00D41518">
              <w:t xml:space="preserve">should develop a new </w:t>
            </w:r>
            <w:r w:rsidR="00D41518" w:rsidRPr="00910978">
              <w:t>National Mental Health Strategy</w:t>
            </w:r>
            <w:r w:rsidR="00D41518" w:rsidRPr="00D41518">
              <w:t xml:space="preserve"> </w:t>
            </w:r>
            <w:r w:rsidR="004E5EFB">
              <w:t>that comprehensively integrates the roles played by health and non-health sectors</w:t>
            </w:r>
            <w:r w:rsidR="00D41518" w:rsidRPr="00D41518">
              <w:t xml:space="preserve">. In developing the new strategy, </w:t>
            </w:r>
            <w:r>
              <w:t>they</w:t>
            </w:r>
            <w:r w:rsidR="00D41518" w:rsidRPr="00D41518">
              <w:t xml:space="preserve"> should</w:t>
            </w:r>
            <w:r w:rsidR="004E5EFB">
              <w:t xml:space="preserve"> ensure that</w:t>
            </w:r>
            <w:r w:rsidR="00D41518" w:rsidRPr="00D41518">
              <w:t>:</w:t>
            </w:r>
          </w:p>
          <w:p w14:paraId="6A4CB6CA" w14:textId="77777777" w:rsidR="00D41518" w:rsidRPr="00D41518" w:rsidRDefault="004E5EFB" w:rsidP="007A759E">
            <w:pPr>
              <w:pStyle w:val="RecBullet"/>
            </w:pPr>
            <w:r>
              <w:t xml:space="preserve">it involves broad </w:t>
            </w:r>
            <w:r w:rsidR="00D41518" w:rsidRPr="00D41518">
              <w:t>collaborat</w:t>
            </w:r>
            <w:r>
              <w:t>ion</w:t>
            </w:r>
            <w:r w:rsidR="00D41518" w:rsidRPr="00D41518">
              <w:t xml:space="preserve"> with relevant health and non-health portfolios of Australian, State and Territory Governments, consumers and carers, and the private </w:t>
            </w:r>
            <w:r>
              <w:t xml:space="preserve">and community </w:t>
            </w:r>
            <w:r w:rsidR="00D41518" w:rsidRPr="00D41518">
              <w:t>sector</w:t>
            </w:r>
            <w:r>
              <w:t>s</w:t>
            </w:r>
          </w:p>
          <w:p w14:paraId="1C0D5188" w14:textId="77777777" w:rsidR="00D41518" w:rsidRPr="00D41518" w:rsidRDefault="007A759E" w:rsidP="007A759E">
            <w:pPr>
              <w:pStyle w:val="RecBullet"/>
            </w:pPr>
            <w:r>
              <w:t>its</w:t>
            </w:r>
            <w:r w:rsidR="00D41518" w:rsidRPr="00D41518">
              <w:t xml:space="preserve"> vision </w:t>
            </w:r>
            <w:r w:rsidR="004E5EFB">
              <w:t>reflects</w:t>
            </w:r>
            <w:r w:rsidR="00D41518" w:rsidRPr="00D41518">
              <w:t xml:space="preserve"> the outcomes </w:t>
            </w:r>
            <w:r w:rsidR="004E5EFB">
              <w:t xml:space="preserve">that </w:t>
            </w:r>
            <w:r w:rsidR="00D41518" w:rsidRPr="00D41518">
              <w:t xml:space="preserve">consumers and carers </w:t>
            </w:r>
            <w:r w:rsidR="007563F6">
              <w:t xml:space="preserve">value </w:t>
            </w:r>
            <w:r w:rsidR="004E5EFB">
              <w:t>and a corresponding</w:t>
            </w:r>
            <w:r w:rsidR="00D41518" w:rsidRPr="00D41518">
              <w:t xml:space="preserve"> level of ambition for mental health reforms</w:t>
            </w:r>
          </w:p>
          <w:p w14:paraId="45FD8255" w14:textId="77777777" w:rsidR="004E5EFB" w:rsidRDefault="00D41518" w:rsidP="007A759E">
            <w:pPr>
              <w:pStyle w:val="RecBullet"/>
            </w:pPr>
            <w:r w:rsidRPr="00D41518">
              <w:t xml:space="preserve">it is a single </w:t>
            </w:r>
            <w:r w:rsidR="004E5EFB">
              <w:t>coherent</w:t>
            </w:r>
            <w:r w:rsidRPr="00D41518">
              <w:t xml:space="preserve"> document that </w:t>
            </w:r>
            <w:r w:rsidR="004E5EFB">
              <w:t>outlines a comprehensive approach to improving mental health outcomes</w:t>
            </w:r>
          </w:p>
          <w:p w14:paraId="297DCC00" w14:textId="471B3709" w:rsidR="00D41518" w:rsidRPr="00D41518" w:rsidRDefault="00D92450" w:rsidP="007A759E">
            <w:pPr>
              <w:pStyle w:val="RecBullet"/>
            </w:pPr>
            <w:r>
              <w:t xml:space="preserve">it </w:t>
            </w:r>
            <w:r w:rsidR="00D41518" w:rsidRPr="00D41518">
              <w:t>has the demonstrable support of consumers and carers.</w:t>
            </w:r>
          </w:p>
          <w:p w14:paraId="4F081EC0" w14:textId="3B8F51E2" w:rsidR="008D5701" w:rsidRDefault="008D5701" w:rsidP="008D5701">
            <w:pPr>
              <w:pStyle w:val="Rec"/>
            </w:pPr>
            <w:r>
              <w:t>The Australian, State and Territory Governments</w:t>
            </w:r>
            <w:r w:rsidRPr="00833A29">
              <w:t xml:space="preserve"> should </w:t>
            </w:r>
            <w:r>
              <w:t>request</w:t>
            </w:r>
            <w:r w:rsidRPr="00833A29">
              <w:t xml:space="preserve"> the N</w:t>
            </w:r>
            <w:r w:rsidR="00A13DCB">
              <w:t xml:space="preserve">ational </w:t>
            </w:r>
            <w:r w:rsidRPr="00833A29">
              <w:t>M</w:t>
            </w:r>
            <w:r w:rsidR="00A13DCB">
              <w:t xml:space="preserve">ental </w:t>
            </w:r>
            <w:r w:rsidRPr="00833A29">
              <w:t>H</w:t>
            </w:r>
            <w:r w:rsidR="00A13DCB">
              <w:t xml:space="preserve">ealth </w:t>
            </w:r>
            <w:r w:rsidRPr="00833A29">
              <w:t>C</w:t>
            </w:r>
            <w:r w:rsidR="00A13DCB">
              <w:t>ommission</w:t>
            </w:r>
            <w:r w:rsidRPr="00833A29">
              <w:t xml:space="preserve"> to lead development of </w:t>
            </w:r>
            <w:r>
              <w:t>the</w:t>
            </w:r>
            <w:r w:rsidRPr="00833A29">
              <w:t xml:space="preserve"> new national mental health strategy and the next national mental health action plan in collaboration with all jurisdictions</w:t>
            </w:r>
            <w:r>
              <w:t xml:space="preserve"> and for endorsement by them</w:t>
            </w:r>
            <w:r w:rsidRPr="00833A29">
              <w:t>.</w:t>
            </w:r>
            <w:r>
              <w:t xml:space="preserve"> The strategy should identify priority areas for whole</w:t>
            </w:r>
            <w:r>
              <w:noBreakHyphen/>
              <w:t>of</w:t>
            </w:r>
            <w:r>
              <w:noBreakHyphen/>
              <w:t xml:space="preserve">government action to be considered by all governments for inclusion in the work program of the </w:t>
            </w:r>
            <w:r w:rsidR="00B63CDC">
              <w:t>recommended</w:t>
            </w:r>
            <w:r>
              <w:t xml:space="preserve"> interjurisdictional Special Purpose Mental Health Council (action 22.3).</w:t>
            </w:r>
          </w:p>
          <w:p w14:paraId="7AA9363A" w14:textId="63EAA8F6" w:rsidR="004E5EFB" w:rsidRDefault="004E5EFB" w:rsidP="00D92450">
            <w:pPr>
              <w:pStyle w:val="Rec"/>
            </w:pPr>
            <w:r w:rsidRPr="004E5EFB">
              <w:t xml:space="preserve">To improve accountability for the strategy’s implementation, </w:t>
            </w:r>
            <w:r w:rsidR="008D5701">
              <w:t>the Australian, State and Territory Governments</w:t>
            </w:r>
            <w:r w:rsidR="008D5701" w:rsidRPr="00833A29">
              <w:t xml:space="preserve"> should:</w:t>
            </w:r>
          </w:p>
          <w:p w14:paraId="4892526B" w14:textId="77777777" w:rsidR="00D41518" w:rsidRPr="00D41518" w:rsidRDefault="00E27249" w:rsidP="00910978">
            <w:pPr>
              <w:pStyle w:val="RecBullet"/>
            </w:pPr>
            <w:r>
              <w:t xml:space="preserve">request </w:t>
            </w:r>
            <w:r w:rsidR="004E5EFB">
              <w:t>t</w:t>
            </w:r>
            <w:r w:rsidR="00D41518" w:rsidRPr="00D41518">
              <w:t xml:space="preserve">he National Mental Health Commission </w:t>
            </w:r>
            <w:r w:rsidR="004E5EFB">
              <w:t>to undertake annual</w:t>
            </w:r>
            <w:r w:rsidR="00D41518" w:rsidRPr="00D41518">
              <w:t xml:space="preserve"> monitoring and reporting on the strategy’s implementation</w:t>
            </w:r>
          </w:p>
          <w:p w14:paraId="3070BCBF" w14:textId="6E2A8662" w:rsidR="00D41518" w:rsidRPr="00D41518" w:rsidRDefault="00D41518" w:rsidP="00EB6833">
            <w:pPr>
              <w:pStyle w:val="RecBullet"/>
            </w:pPr>
            <w:r w:rsidRPr="00D41518">
              <w:t>ensure that progress in implementing the strategy is independently</w:t>
            </w:r>
            <w:r w:rsidR="00D36299">
              <w:t xml:space="preserve"> and transparently</w:t>
            </w:r>
            <w:r w:rsidRPr="00D41518">
              <w:t xml:space="preserve"> reviewed and improvements recommended every five years.</w:t>
            </w:r>
          </w:p>
        </w:tc>
      </w:tr>
      <w:tr w:rsidR="00D41518" w:rsidRPr="00D41518" w14:paraId="731BD69E"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26750A60" w14:textId="77777777" w:rsidR="00D41518" w:rsidRPr="00D41518" w:rsidRDefault="00D41518" w:rsidP="00D41518">
            <w:pPr>
              <w:keepNext/>
              <w:keepLines/>
              <w:spacing w:line="120" w:lineRule="exact"/>
              <w:jc w:val="both"/>
              <w:rPr>
                <w:rFonts w:ascii="Arial" w:hAnsi="Arial"/>
                <w:sz w:val="20"/>
                <w:szCs w:val="20"/>
              </w:rPr>
            </w:pPr>
          </w:p>
        </w:tc>
      </w:tr>
      <w:tr w:rsidR="00D41518" w:rsidRPr="00D41518" w14:paraId="01F7D985" w14:textId="77777777" w:rsidTr="00462628">
        <w:tc>
          <w:tcPr>
            <w:tcW w:w="5000" w:type="pct"/>
            <w:tcBorders>
              <w:top w:val="single" w:sz="6" w:space="0" w:color="78A22F"/>
              <w:left w:val="nil"/>
              <w:bottom w:val="nil"/>
              <w:right w:val="nil"/>
            </w:tcBorders>
            <w:tcMar>
              <w:left w:w="170" w:type="dxa"/>
              <w:right w:w="170" w:type="dxa"/>
            </w:tcMar>
          </w:tcPr>
          <w:p w14:paraId="0E05721F" w14:textId="77777777" w:rsidR="00D41518" w:rsidRPr="00D41518" w:rsidRDefault="00D41518" w:rsidP="00D41518">
            <w:pPr>
              <w:keepLines/>
              <w:spacing w:before="60" w:after="60" w:line="80" w:lineRule="exact"/>
              <w:jc w:val="both"/>
              <w:rPr>
                <w:rFonts w:ascii="Arial" w:hAnsi="Arial"/>
                <w:sz w:val="14"/>
                <w:szCs w:val="20"/>
              </w:rPr>
            </w:pPr>
          </w:p>
        </w:tc>
      </w:tr>
    </w:tbl>
    <w:p w14:paraId="1C607705" w14:textId="77777777" w:rsidR="00EB6833" w:rsidRPr="00EB6833" w:rsidRDefault="00EB6833" w:rsidP="00A10D4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EB6833" w:rsidRPr="00CE7986" w14:paraId="388E05F0" w14:textId="77777777" w:rsidTr="00BB4FEA">
        <w:trPr>
          <w:tblHeader/>
        </w:trPr>
        <w:tc>
          <w:tcPr>
            <w:tcW w:w="5000" w:type="pct"/>
            <w:tcBorders>
              <w:top w:val="single" w:sz="6" w:space="0" w:color="78A22F"/>
              <w:left w:val="nil"/>
              <w:bottom w:val="nil"/>
              <w:right w:val="nil"/>
            </w:tcBorders>
            <w:shd w:val="clear" w:color="auto" w:fill="auto"/>
            <w:tcMar>
              <w:left w:w="170" w:type="dxa"/>
              <w:right w:w="170" w:type="dxa"/>
            </w:tcMar>
          </w:tcPr>
          <w:p w14:paraId="3BC2BB08" w14:textId="2D023F82" w:rsidR="00EB6833" w:rsidRPr="00CE7986" w:rsidRDefault="00EB6833" w:rsidP="00B63CDC">
            <w:pPr>
              <w:pStyle w:val="RecTitle"/>
              <w:spacing w:before="120"/>
              <w:ind w:left="1361" w:hanging="1361"/>
              <w:rPr>
                <w:b/>
                <w:color w:val="3B5117"/>
              </w:rPr>
            </w:pPr>
            <w:r w:rsidRPr="00CE7986">
              <w:rPr>
                <w:b/>
                <w:color w:val="3B5117"/>
              </w:rPr>
              <w:t xml:space="preserve">action </w:t>
            </w:r>
            <w:r w:rsidR="00B63CDC" w:rsidRPr="00CE7986">
              <w:rPr>
                <w:b/>
                <w:color w:val="3B5117"/>
              </w:rPr>
              <w:t>22.</w:t>
            </w:r>
            <w:r w:rsidR="0033747F" w:rsidRPr="00CE7986">
              <w:rPr>
                <w:b/>
                <w:color w:val="3B5117"/>
              </w:rPr>
              <w:t>2</w:t>
            </w:r>
            <w:r w:rsidR="00CE7986">
              <w:rPr>
                <w:b/>
                <w:color w:val="3B5117"/>
              </w:rPr>
              <w:t> — </w:t>
            </w:r>
            <w:r w:rsidRPr="00CE7986">
              <w:rPr>
                <w:b/>
                <w:color w:val="3B5117"/>
              </w:rPr>
              <w:t>Improving planning and service delivery with Aboriginal and Torres Strait Islander people</w:t>
            </w:r>
          </w:p>
        </w:tc>
      </w:tr>
      <w:tr w:rsidR="00EB6833" w:rsidRPr="00EB6833" w14:paraId="315B18D1" w14:textId="77777777" w:rsidTr="00EB6833">
        <w:tc>
          <w:tcPr>
            <w:tcW w:w="5000" w:type="pct"/>
            <w:tcBorders>
              <w:top w:val="nil"/>
              <w:left w:val="nil"/>
              <w:bottom w:val="nil"/>
              <w:right w:val="nil"/>
            </w:tcBorders>
            <w:shd w:val="clear" w:color="auto" w:fill="F2F2F2"/>
            <w:tcMar>
              <w:left w:w="170" w:type="dxa"/>
              <w:right w:w="170" w:type="dxa"/>
            </w:tcMar>
          </w:tcPr>
          <w:p w14:paraId="4F0D3C61" w14:textId="0D41F2F9" w:rsidR="00BE5765" w:rsidRDefault="00BE5765" w:rsidP="00A10D4D">
            <w:pPr>
              <w:pStyle w:val="Rec"/>
            </w:pPr>
            <w:r>
              <w:t xml:space="preserve">The </w:t>
            </w:r>
            <w:r w:rsidRPr="00A10D4D">
              <w:rPr>
                <w:i/>
              </w:rPr>
              <w:t>National Strategic Framework for Aboriginal and Torres Strait Islander Peoples’ Mental Health and Social and Emotional Wellbeing 2017–2023</w:t>
            </w:r>
            <w:r w:rsidRPr="00EB6833">
              <w:t xml:space="preserve"> </w:t>
            </w:r>
            <w:r>
              <w:t>has not been fully implemented</w:t>
            </w:r>
            <w:r w:rsidR="00B63CDC">
              <w:t>,</w:t>
            </w:r>
            <w:r>
              <w:t xml:space="preserve"> to the detriment of the mental health of Aboriginal and Torres Strait Islander people.</w:t>
            </w:r>
          </w:p>
          <w:p w14:paraId="09CBCCDD" w14:textId="477658E9" w:rsidR="00BE5765" w:rsidRDefault="00BE5765" w:rsidP="00A10D4D">
            <w:pPr>
              <w:pStyle w:val="Rec"/>
              <w:rPr>
                <w:i/>
                <w:iCs/>
              </w:rPr>
            </w:pPr>
            <w:r>
              <w:rPr>
                <w:i/>
                <w:iCs/>
              </w:rPr>
              <w:t>Star</w:t>
            </w:r>
            <w:r w:rsidR="008D5701">
              <w:rPr>
                <w:i/>
                <w:iCs/>
              </w:rPr>
              <w:t>t</w:t>
            </w:r>
            <w:r>
              <w:rPr>
                <w:i/>
                <w:iCs/>
              </w:rPr>
              <w:t xml:space="preserve"> now</w:t>
            </w:r>
          </w:p>
          <w:p w14:paraId="557734EA" w14:textId="77777777" w:rsidR="0033747F" w:rsidRDefault="00EB6833" w:rsidP="00A10D4D">
            <w:pPr>
              <w:pStyle w:val="Rec"/>
            </w:pPr>
            <w:r w:rsidRPr="00EB6833">
              <w:t>The Australian Government should</w:t>
            </w:r>
            <w:r w:rsidR="0033747F">
              <w:t>:</w:t>
            </w:r>
          </w:p>
          <w:p w14:paraId="3B868E79" w14:textId="0F67E9D6" w:rsidR="00EB6833" w:rsidRPr="00EB6833" w:rsidRDefault="00EB6833" w:rsidP="0033747F">
            <w:pPr>
              <w:pStyle w:val="RecBullet"/>
            </w:pPr>
            <w:r w:rsidRPr="00EB6833">
              <w:t xml:space="preserve">expedite the development of an implementation plan for the </w:t>
            </w:r>
            <w:r w:rsidRPr="00A10D4D">
              <w:rPr>
                <w:i/>
              </w:rPr>
              <w:t>National Strategic Framework for Aboriginal and Torres Strait Islander Peoples’ Mental Health and Social and Emotional Wellbeing 2017–2023</w:t>
            </w:r>
          </w:p>
          <w:p w14:paraId="341479F8" w14:textId="412DFA3D" w:rsidR="00EB6833" w:rsidRPr="00A10D4D" w:rsidRDefault="00EB6833" w:rsidP="00E06F1D">
            <w:pPr>
              <w:pStyle w:val="RecBullet"/>
            </w:pPr>
            <w:r w:rsidRPr="00A10D4D">
              <w:t xml:space="preserve">entrust development to </w:t>
            </w:r>
            <w:proofErr w:type="spellStart"/>
            <w:r w:rsidRPr="00A10D4D">
              <w:t>Gayaa</w:t>
            </w:r>
            <w:proofErr w:type="spellEnd"/>
            <w:r w:rsidRPr="00A10D4D">
              <w:t xml:space="preserve"> </w:t>
            </w:r>
            <w:proofErr w:type="spellStart"/>
            <w:r w:rsidRPr="00A10D4D">
              <w:t>Dhuwi</w:t>
            </w:r>
            <w:proofErr w:type="spellEnd"/>
            <w:r w:rsidRPr="00A10D4D">
              <w:t xml:space="preserve"> (Proud Spirit) Australia, working with the Aboriginal and Torres Strait Islander Mental Health and Suicide Prevention Advisory Group</w:t>
            </w:r>
          </w:p>
          <w:p w14:paraId="1097F9E9" w14:textId="3D629D83" w:rsidR="00EB6833" w:rsidRPr="00A10D4D" w:rsidRDefault="0033747F" w:rsidP="0033747F">
            <w:pPr>
              <w:pStyle w:val="RecBullet"/>
            </w:pPr>
            <w:r>
              <w:t>ensure</w:t>
            </w:r>
            <w:r w:rsidR="00EB6833" w:rsidRPr="00A10D4D">
              <w:t xml:space="preserve"> that development and operationali</w:t>
            </w:r>
            <w:r>
              <w:t>s</w:t>
            </w:r>
            <w:r w:rsidR="00EB6833" w:rsidRPr="00A10D4D">
              <w:t>ation of the implementation plan is well resourced.</w:t>
            </w:r>
          </w:p>
        </w:tc>
      </w:tr>
      <w:tr w:rsidR="00EB6833" w:rsidRPr="00EB6833" w14:paraId="6F7CE2E7"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0ED3D41C" w14:textId="77777777" w:rsidR="00EB6833" w:rsidRPr="00EB6833" w:rsidRDefault="00EB6833" w:rsidP="006E50CC">
            <w:pPr>
              <w:keepNext/>
              <w:keepLines/>
              <w:spacing w:line="120" w:lineRule="exact"/>
              <w:jc w:val="both"/>
              <w:rPr>
                <w:rFonts w:ascii="Arial" w:hAnsi="Arial"/>
                <w:sz w:val="20"/>
                <w:szCs w:val="20"/>
              </w:rPr>
            </w:pPr>
          </w:p>
        </w:tc>
      </w:tr>
      <w:tr w:rsidR="00EB6833" w:rsidRPr="00EB6833" w14:paraId="6380540C" w14:textId="77777777" w:rsidTr="00BB4FEA">
        <w:tc>
          <w:tcPr>
            <w:tcW w:w="5000" w:type="pct"/>
            <w:tcBorders>
              <w:top w:val="single" w:sz="6" w:space="0" w:color="78A22F"/>
              <w:left w:val="nil"/>
              <w:bottom w:val="nil"/>
              <w:right w:val="nil"/>
            </w:tcBorders>
            <w:tcMar>
              <w:left w:w="170" w:type="dxa"/>
              <w:right w:w="170" w:type="dxa"/>
            </w:tcMar>
          </w:tcPr>
          <w:p w14:paraId="2519A29E" w14:textId="77777777" w:rsidR="00EB6833" w:rsidRPr="00EB6833" w:rsidRDefault="00EB6833" w:rsidP="00EB6833">
            <w:pPr>
              <w:keepLines/>
              <w:spacing w:before="60" w:after="60" w:line="80" w:lineRule="exact"/>
              <w:jc w:val="both"/>
              <w:rPr>
                <w:rFonts w:ascii="Arial" w:hAnsi="Arial"/>
                <w:sz w:val="14"/>
                <w:szCs w:val="20"/>
              </w:rPr>
            </w:pPr>
          </w:p>
        </w:tc>
      </w:tr>
    </w:tbl>
    <w:p w14:paraId="2A852203" w14:textId="77777777" w:rsidR="007D4186" w:rsidRPr="00D41518" w:rsidRDefault="007D4186" w:rsidP="00A10D4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7D4186" w:rsidRPr="005E64FD" w14:paraId="72CF2B8D" w14:textId="77777777" w:rsidTr="00BF7941">
        <w:trPr>
          <w:tblHeader/>
        </w:trPr>
        <w:tc>
          <w:tcPr>
            <w:tcW w:w="5000" w:type="pct"/>
            <w:tcBorders>
              <w:top w:val="single" w:sz="6" w:space="0" w:color="78A22F"/>
              <w:left w:val="nil"/>
              <w:bottom w:val="nil"/>
              <w:right w:val="nil"/>
            </w:tcBorders>
            <w:shd w:val="clear" w:color="auto" w:fill="auto"/>
            <w:tcMar>
              <w:left w:w="170" w:type="dxa"/>
              <w:right w:w="170" w:type="dxa"/>
            </w:tcMar>
          </w:tcPr>
          <w:p w14:paraId="5076A61B" w14:textId="3FDB7691" w:rsidR="007D4186" w:rsidRPr="005E64FD" w:rsidRDefault="003E6E5A" w:rsidP="005E64FD">
            <w:pPr>
              <w:pStyle w:val="RecTitle"/>
              <w:spacing w:before="120"/>
              <w:rPr>
                <w:b/>
                <w:color w:val="3B5117"/>
              </w:rPr>
            </w:pPr>
            <w:r w:rsidRPr="005E64FD">
              <w:rPr>
                <w:b/>
                <w:color w:val="3B5117"/>
              </w:rPr>
              <w:t xml:space="preserve">action </w:t>
            </w:r>
            <w:r w:rsidR="007D4186" w:rsidRPr="005E64FD">
              <w:rPr>
                <w:b/>
                <w:color w:val="3B5117"/>
              </w:rPr>
              <w:t>22.</w:t>
            </w:r>
            <w:r w:rsidRPr="005E64FD">
              <w:rPr>
                <w:b/>
                <w:color w:val="3B5117"/>
              </w:rPr>
              <w:t>3</w:t>
            </w:r>
            <w:r w:rsidR="00CE7986">
              <w:rPr>
                <w:b/>
                <w:color w:val="3B5117"/>
              </w:rPr>
              <w:t> — </w:t>
            </w:r>
            <w:r w:rsidR="007D4186" w:rsidRPr="005E64FD">
              <w:rPr>
                <w:b/>
                <w:color w:val="3B5117"/>
              </w:rPr>
              <w:t>facilitating a cross-portfolio approach</w:t>
            </w:r>
          </w:p>
        </w:tc>
      </w:tr>
      <w:tr w:rsidR="007D4186" w:rsidRPr="00D41518" w14:paraId="339CDE1E" w14:textId="77777777" w:rsidTr="00BF7941">
        <w:tc>
          <w:tcPr>
            <w:tcW w:w="5000" w:type="pct"/>
            <w:tcBorders>
              <w:top w:val="nil"/>
              <w:left w:val="nil"/>
              <w:bottom w:val="nil"/>
              <w:right w:val="nil"/>
            </w:tcBorders>
            <w:shd w:val="clear" w:color="auto" w:fill="F2F2F2"/>
            <w:tcMar>
              <w:left w:w="170" w:type="dxa"/>
              <w:right w:w="170" w:type="dxa"/>
            </w:tcMar>
          </w:tcPr>
          <w:p w14:paraId="10C6C6F2" w14:textId="0658FB79" w:rsidR="007D4186" w:rsidRPr="00D41518" w:rsidRDefault="007D4186" w:rsidP="00E06F1D">
            <w:pPr>
              <w:pStyle w:val="Rec"/>
            </w:pPr>
            <w:r w:rsidRPr="007D4186">
              <w:t xml:space="preserve">All </w:t>
            </w:r>
            <w:r w:rsidR="0033747F">
              <w:t>G</w:t>
            </w:r>
            <w:r w:rsidRPr="007D4186">
              <w:t>overnments should commit to a nationally consistent whole-of-government approach to prevention</w:t>
            </w:r>
            <w:r w:rsidR="00186C9D">
              <w:t>,</w:t>
            </w:r>
            <w:r w:rsidRPr="007D4186">
              <w:t xml:space="preserve"> early intervention</w:t>
            </w:r>
            <w:r w:rsidR="00186C9D">
              <w:t xml:space="preserve"> and recovery</w:t>
            </w:r>
            <w:r w:rsidRPr="007D4186">
              <w:t xml:space="preserve"> in mental health.</w:t>
            </w:r>
            <w:r w:rsidRPr="00D41518">
              <w:t xml:space="preserve"> </w:t>
            </w:r>
          </w:p>
          <w:p w14:paraId="34CAFC2B" w14:textId="6180CD64" w:rsidR="007D4186" w:rsidRPr="00E06F1D" w:rsidRDefault="00BE5765" w:rsidP="00E06F1D">
            <w:pPr>
              <w:pStyle w:val="Rec"/>
              <w:rPr>
                <w:i/>
              </w:rPr>
            </w:pPr>
            <w:r w:rsidRPr="00E06F1D">
              <w:rPr>
                <w:i/>
              </w:rPr>
              <w:t>Start later</w:t>
            </w:r>
          </w:p>
          <w:p w14:paraId="6A38D7AF" w14:textId="2D967A92" w:rsidR="006507A7" w:rsidRPr="004A5E87" w:rsidRDefault="0086741F" w:rsidP="006507A7">
            <w:pPr>
              <w:pStyle w:val="Rec"/>
            </w:pPr>
            <w:r>
              <w:t>The Australian, State and Territory Governments</w:t>
            </w:r>
            <w:r w:rsidRPr="004A5E87">
              <w:t xml:space="preserve"> </w:t>
            </w:r>
            <w:r w:rsidR="0033747F">
              <w:t xml:space="preserve">should </w:t>
            </w:r>
            <w:r w:rsidR="006507A7" w:rsidRPr="004A5E87">
              <w:t>establish a Special Purpose Mental Health Council (SPMHC) to facilitate a whole-of-government approach to prevention</w:t>
            </w:r>
            <w:r w:rsidR="00186C9D">
              <w:t>,</w:t>
            </w:r>
            <w:r w:rsidR="006507A7" w:rsidRPr="004A5E87">
              <w:t xml:space="preserve"> early intervention</w:t>
            </w:r>
            <w:r w:rsidR="00186C9D">
              <w:t xml:space="preserve"> and recovery</w:t>
            </w:r>
            <w:r w:rsidR="006507A7" w:rsidRPr="004A5E87">
              <w:t xml:space="preserve"> in mental health.</w:t>
            </w:r>
          </w:p>
          <w:p w14:paraId="21B73B27" w14:textId="69D350A3" w:rsidR="006507A7" w:rsidRPr="004A5E87" w:rsidRDefault="006507A7" w:rsidP="006507A7">
            <w:pPr>
              <w:pStyle w:val="RecBullet"/>
            </w:pPr>
            <w:r w:rsidRPr="004A5E87">
              <w:t>Membership of the SPMHC should comprise Australian</w:t>
            </w:r>
            <w:r w:rsidR="00E95508">
              <w:t xml:space="preserve"> and</w:t>
            </w:r>
            <w:r w:rsidRPr="004A5E87">
              <w:t xml:space="preserve"> State and </w:t>
            </w:r>
            <w:r>
              <w:t xml:space="preserve">Territory </w:t>
            </w:r>
            <w:r w:rsidR="00E95508">
              <w:t xml:space="preserve">Government </w:t>
            </w:r>
            <w:r>
              <w:t xml:space="preserve">health/mental health </w:t>
            </w:r>
            <w:r w:rsidR="00B63CDC">
              <w:t>m</w:t>
            </w:r>
            <w:r w:rsidRPr="004A5E87">
              <w:t xml:space="preserve">inisters (permanent members) plus </w:t>
            </w:r>
            <w:r w:rsidR="00B63CDC">
              <w:t>m</w:t>
            </w:r>
            <w:r w:rsidRPr="004A5E87">
              <w:t>inisters of selected social policy portfolios on 18-month rotations (partnering members).</w:t>
            </w:r>
          </w:p>
          <w:p w14:paraId="224FBE36" w14:textId="283BBE5F" w:rsidR="0086741F" w:rsidRPr="004A5E87" w:rsidRDefault="0086741F" w:rsidP="00E06F1D">
            <w:pPr>
              <w:pStyle w:val="RecBullet"/>
            </w:pPr>
            <w:r>
              <w:t>T</w:t>
            </w:r>
            <w:r w:rsidRPr="00224934">
              <w:t xml:space="preserve">he SPMHC </w:t>
            </w:r>
            <w:r>
              <w:t>should</w:t>
            </w:r>
            <w:r w:rsidRPr="00224934">
              <w:t xml:space="preserve"> develop and implement a series of national</w:t>
            </w:r>
            <w:r>
              <w:t xml:space="preserve"> </w:t>
            </w:r>
            <w:r w:rsidRPr="00224934">
              <w:t>5</w:t>
            </w:r>
            <w:r>
              <w:noBreakHyphen/>
            </w:r>
            <w:r w:rsidRPr="00224934">
              <w:t xml:space="preserve">year </w:t>
            </w:r>
            <w:r>
              <w:t>cross</w:t>
            </w:r>
            <w:r>
              <w:noBreakHyphen/>
              <w:t xml:space="preserve">portfolio </w:t>
            </w:r>
            <w:r w:rsidRPr="00224934">
              <w:t>action plans that serve to promote prevention, early intervention and recovery in mental health.</w:t>
            </w:r>
          </w:p>
          <w:p w14:paraId="050F3625" w14:textId="241F0934" w:rsidR="006507A7" w:rsidRPr="00F63CE9" w:rsidRDefault="006507A7" w:rsidP="00E06F1D">
            <w:pPr>
              <w:pStyle w:val="RecBullet"/>
            </w:pPr>
            <w:r w:rsidRPr="004A5E87">
              <w:t xml:space="preserve"> Each partnering portfolio should adequately resource </w:t>
            </w:r>
            <w:r w:rsidR="002B20DA">
              <w:t>its contribution to the SPMHC</w:t>
            </w:r>
            <w:r w:rsidRPr="004A5E87">
              <w:t>.</w:t>
            </w:r>
          </w:p>
        </w:tc>
      </w:tr>
      <w:tr w:rsidR="007D4186" w:rsidRPr="00D41518" w14:paraId="79D31EA2"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2401F2FA" w14:textId="77777777" w:rsidR="007D4186" w:rsidRPr="00D41518" w:rsidRDefault="007D4186" w:rsidP="00BF7941">
            <w:pPr>
              <w:keepNext/>
              <w:keepLines/>
              <w:spacing w:line="120" w:lineRule="exact"/>
              <w:jc w:val="both"/>
              <w:rPr>
                <w:rFonts w:ascii="Arial" w:hAnsi="Arial"/>
                <w:sz w:val="20"/>
                <w:szCs w:val="20"/>
              </w:rPr>
            </w:pPr>
          </w:p>
        </w:tc>
      </w:tr>
      <w:tr w:rsidR="007D4186" w:rsidRPr="00D41518" w14:paraId="6534AD75" w14:textId="77777777" w:rsidTr="00BF7941">
        <w:tc>
          <w:tcPr>
            <w:tcW w:w="5000" w:type="pct"/>
            <w:tcBorders>
              <w:top w:val="single" w:sz="6" w:space="0" w:color="78A22F"/>
              <w:left w:val="nil"/>
              <w:bottom w:val="nil"/>
              <w:right w:val="nil"/>
            </w:tcBorders>
            <w:tcMar>
              <w:left w:w="170" w:type="dxa"/>
              <w:right w:w="170" w:type="dxa"/>
            </w:tcMar>
          </w:tcPr>
          <w:p w14:paraId="334B276F" w14:textId="77777777" w:rsidR="007D4186" w:rsidRPr="00D41518" w:rsidRDefault="007D4186" w:rsidP="00AA695D">
            <w:pPr>
              <w:spacing w:before="60" w:after="60" w:line="80" w:lineRule="exact"/>
              <w:jc w:val="both"/>
              <w:rPr>
                <w:rFonts w:ascii="Arial" w:hAnsi="Arial"/>
                <w:sz w:val="14"/>
                <w:szCs w:val="20"/>
              </w:rPr>
            </w:pPr>
          </w:p>
        </w:tc>
      </w:tr>
    </w:tbl>
    <w:p w14:paraId="65068DAA" w14:textId="77777777" w:rsidR="00D41518" w:rsidRPr="00D41518" w:rsidRDefault="00D41518" w:rsidP="00AA695D">
      <w:pPr>
        <w:keepNext/>
        <w:keepLines/>
        <w:spacing w:before="360" w:line="80" w:lineRule="exact"/>
        <w:rPr>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D41518" w:rsidRPr="005E64FD" w14:paraId="069958FD" w14:textId="77777777" w:rsidTr="00462628">
        <w:trPr>
          <w:tblHeader/>
        </w:trPr>
        <w:tc>
          <w:tcPr>
            <w:tcW w:w="5000" w:type="pct"/>
            <w:tcBorders>
              <w:top w:val="single" w:sz="6" w:space="0" w:color="78A22F"/>
              <w:left w:val="nil"/>
              <w:bottom w:val="nil"/>
              <w:right w:val="nil"/>
            </w:tcBorders>
            <w:shd w:val="clear" w:color="auto" w:fill="auto"/>
            <w:tcMar>
              <w:left w:w="170" w:type="dxa"/>
              <w:right w:w="170" w:type="dxa"/>
            </w:tcMar>
          </w:tcPr>
          <w:p w14:paraId="4775A074" w14:textId="4D0A58A2" w:rsidR="00D41518" w:rsidRPr="005E64FD" w:rsidRDefault="003E6E5A" w:rsidP="00AA695D">
            <w:pPr>
              <w:pStyle w:val="RecTitle"/>
              <w:spacing w:before="120"/>
              <w:rPr>
                <w:b/>
                <w:color w:val="3B5117"/>
              </w:rPr>
            </w:pPr>
            <w:r w:rsidRPr="005E64FD">
              <w:rPr>
                <w:b/>
                <w:color w:val="3B5117"/>
              </w:rPr>
              <w:t xml:space="preserve">action </w:t>
            </w:r>
            <w:r w:rsidR="00D41518" w:rsidRPr="005E64FD">
              <w:rPr>
                <w:b/>
                <w:color w:val="3B5117"/>
              </w:rPr>
              <w:t>22.</w:t>
            </w:r>
            <w:r w:rsidR="00470692" w:rsidRPr="005E64FD">
              <w:rPr>
                <w:b/>
                <w:color w:val="3B5117"/>
              </w:rPr>
              <w:t>4</w:t>
            </w:r>
            <w:r w:rsidR="00CE7986">
              <w:rPr>
                <w:b/>
                <w:color w:val="3B5117"/>
              </w:rPr>
              <w:t> — </w:t>
            </w:r>
            <w:r w:rsidR="00D41518" w:rsidRPr="00A312D0">
              <w:rPr>
                <w:b/>
                <w:color w:val="3B5117"/>
              </w:rPr>
              <w:t>enhan</w:t>
            </w:r>
            <w:r w:rsidR="00D41518" w:rsidRPr="005E64FD">
              <w:rPr>
                <w:b/>
                <w:color w:val="3B5117"/>
              </w:rPr>
              <w:t>cing consumer and carer participation</w:t>
            </w:r>
          </w:p>
        </w:tc>
      </w:tr>
      <w:tr w:rsidR="00D41518" w:rsidRPr="00D41518" w14:paraId="2DF42913" w14:textId="77777777" w:rsidTr="00462628">
        <w:tc>
          <w:tcPr>
            <w:tcW w:w="5000" w:type="pct"/>
            <w:tcBorders>
              <w:top w:val="nil"/>
              <w:left w:val="nil"/>
              <w:bottom w:val="nil"/>
              <w:right w:val="nil"/>
            </w:tcBorders>
            <w:shd w:val="clear" w:color="auto" w:fill="F2F2F2"/>
            <w:tcMar>
              <w:left w:w="170" w:type="dxa"/>
              <w:right w:w="170" w:type="dxa"/>
            </w:tcMar>
          </w:tcPr>
          <w:p w14:paraId="43F78307" w14:textId="77777777" w:rsidR="00D41518" w:rsidRPr="00D41518" w:rsidRDefault="00D41518" w:rsidP="00AA695D">
            <w:pPr>
              <w:pStyle w:val="Rec"/>
              <w:keepNext/>
            </w:pPr>
            <w:r w:rsidRPr="00D41518">
              <w:t xml:space="preserve">Consumers and carers should </w:t>
            </w:r>
            <w:r w:rsidRPr="00D41518" w:rsidDel="00F872CA">
              <w:t>have the opportunity</w:t>
            </w:r>
            <w:r w:rsidRPr="00D41518">
              <w:t xml:space="preserve"> to participate in the design of policies and programs that affect their lives. </w:t>
            </w:r>
          </w:p>
          <w:p w14:paraId="096A8853" w14:textId="77777777" w:rsidR="00D41518" w:rsidRPr="00D41518" w:rsidRDefault="002246D6" w:rsidP="00AA695D">
            <w:pPr>
              <w:pStyle w:val="Rec"/>
              <w:keepNext/>
            </w:pPr>
            <w:r w:rsidRPr="002246D6">
              <w:rPr>
                <w:i/>
              </w:rPr>
              <w:t>Start now</w:t>
            </w:r>
          </w:p>
          <w:p w14:paraId="56FC9764" w14:textId="07C1107B" w:rsidR="00D41518" w:rsidRPr="00D41518" w:rsidRDefault="00D41518" w:rsidP="0033747F">
            <w:pPr>
              <w:pStyle w:val="RecBullet"/>
            </w:pPr>
            <w:r w:rsidRPr="00D41518">
              <w:t xml:space="preserve">The Australian, State and Territory Governments should </w:t>
            </w:r>
            <w:r w:rsidR="000374ED">
              <w:t xml:space="preserve">establish a clear, ongoing role for </w:t>
            </w:r>
            <w:r w:rsidRPr="00D41518">
              <w:t xml:space="preserve">consumers and carers </w:t>
            </w:r>
            <w:r w:rsidR="000374ED">
              <w:t>to participate in</w:t>
            </w:r>
            <w:r w:rsidR="00880015" w:rsidRPr="00D41518">
              <w:t xml:space="preserve"> </w:t>
            </w:r>
            <w:r w:rsidRPr="00D41518">
              <w:t>all aspects of mental healthcare system planning, design, monitoring and evaluation</w:t>
            </w:r>
            <w:r w:rsidR="00F63CE9">
              <w:t xml:space="preserve"> and seek </w:t>
            </w:r>
            <w:r w:rsidR="0084372E">
              <w:t xml:space="preserve">involvement from people with </w:t>
            </w:r>
            <w:r w:rsidR="00F63CE9">
              <w:t>lived experience from the beginning of these processes</w:t>
            </w:r>
            <w:r w:rsidRPr="00D41518">
              <w:t>.</w:t>
            </w:r>
          </w:p>
          <w:p w14:paraId="3348BCDB" w14:textId="11DBB7F9" w:rsidR="00F872CA" w:rsidRPr="0069474B" w:rsidRDefault="00F872CA" w:rsidP="0033747F">
            <w:pPr>
              <w:pStyle w:val="RecBullet"/>
            </w:pPr>
            <w:r w:rsidRPr="0078008E">
              <w:t xml:space="preserve">The National Mental Health Commission should report annually on the state of systemic </w:t>
            </w:r>
            <w:r w:rsidRPr="0069474B">
              <w:t xml:space="preserve">advocacy </w:t>
            </w:r>
            <w:r w:rsidR="006D6C08">
              <w:t>in</w:t>
            </w:r>
            <w:r w:rsidR="006D6C08" w:rsidRPr="0069474B">
              <w:t xml:space="preserve"> </w:t>
            </w:r>
            <w:r w:rsidRPr="0069474B">
              <w:t xml:space="preserve">mental health in Australia </w:t>
            </w:r>
            <w:r w:rsidR="00A714E5">
              <w:t xml:space="preserve">at a State, Territory and </w:t>
            </w:r>
            <w:r w:rsidR="00AB1586">
              <w:t xml:space="preserve">national </w:t>
            </w:r>
            <w:r w:rsidR="00A714E5">
              <w:t>level</w:t>
            </w:r>
            <w:r w:rsidRPr="0069474B">
              <w:t>.</w:t>
            </w:r>
            <w:r w:rsidR="006D6C08">
              <w:t xml:space="preserve"> </w:t>
            </w:r>
          </w:p>
          <w:p w14:paraId="2CFFB12D" w14:textId="77777777" w:rsidR="0033747F" w:rsidRDefault="0033747F" w:rsidP="0033747F">
            <w:pPr>
              <w:pStyle w:val="RecBullet"/>
            </w:pPr>
            <w:r w:rsidRPr="00755B16">
              <w:t>The Australian Government should facilitate a process through Mental Health Australia to establish peak bod</w:t>
            </w:r>
            <w:r>
              <w:t>ies that are able</w:t>
            </w:r>
            <w:r w:rsidRPr="00755B16">
              <w:t xml:space="preserve"> to represent </w:t>
            </w:r>
            <w:r>
              <w:t xml:space="preserve">the separate views of </w:t>
            </w:r>
            <w:r w:rsidRPr="00755B16">
              <w:t>mental health consumers</w:t>
            </w:r>
            <w:r>
              <w:t xml:space="preserve">, and of carers and families, </w:t>
            </w:r>
            <w:r w:rsidRPr="00755B16">
              <w:t xml:space="preserve">at the national level. It should provide sufficient funding to cover </w:t>
            </w:r>
            <w:r>
              <w:t>the</w:t>
            </w:r>
            <w:r w:rsidRPr="00755B16">
              <w:t xml:space="preserve"> development, establishment and ongoing functions</w:t>
            </w:r>
            <w:r>
              <w:t xml:space="preserve"> of these peak bodies</w:t>
            </w:r>
            <w:r w:rsidRPr="00755B16">
              <w:t xml:space="preserve">. </w:t>
            </w:r>
          </w:p>
          <w:p w14:paraId="683CD573" w14:textId="55E0B48C" w:rsidR="0033747F" w:rsidRPr="00A375D8" w:rsidRDefault="0033747F" w:rsidP="0033747F">
            <w:pPr>
              <w:pStyle w:val="Rec"/>
              <w:tabs>
                <w:tab w:val="left" w:pos="2148"/>
              </w:tabs>
              <w:rPr>
                <w:i/>
              </w:rPr>
            </w:pPr>
            <w:r>
              <w:rPr>
                <w:i/>
              </w:rPr>
              <w:t>Start later</w:t>
            </w:r>
          </w:p>
          <w:p w14:paraId="00D58F46" w14:textId="77777777" w:rsidR="0033747F" w:rsidRDefault="0033747F" w:rsidP="0033747F">
            <w:pPr>
              <w:pStyle w:val="RecBullet"/>
            </w:pPr>
            <w:r>
              <w:t>Mental Health Australia should create formal mechanisms to bring the new peak bodies together regularly to progress issues of mutual interest and develop common policy positions and advice.</w:t>
            </w:r>
          </w:p>
          <w:p w14:paraId="7DB1ED93" w14:textId="1BE61286" w:rsidR="00D41518" w:rsidRPr="00F63CE9" w:rsidRDefault="0033747F" w:rsidP="0033747F">
            <w:pPr>
              <w:pStyle w:val="RecBullet"/>
              <w:rPr>
                <w:b/>
              </w:rPr>
            </w:pPr>
            <w:r>
              <w:t xml:space="preserve">The Australian, State and Territory Governments should </w:t>
            </w:r>
            <w:r w:rsidRPr="00976F7D">
              <w:t xml:space="preserve">extend the funding cycle length for </w:t>
            </w:r>
            <w:r>
              <w:t xml:space="preserve">their relevant </w:t>
            </w:r>
            <w:r w:rsidRPr="00976F7D">
              <w:t>peak</w:t>
            </w:r>
            <w:r>
              <w:t xml:space="preserve"> </w:t>
            </w:r>
            <w:r w:rsidRPr="00976F7D">
              <w:t xml:space="preserve">bodies to </w:t>
            </w:r>
            <w:r>
              <w:t>at least five years.</w:t>
            </w:r>
          </w:p>
        </w:tc>
      </w:tr>
      <w:tr w:rsidR="00D41518" w:rsidRPr="00D41518" w14:paraId="2E4E5338"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0AD87D5F" w14:textId="77777777" w:rsidR="00D41518" w:rsidRPr="00D41518" w:rsidRDefault="00D41518" w:rsidP="00AA695D">
            <w:pPr>
              <w:keepNext/>
              <w:keepLines/>
              <w:spacing w:line="120" w:lineRule="exact"/>
              <w:jc w:val="both"/>
              <w:rPr>
                <w:rFonts w:ascii="Arial" w:hAnsi="Arial"/>
                <w:sz w:val="20"/>
                <w:szCs w:val="20"/>
              </w:rPr>
            </w:pPr>
          </w:p>
        </w:tc>
      </w:tr>
      <w:tr w:rsidR="00D41518" w:rsidRPr="00D41518" w14:paraId="33A05AF0" w14:textId="77777777" w:rsidTr="00462628">
        <w:tc>
          <w:tcPr>
            <w:tcW w:w="5000" w:type="pct"/>
            <w:tcBorders>
              <w:top w:val="single" w:sz="6" w:space="0" w:color="78A22F"/>
              <w:left w:val="nil"/>
              <w:bottom w:val="nil"/>
              <w:right w:val="nil"/>
            </w:tcBorders>
            <w:tcMar>
              <w:left w:w="170" w:type="dxa"/>
              <w:right w:w="170" w:type="dxa"/>
            </w:tcMar>
          </w:tcPr>
          <w:p w14:paraId="0DDB5D8B" w14:textId="77777777" w:rsidR="00D41518" w:rsidRPr="00D41518" w:rsidRDefault="00D41518" w:rsidP="00AA695D">
            <w:pPr>
              <w:keepNext/>
              <w:keepLines/>
              <w:spacing w:before="60" w:after="60" w:line="80" w:lineRule="exact"/>
              <w:jc w:val="both"/>
              <w:rPr>
                <w:rFonts w:ascii="Arial" w:hAnsi="Arial"/>
                <w:sz w:val="14"/>
                <w:szCs w:val="20"/>
              </w:rPr>
            </w:pPr>
          </w:p>
        </w:tc>
      </w:tr>
    </w:tbl>
    <w:p w14:paraId="4BD7F8D6" w14:textId="77777777" w:rsidR="008815AE" w:rsidRPr="00EB6833" w:rsidRDefault="008815AE" w:rsidP="00E06F1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8815AE" w:rsidRPr="005E64FD" w14:paraId="2BFA7D10" w14:textId="77777777" w:rsidTr="00D24E94">
        <w:trPr>
          <w:tblHeader/>
        </w:trPr>
        <w:tc>
          <w:tcPr>
            <w:tcW w:w="5000" w:type="pct"/>
            <w:tcBorders>
              <w:top w:val="single" w:sz="6" w:space="0" w:color="78A22F"/>
              <w:left w:val="nil"/>
              <w:bottom w:val="nil"/>
              <w:right w:val="nil"/>
            </w:tcBorders>
            <w:shd w:val="clear" w:color="auto" w:fill="auto"/>
            <w:tcMar>
              <w:left w:w="170" w:type="dxa"/>
              <w:right w:w="170" w:type="dxa"/>
            </w:tcMar>
          </w:tcPr>
          <w:p w14:paraId="3772036F" w14:textId="41A9396A" w:rsidR="008815AE" w:rsidRPr="005E64FD" w:rsidRDefault="008815AE" w:rsidP="005E64FD">
            <w:pPr>
              <w:pStyle w:val="RecTitle"/>
              <w:spacing w:before="120"/>
              <w:rPr>
                <w:b/>
                <w:color w:val="3B5117"/>
              </w:rPr>
            </w:pPr>
            <w:r w:rsidRPr="005E64FD">
              <w:rPr>
                <w:b/>
                <w:color w:val="3B5117"/>
              </w:rPr>
              <w:t>action 22.5</w:t>
            </w:r>
            <w:r w:rsidR="00CE7986">
              <w:rPr>
                <w:b/>
                <w:color w:val="3B5117"/>
              </w:rPr>
              <w:t> — </w:t>
            </w:r>
            <w:r w:rsidRPr="005E64FD">
              <w:rPr>
                <w:b/>
                <w:color w:val="3B5117"/>
              </w:rPr>
              <w:t>SIMPLIFYING COMPLAINTS PROCESSES</w:t>
            </w:r>
          </w:p>
        </w:tc>
      </w:tr>
      <w:tr w:rsidR="008815AE" w:rsidRPr="00EB6833" w14:paraId="20042C23" w14:textId="77777777" w:rsidTr="00D24E94">
        <w:tc>
          <w:tcPr>
            <w:tcW w:w="5000" w:type="pct"/>
            <w:tcBorders>
              <w:top w:val="nil"/>
              <w:left w:val="nil"/>
              <w:bottom w:val="nil"/>
              <w:right w:val="nil"/>
            </w:tcBorders>
            <w:shd w:val="clear" w:color="auto" w:fill="F2F2F2"/>
            <w:tcMar>
              <w:left w:w="170" w:type="dxa"/>
              <w:right w:w="170" w:type="dxa"/>
            </w:tcMar>
          </w:tcPr>
          <w:p w14:paraId="4078AA91" w14:textId="624333B3" w:rsidR="00C97966" w:rsidRDefault="00C97966" w:rsidP="00C97966">
            <w:pPr>
              <w:pStyle w:val="Rec"/>
            </w:pPr>
            <w:r w:rsidRPr="006E25E7">
              <w:t xml:space="preserve">All consumers should have access to a simpler and more transparent complaints system </w:t>
            </w:r>
            <w:r>
              <w:t>that</w:t>
            </w:r>
            <w:r w:rsidRPr="00AC31AF">
              <w:t xml:space="preserve"> is fair, effective and efficient and provides for systemic improvements to the </w:t>
            </w:r>
            <w:r w:rsidR="00B63CDC">
              <w:t>m</w:t>
            </w:r>
            <w:r w:rsidRPr="00AC31AF">
              <w:t xml:space="preserve">ental </w:t>
            </w:r>
            <w:r w:rsidR="00B63CDC">
              <w:t>h</w:t>
            </w:r>
            <w:r w:rsidRPr="00AC31AF">
              <w:t xml:space="preserve">ealth </w:t>
            </w:r>
            <w:r w:rsidR="00B63CDC">
              <w:t>s</w:t>
            </w:r>
            <w:r w:rsidRPr="00AC31AF">
              <w:t>ystem overall</w:t>
            </w:r>
            <w:r w:rsidRPr="006E25E7">
              <w:t>.</w:t>
            </w:r>
          </w:p>
          <w:p w14:paraId="70345CE2" w14:textId="3B81E11B" w:rsidR="00C97966" w:rsidRPr="00682066" w:rsidRDefault="00C97966" w:rsidP="00C97966">
            <w:pPr>
              <w:pStyle w:val="Rec"/>
              <w:keepNext/>
              <w:tabs>
                <w:tab w:val="left" w:pos="1512"/>
              </w:tabs>
              <w:rPr>
                <w:i/>
              </w:rPr>
            </w:pPr>
            <w:r>
              <w:rPr>
                <w:i/>
              </w:rPr>
              <w:t>Start now</w:t>
            </w:r>
          </w:p>
          <w:p w14:paraId="23DC2CA2" w14:textId="1D729111" w:rsidR="00C97966" w:rsidRDefault="00C97966" w:rsidP="00C97966">
            <w:pPr>
              <w:pStyle w:val="Rec"/>
            </w:pPr>
            <w:r>
              <w:t>T</w:t>
            </w:r>
            <w:r w:rsidRPr="00CF5BB5">
              <w:t xml:space="preserve">he Australian Government should request the Australian Commission on Safety and Quality in Health Care to develop better practice guidelines </w:t>
            </w:r>
            <w:r w:rsidR="0047372D" w:rsidRPr="00CF5BB5">
              <w:t>for bodies handling mental healthcare complaints</w:t>
            </w:r>
            <w:r w:rsidRPr="00CF5BB5">
              <w:t>.</w:t>
            </w:r>
          </w:p>
          <w:p w14:paraId="6BB87F9A" w14:textId="50A9174C" w:rsidR="008815AE" w:rsidRPr="00EB6833" w:rsidRDefault="00C97966" w:rsidP="00C97966">
            <w:pPr>
              <w:pStyle w:val="Rec"/>
            </w:pPr>
            <w:r w:rsidRPr="006E25E7">
              <w:t xml:space="preserve">The Australian, State and Territory Governments should instigate a national, independent review of Australia’s system for handling consumer complaints that relate to </w:t>
            </w:r>
            <w:r w:rsidRPr="0093337D">
              <w:t>the use of mental healthcare services and supports</w:t>
            </w:r>
            <w:r w:rsidRPr="006E25E7">
              <w:t>.</w:t>
            </w:r>
          </w:p>
        </w:tc>
      </w:tr>
      <w:tr w:rsidR="008815AE" w:rsidRPr="00EB6833" w14:paraId="26C619C9"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5B1DF17C" w14:textId="77777777" w:rsidR="008815AE" w:rsidRPr="00EB6833" w:rsidRDefault="008815AE" w:rsidP="006E50CC">
            <w:pPr>
              <w:keepNext/>
              <w:keepLines/>
              <w:spacing w:line="120" w:lineRule="exact"/>
              <w:jc w:val="both"/>
              <w:rPr>
                <w:rFonts w:ascii="Arial" w:hAnsi="Arial"/>
                <w:sz w:val="20"/>
                <w:szCs w:val="20"/>
              </w:rPr>
            </w:pPr>
          </w:p>
        </w:tc>
      </w:tr>
      <w:tr w:rsidR="008815AE" w:rsidRPr="00EB6833" w14:paraId="2F59F37B" w14:textId="77777777" w:rsidTr="00D24E94">
        <w:tc>
          <w:tcPr>
            <w:tcW w:w="5000" w:type="pct"/>
            <w:tcBorders>
              <w:top w:val="single" w:sz="6" w:space="0" w:color="78A22F"/>
              <w:left w:val="nil"/>
              <w:bottom w:val="nil"/>
              <w:right w:val="nil"/>
            </w:tcBorders>
            <w:tcMar>
              <w:left w:w="170" w:type="dxa"/>
              <w:right w:w="170" w:type="dxa"/>
            </w:tcMar>
          </w:tcPr>
          <w:p w14:paraId="18D7F18A" w14:textId="77777777" w:rsidR="008815AE" w:rsidRPr="00EB6833" w:rsidRDefault="008815AE" w:rsidP="00E06F1D">
            <w:pPr>
              <w:spacing w:before="60" w:after="60" w:line="80" w:lineRule="exact"/>
              <w:jc w:val="both"/>
              <w:rPr>
                <w:rFonts w:ascii="Arial" w:hAnsi="Arial"/>
                <w:sz w:val="14"/>
                <w:szCs w:val="20"/>
              </w:rPr>
            </w:pPr>
          </w:p>
        </w:tc>
      </w:tr>
    </w:tbl>
    <w:p w14:paraId="28DE7FF0" w14:textId="77777777" w:rsidR="00470692" w:rsidRPr="00EB6833" w:rsidRDefault="00470692" w:rsidP="00E06F1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470692" w:rsidRPr="005E64FD" w14:paraId="564D21D3" w14:textId="77777777" w:rsidTr="00470692">
        <w:trPr>
          <w:tblHeader/>
        </w:trPr>
        <w:tc>
          <w:tcPr>
            <w:tcW w:w="5000" w:type="pct"/>
            <w:tcBorders>
              <w:top w:val="single" w:sz="6" w:space="0" w:color="78A22F"/>
              <w:left w:val="nil"/>
              <w:bottom w:val="nil"/>
              <w:right w:val="nil"/>
            </w:tcBorders>
            <w:shd w:val="clear" w:color="auto" w:fill="auto"/>
            <w:tcMar>
              <w:left w:w="170" w:type="dxa"/>
              <w:right w:w="170" w:type="dxa"/>
            </w:tcMar>
          </w:tcPr>
          <w:p w14:paraId="7ADEF43F" w14:textId="3B6B2041" w:rsidR="00470692" w:rsidRPr="005E64FD" w:rsidRDefault="00470692" w:rsidP="005E64FD">
            <w:pPr>
              <w:pStyle w:val="RecTitle"/>
              <w:spacing w:before="120"/>
              <w:rPr>
                <w:b/>
                <w:color w:val="3B5117"/>
              </w:rPr>
            </w:pPr>
            <w:r w:rsidRPr="005E64FD">
              <w:rPr>
                <w:b/>
                <w:color w:val="3B5117"/>
              </w:rPr>
              <w:t>action 22.</w:t>
            </w:r>
            <w:r w:rsidR="008815AE" w:rsidRPr="005E64FD">
              <w:rPr>
                <w:b/>
                <w:color w:val="3B5117"/>
              </w:rPr>
              <w:t>6</w:t>
            </w:r>
            <w:r w:rsidR="00CE7986">
              <w:rPr>
                <w:b/>
                <w:color w:val="3B5117"/>
              </w:rPr>
              <w:t> — </w:t>
            </w:r>
            <w:r w:rsidRPr="005E64FD">
              <w:rPr>
                <w:b/>
                <w:color w:val="3B5117"/>
              </w:rPr>
              <w:t xml:space="preserve">STRENGTHENING MENTAL HEALTH </w:t>
            </w:r>
            <w:r w:rsidR="00921803" w:rsidRPr="005E64FD">
              <w:rPr>
                <w:b/>
                <w:color w:val="3B5117"/>
              </w:rPr>
              <w:t>capability</w:t>
            </w:r>
          </w:p>
        </w:tc>
      </w:tr>
      <w:tr w:rsidR="00470692" w:rsidRPr="00EB6833" w14:paraId="5BB08DD0" w14:textId="77777777" w:rsidTr="00470692">
        <w:tc>
          <w:tcPr>
            <w:tcW w:w="5000" w:type="pct"/>
            <w:tcBorders>
              <w:top w:val="nil"/>
              <w:left w:val="nil"/>
              <w:bottom w:val="nil"/>
              <w:right w:val="nil"/>
            </w:tcBorders>
            <w:shd w:val="clear" w:color="auto" w:fill="F2F2F2"/>
            <w:tcMar>
              <w:left w:w="170" w:type="dxa"/>
              <w:right w:w="170" w:type="dxa"/>
            </w:tcMar>
          </w:tcPr>
          <w:p w14:paraId="5D3DF941" w14:textId="0B76E477" w:rsidR="00921803" w:rsidRPr="00C97966" w:rsidRDefault="00921803" w:rsidP="00E06F1D">
            <w:pPr>
              <w:pStyle w:val="Rec"/>
              <w:keepNext/>
              <w:rPr>
                <w:iCs/>
              </w:rPr>
            </w:pPr>
            <w:r>
              <w:rPr>
                <w:iCs/>
              </w:rPr>
              <w:t>All States and Territories should have the capability to have innovative and accountable mental health services</w:t>
            </w:r>
            <w:r w:rsidR="00C97966">
              <w:rPr>
                <w:iCs/>
              </w:rPr>
              <w:t>.</w:t>
            </w:r>
          </w:p>
          <w:p w14:paraId="68178F1D" w14:textId="0BDEFD2C" w:rsidR="00123107" w:rsidRPr="00556B37" w:rsidRDefault="00921803" w:rsidP="00E06F1D">
            <w:pPr>
              <w:pStyle w:val="Rec"/>
              <w:keepNext/>
              <w:rPr>
                <w:i/>
              </w:rPr>
            </w:pPr>
            <w:r>
              <w:rPr>
                <w:i/>
              </w:rPr>
              <w:t>Start now</w:t>
            </w:r>
          </w:p>
          <w:p w14:paraId="6ADA4837" w14:textId="7209F6A4" w:rsidR="00470692" w:rsidRDefault="00921803" w:rsidP="00E06F1D">
            <w:pPr>
              <w:pStyle w:val="Rec"/>
              <w:keepNext/>
            </w:pPr>
            <w:r>
              <w:t>Where a body does</w:t>
            </w:r>
            <w:r w:rsidR="0086741F">
              <w:t xml:space="preserve"> </w:t>
            </w:r>
            <w:r>
              <w:t>n</w:t>
            </w:r>
            <w:r w:rsidR="0086741F">
              <w:t>o</w:t>
            </w:r>
            <w:r>
              <w:t xml:space="preserve">t exist, </w:t>
            </w:r>
            <w:r w:rsidR="00470692">
              <w:t>State and Territory Government</w:t>
            </w:r>
            <w:r>
              <w:t>s</w:t>
            </w:r>
            <w:r w:rsidR="00470692">
              <w:t xml:space="preserve"> should </w:t>
            </w:r>
            <w:r>
              <w:t xml:space="preserve">each </w:t>
            </w:r>
            <w:r w:rsidR="0086741F">
              <w:t xml:space="preserve">establish </w:t>
            </w:r>
            <w:r w:rsidR="00470692">
              <w:t xml:space="preserve">a </w:t>
            </w:r>
            <w:r>
              <w:t xml:space="preserve">body (such as a </w:t>
            </w:r>
            <w:r w:rsidR="00470692">
              <w:t>mental health commission</w:t>
            </w:r>
            <w:r>
              <w:t>)</w:t>
            </w:r>
            <w:r w:rsidR="00470692">
              <w:t xml:space="preserve"> that is responsible for </w:t>
            </w:r>
            <w:r w:rsidR="0047372D">
              <w:t xml:space="preserve">promoting </w:t>
            </w:r>
            <w:r w:rsidR="00470692">
              <w:t>continuous policy and program improvement</w:t>
            </w:r>
            <w:r w:rsidR="00F752C2">
              <w:t>,</w:t>
            </w:r>
            <w:r w:rsidR="00470692">
              <w:t xml:space="preserve"> and fostering genuine accountability for </w:t>
            </w:r>
            <w:r w:rsidR="00C97966">
              <w:t>their mental health reform</w:t>
            </w:r>
            <w:r w:rsidR="00470692">
              <w:t xml:space="preserve"> commitments. </w:t>
            </w:r>
            <w:r>
              <w:t xml:space="preserve">States and Territories </w:t>
            </w:r>
            <w:r w:rsidR="00470692">
              <w:t xml:space="preserve">should </w:t>
            </w:r>
            <w:r w:rsidR="00C97966">
              <w:t>adopt</w:t>
            </w:r>
            <w:r w:rsidR="00470692">
              <w:t xml:space="preserve"> the following principles to ensure that the</w:t>
            </w:r>
            <w:r>
              <w:t xml:space="preserve"> relevant bodies</w:t>
            </w:r>
            <w:r w:rsidR="00470692">
              <w:t xml:space="preserve"> operate effectively:</w:t>
            </w:r>
          </w:p>
          <w:p w14:paraId="53114969" w14:textId="77777777" w:rsidR="00470692" w:rsidRPr="00E06F1D" w:rsidRDefault="00470692" w:rsidP="00E06F1D">
            <w:pPr>
              <w:pStyle w:val="RecBullet"/>
            </w:pPr>
            <w:r w:rsidRPr="00E06F1D">
              <w:t>enduring, that is, expected to continue indefinitely</w:t>
            </w:r>
          </w:p>
          <w:p w14:paraId="593A1C7B" w14:textId="77777777" w:rsidR="00470692" w:rsidRPr="00E06F1D" w:rsidRDefault="00470692" w:rsidP="00E06F1D">
            <w:pPr>
              <w:pStyle w:val="RecBullet"/>
            </w:pPr>
            <w:r w:rsidRPr="00E06F1D">
              <w:t>appropriately resourced to match their roles and responsibilities</w:t>
            </w:r>
          </w:p>
          <w:p w14:paraId="256384A2" w14:textId="77777777" w:rsidR="00470692" w:rsidRPr="00E06F1D" w:rsidRDefault="00470692" w:rsidP="00E06F1D">
            <w:pPr>
              <w:pStyle w:val="RecBullet"/>
            </w:pPr>
            <w:r w:rsidRPr="00E06F1D">
              <w:t>independent of, but integral to, government mental health policy making</w:t>
            </w:r>
          </w:p>
          <w:p w14:paraId="75E40E8B" w14:textId="77777777" w:rsidR="00470692" w:rsidRPr="00E06F1D" w:rsidRDefault="00470692" w:rsidP="00E06F1D">
            <w:pPr>
              <w:pStyle w:val="RecBullet"/>
            </w:pPr>
            <w:r w:rsidRPr="00E06F1D">
              <w:t>authorised to take a cross</w:t>
            </w:r>
            <w:r w:rsidRPr="00E06F1D">
              <w:noBreakHyphen/>
              <w:t>sectoral view</w:t>
            </w:r>
          </w:p>
          <w:p w14:paraId="490EE694" w14:textId="2CDE045B" w:rsidR="00470692" w:rsidRPr="00EB6833" w:rsidRDefault="00470692" w:rsidP="00E06F1D">
            <w:pPr>
              <w:pStyle w:val="RecBullet"/>
            </w:pPr>
            <w:r w:rsidRPr="00E06F1D">
              <w:t>authorised to request and receive information and data from other government departments and bodies.</w:t>
            </w:r>
          </w:p>
        </w:tc>
      </w:tr>
      <w:tr w:rsidR="00470692" w:rsidRPr="00EB6833" w14:paraId="0AF76DF3"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1F3D3A6F" w14:textId="77777777" w:rsidR="00470692" w:rsidRPr="00EB6833" w:rsidRDefault="00470692" w:rsidP="006E50CC">
            <w:pPr>
              <w:keepNext/>
              <w:keepLines/>
              <w:spacing w:line="120" w:lineRule="exact"/>
              <w:jc w:val="both"/>
              <w:rPr>
                <w:rFonts w:ascii="Arial" w:hAnsi="Arial"/>
                <w:sz w:val="20"/>
                <w:szCs w:val="20"/>
              </w:rPr>
            </w:pPr>
          </w:p>
        </w:tc>
      </w:tr>
      <w:tr w:rsidR="00470692" w:rsidRPr="00EB6833" w14:paraId="5F3850DD" w14:textId="77777777" w:rsidTr="00470692">
        <w:tc>
          <w:tcPr>
            <w:tcW w:w="5000" w:type="pct"/>
            <w:tcBorders>
              <w:top w:val="single" w:sz="6" w:space="0" w:color="78A22F"/>
              <w:left w:val="nil"/>
              <w:bottom w:val="nil"/>
              <w:right w:val="nil"/>
            </w:tcBorders>
            <w:tcMar>
              <w:left w:w="170" w:type="dxa"/>
              <w:right w:w="170" w:type="dxa"/>
            </w:tcMar>
          </w:tcPr>
          <w:p w14:paraId="5141AA8A" w14:textId="77777777" w:rsidR="00470692" w:rsidRPr="00EB6833" w:rsidRDefault="00470692" w:rsidP="00E06F1D">
            <w:pPr>
              <w:spacing w:before="60" w:after="60" w:line="80" w:lineRule="exact"/>
              <w:jc w:val="both"/>
              <w:rPr>
                <w:rFonts w:ascii="Arial" w:hAnsi="Arial"/>
                <w:sz w:val="14"/>
                <w:szCs w:val="20"/>
              </w:rPr>
            </w:pPr>
          </w:p>
        </w:tc>
      </w:tr>
    </w:tbl>
    <w:p w14:paraId="56B88451" w14:textId="77777777" w:rsidR="00D41518" w:rsidRPr="00D41518" w:rsidRDefault="00D41518" w:rsidP="00E06F1D">
      <w:pPr>
        <w:pStyle w:val="BoxSpaceAbove"/>
        <w:keepLines/>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D41518" w:rsidRPr="005E64FD" w14:paraId="787947ED" w14:textId="77777777" w:rsidTr="00462628">
        <w:trPr>
          <w:tblHeader/>
        </w:trPr>
        <w:tc>
          <w:tcPr>
            <w:tcW w:w="5000" w:type="pct"/>
            <w:tcBorders>
              <w:top w:val="single" w:sz="6" w:space="0" w:color="78A22F"/>
              <w:left w:val="nil"/>
              <w:bottom w:val="nil"/>
              <w:right w:val="nil"/>
            </w:tcBorders>
            <w:shd w:val="clear" w:color="auto" w:fill="auto"/>
            <w:tcMar>
              <w:left w:w="170" w:type="dxa"/>
              <w:right w:w="170" w:type="dxa"/>
            </w:tcMar>
          </w:tcPr>
          <w:p w14:paraId="7FB9081D" w14:textId="6C64B8B2" w:rsidR="00D41518" w:rsidRPr="005E64FD" w:rsidRDefault="007960B0" w:rsidP="005E64FD">
            <w:pPr>
              <w:pStyle w:val="RecTitle"/>
              <w:spacing w:before="120"/>
              <w:rPr>
                <w:b/>
                <w:color w:val="3B5117"/>
              </w:rPr>
            </w:pPr>
            <w:r w:rsidRPr="005E64FD">
              <w:rPr>
                <w:b/>
                <w:color w:val="3B5117"/>
              </w:rPr>
              <w:t xml:space="preserve">action </w:t>
            </w:r>
            <w:r w:rsidR="00D41518" w:rsidRPr="005E64FD">
              <w:rPr>
                <w:b/>
                <w:color w:val="3B5117"/>
              </w:rPr>
              <w:t>22.</w:t>
            </w:r>
            <w:r w:rsidR="008815AE" w:rsidRPr="005E64FD">
              <w:rPr>
                <w:b/>
                <w:color w:val="3B5117"/>
              </w:rPr>
              <w:t>7</w:t>
            </w:r>
            <w:r w:rsidR="00CE7986">
              <w:rPr>
                <w:b/>
                <w:color w:val="3B5117"/>
              </w:rPr>
              <w:t> — </w:t>
            </w:r>
            <w:r w:rsidR="00D41518" w:rsidRPr="005E64FD">
              <w:rPr>
                <w:b/>
                <w:color w:val="3B5117"/>
              </w:rPr>
              <w:t>building a stronger evaluation culture</w:t>
            </w:r>
          </w:p>
        </w:tc>
      </w:tr>
      <w:tr w:rsidR="00D41518" w:rsidRPr="00D41518" w14:paraId="3B98105F" w14:textId="77777777" w:rsidTr="00462628">
        <w:trPr>
          <w:trHeight w:val="8613"/>
        </w:trPr>
        <w:tc>
          <w:tcPr>
            <w:tcW w:w="5000" w:type="pct"/>
            <w:tcBorders>
              <w:top w:val="nil"/>
              <w:left w:val="nil"/>
              <w:bottom w:val="nil"/>
              <w:right w:val="nil"/>
            </w:tcBorders>
            <w:shd w:val="clear" w:color="auto" w:fill="F2F2F2"/>
            <w:tcMar>
              <w:left w:w="170" w:type="dxa"/>
              <w:right w:w="170" w:type="dxa"/>
            </w:tcMar>
          </w:tcPr>
          <w:p w14:paraId="756DDA71" w14:textId="7FEBED94" w:rsidR="005028B3" w:rsidRDefault="005028B3" w:rsidP="005028B3">
            <w:pPr>
              <w:pStyle w:val="Rec"/>
              <w:keepNext/>
            </w:pPr>
            <w:r w:rsidRPr="00A375D8">
              <w:t xml:space="preserve">A robust culture of program evaluation should inform the allocation of public funds across the mental health system to ensure that they are deployed </w:t>
            </w:r>
            <w:r>
              <w:t>efficiently and effectively.</w:t>
            </w:r>
          </w:p>
          <w:p w14:paraId="12622334" w14:textId="77777777" w:rsidR="005028B3" w:rsidRPr="00A375D8" w:rsidRDefault="005028B3" w:rsidP="005028B3">
            <w:pPr>
              <w:pStyle w:val="Rec"/>
              <w:keepNext/>
              <w:rPr>
                <w:i/>
              </w:rPr>
            </w:pPr>
            <w:r>
              <w:rPr>
                <w:i/>
              </w:rPr>
              <w:t>Start now</w:t>
            </w:r>
          </w:p>
          <w:p w14:paraId="59ED48FF" w14:textId="77777777" w:rsidR="005028B3" w:rsidRDefault="005028B3" w:rsidP="005028B3">
            <w:pPr>
              <w:pStyle w:val="Rec"/>
              <w:keepNext/>
            </w:pPr>
            <w:r>
              <w:t xml:space="preserve">The National Mental Health Commission (NMHC) should have statutory authority and </w:t>
            </w:r>
            <w:r w:rsidRPr="00E85453">
              <w:t>lead the evaluation of mental health and suicide prevention programs funded by the Australian, State and Territory Governments, and other programs that have strong links with mental health outcomes, including those in non</w:t>
            </w:r>
            <w:r>
              <w:noBreakHyphen/>
            </w:r>
            <w:r w:rsidRPr="00E85453">
              <w:t>health sectors.</w:t>
            </w:r>
          </w:p>
          <w:p w14:paraId="7F1646EF" w14:textId="00621380" w:rsidR="005028B3" w:rsidRDefault="005028B3" w:rsidP="005028B3">
            <w:pPr>
              <w:pStyle w:val="RecBullet"/>
            </w:pPr>
            <w:r>
              <w:t xml:space="preserve">The NMHC should be an interjurisdictional body. All health ministers should </w:t>
            </w:r>
            <w:r w:rsidR="007F2490">
              <w:t>endorse</w:t>
            </w:r>
            <w:r>
              <w:t xml:space="preserve"> the NMHC </w:t>
            </w:r>
            <w:r w:rsidR="00E31151">
              <w:t>to take</w:t>
            </w:r>
            <w:r>
              <w:t xml:space="preserve"> on</w:t>
            </w:r>
            <w:r w:rsidR="00AD4FB0">
              <w:t xml:space="preserve"> </w:t>
            </w:r>
            <w:r w:rsidR="007F2490">
              <w:t>a</w:t>
            </w:r>
            <w:r>
              <w:t xml:space="preserve"> broad</w:t>
            </w:r>
            <w:r>
              <w:noBreakHyphen/>
              <w:t>ranging evaluation role.</w:t>
            </w:r>
          </w:p>
          <w:p w14:paraId="14AC3909" w14:textId="0D97370A" w:rsidR="005028B3" w:rsidRDefault="005028B3" w:rsidP="005028B3">
            <w:pPr>
              <w:pStyle w:val="RecBullet"/>
            </w:pPr>
            <w:r>
              <w:t>The NMHC should be governed by a skills</w:t>
            </w:r>
            <w:r>
              <w:noBreakHyphen/>
              <w:t>based Board. It should be granted full powers to act in the interests of the NMHC in fulfilling its statutory functions, including powers to appoint and remove a Chief Executive Officer.</w:t>
            </w:r>
          </w:p>
          <w:p w14:paraId="2E14CBA3" w14:textId="77777777" w:rsidR="005028B3" w:rsidRDefault="005028B3" w:rsidP="005028B3">
            <w:pPr>
              <w:pStyle w:val="RecBullet"/>
            </w:pPr>
            <w:r>
              <w:t>The NMHC should</w:t>
            </w:r>
            <w:r w:rsidRPr="00061671">
              <w:t xml:space="preserve"> have legislative provisions to make requests for information from A</w:t>
            </w:r>
            <w:r>
              <w:t>ustralian, State and Territory G</w:t>
            </w:r>
            <w:r w:rsidRPr="00061671">
              <w:t xml:space="preserve">overnment agencies </w:t>
            </w:r>
            <w:r>
              <w:t>in order</w:t>
            </w:r>
            <w:r w:rsidRPr="00061671">
              <w:t xml:space="preserve"> to fulfil its statutory functions.</w:t>
            </w:r>
          </w:p>
          <w:p w14:paraId="6ED4FCFC" w14:textId="77777777" w:rsidR="005028B3" w:rsidRDefault="005028B3" w:rsidP="005028B3">
            <w:pPr>
              <w:pStyle w:val="RecBullet"/>
            </w:pPr>
            <w:r>
              <w:t>The NMHC should not advocate, defend or publicly canvass the merits of governments’ or oppositions’ policies.</w:t>
            </w:r>
          </w:p>
          <w:p w14:paraId="7BFA4867" w14:textId="77777777" w:rsidR="005028B3" w:rsidRDefault="005028B3" w:rsidP="005028B3">
            <w:pPr>
              <w:pStyle w:val="Rec"/>
            </w:pPr>
            <w:r>
              <w:t>As part of its annual planning cycle, the NMHC should prepare and publish a rolling 3</w:t>
            </w:r>
            <w:r>
              <w:noBreakHyphen/>
              <w:t>year schedule of program evaluations. It should, in consultation with key stakeholders, develop and publish a process for prioritising policy and program evaluations, including decision</w:t>
            </w:r>
            <w:r>
              <w:noBreakHyphen/>
              <w:t>making criteria.</w:t>
            </w:r>
          </w:p>
          <w:p w14:paraId="4BB8972C" w14:textId="77777777" w:rsidR="005028B3" w:rsidRDefault="005028B3" w:rsidP="005028B3">
            <w:pPr>
              <w:pStyle w:val="Rec"/>
              <w:keepNext/>
            </w:pPr>
            <w:r>
              <w:t>The Australian, State and Territory Governments should agree to a set of principles by which the NMHC would undertake its evaluation function and for the mental health sector more broadly. These principles, which should be developed in consultation with relevant stakeholders, should reflect the importance of:</w:t>
            </w:r>
          </w:p>
          <w:p w14:paraId="038C414A" w14:textId="77777777" w:rsidR="005028B3" w:rsidRDefault="005028B3" w:rsidP="005028B3">
            <w:pPr>
              <w:pStyle w:val="RecBullet"/>
            </w:pPr>
            <w:r>
              <w:t>shifting towards evaluations that focus on measuring the attributable impact of programs (through methods that incorporate control groups), rather than monitoring program outcomes</w:t>
            </w:r>
          </w:p>
          <w:p w14:paraId="36B1603E" w14:textId="77777777" w:rsidR="005028B3" w:rsidRDefault="005028B3" w:rsidP="005028B3">
            <w:pPr>
              <w:pStyle w:val="RecBullet"/>
            </w:pPr>
            <w:r>
              <w:t>promoting processes that enable lessons from program implementation to be determined and disseminated before programs reach their impact evaluation stage.</w:t>
            </w:r>
          </w:p>
          <w:p w14:paraId="7D5B88B2" w14:textId="2A42A74A" w:rsidR="007762CB" w:rsidRPr="00D41518" w:rsidRDefault="005028B3" w:rsidP="00F752C2">
            <w:pPr>
              <w:pStyle w:val="Rec"/>
            </w:pPr>
            <w:r w:rsidRPr="00856D1E">
              <w:t xml:space="preserve">The </w:t>
            </w:r>
            <w:proofErr w:type="spellStart"/>
            <w:r w:rsidRPr="00856D1E">
              <w:t>Gayaa</w:t>
            </w:r>
            <w:proofErr w:type="spellEnd"/>
            <w:r w:rsidRPr="00856D1E">
              <w:t xml:space="preserve"> </w:t>
            </w:r>
            <w:proofErr w:type="spellStart"/>
            <w:r w:rsidRPr="00856D1E">
              <w:t>Dhuwi</w:t>
            </w:r>
            <w:proofErr w:type="spellEnd"/>
            <w:r w:rsidRPr="00856D1E">
              <w:t xml:space="preserve"> (Proud Spirit) Declaration should guide any evaluation by the NMHC of programs </w:t>
            </w:r>
            <w:r>
              <w:t>affecting</w:t>
            </w:r>
            <w:r w:rsidRPr="00856D1E">
              <w:t xml:space="preserve"> Aboriginal and Torres Strait Islander people</w:t>
            </w:r>
            <w:r w:rsidR="00123107">
              <w:t>.</w:t>
            </w:r>
          </w:p>
        </w:tc>
      </w:tr>
      <w:tr w:rsidR="00D41518" w:rsidRPr="00D41518" w14:paraId="76C8E39B"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53B8E227" w14:textId="77777777" w:rsidR="00D41518" w:rsidRPr="00D41518" w:rsidRDefault="00D41518" w:rsidP="00E06F1D">
            <w:pPr>
              <w:spacing w:line="120" w:lineRule="exact"/>
              <w:jc w:val="both"/>
              <w:rPr>
                <w:rFonts w:ascii="Arial" w:hAnsi="Arial"/>
                <w:sz w:val="20"/>
                <w:szCs w:val="20"/>
              </w:rPr>
            </w:pPr>
          </w:p>
        </w:tc>
      </w:tr>
      <w:tr w:rsidR="00D41518" w:rsidRPr="00D41518" w14:paraId="483C8014" w14:textId="77777777" w:rsidTr="00462628">
        <w:tc>
          <w:tcPr>
            <w:tcW w:w="5000" w:type="pct"/>
            <w:tcBorders>
              <w:top w:val="single" w:sz="6" w:space="0" w:color="78A22F"/>
              <w:left w:val="nil"/>
              <w:bottom w:val="nil"/>
              <w:right w:val="nil"/>
            </w:tcBorders>
            <w:tcMar>
              <w:left w:w="170" w:type="dxa"/>
              <w:right w:w="170" w:type="dxa"/>
            </w:tcMar>
          </w:tcPr>
          <w:p w14:paraId="13D0B1AA" w14:textId="77777777" w:rsidR="00D41518" w:rsidRPr="00D41518" w:rsidRDefault="00D41518" w:rsidP="00E06F1D">
            <w:pPr>
              <w:spacing w:before="60" w:after="60" w:line="80" w:lineRule="exact"/>
              <w:jc w:val="both"/>
              <w:rPr>
                <w:rFonts w:ascii="Arial" w:hAnsi="Arial"/>
                <w:sz w:val="14"/>
                <w:szCs w:val="20"/>
              </w:rPr>
            </w:pPr>
          </w:p>
        </w:tc>
      </w:tr>
    </w:tbl>
    <w:p w14:paraId="66693D2F" w14:textId="0E63C244" w:rsidR="00B20151" w:rsidRDefault="00B20151" w:rsidP="00F00D75">
      <w:pPr>
        <w:pStyle w:val="Heading3"/>
        <w:keepLines/>
        <w:pageBreakBefore/>
      </w:pPr>
      <w:r>
        <w:lastRenderedPageBreak/>
        <w:t>Funding and commissioning</w:t>
      </w:r>
    </w:p>
    <w:p w14:paraId="6E08C3A1" w14:textId="77777777" w:rsidR="00571446" w:rsidRPr="00F00D75" w:rsidRDefault="00571446" w:rsidP="00F00D75">
      <w:pPr>
        <w:pStyle w:val="BoxSpacngabove"/>
        <w:spacing w:before="120"/>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D41518" w:rsidRPr="005E64FD" w14:paraId="7963DC76" w14:textId="77777777" w:rsidTr="00462628">
        <w:trPr>
          <w:tblHeader/>
        </w:trPr>
        <w:tc>
          <w:tcPr>
            <w:tcW w:w="5000" w:type="pct"/>
            <w:tcBorders>
              <w:top w:val="single" w:sz="6" w:space="0" w:color="78A22F"/>
              <w:left w:val="nil"/>
              <w:bottom w:val="nil"/>
              <w:right w:val="nil"/>
            </w:tcBorders>
            <w:shd w:val="clear" w:color="auto" w:fill="auto"/>
            <w:tcMar>
              <w:left w:w="170" w:type="dxa"/>
              <w:right w:w="170" w:type="dxa"/>
            </w:tcMar>
          </w:tcPr>
          <w:p w14:paraId="0F8EEE97" w14:textId="18DB838B" w:rsidR="00D41518" w:rsidRPr="005E64FD" w:rsidRDefault="00625667" w:rsidP="005847E8">
            <w:pPr>
              <w:pStyle w:val="RecTitle"/>
              <w:spacing w:before="40"/>
              <w:rPr>
                <w:b/>
                <w:color w:val="3B5117"/>
              </w:rPr>
            </w:pPr>
            <w:r w:rsidRPr="005E64FD">
              <w:rPr>
                <w:b/>
                <w:color w:val="3B5117"/>
              </w:rPr>
              <w:t>action</w:t>
            </w:r>
            <w:r w:rsidR="00D41518" w:rsidRPr="005E64FD">
              <w:rPr>
                <w:b/>
                <w:color w:val="3B5117"/>
              </w:rPr>
              <w:t xml:space="preserve"> 2</w:t>
            </w:r>
            <w:r w:rsidR="001A7BB6" w:rsidRPr="005E64FD">
              <w:rPr>
                <w:b/>
                <w:color w:val="3B5117"/>
              </w:rPr>
              <w:t>3</w:t>
            </w:r>
            <w:r w:rsidR="0027385B" w:rsidRPr="005E64FD">
              <w:rPr>
                <w:b/>
                <w:color w:val="3B5117"/>
              </w:rPr>
              <w:t>.1</w:t>
            </w:r>
            <w:r w:rsidR="00CE7986">
              <w:rPr>
                <w:b/>
                <w:color w:val="3B5117"/>
              </w:rPr>
              <w:t> — </w:t>
            </w:r>
            <w:r w:rsidR="004177AD" w:rsidRPr="005E64FD">
              <w:rPr>
                <w:b/>
                <w:color w:val="3B5117"/>
              </w:rPr>
              <w:t>IMPROVING PHN–LHN COOPERATION</w:t>
            </w:r>
          </w:p>
        </w:tc>
      </w:tr>
      <w:tr w:rsidR="00D41518" w:rsidRPr="00D41518" w14:paraId="14AA4B47" w14:textId="77777777" w:rsidTr="00462628">
        <w:tc>
          <w:tcPr>
            <w:tcW w:w="5000" w:type="pct"/>
            <w:tcBorders>
              <w:top w:val="nil"/>
              <w:left w:val="nil"/>
              <w:bottom w:val="nil"/>
              <w:right w:val="nil"/>
            </w:tcBorders>
            <w:shd w:val="clear" w:color="auto" w:fill="F2F2F2"/>
            <w:tcMar>
              <w:left w:w="170" w:type="dxa"/>
              <w:right w:w="170" w:type="dxa"/>
            </w:tcMar>
          </w:tcPr>
          <w:p w14:paraId="2B567FC7" w14:textId="0A2FA361" w:rsidR="008E5B86" w:rsidRDefault="008E5B86" w:rsidP="00571446">
            <w:pPr>
              <w:pStyle w:val="Rec"/>
              <w:keepNext/>
              <w:rPr>
                <w:i/>
                <w:lang w:eastAsia="en-US"/>
              </w:rPr>
            </w:pPr>
            <w:r>
              <w:rPr>
                <w:i/>
                <w:lang w:eastAsia="en-US"/>
              </w:rPr>
              <w:t>Start now</w:t>
            </w:r>
          </w:p>
          <w:p w14:paraId="3070C278" w14:textId="29ACCD1A" w:rsidR="008E5B86" w:rsidRDefault="008E5B86" w:rsidP="005847E8">
            <w:pPr>
              <w:pStyle w:val="Rec"/>
              <w:keepNext/>
              <w:spacing w:before="80" w:line="270" w:lineRule="atLeast"/>
              <w:rPr>
                <w:lang w:eastAsia="en-US"/>
              </w:rPr>
            </w:pPr>
            <w:r>
              <w:t>The Australian, State and Territory Government health ministers</w:t>
            </w:r>
            <w:r w:rsidDel="00EF342E">
              <w:rPr>
                <w:lang w:eastAsia="en-US"/>
              </w:rPr>
              <w:t xml:space="preserve"> </w:t>
            </w:r>
            <w:r>
              <w:rPr>
                <w:lang w:eastAsia="en-US"/>
              </w:rPr>
              <w:t>should significantly strengthen the guidance on joint regional planning for P</w:t>
            </w:r>
            <w:r w:rsidR="00340C76">
              <w:rPr>
                <w:lang w:eastAsia="en-US"/>
              </w:rPr>
              <w:t xml:space="preserve">rimary </w:t>
            </w:r>
            <w:r>
              <w:rPr>
                <w:lang w:eastAsia="en-US"/>
              </w:rPr>
              <w:t>H</w:t>
            </w:r>
            <w:r w:rsidR="00340C76">
              <w:rPr>
                <w:lang w:eastAsia="en-US"/>
              </w:rPr>
              <w:t xml:space="preserve">ealth </w:t>
            </w:r>
            <w:r>
              <w:rPr>
                <w:lang w:eastAsia="en-US"/>
              </w:rPr>
              <w:t>N</w:t>
            </w:r>
            <w:r w:rsidR="00340C76">
              <w:rPr>
                <w:lang w:eastAsia="en-US"/>
              </w:rPr>
              <w:t>etwork (</w:t>
            </w:r>
            <w:r>
              <w:rPr>
                <w:lang w:eastAsia="en-US"/>
              </w:rPr>
              <w:t>PHN</w:t>
            </w:r>
            <w:r w:rsidR="00340C76">
              <w:rPr>
                <w:lang w:eastAsia="en-US"/>
              </w:rPr>
              <w:t>)</w:t>
            </w:r>
            <w:r>
              <w:rPr>
                <w:lang w:eastAsia="en-US"/>
              </w:rPr>
              <w:t>–L</w:t>
            </w:r>
            <w:r w:rsidR="00340C76">
              <w:rPr>
                <w:lang w:eastAsia="en-US"/>
              </w:rPr>
              <w:t xml:space="preserve">ocal </w:t>
            </w:r>
            <w:r>
              <w:rPr>
                <w:lang w:eastAsia="en-US"/>
              </w:rPr>
              <w:t>H</w:t>
            </w:r>
            <w:r w:rsidR="00340C76">
              <w:rPr>
                <w:lang w:eastAsia="en-US"/>
              </w:rPr>
              <w:t xml:space="preserve">ospital </w:t>
            </w:r>
            <w:r>
              <w:rPr>
                <w:lang w:eastAsia="en-US"/>
              </w:rPr>
              <w:t>N</w:t>
            </w:r>
            <w:r w:rsidR="00340C76">
              <w:rPr>
                <w:lang w:eastAsia="en-US"/>
              </w:rPr>
              <w:t>etwork (</w:t>
            </w:r>
            <w:r>
              <w:rPr>
                <w:lang w:eastAsia="en-US"/>
              </w:rPr>
              <w:t>LHN</w:t>
            </w:r>
            <w:r w:rsidR="00340C76">
              <w:rPr>
                <w:lang w:eastAsia="en-US"/>
              </w:rPr>
              <w:t>)</w:t>
            </w:r>
            <w:r>
              <w:rPr>
                <w:lang w:eastAsia="en-US"/>
              </w:rPr>
              <w:t xml:space="preserve"> groupings to require each to:</w:t>
            </w:r>
          </w:p>
          <w:p w14:paraId="70E152E0" w14:textId="65B5310D" w:rsidR="008E5B86" w:rsidRDefault="008E5B86" w:rsidP="005847E8">
            <w:pPr>
              <w:pStyle w:val="RecBullet"/>
              <w:keepNext/>
              <w:spacing w:before="60" w:line="277" w:lineRule="atLeast"/>
              <w:rPr>
                <w:lang w:eastAsia="en-US"/>
              </w:rPr>
            </w:pPr>
            <w:r>
              <w:rPr>
                <w:lang w:eastAsia="en-US"/>
              </w:rPr>
              <w:t>undertake gap analyses of current service provision against National Mental Health Service Planning Framework benchmarks (action 24.8)</w:t>
            </w:r>
          </w:p>
          <w:p w14:paraId="0F35610D" w14:textId="77777777" w:rsidR="008E5B86" w:rsidRDefault="008E5B86" w:rsidP="005847E8">
            <w:pPr>
              <w:pStyle w:val="RecBullet"/>
              <w:keepNext/>
              <w:spacing w:before="60" w:line="277" w:lineRule="atLeast"/>
              <w:rPr>
                <w:lang w:eastAsia="en-US"/>
              </w:rPr>
            </w:pPr>
            <w:r>
              <w:rPr>
                <w:lang w:eastAsia="en-US"/>
              </w:rPr>
              <w:t>specify the mix of mental health services that they will commission/provide over the next 3 years and update this annually</w:t>
            </w:r>
          </w:p>
          <w:p w14:paraId="0DD8E500" w14:textId="2E86B189" w:rsidR="008E5B86" w:rsidRDefault="008E5B86" w:rsidP="005847E8">
            <w:pPr>
              <w:pStyle w:val="RecBullet"/>
              <w:keepNext/>
              <w:spacing w:before="60" w:line="277" w:lineRule="atLeast"/>
              <w:rPr>
                <w:lang w:eastAsia="en-US"/>
              </w:rPr>
            </w:pPr>
            <w:r>
              <w:rPr>
                <w:lang w:eastAsia="en-US"/>
              </w:rPr>
              <w:t>include all commissioned psychosocial supports outside of the N</w:t>
            </w:r>
            <w:r w:rsidR="00340C76">
              <w:rPr>
                <w:lang w:eastAsia="en-US"/>
              </w:rPr>
              <w:t xml:space="preserve">ational </w:t>
            </w:r>
            <w:r>
              <w:rPr>
                <w:lang w:eastAsia="en-US"/>
              </w:rPr>
              <w:t>D</w:t>
            </w:r>
            <w:r w:rsidR="00340C76">
              <w:rPr>
                <w:lang w:eastAsia="en-US"/>
              </w:rPr>
              <w:t xml:space="preserve">isability Insurance </w:t>
            </w:r>
            <w:r>
              <w:rPr>
                <w:lang w:eastAsia="en-US"/>
              </w:rPr>
              <w:t>S</w:t>
            </w:r>
            <w:r w:rsidR="00340C76">
              <w:rPr>
                <w:lang w:eastAsia="en-US"/>
              </w:rPr>
              <w:t>cheme</w:t>
            </w:r>
            <w:r>
              <w:rPr>
                <w:lang w:eastAsia="en-US"/>
              </w:rPr>
              <w:t xml:space="preserve"> within the scope of joint regional plans, and require joint regional plans to coordinate clinical mental healthcare with </w:t>
            </w:r>
            <w:r w:rsidR="00340C76">
              <w:rPr>
                <w:lang w:eastAsia="en-US"/>
              </w:rPr>
              <w:t xml:space="preserve">National Disability Insurance Scheme </w:t>
            </w:r>
            <w:r>
              <w:rPr>
                <w:lang w:eastAsia="en-US"/>
              </w:rPr>
              <w:t>psychosocial supports</w:t>
            </w:r>
          </w:p>
          <w:p w14:paraId="54D5EA18" w14:textId="77777777" w:rsidR="008E5B86" w:rsidRDefault="008E5B86" w:rsidP="005847E8">
            <w:pPr>
              <w:pStyle w:val="RecBullet"/>
              <w:keepNext/>
              <w:spacing w:before="60" w:line="277" w:lineRule="atLeast"/>
              <w:rPr>
                <w:lang w:eastAsia="en-US"/>
              </w:rPr>
            </w:pPr>
            <w:r>
              <w:rPr>
                <w:lang w:eastAsia="en-US"/>
              </w:rPr>
              <w:t>set out how they consulted with consumers and carers in the development of the plan, whether any aspects of their plan conflict with the input of consumers and carers, and justify why this is the case.</w:t>
            </w:r>
          </w:p>
          <w:p w14:paraId="2D82844B" w14:textId="7327B043" w:rsidR="008E5B86" w:rsidRPr="00E06F1D" w:rsidRDefault="008E5B86" w:rsidP="005847E8">
            <w:pPr>
              <w:pStyle w:val="Rec"/>
              <w:keepNext/>
              <w:spacing w:before="80" w:line="278" w:lineRule="atLeast"/>
            </w:pPr>
            <w:r w:rsidRPr="00E06F1D">
              <w:t>Governments should require each PHN–LHN grouping to develop a ‘Consumer and Carer Engagement Framework’ that specifies an organised approach to engaging with consumers and carers and a set of benchmarks against which to report the extent of that engagement.</w:t>
            </w:r>
          </w:p>
          <w:p w14:paraId="031A0877" w14:textId="77777777" w:rsidR="008E5B86" w:rsidRPr="00E06F1D" w:rsidRDefault="008E5B86" w:rsidP="005847E8">
            <w:pPr>
              <w:pStyle w:val="Rec"/>
              <w:keepNext/>
              <w:spacing w:before="80" w:line="270" w:lineRule="atLeast"/>
            </w:pPr>
            <w:r w:rsidRPr="00E06F1D">
              <w:t>The National Mental Health Commission (NMHC) should develop a set of key performance indicators that capture the extent to which PHN–LHN cooperation is driving improved outcomes for consumers and carers, and seek to improve these indicators over time.</w:t>
            </w:r>
          </w:p>
          <w:p w14:paraId="18C38131" w14:textId="54A1F3CC" w:rsidR="008E5B86" w:rsidRPr="005028B3" w:rsidRDefault="008E5B86" w:rsidP="00571446">
            <w:pPr>
              <w:pStyle w:val="Rec"/>
              <w:keepNext/>
              <w:rPr>
                <w:i/>
              </w:rPr>
            </w:pPr>
            <w:r w:rsidRPr="005028B3">
              <w:rPr>
                <w:i/>
              </w:rPr>
              <w:t>Start later</w:t>
            </w:r>
          </w:p>
          <w:p w14:paraId="1F4004FB" w14:textId="77777777" w:rsidR="008E5B86" w:rsidRDefault="008E5B86" w:rsidP="005847E8">
            <w:pPr>
              <w:pStyle w:val="Rec"/>
              <w:keepNext/>
              <w:spacing w:before="80" w:line="270" w:lineRule="atLeast"/>
              <w:rPr>
                <w:lang w:eastAsia="en-US"/>
              </w:rPr>
            </w:pPr>
            <w:r>
              <w:rPr>
                <w:lang w:eastAsia="en-US"/>
              </w:rPr>
              <w:t>Governments should require PHN–LHN groupings to develop joint regional plans that comply with the revised guidelines and ensure that PHN–LHN groupings are adequately resourced to do so. The NMHC should ensure that joint regional plans are compliant.</w:t>
            </w:r>
          </w:p>
          <w:p w14:paraId="760BC2EF" w14:textId="77777777" w:rsidR="008E5B86" w:rsidRDefault="008E5B86" w:rsidP="005847E8">
            <w:pPr>
              <w:pStyle w:val="Rec"/>
              <w:keepNext/>
              <w:spacing w:before="80" w:line="270" w:lineRule="atLeast"/>
              <w:rPr>
                <w:lang w:eastAsia="en-US"/>
              </w:rPr>
            </w:pPr>
            <w:r>
              <w:rPr>
                <w:lang w:eastAsia="en-US"/>
              </w:rPr>
              <w:t>The NMHC should report annually on the performance of each PHN–LHN grouping. Its reporting should comprise:</w:t>
            </w:r>
          </w:p>
          <w:p w14:paraId="3C423C0B" w14:textId="6412C3E1" w:rsidR="008E5B86" w:rsidRPr="00E06F1D" w:rsidRDefault="008E5B86" w:rsidP="005847E8">
            <w:pPr>
              <w:pStyle w:val="RecBullet"/>
              <w:keepNext/>
              <w:spacing w:before="60" w:line="277" w:lineRule="atLeast"/>
            </w:pPr>
            <w:r w:rsidRPr="00E06F1D">
              <w:t>a comparison of actual services commissioned/provided against joint regional plan commitments</w:t>
            </w:r>
          </w:p>
          <w:p w14:paraId="54063727" w14:textId="77777777" w:rsidR="008E5B86" w:rsidRPr="00E06F1D" w:rsidRDefault="008E5B86" w:rsidP="005847E8">
            <w:pPr>
              <w:pStyle w:val="RecBullet"/>
              <w:keepNext/>
              <w:spacing w:before="60" w:line="277" w:lineRule="atLeast"/>
            </w:pPr>
            <w:r w:rsidRPr="00E06F1D">
              <w:t>a description of the PHN–LHN grouping’s Consumer and Carer Engagement Framework and the extent of compliance with it</w:t>
            </w:r>
          </w:p>
          <w:p w14:paraId="0D7EC61D" w14:textId="72354B80" w:rsidR="008E5B86" w:rsidRPr="00E06F1D" w:rsidRDefault="008E5B86" w:rsidP="005847E8">
            <w:pPr>
              <w:pStyle w:val="RecBullet"/>
              <w:keepNext/>
              <w:spacing w:before="60" w:line="277" w:lineRule="atLeast"/>
            </w:pPr>
            <w:r w:rsidRPr="00E06F1D">
              <w:t>reporting of key performance indicators at the PHN–LHN grouping level</w:t>
            </w:r>
          </w:p>
          <w:p w14:paraId="5382EC13" w14:textId="77777777" w:rsidR="008E5B86" w:rsidRPr="00E06F1D" w:rsidRDefault="008E5B86" w:rsidP="005847E8">
            <w:pPr>
              <w:pStyle w:val="RecBullet"/>
              <w:keepNext/>
              <w:spacing w:before="60" w:line="277" w:lineRule="atLeast"/>
            </w:pPr>
            <w:r w:rsidRPr="00E06F1D">
              <w:t>observations about the effectiveness of each PHN–LHN grouping.</w:t>
            </w:r>
          </w:p>
          <w:p w14:paraId="60A76ED1" w14:textId="15D92C89" w:rsidR="008E5B86" w:rsidRDefault="008E5B86" w:rsidP="005847E8">
            <w:pPr>
              <w:pStyle w:val="Recrec"/>
              <w:spacing w:before="100" w:line="278" w:lineRule="atLeast"/>
            </w:pPr>
            <w:r>
              <w:t xml:space="preserve">The Australian Institute of Health and Welfare should </w:t>
            </w:r>
            <w:r w:rsidR="00A13DCB">
              <w:t xml:space="preserve">provide </w:t>
            </w:r>
            <w:r>
              <w:t>data and analysis to the NMHC as required to facilitate this work.</w:t>
            </w:r>
          </w:p>
          <w:p w14:paraId="3A2E1361" w14:textId="5EFC16A8" w:rsidR="00C02DD2" w:rsidRPr="00DC6DAC" w:rsidRDefault="008E5B86" w:rsidP="005847E8">
            <w:pPr>
              <w:pStyle w:val="Recrec"/>
              <w:spacing w:before="100" w:line="278" w:lineRule="atLeast"/>
            </w:pPr>
            <w:r>
              <w:t>The requirements on each PHN–LHN grouping should transfer to Regional Commissioning Authorities in States/Territories where they are established.</w:t>
            </w:r>
          </w:p>
        </w:tc>
      </w:tr>
      <w:tr w:rsidR="00D41518" w:rsidRPr="00D41518" w14:paraId="558C18D4"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6416B0DE" w14:textId="77777777" w:rsidR="00D41518" w:rsidRPr="00D41518" w:rsidRDefault="00D41518" w:rsidP="00571446">
            <w:pPr>
              <w:keepNext/>
              <w:keepLines/>
              <w:spacing w:line="120" w:lineRule="exact"/>
              <w:jc w:val="both"/>
              <w:rPr>
                <w:rFonts w:ascii="Arial" w:hAnsi="Arial"/>
                <w:sz w:val="20"/>
                <w:szCs w:val="20"/>
              </w:rPr>
            </w:pPr>
          </w:p>
        </w:tc>
      </w:tr>
      <w:tr w:rsidR="00D41518" w:rsidRPr="00D41518" w14:paraId="19B64AEF" w14:textId="77777777" w:rsidTr="00462628">
        <w:tc>
          <w:tcPr>
            <w:tcW w:w="5000" w:type="pct"/>
            <w:tcBorders>
              <w:top w:val="single" w:sz="6" w:space="0" w:color="78A22F"/>
              <w:left w:val="nil"/>
              <w:bottom w:val="nil"/>
              <w:right w:val="nil"/>
            </w:tcBorders>
            <w:tcMar>
              <w:left w:w="170" w:type="dxa"/>
              <w:right w:w="170" w:type="dxa"/>
            </w:tcMar>
          </w:tcPr>
          <w:p w14:paraId="7AA1513B" w14:textId="77777777" w:rsidR="00D41518" w:rsidRPr="00D41518" w:rsidRDefault="00D41518" w:rsidP="005847E8">
            <w:pPr>
              <w:pStyle w:val="BoxSpaceBelow"/>
            </w:pPr>
          </w:p>
        </w:tc>
      </w:tr>
    </w:tbl>
    <w:p w14:paraId="0165681A" w14:textId="77777777" w:rsidR="0027385B" w:rsidRPr="00D41518" w:rsidRDefault="0027385B" w:rsidP="005847E8">
      <w:pPr>
        <w:pStyle w:val="BoxSpacingabove"/>
        <w:keepNext w:val="0"/>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27385B" w:rsidRPr="005E64FD" w14:paraId="7605A5B4" w14:textId="77777777" w:rsidTr="0027385B">
        <w:trPr>
          <w:tblHeader/>
        </w:trPr>
        <w:tc>
          <w:tcPr>
            <w:tcW w:w="5000" w:type="pct"/>
            <w:tcBorders>
              <w:top w:val="single" w:sz="6" w:space="0" w:color="78A22F"/>
              <w:left w:val="nil"/>
              <w:bottom w:val="nil"/>
              <w:right w:val="nil"/>
            </w:tcBorders>
            <w:shd w:val="clear" w:color="auto" w:fill="auto"/>
            <w:tcMar>
              <w:left w:w="170" w:type="dxa"/>
              <w:right w:w="170" w:type="dxa"/>
            </w:tcMar>
          </w:tcPr>
          <w:p w14:paraId="2A57668B" w14:textId="411F0C44" w:rsidR="0027385B" w:rsidRPr="005E64FD" w:rsidRDefault="0027385B" w:rsidP="00571446">
            <w:pPr>
              <w:pStyle w:val="RecTitle"/>
              <w:spacing w:before="120"/>
              <w:rPr>
                <w:b/>
                <w:color w:val="3B5117"/>
              </w:rPr>
            </w:pPr>
            <w:r w:rsidRPr="005E64FD">
              <w:rPr>
                <w:b/>
                <w:color w:val="3B5117"/>
              </w:rPr>
              <w:t>action 2</w:t>
            </w:r>
            <w:r w:rsidR="001A7BB6" w:rsidRPr="005E64FD">
              <w:rPr>
                <w:b/>
                <w:color w:val="3B5117"/>
              </w:rPr>
              <w:t>3</w:t>
            </w:r>
            <w:r w:rsidRPr="005E64FD">
              <w:rPr>
                <w:b/>
                <w:color w:val="3B5117"/>
              </w:rPr>
              <w:t>.2</w:t>
            </w:r>
            <w:r w:rsidR="00CE7986">
              <w:rPr>
                <w:b/>
                <w:color w:val="3B5117"/>
              </w:rPr>
              <w:t> — </w:t>
            </w:r>
            <w:r w:rsidRPr="005E64FD">
              <w:rPr>
                <w:b/>
                <w:color w:val="3B5117"/>
              </w:rPr>
              <w:t>RESPONSIBILITY FOR PSYCHOSOCIAL SUPPORTS</w:t>
            </w:r>
          </w:p>
        </w:tc>
      </w:tr>
      <w:tr w:rsidR="0027385B" w:rsidRPr="00D41518" w14:paraId="1D826A33" w14:textId="77777777" w:rsidTr="0027385B">
        <w:tc>
          <w:tcPr>
            <w:tcW w:w="5000" w:type="pct"/>
            <w:tcBorders>
              <w:top w:val="nil"/>
              <w:left w:val="nil"/>
              <w:bottom w:val="nil"/>
              <w:right w:val="nil"/>
            </w:tcBorders>
            <w:shd w:val="clear" w:color="auto" w:fill="F2F2F2"/>
            <w:tcMar>
              <w:left w:w="170" w:type="dxa"/>
              <w:right w:w="170" w:type="dxa"/>
            </w:tcMar>
          </w:tcPr>
          <w:p w14:paraId="3CE9AE9B" w14:textId="7CC5AEA8" w:rsidR="008E5B86" w:rsidRPr="00E06F1D" w:rsidRDefault="008E5B86" w:rsidP="00571446">
            <w:pPr>
              <w:pStyle w:val="Rec"/>
              <w:keepNext/>
              <w:rPr>
                <w:i/>
              </w:rPr>
            </w:pPr>
            <w:r w:rsidRPr="00E06F1D">
              <w:rPr>
                <w:i/>
              </w:rPr>
              <w:t>Start later</w:t>
            </w:r>
          </w:p>
          <w:p w14:paraId="6BDC3311" w14:textId="4C021331" w:rsidR="008E5B86" w:rsidRDefault="008E5B86" w:rsidP="00571446">
            <w:pPr>
              <w:pStyle w:val="Rec"/>
              <w:keepNext/>
            </w:pPr>
            <w:r w:rsidRPr="00A800B9">
              <w:t xml:space="preserve">State and Territory Governments should take sole responsibility for commissioning psychosocial supports outside of the National Disability Insurance Scheme, supported by additional Australian Government funding. </w:t>
            </w:r>
            <w:r>
              <w:t xml:space="preserve">The Australian, State and Territory Governments </w:t>
            </w:r>
            <w:r w:rsidRPr="00A800B9">
              <w:t>should codify this transition in the National Mental Health and Suicide Prevention Agreement (</w:t>
            </w:r>
            <w:r w:rsidR="00340C76">
              <w:t>Action</w:t>
            </w:r>
            <w:r w:rsidR="00340C76" w:rsidRPr="00A800B9">
              <w:t xml:space="preserve"> </w:t>
            </w:r>
            <w:r>
              <w:t>23.</w:t>
            </w:r>
            <w:r w:rsidRPr="00A800B9">
              <w:t xml:space="preserve">3). </w:t>
            </w:r>
            <w:r w:rsidR="0095151E" w:rsidRPr="00A800B9">
              <w:t>P</w:t>
            </w:r>
            <w:r w:rsidR="0095151E">
              <w:t xml:space="preserve">rimary </w:t>
            </w:r>
            <w:r w:rsidR="0095151E" w:rsidRPr="00A800B9">
              <w:t>H</w:t>
            </w:r>
            <w:r w:rsidR="0095151E">
              <w:t xml:space="preserve">ealth </w:t>
            </w:r>
            <w:r w:rsidR="0095151E" w:rsidRPr="00A800B9">
              <w:t>N</w:t>
            </w:r>
            <w:r w:rsidR="0095151E">
              <w:t>etwork</w:t>
            </w:r>
            <w:r w:rsidR="0095151E" w:rsidRPr="00A800B9">
              <w:t>s and L</w:t>
            </w:r>
            <w:r w:rsidR="0095151E">
              <w:t xml:space="preserve">ocal </w:t>
            </w:r>
            <w:r w:rsidR="0095151E" w:rsidRPr="00A800B9">
              <w:t>H</w:t>
            </w:r>
            <w:r w:rsidR="0095151E">
              <w:t xml:space="preserve">ospital </w:t>
            </w:r>
            <w:r w:rsidR="0095151E" w:rsidRPr="00A800B9">
              <w:t>N</w:t>
            </w:r>
            <w:r w:rsidR="0095151E">
              <w:t>etwork</w:t>
            </w:r>
            <w:r w:rsidR="0095151E" w:rsidRPr="00A800B9">
              <w:t>s</w:t>
            </w:r>
            <w:r w:rsidR="0095151E" w:rsidRPr="00A800B9" w:rsidDel="0095151E">
              <w:t xml:space="preserve"> </w:t>
            </w:r>
            <w:r w:rsidRPr="00A800B9">
              <w:t xml:space="preserve">should manage the transition ‘on the ground’ through joint regional planning in States/Territories that have not created Regional Commissioning Authorities. To ensure continuity of support during the </w:t>
            </w:r>
            <w:r w:rsidR="0095151E" w:rsidRPr="00A800B9">
              <w:t>National Disability Insurance Scheme</w:t>
            </w:r>
            <w:r w:rsidR="0095151E" w:rsidRPr="00A800B9" w:rsidDel="0095151E">
              <w:t xml:space="preserve"> </w:t>
            </w:r>
            <w:r w:rsidRPr="00A800B9">
              <w:t>transition, the formal transfer of responsibilit</w:t>
            </w:r>
            <w:r>
              <w:t>y</w:t>
            </w:r>
            <w:r w:rsidRPr="00A800B9">
              <w:t xml:space="preserve"> should not occur prior to mid</w:t>
            </w:r>
            <w:r>
              <w:noBreakHyphen/>
            </w:r>
            <w:r w:rsidRPr="00A800B9">
              <w:t>2022.</w:t>
            </w:r>
          </w:p>
          <w:p w14:paraId="59333B9A" w14:textId="24CE653F" w:rsidR="0027385B" w:rsidRPr="00D41518" w:rsidRDefault="008E5B86" w:rsidP="00571446">
            <w:pPr>
              <w:pStyle w:val="Rec"/>
              <w:keepNext/>
            </w:pPr>
            <w:r>
              <w:t xml:space="preserve">If the Australian, State and Territory Governments cannot agree to the State and Territory Governments taking on sole responsibility for </w:t>
            </w:r>
            <w:r w:rsidRPr="00A800B9">
              <w:t>commissioning psychosocial supports outside of the National Disability Insurance Scheme</w:t>
            </w:r>
            <w:r>
              <w:t xml:space="preserve">, then they should instead agree to the Australian Government taking on this responsibility and tasking the Primary Health Networks with commissioning all </w:t>
            </w:r>
            <w:r w:rsidRPr="00A800B9">
              <w:t>psychosocial supports outside of the National Disability Insurance Scheme</w:t>
            </w:r>
            <w:r>
              <w:t>.</w:t>
            </w:r>
          </w:p>
        </w:tc>
      </w:tr>
      <w:tr w:rsidR="0027385B" w:rsidRPr="00D41518" w14:paraId="01E2D620"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2F30E58B" w14:textId="77777777" w:rsidR="0027385B" w:rsidRPr="00D41518" w:rsidRDefault="0027385B" w:rsidP="00571446">
            <w:pPr>
              <w:keepNext/>
              <w:keepLines/>
              <w:spacing w:line="120" w:lineRule="exact"/>
              <w:jc w:val="both"/>
              <w:rPr>
                <w:rFonts w:ascii="Arial" w:hAnsi="Arial"/>
                <w:sz w:val="20"/>
                <w:szCs w:val="20"/>
              </w:rPr>
            </w:pPr>
          </w:p>
        </w:tc>
      </w:tr>
      <w:tr w:rsidR="0027385B" w:rsidRPr="00D41518" w14:paraId="232D84DA" w14:textId="77777777" w:rsidTr="0027385B">
        <w:tc>
          <w:tcPr>
            <w:tcW w:w="5000" w:type="pct"/>
            <w:tcBorders>
              <w:top w:val="single" w:sz="6" w:space="0" w:color="78A22F"/>
              <w:left w:val="nil"/>
              <w:bottom w:val="nil"/>
              <w:right w:val="nil"/>
            </w:tcBorders>
            <w:tcMar>
              <w:left w:w="170" w:type="dxa"/>
              <w:right w:w="170" w:type="dxa"/>
            </w:tcMar>
          </w:tcPr>
          <w:p w14:paraId="763D27D1" w14:textId="77777777" w:rsidR="0027385B" w:rsidRPr="00D41518" w:rsidRDefault="0027385B" w:rsidP="00277873">
            <w:pPr>
              <w:spacing w:before="60" w:after="60" w:line="80" w:lineRule="exact"/>
              <w:jc w:val="both"/>
              <w:rPr>
                <w:rFonts w:ascii="Arial" w:hAnsi="Arial"/>
                <w:sz w:val="14"/>
                <w:szCs w:val="20"/>
              </w:rPr>
            </w:pPr>
          </w:p>
        </w:tc>
      </w:tr>
    </w:tbl>
    <w:p w14:paraId="244E566B" w14:textId="77777777" w:rsidR="00D41518" w:rsidRPr="00D41518" w:rsidRDefault="00D41518" w:rsidP="00277873">
      <w:pPr>
        <w:pStyle w:val="BoxSpaceAbove"/>
        <w:keepLines/>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4A0" w:firstRow="1" w:lastRow="0" w:firstColumn="1" w:lastColumn="0" w:noHBand="0" w:noVBand="1"/>
        <w:tblDescription w:val="Table used for design layout: recommendation"/>
      </w:tblPr>
      <w:tblGrid>
        <w:gridCol w:w="8788"/>
      </w:tblGrid>
      <w:tr w:rsidR="00D41518" w:rsidRPr="005E64FD" w14:paraId="3E712074" w14:textId="77777777" w:rsidTr="00462628">
        <w:trPr>
          <w:tblHeader/>
        </w:trPr>
        <w:tc>
          <w:tcPr>
            <w:tcW w:w="5000" w:type="pct"/>
            <w:tcBorders>
              <w:top w:val="single" w:sz="6" w:space="0" w:color="78A22F"/>
              <w:left w:val="nil"/>
              <w:bottom w:val="nil"/>
              <w:right w:val="nil"/>
            </w:tcBorders>
            <w:shd w:val="clear" w:color="auto" w:fill="auto"/>
            <w:tcMar>
              <w:top w:w="0" w:type="dxa"/>
              <w:left w:w="170" w:type="dxa"/>
              <w:bottom w:w="0" w:type="dxa"/>
              <w:right w:w="170" w:type="dxa"/>
            </w:tcMar>
            <w:hideMark/>
          </w:tcPr>
          <w:p w14:paraId="6C561BB0" w14:textId="61AB57F9" w:rsidR="00D41518" w:rsidRPr="005E64FD" w:rsidRDefault="00625667" w:rsidP="00277873">
            <w:pPr>
              <w:pStyle w:val="RecTitle"/>
              <w:spacing w:before="120"/>
              <w:rPr>
                <w:b/>
                <w:color w:val="3B5117"/>
              </w:rPr>
            </w:pPr>
            <w:r w:rsidRPr="005E64FD">
              <w:rPr>
                <w:b/>
                <w:color w:val="3B5117"/>
              </w:rPr>
              <w:t>action</w:t>
            </w:r>
            <w:r w:rsidR="00D41518" w:rsidRPr="005E64FD">
              <w:rPr>
                <w:b/>
                <w:color w:val="3B5117"/>
              </w:rPr>
              <w:t xml:space="preserve"> 2</w:t>
            </w:r>
            <w:r w:rsidR="001A7BB6" w:rsidRPr="005E64FD">
              <w:rPr>
                <w:b/>
                <w:color w:val="3B5117"/>
              </w:rPr>
              <w:t>3</w:t>
            </w:r>
            <w:r w:rsidR="00D41518" w:rsidRPr="005E64FD">
              <w:rPr>
                <w:b/>
                <w:color w:val="3B5117"/>
              </w:rPr>
              <w:t>.3</w:t>
            </w:r>
            <w:r w:rsidR="00CE7986">
              <w:rPr>
                <w:b/>
                <w:color w:val="3B5117"/>
              </w:rPr>
              <w:t> — </w:t>
            </w:r>
            <w:r w:rsidR="002637C0" w:rsidRPr="005E64FD">
              <w:rPr>
                <w:b/>
                <w:color w:val="3B5117"/>
              </w:rPr>
              <w:t>NATIONAL MENTAL HEALTH AND SUICIDE PREVENTION AGREEMENT</w:t>
            </w:r>
          </w:p>
        </w:tc>
      </w:tr>
      <w:tr w:rsidR="00D41518" w:rsidRPr="00D41518" w14:paraId="3DB25CD9" w14:textId="77777777" w:rsidTr="00462628">
        <w:tc>
          <w:tcPr>
            <w:tcW w:w="5000" w:type="pct"/>
            <w:tcBorders>
              <w:top w:val="nil"/>
              <w:left w:val="nil"/>
              <w:bottom w:val="nil"/>
              <w:right w:val="nil"/>
            </w:tcBorders>
            <w:shd w:val="clear" w:color="auto" w:fill="F2F2F2"/>
            <w:tcMar>
              <w:top w:w="0" w:type="dxa"/>
              <w:left w:w="170" w:type="dxa"/>
              <w:bottom w:w="0" w:type="dxa"/>
              <w:right w:w="170" w:type="dxa"/>
            </w:tcMar>
            <w:hideMark/>
          </w:tcPr>
          <w:p w14:paraId="05ACD4D8" w14:textId="77777777" w:rsidR="008E5B86" w:rsidRDefault="008E5B86" w:rsidP="00571446">
            <w:pPr>
              <w:pStyle w:val="Rec"/>
              <w:keepNext/>
              <w:rPr>
                <w:lang w:eastAsia="en-US"/>
              </w:rPr>
            </w:pPr>
            <w:r>
              <w:rPr>
                <w:lang w:eastAsia="en-US"/>
              </w:rPr>
              <w:t xml:space="preserve">Governments should agree to and clarify responsibilities for mental health service delivery, funding, monitoring, reporting and evaluation. </w:t>
            </w:r>
          </w:p>
          <w:p w14:paraId="526E180B" w14:textId="42A999FD" w:rsidR="008E5B86" w:rsidRDefault="00E06F1D" w:rsidP="00571446">
            <w:pPr>
              <w:pStyle w:val="Rec"/>
              <w:keepNext/>
              <w:rPr>
                <w:i/>
                <w:lang w:eastAsia="en-US"/>
              </w:rPr>
            </w:pPr>
            <w:r>
              <w:rPr>
                <w:i/>
                <w:lang w:eastAsia="en-US"/>
              </w:rPr>
              <w:t>Start now</w:t>
            </w:r>
          </w:p>
          <w:p w14:paraId="649D32F6" w14:textId="02625642" w:rsidR="008E5B86" w:rsidRDefault="008E5B86" w:rsidP="00571446">
            <w:pPr>
              <w:pStyle w:val="Rec"/>
              <w:keepNext/>
              <w:rPr>
                <w:lang w:eastAsia="en-US"/>
              </w:rPr>
            </w:pPr>
            <w:r>
              <w:rPr>
                <w:lang w:eastAsia="en-US"/>
              </w:rPr>
              <w:t>The Australian, State and Territory Governments should develop a National Mental Health and Suicide Prevention Agreement that:</w:t>
            </w:r>
          </w:p>
          <w:p w14:paraId="7DB906D1" w14:textId="77777777" w:rsidR="008E5B86" w:rsidRDefault="008E5B86" w:rsidP="00571446">
            <w:pPr>
              <w:pStyle w:val="RecBullet"/>
              <w:keepNext/>
              <w:rPr>
                <w:lang w:eastAsia="en-US"/>
              </w:rPr>
            </w:pPr>
            <w:r>
              <w:rPr>
                <w:lang w:eastAsia="en-US"/>
              </w:rPr>
              <w:t>sets out the shared intention of the Australian, State and Territory Governments to work in partnership to improve mental health and suicide prevention outcomes for all Australians</w:t>
            </w:r>
          </w:p>
          <w:p w14:paraId="3E477F01" w14:textId="1193C39F" w:rsidR="008E5B86" w:rsidRDefault="008E5B86" w:rsidP="00571446">
            <w:pPr>
              <w:pStyle w:val="RecBullet"/>
              <w:keepNext/>
              <w:rPr>
                <w:lang w:eastAsia="en-US"/>
              </w:rPr>
            </w:pPr>
            <w:r>
              <w:rPr>
                <w:lang w:eastAsia="en-US"/>
              </w:rPr>
              <w:t xml:space="preserve">governs the transfer of psychosocial support responsibility outside of the NDIS and associated Australian Government funding to State and Territory Governments </w:t>
            </w:r>
          </w:p>
          <w:p w14:paraId="57E02599" w14:textId="77777777" w:rsidR="008E5B86" w:rsidRDefault="008E5B86" w:rsidP="00571446">
            <w:pPr>
              <w:pStyle w:val="RecBullet"/>
              <w:keepNext/>
              <w:rPr>
                <w:lang w:eastAsia="en-US"/>
              </w:rPr>
            </w:pPr>
            <w:r>
              <w:rPr>
                <w:lang w:eastAsia="en-US"/>
              </w:rPr>
              <w:t>clarifies the responsibilities of each level of government for providing mental healthcare, psychosocial supports, mental health carer supports and suicide prevention services</w:t>
            </w:r>
          </w:p>
          <w:p w14:paraId="4D0F4F6C" w14:textId="6CC47398" w:rsidR="008E5B86" w:rsidRDefault="008E5B86" w:rsidP="00571446">
            <w:pPr>
              <w:pStyle w:val="RecBullet"/>
              <w:keepNext/>
              <w:rPr>
                <w:lang w:eastAsia="en-US"/>
              </w:rPr>
            </w:pPr>
            <w:r>
              <w:rPr>
                <w:lang w:eastAsia="en-US"/>
              </w:rPr>
              <w:t>specifies minimum funding commitments by both levels of government and governs the transfer of Australian Government funding to State and Territory Governments to support expansion of mental healthcare and psychosocial supports</w:t>
            </w:r>
          </w:p>
          <w:p w14:paraId="5F66D134" w14:textId="515BFB27" w:rsidR="008E5B86" w:rsidRDefault="008E5B86" w:rsidP="00571446">
            <w:pPr>
              <w:pStyle w:val="RecBullet"/>
              <w:keepNext/>
              <w:rPr>
                <w:lang w:eastAsia="en-US"/>
              </w:rPr>
            </w:pPr>
            <w:r>
              <w:rPr>
                <w:lang w:eastAsia="en-US"/>
              </w:rPr>
              <w:t>declares the role of the National Mental Health Commission as an interjurisdictional evaluation body and its role in monitoring P</w:t>
            </w:r>
            <w:r w:rsidR="0095151E">
              <w:rPr>
                <w:lang w:eastAsia="en-US"/>
              </w:rPr>
              <w:t xml:space="preserve">rimary </w:t>
            </w:r>
            <w:r>
              <w:rPr>
                <w:lang w:eastAsia="en-US"/>
              </w:rPr>
              <w:t>H</w:t>
            </w:r>
            <w:r w:rsidR="0095151E">
              <w:rPr>
                <w:lang w:eastAsia="en-US"/>
              </w:rPr>
              <w:t xml:space="preserve">ealth </w:t>
            </w:r>
            <w:r>
              <w:rPr>
                <w:lang w:eastAsia="en-US"/>
              </w:rPr>
              <w:t>N</w:t>
            </w:r>
            <w:r w:rsidR="0095151E">
              <w:rPr>
                <w:lang w:eastAsia="en-US"/>
              </w:rPr>
              <w:t>etwork</w:t>
            </w:r>
            <w:r>
              <w:rPr>
                <w:lang w:eastAsia="en-US"/>
              </w:rPr>
              <w:t>–L</w:t>
            </w:r>
            <w:r w:rsidR="0095151E">
              <w:rPr>
                <w:lang w:eastAsia="en-US"/>
              </w:rPr>
              <w:t xml:space="preserve">ocal </w:t>
            </w:r>
            <w:r>
              <w:rPr>
                <w:lang w:eastAsia="en-US"/>
              </w:rPr>
              <w:t>H</w:t>
            </w:r>
            <w:r w:rsidR="0095151E">
              <w:rPr>
                <w:lang w:eastAsia="en-US"/>
              </w:rPr>
              <w:t xml:space="preserve">ospital </w:t>
            </w:r>
            <w:r>
              <w:rPr>
                <w:lang w:eastAsia="en-US"/>
              </w:rPr>
              <w:t>N</w:t>
            </w:r>
            <w:r w:rsidR="0095151E">
              <w:rPr>
                <w:lang w:eastAsia="en-US"/>
              </w:rPr>
              <w:t>etwork</w:t>
            </w:r>
            <w:r>
              <w:rPr>
                <w:lang w:eastAsia="en-US"/>
              </w:rPr>
              <w:t xml:space="preserve"> cooperation </w:t>
            </w:r>
          </w:p>
          <w:p w14:paraId="0674921C" w14:textId="24FEE3B0" w:rsidR="008E5B86" w:rsidRDefault="008E5B86" w:rsidP="00571446">
            <w:pPr>
              <w:pStyle w:val="RecBullet"/>
              <w:keepNext/>
              <w:rPr>
                <w:lang w:eastAsia="en-US"/>
              </w:rPr>
            </w:pPr>
            <w:r>
              <w:rPr>
                <w:lang w:eastAsia="en-US"/>
              </w:rPr>
              <w:t xml:space="preserve">commits all governments to establishing Regional Commissioning Authorities if cooperation between </w:t>
            </w:r>
            <w:r w:rsidR="0095151E" w:rsidRPr="00A800B9">
              <w:t>P</w:t>
            </w:r>
            <w:r w:rsidR="0095151E">
              <w:t xml:space="preserve">rimary </w:t>
            </w:r>
            <w:r w:rsidR="0095151E" w:rsidRPr="00A800B9">
              <w:t>H</w:t>
            </w:r>
            <w:r w:rsidR="0095151E">
              <w:t xml:space="preserve">ealth </w:t>
            </w:r>
            <w:r w:rsidR="0095151E" w:rsidRPr="00A800B9">
              <w:t>N</w:t>
            </w:r>
            <w:r w:rsidR="0095151E">
              <w:t>etwork</w:t>
            </w:r>
            <w:r w:rsidR="0095151E" w:rsidRPr="00A800B9">
              <w:t>s and L</w:t>
            </w:r>
            <w:r w:rsidR="0095151E">
              <w:t xml:space="preserve">ocal </w:t>
            </w:r>
            <w:r w:rsidR="0095151E" w:rsidRPr="00A800B9">
              <w:t>H</w:t>
            </w:r>
            <w:r w:rsidR="0095151E">
              <w:t xml:space="preserve">ospital </w:t>
            </w:r>
            <w:r w:rsidR="0095151E" w:rsidRPr="00A800B9">
              <w:t>N</w:t>
            </w:r>
            <w:r w:rsidR="0095151E">
              <w:t>etwork</w:t>
            </w:r>
            <w:r w:rsidR="0095151E" w:rsidRPr="00A800B9">
              <w:t>s</w:t>
            </w:r>
            <w:r w:rsidR="0095151E">
              <w:rPr>
                <w:lang w:eastAsia="en-US"/>
              </w:rPr>
              <w:t xml:space="preserve"> </w:t>
            </w:r>
            <w:r>
              <w:rPr>
                <w:lang w:eastAsia="en-US"/>
              </w:rPr>
              <w:t>does not drive sufficiently improved outcomes</w:t>
            </w:r>
          </w:p>
          <w:p w14:paraId="4115E3F6" w14:textId="77777777" w:rsidR="008E5B86" w:rsidRDefault="008E5B86" w:rsidP="00571446">
            <w:pPr>
              <w:pStyle w:val="RecBullet"/>
              <w:keepNext/>
              <w:rPr>
                <w:lang w:eastAsia="en-US"/>
              </w:rPr>
            </w:pPr>
            <w:r>
              <w:rPr>
                <w:lang w:eastAsia="en-US"/>
              </w:rPr>
              <w:t>sets out clear and transparent performance reporting requirements.</w:t>
            </w:r>
          </w:p>
          <w:p w14:paraId="54FB09C3" w14:textId="400966D2" w:rsidR="00A108F8" w:rsidRPr="0043669F" w:rsidRDefault="008E5B86" w:rsidP="00571446">
            <w:pPr>
              <w:pStyle w:val="Rec"/>
              <w:keepNext/>
            </w:pPr>
            <w:r>
              <w:rPr>
                <w:lang w:eastAsia="en-US"/>
              </w:rPr>
              <w:t>The Australian, State and Territory Government health ministers should be responsible for developing and implementing the National Mental Health and Suicide Prevention Agreement. Governments consult thoroughly with consumers and carers to inform the development of the agreement.</w:t>
            </w:r>
          </w:p>
        </w:tc>
      </w:tr>
      <w:tr w:rsidR="00277873" w:rsidRPr="00D41518" w14:paraId="48216114" w14:textId="77777777" w:rsidTr="003B3426">
        <w:tblPrEx>
          <w:tblLook w:val="0000" w:firstRow="0" w:lastRow="0" w:firstColumn="0" w:lastColumn="0" w:noHBand="0" w:noVBand="0"/>
        </w:tblPrEx>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15FA8DDF" w14:textId="77777777" w:rsidR="00277873" w:rsidRPr="00D41518" w:rsidRDefault="00277873" w:rsidP="00A74D34">
            <w:pPr>
              <w:keepNext/>
              <w:keepLines/>
              <w:spacing w:line="120" w:lineRule="exact"/>
              <w:jc w:val="both"/>
              <w:rPr>
                <w:rFonts w:ascii="Arial" w:hAnsi="Arial"/>
                <w:sz w:val="20"/>
                <w:szCs w:val="20"/>
              </w:rPr>
            </w:pPr>
          </w:p>
        </w:tc>
      </w:tr>
      <w:tr w:rsidR="00277873" w:rsidRPr="00D41518" w14:paraId="70117905" w14:textId="77777777" w:rsidTr="00A74D34">
        <w:tblPrEx>
          <w:tblLook w:val="0000" w:firstRow="0" w:lastRow="0" w:firstColumn="0" w:lastColumn="0" w:noHBand="0" w:noVBand="0"/>
        </w:tblPrEx>
        <w:tc>
          <w:tcPr>
            <w:tcW w:w="5000" w:type="pct"/>
            <w:tcBorders>
              <w:top w:val="single" w:sz="6" w:space="0" w:color="78A22F"/>
              <w:left w:val="nil"/>
              <w:bottom w:val="nil"/>
              <w:right w:val="nil"/>
            </w:tcBorders>
            <w:tcMar>
              <w:left w:w="170" w:type="dxa"/>
              <w:right w:w="170" w:type="dxa"/>
            </w:tcMar>
          </w:tcPr>
          <w:p w14:paraId="43961787" w14:textId="77777777" w:rsidR="00277873" w:rsidRPr="00D41518" w:rsidRDefault="00277873" w:rsidP="00A74D34">
            <w:pPr>
              <w:pStyle w:val="BoxSpaceBelow"/>
            </w:pPr>
          </w:p>
        </w:tc>
      </w:tr>
    </w:tbl>
    <w:p w14:paraId="1A3EA54A" w14:textId="77777777" w:rsidR="001A7BB6" w:rsidRPr="00D41518" w:rsidRDefault="001A7BB6" w:rsidP="00571446">
      <w:pPr>
        <w:pStyle w:val="BoxSpaceAbove"/>
        <w:keepLines/>
        <w:pageBreakBefor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4A0" w:firstRow="1" w:lastRow="0" w:firstColumn="1" w:lastColumn="0" w:noHBand="0" w:noVBand="1"/>
        <w:tblDescription w:val="Table used for design layout: recommendation"/>
      </w:tblPr>
      <w:tblGrid>
        <w:gridCol w:w="8788"/>
      </w:tblGrid>
      <w:tr w:rsidR="001A7BB6" w:rsidRPr="005E64FD" w14:paraId="7367AB50" w14:textId="77777777" w:rsidTr="003728EC">
        <w:trPr>
          <w:tblHeader/>
        </w:trPr>
        <w:tc>
          <w:tcPr>
            <w:tcW w:w="5000" w:type="pct"/>
            <w:tcBorders>
              <w:top w:val="single" w:sz="6" w:space="0" w:color="78A22F"/>
              <w:left w:val="nil"/>
              <w:bottom w:val="nil"/>
              <w:right w:val="nil"/>
            </w:tcBorders>
            <w:shd w:val="clear" w:color="auto" w:fill="auto"/>
            <w:tcMar>
              <w:top w:w="0" w:type="dxa"/>
              <w:left w:w="170" w:type="dxa"/>
              <w:bottom w:w="0" w:type="dxa"/>
              <w:right w:w="170" w:type="dxa"/>
            </w:tcMar>
            <w:hideMark/>
          </w:tcPr>
          <w:p w14:paraId="7057CD30" w14:textId="09972086" w:rsidR="001A7BB6" w:rsidRPr="005E64FD" w:rsidRDefault="001A7BB6" w:rsidP="00571446">
            <w:pPr>
              <w:pStyle w:val="RecTitle"/>
              <w:spacing w:before="120"/>
              <w:rPr>
                <w:b/>
                <w:color w:val="3B5117"/>
              </w:rPr>
            </w:pPr>
            <w:r w:rsidRPr="005E64FD">
              <w:rPr>
                <w:b/>
                <w:color w:val="3B5117"/>
              </w:rPr>
              <w:t>action 23.4</w:t>
            </w:r>
            <w:r w:rsidR="00CE7986">
              <w:rPr>
                <w:b/>
                <w:color w:val="3B5117"/>
              </w:rPr>
              <w:t> — </w:t>
            </w:r>
            <w:r w:rsidRPr="005E64FD">
              <w:rPr>
                <w:b/>
                <w:color w:val="3B5117"/>
              </w:rPr>
              <w:t>TRANSITION TO REGIONAL COMMISSIONING AUTHORITIES</w:t>
            </w:r>
          </w:p>
        </w:tc>
      </w:tr>
      <w:tr w:rsidR="001A7BB6" w:rsidRPr="00D41518" w14:paraId="57ADF771" w14:textId="77777777" w:rsidTr="003728EC">
        <w:tc>
          <w:tcPr>
            <w:tcW w:w="5000" w:type="pct"/>
            <w:tcBorders>
              <w:top w:val="nil"/>
              <w:left w:val="nil"/>
              <w:bottom w:val="nil"/>
              <w:right w:val="nil"/>
            </w:tcBorders>
            <w:shd w:val="clear" w:color="auto" w:fill="F2F2F2"/>
            <w:tcMar>
              <w:top w:w="0" w:type="dxa"/>
              <w:left w:w="170" w:type="dxa"/>
              <w:bottom w:w="0" w:type="dxa"/>
              <w:right w:w="170" w:type="dxa"/>
            </w:tcMar>
            <w:hideMark/>
          </w:tcPr>
          <w:p w14:paraId="04869F03" w14:textId="77777777" w:rsidR="008E5B86" w:rsidRDefault="008E5B86" w:rsidP="00571446">
            <w:pPr>
              <w:pStyle w:val="Rec"/>
              <w:keepNext/>
              <w:rPr>
                <w:lang w:eastAsia="en-US"/>
              </w:rPr>
            </w:pPr>
            <w:r>
              <w:rPr>
                <w:i/>
                <w:lang w:eastAsia="en-US"/>
              </w:rPr>
              <w:t>Start now</w:t>
            </w:r>
          </w:p>
          <w:p w14:paraId="3B8EDFE7" w14:textId="269BB3FE" w:rsidR="008E5B86" w:rsidRDefault="008E5B86" w:rsidP="00571446">
            <w:pPr>
              <w:pStyle w:val="Rec"/>
              <w:keepNext/>
              <w:rPr>
                <w:lang w:eastAsia="en-US"/>
              </w:rPr>
            </w:pPr>
            <w:r>
              <w:rPr>
                <w:lang w:eastAsia="en-US"/>
              </w:rPr>
              <w:t>The Australian Government should, at any time, permit any State/Territory Government to establish Regional Commissioning Authorities (RCAs) to commission mental healthcare, alcohol and drug services, psychosocial and mental health carer supports outside of the NDIS, and place</w:t>
            </w:r>
            <w:r>
              <w:rPr>
                <w:lang w:eastAsia="en-US"/>
              </w:rPr>
              <w:noBreakHyphen/>
              <w:t>based suicide prevention services. State and Territory Governments should establish RCAs if there is not sufficient cooperation between P</w:t>
            </w:r>
            <w:r w:rsidR="00380F9A">
              <w:rPr>
                <w:lang w:eastAsia="en-US"/>
              </w:rPr>
              <w:t xml:space="preserve">rimary </w:t>
            </w:r>
            <w:r>
              <w:rPr>
                <w:lang w:eastAsia="en-US"/>
              </w:rPr>
              <w:t>H</w:t>
            </w:r>
            <w:r w:rsidR="00380F9A">
              <w:rPr>
                <w:lang w:eastAsia="en-US"/>
              </w:rPr>
              <w:t xml:space="preserve">ealth </w:t>
            </w:r>
            <w:r>
              <w:rPr>
                <w:lang w:eastAsia="en-US"/>
              </w:rPr>
              <w:t>N</w:t>
            </w:r>
            <w:r w:rsidR="00380F9A">
              <w:rPr>
                <w:lang w:eastAsia="en-US"/>
              </w:rPr>
              <w:t>etwork</w:t>
            </w:r>
            <w:r>
              <w:rPr>
                <w:lang w:eastAsia="en-US"/>
              </w:rPr>
              <w:t xml:space="preserve">s </w:t>
            </w:r>
            <w:r w:rsidR="00C15E26">
              <w:rPr>
                <w:lang w:eastAsia="en-US"/>
              </w:rPr>
              <w:t xml:space="preserve">(PHNs) </w:t>
            </w:r>
            <w:r>
              <w:rPr>
                <w:lang w:eastAsia="en-US"/>
              </w:rPr>
              <w:t>and L</w:t>
            </w:r>
            <w:r w:rsidR="00380F9A">
              <w:rPr>
                <w:lang w:eastAsia="en-US"/>
              </w:rPr>
              <w:t xml:space="preserve">ocal </w:t>
            </w:r>
            <w:r>
              <w:rPr>
                <w:lang w:eastAsia="en-US"/>
              </w:rPr>
              <w:t>H</w:t>
            </w:r>
            <w:r w:rsidR="00380F9A">
              <w:rPr>
                <w:lang w:eastAsia="en-US"/>
              </w:rPr>
              <w:t xml:space="preserve">ospital </w:t>
            </w:r>
            <w:r>
              <w:rPr>
                <w:lang w:eastAsia="en-US"/>
              </w:rPr>
              <w:t>N</w:t>
            </w:r>
            <w:r w:rsidR="00380F9A">
              <w:rPr>
                <w:lang w:eastAsia="en-US"/>
              </w:rPr>
              <w:t>etwork</w:t>
            </w:r>
            <w:r>
              <w:rPr>
                <w:lang w:eastAsia="en-US"/>
              </w:rPr>
              <w:t>s</w:t>
            </w:r>
            <w:r w:rsidR="00C15E26">
              <w:rPr>
                <w:lang w:eastAsia="en-US"/>
              </w:rPr>
              <w:t xml:space="preserve"> (LHNs)</w:t>
            </w:r>
            <w:r>
              <w:rPr>
                <w:lang w:eastAsia="en-US"/>
              </w:rPr>
              <w:t xml:space="preserve"> in their jurisdiction to drive improved mental health outcomes.</w:t>
            </w:r>
          </w:p>
          <w:p w14:paraId="73306207" w14:textId="77777777" w:rsidR="008E5B86" w:rsidRDefault="008E5B86" w:rsidP="00571446">
            <w:pPr>
              <w:pStyle w:val="Rec"/>
              <w:keepNext/>
              <w:rPr>
                <w:lang w:eastAsia="en-US"/>
              </w:rPr>
            </w:pPr>
            <w:r>
              <w:rPr>
                <w:lang w:eastAsia="en-US"/>
              </w:rPr>
              <w:t>As part of this transition, the Australian Government and the relevant State/Territory Government should agree to:</w:t>
            </w:r>
          </w:p>
          <w:p w14:paraId="222DA0D4" w14:textId="1DDF1EDF" w:rsidR="008E5B86" w:rsidRDefault="008E5B86" w:rsidP="00571446">
            <w:pPr>
              <w:pStyle w:val="RecBullet"/>
              <w:keepNext/>
              <w:rPr>
                <w:lang w:eastAsia="en-US"/>
              </w:rPr>
            </w:pPr>
            <w:r>
              <w:rPr>
                <w:lang w:eastAsia="en-US"/>
              </w:rPr>
              <w:t>establish RCAs as separate entities at arm’s length from ministerial control</w:t>
            </w:r>
          </w:p>
          <w:p w14:paraId="4B7FA946" w14:textId="77777777" w:rsidR="008E5B86" w:rsidRDefault="008E5B86" w:rsidP="00571446">
            <w:pPr>
              <w:pStyle w:val="RecBullet"/>
              <w:keepNext/>
              <w:rPr>
                <w:lang w:eastAsia="en-US"/>
              </w:rPr>
            </w:pPr>
            <w:r>
              <w:rPr>
                <w:lang w:eastAsia="en-US"/>
              </w:rPr>
              <w:t>transfer PHN Mental Health Care Flexible Funding Pool and PHN alcohol and drug funding to the corresponding RCA.</w:t>
            </w:r>
          </w:p>
          <w:p w14:paraId="6073DB39" w14:textId="726350C3" w:rsidR="001A7BB6" w:rsidRPr="00D41518" w:rsidRDefault="008E5B86" w:rsidP="00571446">
            <w:pPr>
              <w:pStyle w:val="Rec"/>
              <w:keepNext/>
            </w:pPr>
            <w:r>
              <w:rPr>
                <w:lang w:eastAsia="en-US"/>
              </w:rPr>
              <w:t>The requirements on PHN–LHN groupings to undertake joint regional planning and the National Mental Health Commission monitoring of PHN–LHN cooperation (</w:t>
            </w:r>
            <w:r w:rsidR="005028B3">
              <w:rPr>
                <w:lang w:eastAsia="en-US"/>
              </w:rPr>
              <w:t>A</w:t>
            </w:r>
            <w:r>
              <w:rPr>
                <w:lang w:eastAsia="en-US"/>
              </w:rPr>
              <w:t>ction 23.2) should apply to RCAs.</w:t>
            </w:r>
          </w:p>
        </w:tc>
      </w:tr>
      <w:tr w:rsidR="001815E3" w:rsidRPr="00D41518" w14:paraId="12C3BA42" w14:textId="77777777" w:rsidTr="003B3426">
        <w:tblPrEx>
          <w:tblLook w:val="0000" w:firstRow="0" w:lastRow="0" w:firstColumn="0" w:lastColumn="0" w:noHBand="0" w:noVBand="0"/>
        </w:tblPrEx>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6F2C54F2" w14:textId="77777777" w:rsidR="001815E3" w:rsidRPr="00D41518" w:rsidRDefault="001815E3" w:rsidP="00A74D34">
            <w:pPr>
              <w:keepNext/>
              <w:keepLines/>
              <w:spacing w:line="120" w:lineRule="exact"/>
              <w:jc w:val="both"/>
              <w:rPr>
                <w:rFonts w:ascii="Arial" w:hAnsi="Arial"/>
                <w:sz w:val="20"/>
                <w:szCs w:val="20"/>
              </w:rPr>
            </w:pPr>
          </w:p>
        </w:tc>
      </w:tr>
      <w:tr w:rsidR="001815E3" w:rsidRPr="00D41518" w14:paraId="4FD00C66" w14:textId="77777777" w:rsidTr="00A74D34">
        <w:tblPrEx>
          <w:tblLook w:val="0000" w:firstRow="0" w:lastRow="0" w:firstColumn="0" w:lastColumn="0" w:noHBand="0" w:noVBand="0"/>
        </w:tblPrEx>
        <w:tc>
          <w:tcPr>
            <w:tcW w:w="5000" w:type="pct"/>
            <w:tcBorders>
              <w:top w:val="single" w:sz="6" w:space="0" w:color="78A22F"/>
              <w:left w:val="nil"/>
              <w:bottom w:val="nil"/>
              <w:right w:val="nil"/>
            </w:tcBorders>
            <w:tcMar>
              <w:left w:w="170" w:type="dxa"/>
              <w:right w:w="170" w:type="dxa"/>
            </w:tcMar>
          </w:tcPr>
          <w:p w14:paraId="79CD30A4" w14:textId="77777777" w:rsidR="001815E3" w:rsidRPr="00D41518" w:rsidRDefault="001815E3" w:rsidP="00277873">
            <w:pPr>
              <w:pStyle w:val="BoxSpaceBelow"/>
            </w:pPr>
          </w:p>
        </w:tc>
      </w:tr>
    </w:tbl>
    <w:p w14:paraId="122ED4C1" w14:textId="77777777" w:rsidR="00D41518" w:rsidRPr="00D41518" w:rsidRDefault="00D41518" w:rsidP="00E06F1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D41518" w:rsidRPr="005E64FD" w14:paraId="2A8C7BE5" w14:textId="77777777" w:rsidTr="00462628">
        <w:trPr>
          <w:tblHeader/>
        </w:trPr>
        <w:tc>
          <w:tcPr>
            <w:tcW w:w="5000" w:type="pct"/>
            <w:tcBorders>
              <w:top w:val="single" w:sz="6" w:space="0" w:color="78A22F"/>
              <w:left w:val="nil"/>
              <w:bottom w:val="nil"/>
              <w:right w:val="nil"/>
            </w:tcBorders>
            <w:shd w:val="clear" w:color="auto" w:fill="auto"/>
            <w:tcMar>
              <w:left w:w="170" w:type="dxa"/>
              <w:right w:w="170" w:type="dxa"/>
            </w:tcMar>
          </w:tcPr>
          <w:p w14:paraId="29A498F3" w14:textId="4BC5F14B" w:rsidR="00D41518" w:rsidRPr="005E64FD" w:rsidRDefault="00625667" w:rsidP="005E64FD">
            <w:pPr>
              <w:pStyle w:val="RecTitle"/>
              <w:spacing w:before="120"/>
              <w:rPr>
                <w:b/>
                <w:color w:val="3B5117"/>
              </w:rPr>
            </w:pPr>
            <w:r w:rsidRPr="005E64FD">
              <w:rPr>
                <w:b/>
                <w:color w:val="3B5117"/>
              </w:rPr>
              <w:t>action</w:t>
            </w:r>
            <w:r w:rsidR="00D41518" w:rsidRPr="005E64FD">
              <w:rPr>
                <w:b/>
                <w:color w:val="3B5117"/>
              </w:rPr>
              <w:t xml:space="preserve"> 2</w:t>
            </w:r>
            <w:r w:rsidR="001A7BB6" w:rsidRPr="005E64FD">
              <w:rPr>
                <w:b/>
                <w:color w:val="3B5117"/>
              </w:rPr>
              <w:t>3</w:t>
            </w:r>
            <w:r w:rsidR="00D41518" w:rsidRPr="005E64FD">
              <w:rPr>
                <w:b/>
                <w:color w:val="3B5117"/>
              </w:rPr>
              <w:t>.</w:t>
            </w:r>
            <w:r w:rsidR="001A7BB6" w:rsidRPr="005E64FD">
              <w:rPr>
                <w:b/>
                <w:color w:val="3B5117"/>
              </w:rPr>
              <w:t>5</w:t>
            </w:r>
            <w:r w:rsidR="00CE7986">
              <w:rPr>
                <w:b/>
                <w:color w:val="3B5117"/>
              </w:rPr>
              <w:t> — </w:t>
            </w:r>
            <w:r w:rsidR="0098107B" w:rsidRPr="005E64FD">
              <w:rPr>
                <w:b/>
                <w:color w:val="3B5117"/>
              </w:rPr>
              <w:t>PRIMARY MENTAL HEALTHCARE FUNDING ARRANGEMENTS</w:t>
            </w:r>
          </w:p>
        </w:tc>
      </w:tr>
      <w:tr w:rsidR="00D41518" w:rsidRPr="00D41518" w14:paraId="0DC21C10" w14:textId="77777777" w:rsidTr="00462628">
        <w:tc>
          <w:tcPr>
            <w:tcW w:w="5000" w:type="pct"/>
            <w:tcBorders>
              <w:top w:val="nil"/>
              <w:left w:val="nil"/>
              <w:bottom w:val="nil"/>
              <w:right w:val="nil"/>
            </w:tcBorders>
            <w:shd w:val="clear" w:color="auto" w:fill="F2F2F2"/>
            <w:tcMar>
              <w:left w:w="170" w:type="dxa"/>
              <w:right w:w="170" w:type="dxa"/>
            </w:tcMar>
          </w:tcPr>
          <w:p w14:paraId="0E44EC80" w14:textId="6A8F280B" w:rsidR="008E5B86" w:rsidRDefault="008E5B86" w:rsidP="008E5B86">
            <w:pPr>
              <w:pStyle w:val="Rec"/>
              <w:keepNext/>
              <w:rPr>
                <w:i/>
                <w:lang w:eastAsia="en-US"/>
              </w:rPr>
            </w:pPr>
            <w:r>
              <w:rPr>
                <w:i/>
                <w:lang w:eastAsia="en-US"/>
              </w:rPr>
              <w:t>Start now</w:t>
            </w:r>
          </w:p>
          <w:p w14:paraId="0531A758" w14:textId="30B2CDFB" w:rsidR="008E5B86" w:rsidRDefault="008E5B86" w:rsidP="008E5B86">
            <w:pPr>
              <w:pStyle w:val="Rec"/>
              <w:keepNext/>
              <w:rPr>
                <w:lang w:eastAsia="en-US"/>
              </w:rPr>
            </w:pPr>
            <w:r>
              <w:rPr>
                <w:lang w:eastAsia="en-US"/>
              </w:rPr>
              <w:t xml:space="preserve">The Australian Government Department of Health should reform the methodology that it uses to determine the size of the </w:t>
            </w:r>
            <w:r w:rsidR="00A650A6">
              <w:rPr>
                <w:lang w:eastAsia="en-US"/>
              </w:rPr>
              <w:t xml:space="preserve">Primary Health Network (PHN) </w:t>
            </w:r>
            <w:r>
              <w:rPr>
                <w:lang w:eastAsia="en-US"/>
              </w:rPr>
              <w:t>Mental Health Care Flexible Funding Pool and how it is allocated between regional commissioning bodies to allow for greater geographic equity in primary mental healthcare funding and to reduce funding biases that favour MBS</w:t>
            </w:r>
            <w:r>
              <w:rPr>
                <w:lang w:eastAsia="en-US"/>
              </w:rPr>
              <w:noBreakHyphen/>
              <w:t>rebated care.</w:t>
            </w:r>
          </w:p>
          <w:p w14:paraId="5CEDA153" w14:textId="5694DA84" w:rsidR="008E5B86" w:rsidRDefault="008E5B86" w:rsidP="008E5B86">
            <w:pPr>
              <w:pStyle w:val="Rec"/>
              <w:keepNext/>
              <w:rPr>
                <w:lang w:eastAsia="en-US"/>
              </w:rPr>
            </w:pPr>
            <w:r>
              <w:rPr>
                <w:lang w:eastAsia="en-US"/>
              </w:rPr>
              <w:t xml:space="preserve">Once this has occurred, the Australian Government Minister for Health should issue a direction in relation to the </w:t>
            </w:r>
            <w:r>
              <w:rPr>
                <w:i/>
                <w:lang w:eastAsia="en-US"/>
              </w:rPr>
              <w:t xml:space="preserve">Health Insurance Act 1973 </w:t>
            </w:r>
            <w:r>
              <w:rPr>
                <w:lang w:eastAsia="en-US"/>
              </w:rPr>
              <w:t>(</w:t>
            </w:r>
            <w:proofErr w:type="spellStart"/>
            <w:r>
              <w:rPr>
                <w:lang w:eastAsia="en-US"/>
              </w:rPr>
              <w:t>Cth</w:t>
            </w:r>
            <w:proofErr w:type="spellEnd"/>
            <w:r>
              <w:rPr>
                <w:lang w:eastAsia="en-US"/>
              </w:rPr>
              <w:t>) to allow regional commissioning bodies to co</w:t>
            </w:r>
            <w:r>
              <w:rPr>
                <w:lang w:eastAsia="en-US"/>
              </w:rPr>
              <w:noBreakHyphen/>
              <w:t>fund MBS</w:t>
            </w:r>
            <w:r>
              <w:rPr>
                <w:lang w:eastAsia="en-US"/>
              </w:rPr>
              <w:noBreakHyphen/>
              <w:t>rebated mental health services, and allow other Australian, State and Territory Government agencies to co</w:t>
            </w:r>
            <w:r>
              <w:rPr>
                <w:lang w:eastAsia="en-US"/>
              </w:rPr>
              <w:noBreakHyphen/>
              <w:t>fund MBS</w:t>
            </w:r>
            <w:r>
              <w:rPr>
                <w:lang w:eastAsia="en-US"/>
              </w:rPr>
              <w:noBreakHyphen/>
              <w:t>rebated mental health services with the consent of the corresponding regional commissioning body.</w:t>
            </w:r>
          </w:p>
          <w:p w14:paraId="31D32F16" w14:textId="278FECF8" w:rsidR="00D41518" w:rsidRPr="00D41518" w:rsidRDefault="008E5B86" w:rsidP="009535E9">
            <w:pPr>
              <w:pStyle w:val="Rec"/>
              <w:keepNext/>
            </w:pPr>
            <w:r>
              <w:rPr>
                <w:lang w:eastAsia="en-US"/>
              </w:rPr>
              <w:t>The Minister for Health should also issue a direction in relation to the Health Insurance Act to allow State and Territory Government agencies to co</w:t>
            </w:r>
            <w:r>
              <w:rPr>
                <w:lang w:eastAsia="en-US"/>
              </w:rPr>
              <w:noBreakHyphen/>
              <w:t>fund MBS</w:t>
            </w:r>
            <w:r>
              <w:rPr>
                <w:lang w:eastAsia="en-US"/>
              </w:rPr>
              <w:noBreakHyphen/>
              <w:t>rebated out</w:t>
            </w:r>
            <w:r>
              <w:rPr>
                <w:lang w:eastAsia="en-US"/>
              </w:rPr>
              <w:noBreakHyphen/>
              <w:t>of</w:t>
            </w:r>
            <w:r>
              <w:rPr>
                <w:lang w:eastAsia="en-US"/>
              </w:rPr>
              <w:noBreakHyphen/>
              <w:t>hours GP services with the agreement of the corresponding PHN. The Australian Government should direct PHNs to approve these requests if there is a reasonable prospect that additional out of hours GP services would yield reductions in mental health related emergency department presentations.</w:t>
            </w:r>
          </w:p>
        </w:tc>
      </w:tr>
      <w:tr w:rsidR="00D41518" w:rsidRPr="00D41518" w14:paraId="2D949719"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6ABB46B6" w14:textId="77777777" w:rsidR="00D41518" w:rsidRPr="00D41518" w:rsidRDefault="00D41518" w:rsidP="00D41518">
            <w:pPr>
              <w:keepNext/>
              <w:keepLines/>
              <w:spacing w:line="120" w:lineRule="exact"/>
              <w:jc w:val="both"/>
              <w:rPr>
                <w:rFonts w:ascii="Arial" w:hAnsi="Arial"/>
                <w:sz w:val="20"/>
                <w:szCs w:val="20"/>
              </w:rPr>
            </w:pPr>
          </w:p>
        </w:tc>
      </w:tr>
      <w:tr w:rsidR="00D41518" w:rsidRPr="00D41518" w14:paraId="0C9F59E7" w14:textId="77777777" w:rsidTr="00462628">
        <w:tc>
          <w:tcPr>
            <w:tcW w:w="5000" w:type="pct"/>
            <w:tcBorders>
              <w:top w:val="single" w:sz="6" w:space="0" w:color="78A22F"/>
              <w:left w:val="nil"/>
              <w:bottom w:val="nil"/>
              <w:right w:val="nil"/>
            </w:tcBorders>
            <w:tcMar>
              <w:left w:w="170" w:type="dxa"/>
              <w:right w:w="170" w:type="dxa"/>
            </w:tcMar>
          </w:tcPr>
          <w:p w14:paraId="387571E6" w14:textId="77777777" w:rsidR="00D41518" w:rsidRPr="00D41518" w:rsidRDefault="00D41518" w:rsidP="00277873">
            <w:pPr>
              <w:pStyle w:val="BoxSpaceBelow"/>
            </w:pPr>
          </w:p>
        </w:tc>
      </w:tr>
    </w:tbl>
    <w:p w14:paraId="5848A21F" w14:textId="77777777" w:rsidR="002D0502" w:rsidRPr="00D41518" w:rsidRDefault="002D0502" w:rsidP="00E06F1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2D0502" w:rsidRPr="005E64FD" w14:paraId="5A652F68" w14:textId="77777777" w:rsidTr="00E6245A">
        <w:trPr>
          <w:tblHeader/>
        </w:trPr>
        <w:tc>
          <w:tcPr>
            <w:tcW w:w="5000" w:type="pct"/>
            <w:tcBorders>
              <w:top w:val="single" w:sz="6" w:space="0" w:color="78A22F"/>
              <w:left w:val="nil"/>
              <w:bottom w:val="nil"/>
              <w:right w:val="nil"/>
            </w:tcBorders>
            <w:shd w:val="clear" w:color="auto" w:fill="FFFFFF"/>
            <w:tcMar>
              <w:left w:w="170" w:type="dxa"/>
              <w:right w:w="170" w:type="dxa"/>
            </w:tcMar>
          </w:tcPr>
          <w:p w14:paraId="758069BB" w14:textId="7594BD0B" w:rsidR="002D0502" w:rsidRPr="005E64FD" w:rsidRDefault="00625667" w:rsidP="005E64FD">
            <w:pPr>
              <w:pStyle w:val="RecTitle"/>
              <w:spacing w:before="120"/>
              <w:rPr>
                <w:b/>
                <w:color w:val="3B5117"/>
              </w:rPr>
            </w:pPr>
            <w:r w:rsidRPr="005E64FD">
              <w:rPr>
                <w:b/>
                <w:color w:val="3B5117"/>
              </w:rPr>
              <w:t>action</w:t>
            </w:r>
            <w:r w:rsidR="002D0502" w:rsidRPr="005E64FD">
              <w:rPr>
                <w:b/>
                <w:color w:val="3B5117"/>
              </w:rPr>
              <w:t xml:space="preserve"> 2</w:t>
            </w:r>
            <w:r w:rsidR="001A7BB6" w:rsidRPr="005E64FD">
              <w:rPr>
                <w:b/>
                <w:color w:val="3B5117"/>
              </w:rPr>
              <w:t>3</w:t>
            </w:r>
            <w:r w:rsidR="002D0502" w:rsidRPr="005E64FD">
              <w:rPr>
                <w:b/>
                <w:color w:val="3B5117"/>
              </w:rPr>
              <w:t>.</w:t>
            </w:r>
            <w:r w:rsidR="001A7BB6" w:rsidRPr="005E64FD">
              <w:rPr>
                <w:b/>
                <w:color w:val="3B5117"/>
              </w:rPr>
              <w:t>6</w:t>
            </w:r>
            <w:r w:rsidR="00CE7986">
              <w:rPr>
                <w:b/>
                <w:color w:val="3B5117"/>
              </w:rPr>
              <w:t> — </w:t>
            </w:r>
            <w:r w:rsidR="002D0502" w:rsidRPr="005E64FD">
              <w:rPr>
                <w:b/>
                <w:color w:val="3B5117"/>
              </w:rPr>
              <w:t xml:space="preserve">CONTROLS ON </w:t>
            </w:r>
            <w:r w:rsidR="0010057B" w:rsidRPr="005E64FD">
              <w:rPr>
                <w:b/>
                <w:color w:val="3B5117"/>
              </w:rPr>
              <w:t>regional commissioning</w:t>
            </w:r>
          </w:p>
        </w:tc>
      </w:tr>
      <w:tr w:rsidR="002D0502" w:rsidRPr="00D41518" w14:paraId="5C6D81C3" w14:textId="77777777" w:rsidTr="00E6245A">
        <w:tc>
          <w:tcPr>
            <w:tcW w:w="5000" w:type="pct"/>
            <w:tcBorders>
              <w:top w:val="nil"/>
              <w:left w:val="nil"/>
              <w:bottom w:val="nil"/>
              <w:right w:val="nil"/>
            </w:tcBorders>
            <w:shd w:val="clear" w:color="auto" w:fill="F2F2F2"/>
            <w:tcMar>
              <w:left w:w="170" w:type="dxa"/>
              <w:right w:w="170" w:type="dxa"/>
            </w:tcMar>
          </w:tcPr>
          <w:p w14:paraId="4E3601C9" w14:textId="494A2140" w:rsidR="008E5B86" w:rsidRPr="007B0ED9" w:rsidRDefault="008E5B86" w:rsidP="008E5B86">
            <w:pPr>
              <w:pStyle w:val="Rec"/>
              <w:keepNext/>
              <w:rPr>
                <w:i/>
              </w:rPr>
            </w:pPr>
            <w:r>
              <w:rPr>
                <w:i/>
              </w:rPr>
              <w:t>Start now</w:t>
            </w:r>
          </w:p>
          <w:p w14:paraId="08EF6154" w14:textId="66B1F0DB" w:rsidR="008E5B86" w:rsidRDefault="008E5B86" w:rsidP="008E5B86">
            <w:pPr>
              <w:pStyle w:val="Rec"/>
              <w:keepNext/>
              <w:rPr>
                <w:lang w:eastAsia="en-US"/>
              </w:rPr>
            </w:pPr>
            <w:r>
              <w:rPr>
                <w:lang w:eastAsia="en-US"/>
              </w:rPr>
              <w:t xml:space="preserve">The Australian Government Department of Health should reform the controls that it places on the services that regional commissioning bodies (currently PHNs) can commission from the Mental Health </w:t>
            </w:r>
            <w:r w:rsidR="00340C76">
              <w:rPr>
                <w:lang w:eastAsia="en-US"/>
              </w:rPr>
              <w:t xml:space="preserve">Care </w:t>
            </w:r>
            <w:r>
              <w:rPr>
                <w:lang w:eastAsia="en-US"/>
              </w:rPr>
              <w:t>Flexible Funding Pool.</w:t>
            </w:r>
          </w:p>
          <w:p w14:paraId="627576CE" w14:textId="77777777" w:rsidR="008E5B86" w:rsidRDefault="008E5B86" w:rsidP="008E5B86">
            <w:pPr>
              <w:pStyle w:val="RecBullet"/>
              <w:rPr>
                <w:lang w:eastAsia="en-US"/>
              </w:rPr>
            </w:pPr>
            <w:r>
              <w:rPr>
                <w:lang w:eastAsia="en-US"/>
              </w:rPr>
              <w:t>It should provide guidance to regional commissioning bodies about the evidence base that underpins different types of interventions, and require regional commissioning bodies to demonstrate that they have commissioned evidence</w:t>
            </w:r>
            <w:r>
              <w:rPr>
                <w:lang w:eastAsia="en-US"/>
              </w:rPr>
              <w:noBreakHyphen/>
              <w:t>based services that meet their catchment’s needs.</w:t>
            </w:r>
          </w:p>
          <w:p w14:paraId="4DABE233" w14:textId="77777777" w:rsidR="00F34980" w:rsidRPr="00376D3E" w:rsidRDefault="00F34980" w:rsidP="00F34980">
            <w:pPr>
              <w:pStyle w:val="RecBullet"/>
              <w:rPr>
                <w:lang w:eastAsia="en-US"/>
              </w:rPr>
            </w:pPr>
            <w:r w:rsidRPr="00376D3E">
              <w:rPr>
                <w:lang w:eastAsia="en-US"/>
              </w:rPr>
              <w:t>It should permit regional commissioning bodies to redirect funding hypothecated to headspace centres and other particular providers to alternative services</w:t>
            </w:r>
            <w:r>
              <w:rPr>
                <w:lang w:eastAsia="en-US"/>
              </w:rPr>
              <w:t>,</w:t>
            </w:r>
            <w:r w:rsidRPr="00376D3E">
              <w:rPr>
                <w:lang w:eastAsia="en-US"/>
              </w:rPr>
              <w:t xml:space="preserve"> subject to these services </w:t>
            </w:r>
            <w:r>
              <w:rPr>
                <w:lang w:eastAsia="en-US"/>
              </w:rPr>
              <w:t>demonstrably</w:t>
            </w:r>
            <w:r w:rsidRPr="00376D3E">
              <w:rPr>
                <w:lang w:eastAsia="en-US"/>
              </w:rPr>
              <w:t xml:space="preserve"> not meeting the service needs identified in regional plans. </w:t>
            </w:r>
            <w:r>
              <w:rPr>
                <w:lang w:eastAsia="en-US"/>
              </w:rPr>
              <w:t>T</w:t>
            </w:r>
            <w:r w:rsidRPr="002A5BD2">
              <w:rPr>
                <w:lang w:eastAsia="en-US"/>
              </w:rPr>
              <w:t>his does not include funding hypothecated for the purpose of ensuring that regional commissioning bodies commission</w:t>
            </w:r>
            <w:r w:rsidRPr="00376D3E">
              <w:rPr>
                <w:lang w:eastAsia="en-US"/>
              </w:rPr>
              <w:t xml:space="preserve"> </w:t>
            </w:r>
            <w:r w:rsidRPr="002A5BD2">
              <w:rPr>
                <w:lang w:eastAsia="en-US"/>
              </w:rPr>
              <w:t>services to Aboriginal and Torres Strait Islander people</w:t>
            </w:r>
            <w:r>
              <w:rPr>
                <w:lang w:eastAsia="en-US"/>
              </w:rPr>
              <w:t>.</w:t>
            </w:r>
          </w:p>
          <w:p w14:paraId="08D131BB" w14:textId="26CA48CF" w:rsidR="002D0502" w:rsidRPr="00D41518" w:rsidRDefault="008E5B86" w:rsidP="001A7BB6">
            <w:pPr>
              <w:pStyle w:val="RecBullet"/>
            </w:pPr>
            <w:r>
              <w:rPr>
                <w:lang w:eastAsia="en-US"/>
              </w:rPr>
              <w:t>It should require regional commissioning bodies to treat Aboriginal Community Controlled Health Services as preferred providers of Aboriginal and Torres Strait Islander mental health services.</w:t>
            </w:r>
          </w:p>
        </w:tc>
      </w:tr>
      <w:tr w:rsidR="002D0502" w:rsidRPr="00D41518" w14:paraId="6457F518"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701803D5" w14:textId="77777777" w:rsidR="002D0502" w:rsidRPr="00D41518" w:rsidRDefault="002D0502" w:rsidP="00E6245A">
            <w:pPr>
              <w:keepNext/>
              <w:keepLines/>
              <w:spacing w:line="120" w:lineRule="exact"/>
              <w:jc w:val="both"/>
              <w:rPr>
                <w:rFonts w:ascii="Arial" w:hAnsi="Arial"/>
                <w:sz w:val="20"/>
                <w:szCs w:val="20"/>
              </w:rPr>
            </w:pPr>
          </w:p>
        </w:tc>
      </w:tr>
      <w:tr w:rsidR="002D0502" w:rsidRPr="00D41518" w14:paraId="65820069" w14:textId="77777777" w:rsidTr="00E6245A">
        <w:tc>
          <w:tcPr>
            <w:tcW w:w="5000" w:type="pct"/>
            <w:tcBorders>
              <w:top w:val="single" w:sz="6" w:space="0" w:color="78A22F"/>
              <w:left w:val="nil"/>
              <w:bottom w:val="nil"/>
              <w:right w:val="nil"/>
            </w:tcBorders>
            <w:tcMar>
              <w:left w:w="170" w:type="dxa"/>
              <w:right w:w="170" w:type="dxa"/>
            </w:tcMar>
          </w:tcPr>
          <w:p w14:paraId="1D627728" w14:textId="77777777" w:rsidR="002D0502" w:rsidRPr="00D41518" w:rsidRDefault="002D0502" w:rsidP="00E6245A">
            <w:pPr>
              <w:keepLines/>
              <w:spacing w:before="60" w:after="60" w:line="80" w:lineRule="exact"/>
              <w:jc w:val="both"/>
              <w:rPr>
                <w:rFonts w:ascii="Arial" w:hAnsi="Arial"/>
                <w:sz w:val="14"/>
                <w:szCs w:val="20"/>
              </w:rPr>
            </w:pPr>
          </w:p>
        </w:tc>
      </w:tr>
    </w:tbl>
    <w:p w14:paraId="4756B5E7" w14:textId="77777777" w:rsidR="00D41518" w:rsidRPr="00D41518" w:rsidRDefault="00D41518" w:rsidP="00E06F1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D41518" w:rsidRPr="005E64FD" w14:paraId="19BB9129" w14:textId="77777777" w:rsidTr="00462628">
        <w:trPr>
          <w:tblHeader/>
        </w:trPr>
        <w:tc>
          <w:tcPr>
            <w:tcW w:w="5000" w:type="pct"/>
            <w:tcBorders>
              <w:top w:val="single" w:sz="6" w:space="0" w:color="78A22F"/>
              <w:left w:val="nil"/>
              <w:bottom w:val="nil"/>
              <w:right w:val="nil"/>
            </w:tcBorders>
            <w:shd w:val="clear" w:color="auto" w:fill="FFFFFF"/>
            <w:tcMar>
              <w:left w:w="170" w:type="dxa"/>
              <w:right w:w="170" w:type="dxa"/>
            </w:tcMar>
          </w:tcPr>
          <w:p w14:paraId="648D3F20" w14:textId="3D260E43" w:rsidR="00D41518" w:rsidRPr="005E64FD" w:rsidRDefault="00625667" w:rsidP="005E64FD">
            <w:pPr>
              <w:pStyle w:val="RecTitle"/>
              <w:spacing w:before="120"/>
              <w:rPr>
                <w:b/>
                <w:color w:val="3B5117"/>
              </w:rPr>
            </w:pPr>
            <w:r w:rsidRPr="005E64FD">
              <w:rPr>
                <w:b/>
                <w:color w:val="3B5117"/>
              </w:rPr>
              <w:t>action</w:t>
            </w:r>
            <w:r w:rsidR="00D41518" w:rsidRPr="005E64FD">
              <w:rPr>
                <w:b/>
                <w:color w:val="3B5117"/>
              </w:rPr>
              <w:t xml:space="preserve"> 2</w:t>
            </w:r>
            <w:r w:rsidR="001A7BB6" w:rsidRPr="005E64FD">
              <w:rPr>
                <w:b/>
                <w:color w:val="3B5117"/>
              </w:rPr>
              <w:t>3</w:t>
            </w:r>
            <w:r w:rsidR="00D41518" w:rsidRPr="005E64FD">
              <w:rPr>
                <w:b/>
                <w:color w:val="3B5117"/>
              </w:rPr>
              <w:t>.</w:t>
            </w:r>
            <w:r w:rsidR="001A7BB6" w:rsidRPr="005E64FD">
              <w:rPr>
                <w:b/>
                <w:color w:val="3B5117"/>
              </w:rPr>
              <w:t>7</w:t>
            </w:r>
            <w:r w:rsidR="00CE7986">
              <w:rPr>
                <w:b/>
                <w:color w:val="3B5117"/>
              </w:rPr>
              <w:t> — </w:t>
            </w:r>
            <w:r w:rsidR="0098107B" w:rsidRPr="005E64FD">
              <w:rPr>
                <w:b/>
                <w:color w:val="3B5117"/>
              </w:rPr>
              <w:t>Activity-based</w:t>
            </w:r>
            <w:r w:rsidR="00D41518" w:rsidRPr="005E64FD">
              <w:rPr>
                <w:b/>
                <w:color w:val="3B5117"/>
              </w:rPr>
              <w:t xml:space="preserve"> funding</w:t>
            </w:r>
          </w:p>
        </w:tc>
      </w:tr>
      <w:tr w:rsidR="00D41518" w:rsidRPr="00D41518" w14:paraId="0CAC45EF" w14:textId="77777777" w:rsidTr="00462628">
        <w:tc>
          <w:tcPr>
            <w:tcW w:w="5000" w:type="pct"/>
            <w:tcBorders>
              <w:top w:val="nil"/>
              <w:left w:val="nil"/>
              <w:bottom w:val="nil"/>
              <w:right w:val="nil"/>
            </w:tcBorders>
            <w:shd w:val="clear" w:color="auto" w:fill="F2F2F2"/>
            <w:tcMar>
              <w:left w:w="170" w:type="dxa"/>
              <w:right w:w="170" w:type="dxa"/>
            </w:tcMar>
          </w:tcPr>
          <w:p w14:paraId="47518285" w14:textId="56CE9A82" w:rsidR="008E5B86" w:rsidRDefault="008E5B86" w:rsidP="008E5B86">
            <w:pPr>
              <w:pStyle w:val="Rec"/>
              <w:keepNext/>
              <w:rPr>
                <w:i/>
                <w:lang w:eastAsia="en-US"/>
              </w:rPr>
            </w:pPr>
            <w:r>
              <w:rPr>
                <w:i/>
                <w:lang w:eastAsia="en-US"/>
              </w:rPr>
              <w:t>Start now</w:t>
            </w:r>
          </w:p>
          <w:p w14:paraId="1D0905F1" w14:textId="77777777" w:rsidR="008E5B86" w:rsidRDefault="008E5B86" w:rsidP="008E5B86">
            <w:pPr>
              <w:pStyle w:val="Rec"/>
              <w:keepNext/>
              <w:rPr>
                <w:lang w:eastAsia="en-US"/>
              </w:rPr>
            </w:pPr>
            <w:r>
              <w:rPr>
                <w:lang w:eastAsia="en-US"/>
              </w:rPr>
              <w:t>The Independent Hospital Pricing Authority (IHPA) should review the Australian Mental Health Care Classification to determine:</w:t>
            </w:r>
          </w:p>
          <w:p w14:paraId="7E35B3A2" w14:textId="62EBA076" w:rsidR="008E5B86" w:rsidRDefault="008E5B86" w:rsidP="008E5B86">
            <w:pPr>
              <w:pStyle w:val="RecBullet"/>
              <w:rPr>
                <w:lang w:eastAsia="en-US"/>
              </w:rPr>
            </w:pPr>
            <w:r>
              <w:rPr>
                <w:lang w:eastAsia="en-US"/>
              </w:rPr>
              <w:t>whether its structure and splitting variables should be refined or changed (especially the ‘phase of care’ variable)</w:t>
            </w:r>
          </w:p>
          <w:p w14:paraId="6D3939D2" w14:textId="0477B4EC" w:rsidR="008E5B86" w:rsidRDefault="008E5B86" w:rsidP="008E5B86">
            <w:pPr>
              <w:pStyle w:val="RecBullet"/>
              <w:rPr>
                <w:lang w:eastAsia="en-US"/>
              </w:rPr>
            </w:pPr>
            <w:r>
              <w:rPr>
                <w:lang w:eastAsia="en-US"/>
              </w:rPr>
              <w:t>if the ‘phase of care’ variable is retained, how it can be refined to improve inter</w:t>
            </w:r>
            <w:r>
              <w:rPr>
                <w:lang w:eastAsia="en-US"/>
              </w:rPr>
              <w:noBreakHyphen/>
              <w:t>rater reliability</w:t>
            </w:r>
          </w:p>
          <w:p w14:paraId="476C23C0" w14:textId="77777777" w:rsidR="008E5B86" w:rsidRDefault="008E5B86" w:rsidP="008E5B86">
            <w:pPr>
              <w:pStyle w:val="RecBullet"/>
              <w:rPr>
                <w:lang w:eastAsia="en-US"/>
              </w:rPr>
            </w:pPr>
            <w:r>
              <w:rPr>
                <w:lang w:eastAsia="en-US"/>
              </w:rPr>
              <w:t>if a new costing study is required</w:t>
            </w:r>
          </w:p>
          <w:p w14:paraId="1AA45D56" w14:textId="77777777" w:rsidR="008E5B86" w:rsidRDefault="008E5B86" w:rsidP="008E5B86">
            <w:pPr>
              <w:pStyle w:val="RecBullet"/>
              <w:rPr>
                <w:lang w:eastAsia="en-US"/>
              </w:rPr>
            </w:pPr>
            <w:r>
              <w:rPr>
                <w:lang w:eastAsia="en-US"/>
              </w:rPr>
              <w:t>a revised timeframe for implementing the classification.</w:t>
            </w:r>
          </w:p>
          <w:p w14:paraId="2E9D64E4" w14:textId="4E36102A" w:rsidR="008E5B86" w:rsidRDefault="008E5B86" w:rsidP="008E5B86">
            <w:pPr>
              <w:pStyle w:val="Rec"/>
              <w:keepNext/>
              <w:rPr>
                <w:lang w:eastAsia="en-US"/>
              </w:rPr>
            </w:pPr>
            <w:r>
              <w:rPr>
                <w:lang w:eastAsia="en-US"/>
              </w:rPr>
              <w:t>As an interim measure, IHPA should work with State and Territory Governments to develop a simpler activity</w:t>
            </w:r>
            <w:r>
              <w:rPr>
                <w:lang w:eastAsia="en-US"/>
              </w:rPr>
              <w:noBreakHyphen/>
              <w:t>based payment model for community ambulatory mental healthcare services based on hours of care provided. State and Territory Governments should use this payment model to fund community ambulatory mental healthcare services. It should not be used to determine Australian Government National Health Reform Agreement transfers if this would significantly delay its development.</w:t>
            </w:r>
          </w:p>
          <w:p w14:paraId="3C971FD0" w14:textId="0C85A257" w:rsidR="00D41518" w:rsidRPr="00D41518" w:rsidRDefault="008E5B86" w:rsidP="0098107B">
            <w:pPr>
              <w:pStyle w:val="Rec"/>
            </w:pPr>
            <w:r>
              <w:rPr>
                <w:lang w:eastAsia="en-US"/>
              </w:rPr>
              <w:t>The Australian Commission on Safety and Quality in Healthcare and IHPA should seek to incorporate mental health</w:t>
            </w:r>
            <w:r>
              <w:rPr>
                <w:lang w:eastAsia="en-US"/>
              </w:rPr>
              <w:noBreakHyphen/>
              <w:t>related avoidable hospital readmissions into broader activity</w:t>
            </w:r>
            <w:r>
              <w:rPr>
                <w:lang w:eastAsia="en-US"/>
              </w:rPr>
              <w:noBreakHyphen/>
              <w:t>based funding reforms.</w:t>
            </w:r>
          </w:p>
        </w:tc>
      </w:tr>
      <w:tr w:rsidR="00D41518" w:rsidRPr="00D41518" w14:paraId="4B52CA5A"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48038D5B" w14:textId="77777777" w:rsidR="00D41518" w:rsidRPr="00D41518" w:rsidRDefault="00D41518" w:rsidP="00D41518">
            <w:pPr>
              <w:keepNext/>
              <w:keepLines/>
              <w:spacing w:line="120" w:lineRule="exact"/>
              <w:jc w:val="both"/>
              <w:rPr>
                <w:rFonts w:ascii="Arial" w:hAnsi="Arial"/>
                <w:sz w:val="20"/>
                <w:szCs w:val="20"/>
              </w:rPr>
            </w:pPr>
          </w:p>
        </w:tc>
      </w:tr>
      <w:tr w:rsidR="00D41518" w:rsidRPr="00D41518" w14:paraId="57C1189C" w14:textId="77777777" w:rsidTr="00462628">
        <w:tc>
          <w:tcPr>
            <w:tcW w:w="5000" w:type="pct"/>
            <w:tcBorders>
              <w:top w:val="single" w:sz="6" w:space="0" w:color="78A22F"/>
              <w:left w:val="nil"/>
              <w:bottom w:val="nil"/>
              <w:right w:val="nil"/>
            </w:tcBorders>
            <w:tcMar>
              <w:left w:w="170" w:type="dxa"/>
              <w:right w:w="170" w:type="dxa"/>
            </w:tcMar>
          </w:tcPr>
          <w:p w14:paraId="4229C6EC" w14:textId="77777777" w:rsidR="00D41518" w:rsidRPr="00D41518" w:rsidRDefault="00D41518" w:rsidP="00D41518">
            <w:pPr>
              <w:keepLines/>
              <w:spacing w:before="60" w:after="60" w:line="80" w:lineRule="exact"/>
              <w:jc w:val="both"/>
              <w:rPr>
                <w:rFonts w:ascii="Arial" w:hAnsi="Arial"/>
                <w:sz w:val="14"/>
                <w:szCs w:val="20"/>
              </w:rPr>
            </w:pPr>
          </w:p>
        </w:tc>
      </w:tr>
    </w:tbl>
    <w:p w14:paraId="25DA0073" w14:textId="77777777" w:rsidR="00D41518" w:rsidRPr="00D41518" w:rsidRDefault="00D41518" w:rsidP="00D41518">
      <w:pPr>
        <w:keepNext/>
        <w:spacing w:before="360" w:line="80" w:lineRule="exact"/>
        <w:rPr>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D41518" w:rsidRPr="005E64FD" w14:paraId="13E49C65" w14:textId="77777777" w:rsidTr="00462628">
        <w:trPr>
          <w:tblHeader/>
        </w:trPr>
        <w:tc>
          <w:tcPr>
            <w:tcW w:w="5000" w:type="pct"/>
            <w:tcBorders>
              <w:top w:val="single" w:sz="6" w:space="0" w:color="78A22F"/>
              <w:left w:val="nil"/>
              <w:bottom w:val="nil"/>
              <w:right w:val="nil"/>
            </w:tcBorders>
            <w:shd w:val="clear" w:color="auto" w:fill="auto"/>
            <w:tcMar>
              <w:left w:w="170" w:type="dxa"/>
              <w:right w:w="170" w:type="dxa"/>
            </w:tcMar>
          </w:tcPr>
          <w:p w14:paraId="37500535" w14:textId="64D56F7E" w:rsidR="00D41518" w:rsidRPr="005E64FD" w:rsidRDefault="00625667" w:rsidP="005E64FD">
            <w:pPr>
              <w:pStyle w:val="RecTitle"/>
              <w:spacing w:before="120"/>
              <w:rPr>
                <w:b/>
                <w:color w:val="3B5117"/>
              </w:rPr>
            </w:pPr>
            <w:r w:rsidRPr="005E64FD">
              <w:rPr>
                <w:b/>
                <w:color w:val="3B5117"/>
              </w:rPr>
              <w:t>action</w:t>
            </w:r>
            <w:r w:rsidR="00D41518" w:rsidRPr="005E64FD">
              <w:rPr>
                <w:b/>
                <w:color w:val="3B5117"/>
              </w:rPr>
              <w:t xml:space="preserve"> 2</w:t>
            </w:r>
            <w:r w:rsidR="001A7BB6" w:rsidRPr="005E64FD">
              <w:rPr>
                <w:b/>
                <w:color w:val="3B5117"/>
              </w:rPr>
              <w:t>3</w:t>
            </w:r>
            <w:r w:rsidR="00D41518" w:rsidRPr="005E64FD">
              <w:rPr>
                <w:b/>
                <w:color w:val="3B5117"/>
              </w:rPr>
              <w:t>.</w:t>
            </w:r>
            <w:r w:rsidR="001A7BB6" w:rsidRPr="005E64FD">
              <w:rPr>
                <w:b/>
                <w:color w:val="3B5117"/>
              </w:rPr>
              <w:t>8</w:t>
            </w:r>
            <w:r w:rsidR="00CE7986">
              <w:rPr>
                <w:b/>
                <w:color w:val="3B5117"/>
              </w:rPr>
              <w:t> — </w:t>
            </w:r>
            <w:r w:rsidR="002C49E4" w:rsidRPr="005E64FD">
              <w:rPr>
                <w:b/>
                <w:color w:val="3B5117"/>
              </w:rPr>
              <w:t>MENTAL HEALTH INNOVATION FUND</w:t>
            </w:r>
          </w:p>
        </w:tc>
      </w:tr>
      <w:tr w:rsidR="00D41518" w:rsidRPr="00D41518" w14:paraId="4248C3C5" w14:textId="77777777" w:rsidTr="00462628">
        <w:tc>
          <w:tcPr>
            <w:tcW w:w="5000" w:type="pct"/>
            <w:tcBorders>
              <w:top w:val="nil"/>
              <w:left w:val="nil"/>
              <w:bottom w:val="nil"/>
              <w:right w:val="nil"/>
            </w:tcBorders>
            <w:shd w:val="clear" w:color="auto" w:fill="F2F2F2"/>
            <w:tcMar>
              <w:left w:w="170" w:type="dxa"/>
              <w:right w:w="170" w:type="dxa"/>
            </w:tcMar>
          </w:tcPr>
          <w:p w14:paraId="728A7ABF" w14:textId="1B119518" w:rsidR="008E5B86" w:rsidRDefault="008E5B86" w:rsidP="008E5B86">
            <w:pPr>
              <w:pStyle w:val="Rec"/>
              <w:keepNext/>
              <w:rPr>
                <w:lang w:eastAsia="en-US"/>
              </w:rPr>
            </w:pPr>
            <w:r>
              <w:rPr>
                <w:i/>
                <w:lang w:eastAsia="en-US"/>
              </w:rPr>
              <w:t>Start later</w:t>
            </w:r>
          </w:p>
          <w:p w14:paraId="289048E2" w14:textId="09A3DAB1" w:rsidR="00D41518" w:rsidRPr="00D41518" w:rsidRDefault="008E5B86" w:rsidP="00C15E26">
            <w:pPr>
              <w:pStyle w:val="Rec"/>
            </w:pPr>
            <w:r>
              <w:rPr>
                <w:lang w:eastAsia="en-US"/>
              </w:rPr>
              <w:t xml:space="preserve">The Australian Government should establish a Mental Health Innovation Fund to trial innovative service delivery, system organisation and payment models. </w:t>
            </w:r>
            <w:r w:rsidR="00DC12F2">
              <w:rPr>
                <w:lang w:eastAsia="en-US"/>
              </w:rPr>
              <w:t xml:space="preserve">The Mental Health Innovation Fund should allow Primary Health Network – Local Hospital Network groupings </w:t>
            </w:r>
            <w:r w:rsidR="00C15E26">
              <w:rPr>
                <w:lang w:eastAsia="en-US"/>
              </w:rPr>
              <w:t>and</w:t>
            </w:r>
            <w:r w:rsidR="00DC12F2">
              <w:rPr>
                <w:lang w:eastAsia="en-US"/>
              </w:rPr>
              <w:t xml:space="preserve"> Regional Commissioning Authorities to apply for funding to trial new models under the proviso that the models are independently evaluated and the findings are published.</w:t>
            </w:r>
          </w:p>
        </w:tc>
      </w:tr>
      <w:tr w:rsidR="00D41518" w:rsidRPr="00D41518" w14:paraId="00C4C736"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7C8B22D9" w14:textId="77777777" w:rsidR="00D41518" w:rsidRPr="00D41518" w:rsidRDefault="00D41518" w:rsidP="00D41518">
            <w:pPr>
              <w:keepNext/>
              <w:keepLines/>
              <w:spacing w:line="120" w:lineRule="exact"/>
              <w:jc w:val="both"/>
              <w:rPr>
                <w:rFonts w:ascii="Arial" w:hAnsi="Arial"/>
                <w:sz w:val="20"/>
                <w:szCs w:val="20"/>
              </w:rPr>
            </w:pPr>
          </w:p>
        </w:tc>
      </w:tr>
      <w:tr w:rsidR="00D41518" w:rsidRPr="00D41518" w14:paraId="6253A694" w14:textId="77777777" w:rsidTr="00462628">
        <w:tc>
          <w:tcPr>
            <w:tcW w:w="5000" w:type="pct"/>
            <w:tcBorders>
              <w:top w:val="single" w:sz="6" w:space="0" w:color="78A22F"/>
              <w:left w:val="nil"/>
              <w:bottom w:val="nil"/>
              <w:right w:val="nil"/>
            </w:tcBorders>
            <w:tcMar>
              <w:left w:w="170" w:type="dxa"/>
              <w:right w:w="170" w:type="dxa"/>
            </w:tcMar>
          </w:tcPr>
          <w:p w14:paraId="181B1725" w14:textId="77777777" w:rsidR="00D41518" w:rsidRPr="00D41518" w:rsidRDefault="00D41518" w:rsidP="00D41518">
            <w:pPr>
              <w:keepLines/>
              <w:spacing w:before="60" w:after="60" w:line="80" w:lineRule="exact"/>
              <w:jc w:val="both"/>
              <w:rPr>
                <w:rFonts w:ascii="Arial" w:hAnsi="Arial"/>
                <w:sz w:val="14"/>
                <w:szCs w:val="20"/>
              </w:rPr>
            </w:pPr>
          </w:p>
        </w:tc>
      </w:tr>
    </w:tbl>
    <w:p w14:paraId="3E2A73B0" w14:textId="77777777" w:rsidR="00D41518" w:rsidRPr="00D41518" w:rsidRDefault="00D41518" w:rsidP="00F00D7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4A0" w:firstRow="1" w:lastRow="0" w:firstColumn="1" w:lastColumn="0" w:noHBand="0" w:noVBand="1"/>
        <w:tblDescription w:val="Table used for design layout: recommendation"/>
      </w:tblPr>
      <w:tblGrid>
        <w:gridCol w:w="8788"/>
      </w:tblGrid>
      <w:tr w:rsidR="00D41518" w:rsidRPr="005E64FD" w14:paraId="3F5AB59C" w14:textId="77777777" w:rsidTr="00462628">
        <w:trPr>
          <w:tblHeader/>
        </w:trPr>
        <w:tc>
          <w:tcPr>
            <w:tcW w:w="5000" w:type="pct"/>
            <w:tcBorders>
              <w:top w:val="single" w:sz="6" w:space="0" w:color="78A22F"/>
              <w:left w:val="nil"/>
              <w:bottom w:val="nil"/>
              <w:right w:val="nil"/>
            </w:tcBorders>
            <w:shd w:val="clear" w:color="auto" w:fill="auto"/>
            <w:tcMar>
              <w:top w:w="0" w:type="dxa"/>
              <w:left w:w="170" w:type="dxa"/>
              <w:bottom w:w="0" w:type="dxa"/>
              <w:right w:w="170" w:type="dxa"/>
            </w:tcMar>
            <w:hideMark/>
          </w:tcPr>
          <w:p w14:paraId="7DA50917" w14:textId="401EB338" w:rsidR="00D41518" w:rsidRPr="005E64FD" w:rsidRDefault="00625667" w:rsidP="00AA695D">
            <w:pPr>
              <w:pStyle w:val="RecTitle"/>
              <w:spacing w:before="120"/>
              <w:ind w:left="1673" w:hanging="1673"/>
              <w:rPr>
                <w:b/>
                <w:color w:val="3B5117"/>
              </w:rPr>
            </w:pPr>
            <w:r w:rsidRPr="005E64FD">
              <w:rPr>
                <w:b/>
                <w:color w:val="3B5117"/>
              </w:rPr>
              <w:t>action</w:t>
            </w:r>
            <w:r w:rsidR="00D41518" w:rsidRPr="005E64FD">
              <w:rPr>
                <w:b/>
                <w:color w:val="3B5117"/>
              </w:rPr>
              <w:t xml:space="preserve"> 2</w:t>
            </w:r>
            <w:r w:rsidR="001A7BB6" w:rsidRPr="005E64FD">
              <w:rPr>
                <w:b/>
                <w:color w:val="3B5117"/>
              </w:rPr>
              <w:t>3</w:t>
            </w:r>
            <w:r w:rsidR="00D41518" w:rsidRPr="005E64FD">
              <w:rPr>
                <w:b/>
                <w:color w:val="3B5117"/>
              </w:rPr>
              <w:t>.</w:t>
            </w:r>
            <w:r w:rsidR="002D0502" w:rsidRPr="005E64FD">
              <w:rPr>
                <w:b/>
                <w:color w:val="3B5117"/>
              </w:rPr>
              <w:t>9</w:t>
            </w:r>
            <w:r w:rsidR="00CE7986">
              <w:rPr>
                <w:b/>
                <w:color w:val="3B5117"/>
              </w:rPr>
              <w:t> — </w:t>
            </w:r>
            <w:r w:rsidR="00D41518" w:rsidRPr="005E64FD">
              <w:rPr>
                <w:b/>
                <w:color w:val="3B5117"/>
              </w:rPr>
              <w:t>private health insurance and funding of community-based healthcare</w:t>
            </w:r>
          </w:p>
        </w:tc>
      </w:tr>
      <w:tr w:rsidR="00D41518" w:rsidRPr="00D41518" w14:paraId="09BDCE04" w14:textId="77777777" w:rsidTr="00462628">
        <w:tc>
          <w:tcPr>
            <w:tcW w:w="5000" w:type="pct"/>
            <w:tcBorders>
              <w:top w:val="nil"/>
              <w:left w:val="nil"/>
              <w:bottom w:val="nil"/>
              <w:right w:val="nil"/>
            </w:tcBorders>
            <w:shd w:val="clear" w:color="auto" w:fill="F2F2F2"/>
            <w:tcMar>
              <w:top w:w="0" w:type="dxa"/>
              <w:left w:w="170" w:type="dxa"/>
              <w:bottom w:w="0" w:type="dxa"/>
              <w:right w:w="170" w:type="dxa"/>
            </w:tcMar>
            <w:hideMark/>
          </w:tcPr>
          <w:p w14:paraId="4C633C78" w14:textId="67606025" w:rsidR="008E5B86" w:rsidRPr="00E06F1D" w:rsidRDefault="008E5B86" w:rsidP="00E06F1D">
            <w:pPr>
              <w:pStyle w:val="Rec"/>
              <w:rPr>
                <w:b/>
                <w:i/>
              </w:rPr>
            </w:pPr>
            <w:r w:rsidRPr="00E06F1D">
              <w:rPr>
                <w:i/>
              </w:rPr>
              <w:t>Start now</w:t>
            </w:r>
          </w:p>
          <w:p w14:paraId="19205DDE" w14:textId="2DB0432E" w:rsidR="00D41518" w:rsidRPr="00D41518" w:rsidRDefault="008E5B86" w:rsidP="00E06F1D">
            <w:pPr>
              <w:pStyle w:val="Rec"/>
            </w:pPr>
            <w:r>
              <w:t>The Australian Government should review the regulations that prevent private health insurers from funding community</w:t>
            </w:r>
            <w:r>
              <w:noBreakHyphen/>
              <w:t>based mental healthcare with a view to increasing the scope for private health insurers to fund programs that would prevent avoidable mental health</w:t>
            </w:r>
            <w:r>
              <w:noBreakHyphen/>
              <w:t>related hospital admissions.</w:t>
            </w:r>
          </w:p>
        </w:tc>
      </w:tr>
      <w:tr w:rsidR="00D41518" w:rsidRPr="00D41518" w14:paraId="6194F431" w14:textId="77777777" w:rsidTr="003B3426">
        <w:tc>
          <w:tcPr>
            <w:tcW w:w="5000" w:type="pct"/>
            <w:tcBorders>
              <w:top w:val="nil"/>
              <w:left w:val="nil"/>
              <w:bottom w:val="single" w:sz="6" w:space="0" w:color="78A22F"/>
              <w:right w:val="nil"/>
            </w:tcBorders>
            <w:shd w:val="clear" w:color="auto" w:fill="F2F2F2" w:themeFill="background1" w:themeFillShade="F2"/>
            <w:tcMar>
              <w:top w:w="0" w:type="dxa"/>
              <w:left w:w="170" w:type="dxa"/>
              <w:bottom w:w="0" w:type="dxa"/>
              <w:right w:w="170" w:type="dxa"/>
            </w:tcMar>
          </w:tcPr>
          <w:p w14:paraId="5195240D" w14:textId="77777777" w:rsidR="00D41518" w:rsidRPr="00D41518" w:rsidRDefault="00D41518" w:rsidP="00D41518">
            <w:pPr>
              <w:keepNext/>
              <w:keepLines/>
              <w:spacing w:line="120" w:lineRule="exact"/>
              <w:jc w:val="both"/>
              <w:rPr>
                <w:rFonts w:ascii="Arial" w:hAnsi="Arial"/>
                <w:sz w:val="20"/>
                <w:szCs w:val="20"/>
              </w:rPr>
            </w:pPr>
          </w:p>
        </w:tc>
      </w:tr>
      <w:tr w:rsidR="00D41518" w:rsidRPr="00D41518" w14:paraId="15038D4B" w14:textId="77777777" w:rsidTr="00462628">
        <w:tc>
          <w:tcPr>
            <w:tcW w:w="5000" w:type="pct"/>
            <w:tcBorders>
              <w:top w:val="single" w:sz="6" w:space="0" w:color="78A22F"/>
              <w:left w:val="nil"/>
              <w:bottom w:val="nil"/>
              <w:right w:val="nil"/>
            </w:tcBorders>
            <w:tcMar>
              <w:top w:w="0" w:type="dxa"/>
              <w:left w:w="170" w:type="dxa"/>
              <w:bottom w:w="0" w:type="dxa"/>
              <w:right w:w="170" w:type="dxa"/>
            </w:tcMar>
            <w:hideMark/>
          </w:tcPr>
          <w:p w14:paraId="2A68E41A" w14:textId="77777777" w:rsidR="00D41518" w:rsidRPr="00D41518" w:rsidRDefault="00D41518" w:rsidP="00D41518">
            <w:pPr>
              <w:keepLines/>
              <w:spacing w:before="60" w:after="60" w:line="80" w:lineRule="exact"/>
              <w:jc w:val="both"/>
              <w:rPr>
                <w:rFonts w:ascii="Arial" w:hAnsi="Arial"/>
                <w:sz w:val="14"/>
                <w:szCs w:val="20"/>
              </w:rPr>
            </w:pPr>
          </w:p>
        </w:tc>
      </w:tr>
    </w:tbl>
    <w:p w14:paraId="4450338A" w14:textId="77777777" w:rsidR="00D41518" w:rsidRPr="00D41518" w:rsidRDefault="00D41518" w:rsidP="00F00D7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4A0" w:firstRow="1" w:lastRow="0" w:firstColumn="1" w:lastColumn="0" w:noHBand="0" w:noVBand="1"/>
        <w:tblDescription w:val="Table used for design layout: recommendation"/>
      </w:tblPr>
      <w:tblGrid>
        <w:gridCol w:w="8788"/>
      </w:tblGrid>
      <w:tr w:rsidR="00D41518" w:rsidRPr="005E64FD" w14:paraId="53A213CE" w14:textId="77777777" w:rsidTr="00462628">
        <w:trPr>
          <w:tblHeader/>
        </w:trPr>
        <w:tc>
          <w:tcPr>
            <w:tcW w:w="5000" w:type="pct"/>
            <w:tcBorders>
              <w:top w:val="single" w:sz="6" w:space="0" w:color="78A22F"/>
              <w:left w:val="nil"/>
              <w:bottom w:val="nil"/>
              <w:right w:val="nil"/>
            </w:tcBorders>
            <w:shd w:val="clear" w:color="auto" w:fill="auto"/>
            <w:tcMar>
              <w:top w:w="0" w:type="dxa"/>
              <w:left w:w="170" w:type="dxa"/>
              <w:bottom w:w="0" w:type="dxa"/>
              <w:right w:w="170" w:type="dxa"/>
            </w:tcMar>
            <w:hideMark/>
          </w:tcPr>
          <w:p w14:paraId="53D5FEF0" w14:textId="25D409AF" w:rsidR="00D41518" w:rsidRPr="005E64FD" w:rsidRDefault="00625667" w:rsidP="005E64FD">
            <w:pPr>
              <w:pStyle w:val="RecTitle"/>
              <w:spacing w:before="120"/>
              <w:rPr>
                <w:b/>
                <w:color w:val="3B5117"/>
              </w:rPr>
            </w:pPr>
            <w:r w:rsidRPr="005E64FD">
              <w:rPr>
                <w:b/>
                <w:color w:val="3B5117"/>
              </w:rPr>
              <w:t>action</w:t>
            </w:r>
            <w:r w:rsidR="00D41518" w:rsidRPr="005E64FD">
              <w:rPr>
                <w:b/>
                <w:color w:val="3B5117"/>
              </w:rPr>
              <w:t xml:space="preserve"> 2</w:t>
            </w:r>
            <w:r w:rsidR="001A7BB6" w:rsidRPr="005E64FD">
              <w:rPr>
                <w:b/>
                <w:color w:val="3B5117"/>
              </w:rPr>
              <w:t>3</w:t>
            </w:r>
            <w:r w:rsidR="00D41518" w:rsidRPr="005E64FD">
              <w:rPr>
                <w:b/>
                <w:color w:val="3B5117"/>
              </w:rPr>
              <w:t>.</w:t>
            </w:r>
            <w:r w:rsidR="002D0502" w:rsidRPr="005E64FD">
              <w:rPr>
                <w:b/>
                <w:color w:val="3B5117"/>
              </w:rPr>
              <w:t>10</w:t>
            </w:r>
            <w:r w:rsidR="00CE7986">
              <w:rPr>
                <w:b/>
                <w:color w:val="3B5117"/>
              </w:rPr>
              <w:t> — </w:t>
            </w:r>
            <w:r w:rsidR="00D41518" w:rsidRPr="005E64FD">
              <w:rPr>
                <w:b/>
                <w:color w:val="3B5117"/>
              </w:rPr>
              <w:t>life insur</w:t>
            </w:r>
            <w:r w:rsidRPr="005E64FD">
              <w:rPr>
                <w:b/>
                <w:color w:val="3B5117"/>
              </w:rPr>
              <w:t xml:space="preserve">ance </w:t>
            </w:r>
            <w:r w:rsidR="00D41518" w:rsidRPr="005E64FD">
              <w:rPr>
                <w:b/>
                <w:color w:val="3B5117"/>
              </w:rPr>
              <w:t>and funding of mental healthcare</w:t>
            </w:r>
          </w:p>
        </w:tc>
      </w:tr>
      <w:tr w:rsidR="00D41518" w:rsidRPr="00D41518" w14:paraId="5B48AE04" w14:textId="77777777" w:rsidTr="00462628">
        <w:tc>
          <w:tcPr>
            <w:tcW w:w="5000" w:type="pct"/>
            <w:tcBorders>
              <w:top w:val="nil"/>
              <w:left w:val="nil"/>
              <w:bottom w:val="nil"/>
              <w:right w:val="nil"/>
            </w:tcBorders>
            <w:shd w:val="clear" w:color="auto" w:fill="F2F2F2"/>
            <w:tcMar>
              <w:top w:w="0" w:type="dxa"/>
              <w:left w:w="170" w:type="dxa"/>
              <w:bottom w:w="0" w:type="dxa"/>
              <w:right w:w="170" w:type="dxa"/>
            </w:tcMar>
            <w:hideMark/>
          </w:tcPr>
          <w:p w14:paraId="06C5727C" w14:textId="45BBEE86" w:rsidR="008E5B86" w:rsidRPr="00E06F1D" w:rsidRDefault="008E5B86" w:rsidP="00E06F1D">
            <w:pPr>
              <w:pStyle w:val="Rec"/>
              <w:rPr>
                <w:i/>
              </w:rPr>
            </w:pPr>
            <w:r w:rsidRPr="00E06F1D">
              <w:rPr>
                <w:i/>
              </w:rPr>
              <w:t>Start now</w:t>
            </w:r>
          </w:p>
          <w:p w14:paraId="767E0312" w14:textId="3420CB99" w:rsidR="00D41518" w:rsidRPr="00D41518" w:rsidRDefault="008E5B86" w:rsidP="00E06F1D">
            <w:pPr>
              <w:pStyle w:val="Rec"/>
            </w:pPr>
            <w:r w:rsidRPr="007B0ED9">
              <w:t>The Australian Government should permit life insurers to fund mental health treatments for their income protections and total and permanent disability insureds on a discretionary basis. The Australian Securities and Investments Commission should work with the life insurance industry on the preconditions necessary for this to occur.</w:t>
            </w:r>
          </w:p>
        </w:tc>
      </w:tr>
      <w:tr w:rsidR="00D41518" w:rsidRPr="00D41518" w14:paraId="17EC0D62" w14:textId="77777777" w:rsidTr="003B3426">
        <w:tblPrEx>
          <w:tblLook w:val="0000" w:firstRow="0" w:lastRow="0" w:firstColumn="0" w:lastColumn="0" w:noHBand="0" w:noVBand="0"/>
        </w:tblPrEx>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0E48BFA0" w14:textId="77777777" w:rsidR="00D41518" w:rsidRPr="00D41518" w:rsidRDefault="00D41518" w:rsidP="00D41518">
            <w:pPr>
              <w:keepNext/>
              <w:keepLines/>
              <w:spacing w:line="120" w:lineRule="exact"/>
              <w:jc w:val="both"/>
              <w:rPr>
                <w:rFonts w:ascii="Arial" w:hAnsi="Arial"/>
                <w:sz w:val="20"/>
                <w:szCs w:val="20"/>
              </w:rPr>
            </w:pPr>
          </w:p>
        </w:tc>
      </w:tr>
      <w:tr w:rsidR="00D41518" w:rsidRPr="00D41518" w14:paraId="45817E7D" w14:textId="77777777" w:rsidTr="00462628">
        <w:tblPrEx>
          <w:tblLook w:val="0000" w:firstRow="0" w:lastRow="0" w:firstColumn="0" w:lastColumn="0" w:noHBand="0" w:noVBand="0"/>
        </w:tblPrEx>
        <w:tc>
          <w:tcPr>
            <w:tcW w:w="5000" w:type="pct"/>
            <w:tcBorders>
              <w:top w:val="single" w:sz="6" w:space="0" w:color="78A22F"/>
              <w:left w:val="nil"/>
              <w:bottom w:val="nil"/>
              <w:right w:val="nil"/>
            </w:tcBorders>
            <w:tcMar>
              <w:left w:w="170" w:type="dxa"/>
              <w:right w:w="170" w:type="dxa"/>
            </w:tcMar>
          </w:tcPr>
          <w:p w14:paraId="55CA1B2D" w14:textId="77777777" w:rsidR="00D41518" w:rsidRPr="00D41518" w:rsidRDefault="00D41518" w:rsidP="00D41518">
            <w:pPr>
              <w:keepLines/>
              <w:spacing w:before="60" w:after="60" w:line="80" w:lineRule="exact"/>
              <w:jc w:val="both"/>
              <w:rPr>
                <w:rFonts w:ascii="Arial" w:hAnsi="Arial"/>
                <w:sz w:val="14"/>
                <w:szCs w:val="20"/>
              </w:rPr>
            </w:pPr>
          </w:p>
        </w:tc>
      </w:tr>
    </w:tbl>
    <w:p w14:paraId="55F7A58E" w14:textId="62F8E90C" w:rsidR="00C90F18" w:rsidRDefault="00200799" w:rsidP="00E06F1D">
      <w:pPr>
        <w:pStyle w:val="Heading3"/>
        <w:keepLines/>
      </w:pPr>
      <w:r>
        <w:lastRenderedPageBreak/>
        <w:t>Monitoring, evaluation and research</w:t>
      </w:r>
    </w:p>
    <w:p w14:paraId="18972E9A" w14:textId="77777777" w:rsidR="00D41518" w:rsidRPr="00D41518" w:rsidRDefault="00D41518" w:rsidP="00E06F1D">
      <w:pPr>
        <w:pStyle w:val="BoxSpaceAbove"/>
        <w:keepLines/>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D41518" w:rsidRPr="005E64FD" w14:paraId="04CB0459" w14:textId="77777777" w:rsidTr="00462628">
        <w:trPr>
          <w:tblHeader/>
        </w:trPr>
        <w:tc>
          <w:tcPr>
            <w:tcW w:w="5000" w:type="pct"/>
            <w:tcBorders>
              <w:top w:val="single" w:sz="6" w:space="0" w:color="78A22F"/>
              <w:left w:val="nil"/>
              <w:bottom w:val="nil"/>
              <w:right w:val="nil"/>
            </w:tcBorders>
            <w:shd w:val="clear" w:color="auto" w:fill="auto"/>
            <w:tcMar>
              <w:left w:w="170" w:type="dxa"/>
              <w:right w:w="170" w:type="dxa"/>
            </w:tcMar>
          </w:tcPr>
          <w:p w14:paraId="7AE380A4" w14:textId="35A06176" w:rsidR="00D41518" w:rsidRPr="005E64FD" w:rsidRDefault="00F8701A" w:rsidP="005E64FD">
            <w:pPr>
              <w:pStyle w:val="RecTitle"/>
              <w:spacing w:before="120"/>
              <w:rPr>
                <w:b/>
                <w:color w:val="3B5117"/>
              </w:rPr>
            </w:pPr>
            <w:r w:rsidRPr="005E64FD">
              <w:rPr>
                <w:b/>
                <w:color w:val="3B5117"/>
              </w:rPr>
              <w:t>ACTION 2</w:t>
            </w:r>
            <w:r w:rsidR="00836B99" w:rsidRPr="005E64FD">
              <w:rPr>
                <w:b/>
                <w:color w:val="3B5117"/>
              </w:rPr>
              <w:t>4</w:t>
            </w:r>
            <w:r w:rsidRPr="005E64FD">
              <w:rPr>
                <w:b/>
                <w:color w:val="3B5117"/>
              </w:rPr>
              <w:t>.</w:t>
            </w:r>
            <w:r w:rsidR="00D41518" w:rsidRPr="005E64FD">
              <w:rPr>
                <w:b/>
                <w:color w:val="3B5117"/>
              </w:rPr>
              <w:t>1</w:t>
            </w:r>
            <w:r w:rsidR="00CE7986">
              <w:rPr>
                <w:b/>
                <w:color w:val="3B5117"/>
              </w:rPr>
              <w:t> — </w:t>
            </w:r>
            <w:r w:rsidR="00D41518" w:rsidRPr="005E64FD">
              <w:rPr>
                <w:b/>
                <w:color w:val="3B5117"/>
              </w:rPr>
              <w:t xml:space="preserve">a strategy </w:t>
            </w:r>
            <w:r w:rsidR="00210E8A" w:rsidRPr="005E64FD">
              <w:rPr>
                <w:b/>
                <w:color w:val="3B5117"/>
              </w:rPr>
              <w:t>to improve data usability</w:t>
            </w:r>
          </w:p>
        </w:tc>
      </w:tr>
      <w:tr w:rsidR="00D41518" w:rsidRPr="00D41518" w14:paraId="6D776F15" w14:textId="77777777" w:rsidTr="00462628">
        <w:tc>
          <w:tcPr>
            <w:tcW w:w="5000" w:type="pct"/>
            <w:tcBorders>
              <w:top w:val="nil"/>
              <w:left w:val="nil"/>
              <w:bottom w:val="nil"/>
              <w:right w:val="nil"/>
            </w:tcBorders>
            <w:shd w:val="clear" w:color="auto" w:fill="F2F2F2"/>
            <w:tcMar>
              <w:left w:w="170" w:type="dxa"/>
              <w:right w:w="170" w:type="dxa"/>
            </w:tcMar>
          </w:tcPr>
          <w:p w14:paraId="2887A8E2" w14:textId="6062B221" w:rsidR="000E7304" w:rsidRPr="00176604" w:rsidRDefault="000E7304" w:rsidP="00E06F1D">
            <w:pPr>
              <w:pStyle w:val="Rec"/>
              <w:keepNext/>
            </w:pPr>
            <w:r>
              <w:t>There is significant mental health data currently collected</w:t>
            </w:r>
            <w:r w:rsidR="00CE7986">
              <w:t> — </w:t>
            </w:r>
            <w:r>
              <w:t>but much of it is underutilised.</w:t>
            </w:r>
          </w:p>
          <w:p w14:paraId="7B728C0A" w14:textId="2D6F7927" w:rsidR="00D41518" w:rsidRPr="00D41518" w:rsidRDefault="002246D6" w:rsidP="00E06F1D">
            <w:pPr>
              <w:pStyle w:val="Rec"/>
              <w:keepNext/>
              <w:rPr>
                <w:i/>
              </w:rPr>
            </w:pPr>
            <w:r w:rsidRPr="002246D6">
              <w:rPr>
                <w:i/>
              </w:rPr>
              <w:t>Start now</w:t>
            </w:r>
          </w:p>
          <w:p w14:paraId="7473674C" w14:textId="77777777" w:rsidR="00D41518" w:rsidRPr="00D41518" w:rsidRDefault="00D41518" w:rsidP="00E06F1D">
            <w:pPr>
              <w:pStyle w:val="Rec"/>
              <w:keepNext/>
            </w:pPr>
            <w:r w:rsidRPr="00D41518">
              <w:t xml:space="preserve">The Australian, State and Territory Governments should develop a strategy to improve data </w:t>
            </w:r>
            <w:r w:rsidR="0067695A">
              <w:t xml:space="preserve">usability </w:t>
            </w:r>
            <w:r w:rsidRPr="00D41518">
              <w:t>in mental health</w:t>
            </w:r>
            <w:r w:rsidR="008B7BFA">
              <w:t xml:space="preserve"> and suicide prevention</w:t>
            </w:r>
            <w:r w:rsidRPr="00D41518">
              <w:t xml:space="preserve"> including</w:t>
            </w:r>
            <w:r w:rsidR="0067695A">
              <w:t xml:space="preserve"> identifying</w:t>
            </w:r>
            <w:r w:rsidRPr="00D41518">
              <w:t>:</w:t>
            </w:r>
          </w:p>
          <w:p w14:paraId="0A4EBEA1" w14:textId="77777777" w:rsidR="00D41518" w:rsidRPr="001D01E8" w:rsidRDefault="00D41518" w:rsidP="001D01E8">
            <w:pPr>
              <w:pStyle w:val="BoxListBullet"/>
              <w:rPr>
                <w:sz w:val="22"/>
                <w:szCs w:val="22"/>
              </w:rPr>
            </w:pPr>
            <w:r w:rsidRPr="001D01E8">
              <w:rPr>
                <w:sz w:val="22"/>
                <w:szCs w:val="22"/>
              </w:rPr>
              <w:t>data linkage projects</w:t>
            </w:r>
            <w:r w:rsidR="0067695A" w:rsidRPr="001D01E8">
              <w:rPr>
                <w:sz w:val="22"/>
                <w:szCs w:val="22"/>
              </w:rPr>
              <w:t xml:space="preserve"> between Australian, State and Territory Government datasets</w:t>
            </w:r>
          </w:p>
          <w:p w14:paraId="09F3EF3F" w14:textId="77777777" w:rsidR="0067695A" w:rsidRPr="001D01E8" w:rsidRDefault="0067695A" w:rsidP="001D01E8">
            <w:pPr>
              <w:pStyle w:val="BoxListBullet"/>
              <w:rPr>
                <w:sz w:val="22"/>
                <w:szCs w:val="22"/>
              </w:rPr>
            </w:pPr>
            <w:r w:rsidRPr="001D01E8">
              <w:rPr>
                <w:sz w:val="22"/>
                <w:szCs w:val="22"/>
              </w:rPr>
              <w:t xml:space="preserve">datasets that are underutilised due to access barriers, in particular, access barriers faced by State and Territory Governments and regional commissioning </w:t>
            </w:r>
            <w:r w:rsidR="00AC4B03" w:rsidRPr="001D01E8">
              <w:rPr>
                <w:sz w:val="22"/>
                <w:szCs w:val="22"/>
              </w:rPr>
              <w:t>bodies</w:t>
            </w:r>
          </w:p>
          <w:p w14:paraId="6E2E05AC" w14:textId="1CD2F448" w:rsidR="0067695A" w:rsidRPr="001D01E8" w:rsidRDefault="0067695A" w:rsidP="001D01E8">
            <w:pPr>
              <w:pStyle w:val="BoxListBullet"/>
              <w:rPr>
                <w:sz w:val="22"/>
                <w:szCs w:val="22"/>
              </w:rPr>
            </w:pPr>
            <w:r w:rsidRPr="001D01E8">
              <w:rPr>
                <w:sz w:val="22"/>
                <w:szCs w:val="22"/>
              </w:rPr>
              <w:t>datasets that are underutilised due to low data quality, including inconsistent definitions and classifications.</w:t>
            </w:r>
          </w:p>
          <w:p w14:paraId="769C83C1" w14:textId="63F22ED1" w:rsidR="00D43FD7" w:rsidRPr="00D41518" w:rsidRDefault="0067695A" w:rsidP="00E06F1D">
            <w:pPr>
              <w:pStyle w:val="Rec"/>
              <w:keepNext/>
            </w:pPr>
            <w:r>
              <w:t>Th</w:t>
            </w:r>
            <w:r w:rsidR="00E009BD">
              <w:t>is</w:t>
            </w:r>
            <w:r>
              <w:t xml:space="preserve"> </w:t>
            </w:r>
            <w:r w:rsidR="00336E53">
              <w:t xml:space="preserve">strategy </w:t>
            </w:r>
            <w:r>
              <w:t>should identify high</w:t>
            </w:r>
            <w:r>
              <w:noBreakHyphen/>
              <w:t>priority</w:t>
            </w:r>
            <w:r w:rsidR="00336E53">
              <w:t xml:space="preserve"> projects</w:t>
            </w:r>
            <w:r>
              <w:t xml:space="preserve"> in consultation with relevant stakeholders</w:t>
            </w:r>
            <w:r w:rsidR="00336E53">
              <w:t xml:space="preserve">, </w:t>
            </w:r>
            <w:r w:rsidR="00D41518" w:rsidRPr="00D41518">
              <w:t>assess the barriers to implementing such projects</w:t>
            </w:r>
            <w:r w:rsidR="00336E53">
              <w:t xml:space="preserve"> and develop </w:t>
            </w:r>
            <w:r w:rsidR="00D41518" w:rsidRPr="00D41518">
              <w:t>solutions to address them.</w:t>
            </w:r>
          </w:p>
        </w:tc>
      </w:tr>
      <w:tr w:rsidR="00D41518" w:rsidRPr="00D41518" w14:paraId="44CBA5F0"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19ED6F18" w14:textId="77777777" w:rsidR="00D41518" w:rsidRPr="00D41518" w:rsidRDefault="00D41518" w:rsidP="00E06F1D">
            <w:pPr>
              <w:keepNext/>
              <w:keepLines/>
              <w:spacing w:line="120" w:lineRule="exact"/>
              <w:jc w:val="both"/>
              <w:rPr>
                <w:rFonts w:ascii="Arial" w:hAnsi="Arial"/>
                <w:sz w:val="20"/>
                <w:szCs w:val="20"/>
              </w:rPr>
            </w:pPr>
          </w:p>
        </w:tc>
      </w:tr>
      <w:tr w:rsidR="00D41518" w:rsidRPr="00D41518" w14:paraId="334BAF4B" w14:textId="77777777" w:rsidTr="00462628">
        <w:tc>
          <w:tcPr>
            <w:tcW w:w="5000" w:type="pct"/>
            <w:tcBorders>
              <w:top w:val="single" w:sz="6" w:space="0" w:color="78A22F"/>
              <w:left w:val="nil"/>
              <w:bottom w:val="nil"/>
              <w:right w:val="nil"/>
            </w:tcBorders>
          </w:tcPr>
          <w:p w14:paraId="53A9C732" w14:textId="77777777" w:rsidR="00D41518" w:rsidRPr="00D41518" w:rsidRDefault="00D41518" w:rsidP="00E06F1D">
            <w:pPr>
              <w:keepNext/>
              <w:keepLines/>
              <w:spacing w:before="60" w:after="60" w:line="80" w:lineRule="exact"/>
              <w:jc w:val="both"/>
              <w:rPr>
                <w:rFonts w:ascii="Arial" w:hAnsi="Arial"/>
                <w:sz w:val="14"/>
                <w:szCs w:val="20"/>
              </w:rPr>
            </w:pPr>
          </w:p>
        </w:tc>
      </w:tr>
    </w:tbl>
    <w:p w14:paraId="799099D3" w14:textId="77777777" w:rsidR="00D41518" w:rsidRPr="00D41518" w:rsidRDefault="00D41518" w:rsidP="00E06F1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D41518" w:rsidRPr="005E64FD" w14:paraId="70B693F2" w14:textId="77777777" w:rsidTr="00462628">
        <w:trPr>
          <w:tblHeader/>
        </w:trPr>
        <w:tc>
          <w:tcPr>
            <w:tcW w:w="5000" w:type="pct"/>
            <w:tcBorders>
              <w:top w:val="single" w:sz="6" w:space="0" w:color="78A22F"/>
              <w:left w:val="nil"/>
              <w:bottom w:val="nil"/>
              <w:right w:val="nil"/>
            </w:tcBorders>
            <w:shd w:val="clear" w:color="auto" w:fill="auto"/>
            <w:tcMar>
              <w:left w:w="170" w:type="dxa"/>
              <w:right w:w="170" w:type="dxa"/>
            </w:tcMar>
          </w:tcPr>
          <w:p w14:paraId="3B6A1BBA" w14:textId="7047F9AE" w:rsidR="00D41518" w:rsidRPr="005E64FD" w:rsidRDefault="00F8701A" w:rsidP="005E64FD">
            <w:pPr>
              <w:pStyle w:val="RecTitle"/>
              <w:spacing w:before="120"/>
              <w:rPr>
                <w:b/>
                <w:color w:val="3B5117"/>
              </w:rPr>
            </w:pPr>
            <w:r w:rsidRPr="005E64FD">
              <w:rPr>
                <w:b/>
                <w:color w:val="3B5117"/>
              </w:rPr>
              <w:t xml:space="preserve">ACTION </w:t>
            </w:r>
            <w:r w:rsidR="00836B99" w:rsidRPr="005E64FD">
              <w:rPr>
                <w:b/>
                <w:color w:val="3B5117"/>
              </w:rPr>
              <w:t>24</w:t>
            </w:r>
            <w:r w:rsidRPr="005E64FD">
              <w:rPr>
                <w:b/>
                <w:color w:val="3B5117"/>
              </w:rPr>
              <w:t>.</w:t>
            </w:r>
            <w:r w:rsidR="00D41518" w:rsidRPr="005E64FD">
              <w:rPr>
                <w:b/>
                <w:color w:val="3B5117"/>
              </w:rPr>
              <w:t>2</w:t>
            </w:r>
            <w:r w:rsidR="00CE7986">
              <w:rPr>
                <w:b/>
                <w:color w:val="3B5117"/>
              </w:rPr>
              <w:t> — </w:t>
            </w:r>
            <w:r w:rsidR="00D41518" w:rsidRPr="005E64FD">
              <w:rPr>
                <w:b/>
                <w:color w:val="3B5117"/>
              </w:rPr>
              <w:t>routine national surveys of mental health</w:t>
            </w:r>
          </w:p>
        </w:tc>
      </w:tr>
      <w:tr w:rsidR="00D41518" w:rsidRPr="00D41518" w14:paraId="08363512" w14:textId="77777777" w:rsidTr="00462628">
        <w:tc>
          <w:tcPr>
            <w:tcW w:w="5000" w:type="pct"/>
            <w:tcBorders>
              <w:top w:val="nil"/>
              <w:left w:val="nil"/>
              <w:bottom w:val="nil"/>
              <w:right w:val="nil"/>
            </w:tcBorders>
            <w:shd w:val="clear" w:color="auto" w:fill="F2F2F2"/>
            <w:tcMar>
              <w:left w:w="170" w:type="dxa"/>
              <w:right w:w="170" w:type="dxa"/>
            </w:tcMar>
          </w:tcPr>
          <w:p w14:paraId="697C3259" w14:textId="09ED59BF" w:rsidR="000E7304" w:rsidRPr="00EC0583" w:rsidRDefault="000E7304" w:rsidP="00E06F1D">
            <w:pPr>
              <w:pStyle w:val="Rec"/>
            </w:pPr>
            <w:r>
              <w:t xml:space="preserve">Mental health data at a national level </w:t>
            </w:r>
            <w:r w:rsidR="000329B9">
              <w:t>needs to be systematically updated over time.</w:t>
            </w:r>
          </w:p>
          <w:p w14:paraId="2756A1E7" w14:textId="178BCE76" w:rsidR="00D41518" w:rsidRPr="00E06F1D" w:rsidRDefault="002246D6" w:rsidP="00E06F1D">
            <w:pPr>
              <w:pStyle w:val="Rec"/>
              <w:rPr>
                <w:i/>
              </w:rPr>
            </w:pPr>
            <w:r w:rsidRPr="00E06F1D">
              <w:rPr>
                <w:i/>
              </w:rPr>
              <w:t>Start later</w:t>
            </w:r>
          </w:p>
          <w:p w14:paraId="418DDF7A" w14:textId="42DE67DB" w:rsidR="00D41518" w:rsidRPr="00D41518" w:rsidRDefault="00D41518" w:rsidP="00E06F1D">
            <w:pPr>
              <w:pStyle w:val="Rec"/>
            </w:pPr>
            <w:r w:rsidRPr="00D41518">
              <w:t>The Australian Government should support the A</w:t>
            </w:r>
            <w:r w:rsidR="00340C76">
              <w:t xml:space="preserve">ustralian </w:t>
            </w:r>
            <w:r w:rsidRPr="00D41518">
              <w:t>B</w:t>
            </w:r>
            <w:r w:rsidR="00340C76">
              <w:t xml:space="preserve">ureau of </w:t>
            </w:r>
            <w:r w:rsidRPr="00D41518">
              <w:t>S</w:t>
            </w:r>
            <w:r w:rsidR="00340C76">
              <w:t>tatistics</w:t>
            </w:r>
            <w:r w:rsidRPr="00D41518">
              <w:t xml:space="preserve"> to conduct a National Survey of Mental Health and Wellbeing no less</w:t>
            </w:r>
            <w:r w:rsidR="008358B5">
              <w:t xml:space="preserve"> </w:t>
            </w:r>
            <w:r w:rsidRPr="00D41518">
              <w:t>than every 10 years.</w:t>
            </w:r>
            <w:r w:rsidR="008358B5">
              <w:t xml:space="preserve"> Its design should enable:</w:t>
            </w:r>
          </w:p>
          <w:p w14:paraId="7AC32CE0" w14:textId="5CFAFEC3" w:rsidR="00D41518" w:rsidRPr="00660785" w:rsidRDefault="00D41518" w:rsidP="00660785">
            <w:pPr>
              <w:pStyle w:val="BoxListBullet"/>
              <w:rPr>
                <w:sz w:val="22"/>
                <w:szCs w:val="22"/>
              </w:rPr>
            </w:pPr>
            <w:r w:rsidRPr="00660785">
              <w:rPr>
                <w:sz w:val="22"/>
                <w:szCs w:val="22"/>
              </w:rPr>
              <w:t xml:space="preserve">consistent comparisons </w:t>
            </w:r>
            <w:r w:rsidR="00823870" w:rsidRPr="00660785">
              <w:rPr>
                <w:sz w:val="22"/>
                <w:szCs w:val="22"/>
              </w:rPr>
              <w:t xml:space="preserve">over </w:t>
            </w:r>
            <w:r w:rsidRPr="00660785">
              <w:rPr>
                <w:sz w:val="22"/>
                <w:szCs w:val="22"/>
              </w:rPr>
              <w:t>time</w:t>
            </w:r>
          </w:p>
          <w:p w14:paraId="2C9D7A3F" w14:textId="4A1FE71D" w:rsidR="00E74FA0" w:rsidRPr="00660785" w:rsidRDefault="00E74FA0" w:rsidP="00660785">
            <w:pPr>
              <w:pStyle w:val="BoxListBullet"/>
              <w:rPr>
                <w:sz w:val="22"/>
                <w:szCs w:val="22"/>
              </w:rPr>
            </w:pPr>
            <w:r w:rsidRPr="00660785">
              <w:rPr>
                <w:sz w:val="22"/>
                <w:szCs w:val="22"/>
              </w:rPr>
              <w:t xml:space="preserve">monitoring changes in </w:t>
            </w:r>
            <w:r w:rsidR="00AF1212" w:rsidRPr="00660785">
              <w:rPr>
                <w:sz w:val="22"/>
                <w:szCs w:val="22"/>
              </w:rPr>
              <w:t xml:space="preserve">prevalence and </w:t>
            </w:r>
            <w:r w:rsidR="00DF65F9" w:rsidRPr="00660785">
              <w:rPr>
                <w:sz w:val="22"/>
                <w:szCs w:val="22"/>
              </w:rPr>
              <w:t>effects</w:t>
            </w:r>
            <w:r w:rsidR="00AF1212" w:rsidRPr="00660785">
              <w:rPr>
                <w:sz w:val="22"/>
                <w:szCs w:val="22"/>
              </w:rPr>
              <w:t xml:space="preserve"> of mental health conditions</w:t>
            </w:r>
          </w:p>
          <w:p w14:paraId="306799E1" w14:textId="240C5BD4" w:rsidR="00D41518" w:rsidRPr="00660785" w:rsidRDefault="00E74FA0" w:rsidP="00660785">
            <w:pPr>
              <w:pStyle w:val="BoxListBullet"/>
              <w:rPr>
                <w:sz w:val="22"/>
                <w:szCs w:val="22"/>
              </w:rPr>
            </w:pPr>
            <w:r w:rsidRPr="00660785">
              <w:rPr>
                <w:sz w:val="22"/>
                <w:szCs w:val="22"/>
              </w:rPr>
              <w:t xml:space="preserve">analyses to understand </w:t>
            </w:r>
            <w:r w:rsidR="00AF1212" w:rsidRPr="00660785">
              <w:rPr>
                <w:sz w:val="22"/>
                <w:szCs w:val="22"/>
              </w:rPr>
              <w:t xml:space="preserve">patterns of use for </w:t>
            </w:r>
            <w:r w:rsidRPr="00660785">
              <w:rPr>
                <w:sz w:val="22"/>
                <w:szCs w:val="22"/>
              </w:rPr>
              <w:t>mental he</w:t>
            </w:r>
            <w:r w:rsidR="006F014D" w:rsidRPr="00660785">
              <w:rPr>
                <w:sz w:val="22"/>
                <w:szCs w:val="22"/>
              </w:rPr>
              <w:t xml:space="preserve">alth and other support services, and their </w:t>
            </w:r>
            <w:r w:rsidR="00DF65F9" w:rsidRPr="00660785">
              <w:rPr>
                <w:sz w:val="22"/>
                <w:szCs w:val="22"/>
              </w:rPr>
              <w:t xml:space="preserve">effect </w:t>
            </w:r>
            <w:r w:rsidRPr="00660785">
              <w:rPr>
                <w:sz w:val="22"/>
                <w:szCs w:val="22"/>
              </w:rPr>
              <w:t xml:space="preserve">on </w:t>
            </w:r>
            <w:r w:rsidR="00AF1212" w:rsidRPr="00660785">
              <w:rPr>
                <w:sz w:val="22"/>
                <w:szCs w:val="22"/>
              </w:rPr>
              <w:t xml:space="preserve">individual </w:t>
            </w:r>
            <w:r w:rsidRPr="00660785">
              <w:rPr>
                <w:sz w:val="22"/>
                <w:szCs w:val="22"/>
              </w:rPr>
              <w:t>outcomes</w:t>
            </w:r>
            <w:r w:rsidR="00AF1212" w:rsidRPr="00660785">
              <w:rPr>
                <w:sz w:val="22"/>
                <w:szCs w:val="22"/>
              </w:rPr>
              <w:t xml:space="preserve"> over time</w:t>
            </w:r>
            <w:r w:rsidR="00D41518" w:rsidRPr="00660785">
              <w:rPr>
                <w:sz w:val="22"/>
                <w:szCs w:val="22"/>
              </w:rPr>
              <w:t>.</w:t>
            </w:r>
          </w:p>
          <w:p w14:paraId="11872229" w14:textId="3E6ADB3F" w:rsidR="00D41518" w:rsidRPr="00D41518" w:rsidRDefault="00D41518" w:rsidP="00E06F1D">
            <w:pPr>
              <w:pStyle w:val="Rec"/>
            </w:pPr>
            <w:r w:rsidRPr="00D41518">
              <w:t xml:space="preserve">The survey design should ensure that it adequately represents </w:t>
            </w:r>
            <w:r w:rsidR="00950BF4">
              <w:t>demographic groups</w:t>
            </w:r>
            <w:r w:rsidRPr="00D41518">
              <w:t xml:space="preserve"> who may have diverse needs</w:t>
            </w:r>
            <w:r w:rsidR="00E53FFF">
              <w:t xml:space="preserve"> and involve consumers </w:t>
            </w:r>
            <w:r w:rsidR="00DF65F9">
              <w:t xml:space="preserve">and carers </w:t>
            </w:r>
            <w:r w:rsidR="00E53FFF">
              <w:t>in its design</w:t>
            </w:r>
            <w:r w:rsidRPr="00D41518">
              <w:t>. Opportunities for linking the survey data with other datasets should be considered.</w:t>
            </w:r>
          </w:p>
        </w:tc>
      </w:tr>
      <w:tr w:rsidR="00D41518" w:rsidRPr="00D41518" w14:paraId="3D5A2087"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229EB388" w14:textId="77777777" w:rsidR="00D41518" w:rsidRPr="00D41518" w:rsidRDefault="00D41518" w:rsidP="00D41518">
            <w:pPr>
              <w:keepNext/>
              <w:keepLines/>
              <w:spacing w:line="120" w:lineRule="exact"/>
              <w:jc w:val="both"/>
              <w:rPr>
                <w:rFonts w:ascii="Arial" w:hAnsi="Arial"/>
                <w:sz w:val="20"/>
                <w:szCs w:val="20"/>
              </w:rPr>
            </w:pPr>
          </w:p>
        </w:tc>
      </w:tr>
      <w:tr w:rsidR="00D41518" w:rsidRPr="00D41518" w14:paraId="74D5F08A" w14:textId="77777777" w:rsidTr="00462628">
        <w:tc>
          <w:tcPr>
            <w:tcW w:w="5000" w:type="pct"/>
            <w:tcBorders>
              <w:top w:val="single" w:sz="6" w:space="0" w:color="78A22F"/>
              <w:left w:val="nil"/>
              <w:bottom w:val="nil"/>
              <w:right w:val="nil"/>
            </w:tcBorders>
          </w:tcPr>
          <w:p w14:paraId="459EB6C1" w14:textId="77777777" w:rsidR="00D41518" w:rsidRPr="00D41518" w:rsidRDefault="00D41518" w:rsidP="00762EA6">
            <w:pPr>
              <w:spacing w:before="60" w:after="60" w:line="80" w:lineRule="exact"/>
              <w:jc w:val="both"/>
              <w:rPr>
                <w:rFonts w:ascii="Arial" w:hAnsi="Arial"/>
                <w:sz w:val="14"/>
                <w:szCs w:val="20"/>
              </w:rPr>
            </w:pPr>
          </w:p>
        </w:tc>
      </w:tr>
    </w:tbl>
    <w:p w14:paraId="4E79C396" w14:textId="77777777" w:rsidR="00D41518" w:rsidRPr="00D41518" w:rsidRDefault="00D41518" w:rsidP="00762EA6">
      <w:pPr>
        <w:pStyle w:val="BoxSpaceAbove"/>
        <w:keepLines/>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D41518" w:rsidRPr="005E64FD" w14:paraId="34A7B12C" w14:textId="77777777" w:rsidTr="00462628">
        <w:trPr>
          <w:tblHeader/>
        </w:trPr>
        <w:tc>
          <w:tcPr>
            <w:tcW w:w="5000" w:type="pct"/>
            <w:tcBorders>
              <w:top w:val="single" w:sz="6" w:space="0" w:color="78A22F"/>
              <w:left w:val="nil"/>
              <w:bottom w:val="nil"/>
              <w:right w:val="nil"/>
            </w:tcBorders>
            <w:shd w:val="clear" w:color="auto" w:fill="auto"/>
            <w:tcMar>
              <w:left w:w="170" w:type="dxa"/>
              <w:right w:w="170" w:type="dxa"/>
            </w:tcMar>
          </w:tcPr>
          <w:p w14:paraId="3051293C" w14:textId="57D9D7DB" w:rsidR="00D41518" w:rsidRPr="005E64FD" w:rsidRDefault="00F8701A" w:rsidP="005E64FD">
            <w:pPr>
              <w:pStyle w:val="RecTitle"/>
              <w:spacing w:before="120"/>
              <w:rPr>
                <w:b/>
                <w:color w:val="3B5117"/>
              </w:rPr>
            </w:pPr>
            <w:r w:rsidRPr="005E64FD">
              <w:rPr>
                <w:b/>
                <w:color w:val="3B5117"/>
              </w:rPr>
              <w:t xml:space="preserve">ACTION </w:t>
            </w:r>
            <w:r w:rsidR="00836B99" w:rsidRPr="005E64FD">
              <w:rPr>
                <w:b/>
                <w:color w:val="3B5117"/>
              </w:rPr>
              <w:t>24</w:t>
            </w:r>
            <w:r w:rsidRPr="005E64FD">
              <w:rPr>
                <w:b/>
                <w:color w:val="3B5117"/>
              </w:rPr>
              <w:t>.</w:t>
            </w:r>
            <w:r w:rsidR="00D41518" w:rsidRPr="005E64FD">
              <w:rPr>
                <w:b/>
                <w:color w:val="3B5117"/>
              </w:rPr>
              <w:t>3</w:t>
            </w:r>
            <w:r w:rsidR="00CE7986">
              <w:rPr>
                <w:b/>
                <w:color w:val="3B5117"/>
              </w:rPr>
              <w:t> — </w:t>
            </w:r>
            <w:r w:rsidR="00F04642" w:rsidRPr="005E64FD">
              <w:rPr>
                <w:b/>
                <w:color w:val="3B5117"/>
              </w:rPr>
              <w:t>addressing</w:t>
            </w:r>
            <w:r w:rsidR="00D41518" w:rsidRPr="005E64FD">
              <w:rPr>
                <w:b/>
                <w:color w:val="3B5117"/>
              </w:rPr>
              <w:t xml:space="preserve"> data gaps</w:t>
            </w:r>
          </w:p>
        </w:tc>
      </w:tr>
      <w:tr w:rsidR="00D41518" w:rsidRPr="00D41518" w14:paraId="71C062A7" w14:textId="77777777" w:rsidTr="00462628">
        <w:tc>
          <w:tcPr>
            <w:tcW w:w="5000" w:type="pct"/>
            <w:tcBorders>
              <w:top w:val="nil"/>
              <w:left w:val="nil"/>
              <w:bottom w:val="nil"/>
              <w:right w:val="nil"/>
            </w:tcBorders>
            <w:shd w:val="clear" w:color="auto" w:fill="F2F2F2"/>
            <w:tcMar>
              <w:left w:w="170" w:type="dxa"/>
              <w:right w:w="170" w:type="dxa"/>
            </w:tcMar>
          </w:tcPr>
          <w:p w14:paraId="2044BEAD" w14:textId="77777777" w:rsidR="00D41518" w:rsidRPr="00D41518" w:rsidRDefault="00D41518" w:rsidP="00762EA6">
            <w:pPr>
              <w:pStyle w:val="Rec"/>
              <w:keepNext/>
            </w:pPr>
            <w:r w:rsidRPr="00D41518">
              <w:t>High</w:t>
            </w:r>
            <w:r w:rsidRPr="00D41518">
              <w:noBreakHyphen/>
              <w:t>quality and fit</w:t>
            </w:r>
            <w:r w:rsidRPr="00D41518">
              <w:noBreakHyphen/>
              <w:t>for</w:t>
            </w:r>
            <w:r w:rsidRPr="00D41518">
              <w:noBreakHyphen/>
              <w:t xml:space="preserve">purpose data should be collected to </w:t>
            </w:r>
            <w:r w:rsidR="00F04642">
              <w:t xml:space="preserve">inform decision making and </w:t>
            </w:r>
            <w:r w:rsidRPr="00D41518">
              <w:t>improve</w:t>
            </w:r>
            <w:r w:rsidR="00F04642">
              <w:t xml:space="preserve"> service delivery, and</w:t>
            </w:r>
            <w:r w:rsidRPr="00D41518">
              <w:t xml:space="preserve"> outcomes for </w:t>
            </w:r>
            <w:r w:rsidR="0026150F" w:rsidRPr="0026150F">
              <w:t>people with lived experience</w:t>
            </w:r>
            <w:r w:rsidRPr="00D41518">
              <w:t xml:space="preserve"> and carers.</w:t>
            </w:r>
          </w:p>
          <w:p w14:paraId="0853B696" w14:textId="77777777" w:rsidR="00D41518" w:rsidRPr="00762EA6" w:rsidRDefault="002246D6" w:rsidP="00762EA6">
            <w:pPr>
              <w:pStyle w:val="Rec"/>
              <w:keepNext/>
              <w:rPr>
                <w:i/>
              </w:rPr>
            </w:pPr>
            <w:r w:rsidRPr="00762EA6">
              <w:rPr>
                <w:i/>
              </w:rPr>
              <w:t>Start now</w:t>
            </w:r>
          </w:p>
          <w:p w14:paraId="0E9053C4" w14:textId="0ED74B3B" w:rsidR="00D41518" w:rsidRPr="00C12376" w:rsidRDefault="008D5CF7" w:rsidP="00C12376">
            <w:pPr>
              <w:pStyle w:val="BoxListBullet"/>
              <w:rPr>
                <w:sz w:val="22"/>
                <w:szCs w:val="22"/>
              </w:rPr>
            </w:pPr>
            <w:r w:rsidRPr="00C12376">
              <w:rPr>
                <w:sz w:val="22"/>
                <w:szCs w:val="22"/>
              </w:rPr>
              <w:t xml:space="preserve">The </w:t>
            </w:r>
            <w:r w:rsidR="00D41518" w:rsidRPr="00C12376">
              <w:rPr>
                <w:sz w:val="22"/>
                <w:szCs w:val="22"/>
              </w:rPr>
              <w:t xml:space="preserve">Australian, State and Territory Governments should complete </w:t>
            </w:r>
            <w:r w:rsidR="005D0D72" w:rsidRPr="00C12376">
              <w:rPr>
                <w:sz w:val="22"/>
                <w:szCs w:val="22"/>
              </w:rPr>
              <w:t>Action </w:t>
            </w:r>
            <w:r w:rsidR="00D41518" w:rsidRPr="00C12376">
              <w:rPr>
                <w:sz w:val="22"/>
                <w:szCs w:val="22"/>
              </w:rPr>
              <w:t>24 in the Fifth National Mental Health and Suicide Prevention Plan to update the statement on National Mental Health Information Priorities</w:t>
            </w:r>
            <w:r w:rsidR="00782E05" w:rsidRPr="00C12376">
              <w:rPr>
                <w:sz w:val="22"/>
                <w:szCs w:val="22"/>
              </w:rPr>
              <w:t xml:space="preserve"> (NMHIP)</w:t>
            </w:r>
            <w:r w:rsidR="00D41518" w:rsidRPr="00C12376">
              <w:rPr>
                <w:sz w:val="22"/>
                <w:szCs w:val="22"/>
              </w:rPr>
              <w:t xml:space="preserve">. </w:t>
            </w:r>
          </w:p>
          <w:p w14:paraId="51EA2D51" w14:textId="5BEBE5C8" w:rsidR="00D41518" w:rsidRPr="00C12376" w:rsidRDefault="008D5CF7" w:rsidP="00C12376">
            <w:pPr>
              <w:pStyle w:val="BoxListBullet"/>
              <w:rPr>
                <w:sz w:val="22"/>
                <w:szCs w:val="22"/>
              </w:rPr>
            </w:pPr>
            <w:r w:rsidRPr="00C12376">
              <w:rPr>
                <w:sz w:val="22"/>
                <w:szCs w:val="22"/>
              </w:rPr>
              <w:t xml:space="preserve">The </w:t>
            </w:r>
            <w:r w:rsidR="00D41518" w:rsidRPr="00C12376">
              <w:rPr>
                <w:sz w:val="22"/>
                <w:szCs w:val="22"/>
              </w:rPr>
              <w:t>Australian, State and Territory Governments should develop and adequately fund strategies to address identified data gaps and information priorities</w:t>
            </w:r>
            <w:r w:rsidR="00782E05" w:rsidRPr="00C12376">
              <w:rPr>
                <w:sz w:val="22"/>
                <w:szCs w:val="22"/>
              </w:rPr>
              <w:t xml:space="preserve"> in the statement on NMHIP</w:t>
            </w:r>
            <w:r w:rsidR="00D41518" w:rsidRPr="00C12376">
              <w:rPr>
                <w:sz w:val="22"/>
                <w:szCs w:val="22"/>
              </w:rPr>
              <w:t>. This should include consultation on how best to:</w:t>
            </w:r>
          </w:p>
          <w:p w14:paraId="1FD94F39" w14:textId="25B2FC56" w:rsidR="00D41518" w:rsidRPr="00870607" w:rsidRDefault="00D41518" w:rsidP="00291482">
            <w:pPr>
              <w:pStyle w:val="BoxListBullet2"/>
              <w:tabs>
                <w:tab w:val="clear" w:pos="567"/>
              </w:tabs>
              <w:ind w:left="680" w:hanging="340"/>
            </w:pPr>
            <w:r w:rsidRPr="00870607">
              <w:t>collect the data in a way that imposes the least regulatory burden to ensure data is high</w:t>
            </w:r>
            <w:r w:rsidRPr="00870607">
              <w:noBreakHyphen/>
              <w:t>quality and fit</w:t>
            </w:r>
            <w:r w:rsidRPr="00870607">
              <w:noBreakHyphen/>
              <w:t>for</w:t>
            </w:r>
            <w:r w:rsidRPr="00870607">
              <w:noBreakHyphen/>
              <w:t>purpose</w:t>
            </w:r>
          </w:p>
          <w:p w14:paraId="6EC10C87" w14:textId="092B9774" w:rsidR="00D41518" w:rsidRPr="00870607" w:rsidRDefault="00D41518" w:rsidP="00291482">
            <w:pPr>
              <w:pStyle w:val="BoxListBullet2"/>
              <w:tabs>
                <w:tab w:val="clear" w:pos="567"/>
              </w:tabs>
              <w:ind w:left="680" w:hanging="340"/>
            </w:pPr>
            <w:r w:rsidRPr="00870607">
              <w:t>publish the data in ways that are useful to policy makers, service providers</w:t>
            </w:r>
            <w:r w:rsidR="003E064C" w:rsidRPr="00870607">
              <w:t>,</w:t>
            </w:r>
            <w:r w:rsidR="009C7B66" w:rsidRPr="00870607">
              <w:t xml:space="preserve"> </w:t>
            </w:r>
            <w:r w:rsidRPr="00870607">
              <w:t xml:space="preserve">and </w:t>
            </w:r>
            <w:r w:rsidR="00FB3D43" w:rsidRPr="00870607">
              <w:t>importantly,</w:t>
            </w:r>
            <w:r w:rsidR="003E064C" w:rsidRPr="00870607">
              <w:t xml:space="preserve"> </w:t>
            </w:r>
            <w:r w:rsidRPr="00870607">
              <w:t>consumers</w:t>
            </w:r>
            <w:r w:rsidR="003E064C" w:rsidRPr="00870607">
              <w:t xml:space="preserve"> and the public</w:t>
            </w:r>
            <w:r w:rsidRPr="00870607">
              <w:t>.</w:t>
            </w:r>
          </w:p>
          <w:p w14:paraId="7F0A9A8A" w14:textId="2D47F9C8" w:rsidR="00782E05" w:rsidRPr="00C12376" w:rsidRDefault="00426C3F" w:rsidP="00C12376">
            <w:pPr>
              <w:pStyle w:val="BoxListBullet"/>
              <w:rPr>
                <w:sz w:val="22"/>
                <w:szCs w:val="22"/>
              </w:rPr>
            </w:pPr>
            <w:r w:rsidRPr="00C12376">
              <w:rPr>
                <w:sz w:val="22"/>
                <w:szCs w:val="22"/>
              </w:rPr>
              <w:t xml:space="preserve">The </w:t>
            </w:r>
            <w:r w:rsidR="00176604" w:rsidRPr="00C12376">
              <w:rPr>
                <w:sz w:val="22"/>
                <w:szCs w:val="22"/>
              </w:rPr>
              <w:t>Australian, State and Territory Governments should ensure a nationally consistent dataset is established in all States and Territories of non</w:t>
            </w:r>
            <w:r w:rsidR="00176604" w:rsidRPr="00C12376">
              <w:rPr>
                <w:sz w:val="22"/>
                <w:szCs w:val="22"/>
              </w:rPr>
              <w:noBreakHyphen/>
              <w:t xml:space="preserve">government organisations that provide mental health services. </w:t>
            </w:r>
            <w:r w:rsidR="00856FF4" w:rsidRPr="00C12376">
              <w:rPr>
                <w:sz w:val="22"/>
                <w:szCs w:val="22"/>
              </w:rPr>
              <w:t xml:space="preserve">In doing so, they </w:t>
            </w:r>
            <w:r w:rsidR="00782E05" w:rsidRPr="00C12376">
              <w:rPr>
                <w:sz w:val="22"/>
                <w:szCs w:val="22"/>
              </w:rPr>
              <w:t>should:</w:t>
            </w:r>
          </w:p>
          <w:p w14:paraId="54D797F1" w14:textId="696EF387" w:rsidR="00B95AF2" w:rsidRPr="00870607" w:rsidRDefault="00B95AF2" w:rsidP="00291482">
            <w:pPr>
              <w:pStyle w:val="BoxListBullet2"/>
              <w:tabs>
                <w:tab w:val="clear" w:pos="567"/>
              </w:tabs>
              <w:ind w:left="680" w:hanging="340"/>
            </w:pPr>
            <w:r w:rsidRPr="00870607">
              <w:t>ensure data collection focuses on outcomes</w:t>
            </w:r>
            <w:r w:rsidR="00AC4B03" w:rsidRPr="00870607">
              <w:t xml:space="preserve"> for people that are valued by </w:t>
            </w:r>
            <w:r w:rsidR="00DF65F9" w:rsidRPr="00870607">
              <w:t>them</w:t>
            </w:r>
            <w:r w:rsidRPr="00870607">
              <w:t xml:space="preserve"> </w:t>
            </w:r>
            <w:r w:rsidR="00AC4B03" w:rsidRPr="00870607">
              <w:t>(</w:t>
            </w:r>
            <w:r w:rsidRPr="00870607">
              <w:t>not just outputs and activity</w:t>
            </w:r>
            <w:r w:rsidR="00AC4B03" w:rsidRPr="00870607">
              <w:t xml:space="preserve">) </w:t>
            </w:r>
          </w:p>
          <w:p w14:paraId="6DECE379" w14:textId="77777777" w:rsidR="00B95AF2" w:rsidRPr="00870607" w:rsidRDefault="00B95AF2" w:rsidP="00291482">
            <w:pPr>
              <w:pStyle w:val="BoxListBullet2"/>
              <w:tabs>
                <w:tab w:val="clear" w:pos="567"/>
              </w:tabs>
              <w:ind w:left="680" w:hanging="340"/>
            </w:pPr>
            <w:r w:rsidRPr="00870607">
              <w:t>ensure data colle</w:t>
            </w:r>
            <w:r w:rsidR="00AC4B03" w:rsidRPr="00870607">
              <w:t xml:space="preserve">ction informs service planning </w:t>
            </w:r>
            <w:r w:rsidRPr="00870607">
              <w:t>at the regional level</w:t>
            </w:r>
          </w:p>
          <w:p w14:paraId="33DF7A84" w14:textId="685E02E6" w:rsidR="00B95AF2" w:rsidRPr="00870607" w:rsidRDefault="00B95AF2" w:rsidP="00291482">
            <w:pPr>
              <w:pStyle w:val="BoxListBullet2"/>
              <w:tabs>
                <w:tab w:val="clear" w:pos="567"/>
              </w:tabs>
              <w:ind w:left="680" w:hanging="340"/>
            </w:pPr>
            <w:r w:rsidRPr="00870607">
              <w:t>adequately fund and provide ongoing support to non</w:t>
            </w:r>
            <w:r w:rsidRPr="00870607">
              <w:noBreakHyphen/>
              <w:t xml:space="preserve">government organisations to collect this data, to ensure the data is of high quality </w:t>
            </w:r>
          </w:p>
          <w:p w14:paraId="1F6BE09D" w14:textId="79A20F83" w:rsidR="00782E05" w:rsidRPr="00870607" w:rsidRDefault="00B95AF2" w:rsidP="00291482">
            <w:pPr>
              <w:pStyle w:val="BoxListBullet2"/>
              <w:tabs>
                <w:tab w:val="clear" w:pos="567"/>
              </w:tabs>
              <w:ind w:left="680" w:hanging="340"/>
            </w:pPr>
            <w:r w:rsidRPr="00870607">
              <w:t>task and adequately fund the Australian Institute of Health and Welfare to lead and coordinate the implementation nationally</w:t>
            </w:r>
            <w:r w:rsidR="00782E05" w:rsidRPr="00870607">
              <w:t>.</w:t>
            </w:r>
          </w:p>
          <w:p w14:paraId="0894A587" w14:textId="77777777" w:rsidR="00A066F7" w:rsidRPr="00762EA6" w:rsidRDefault="002246D6" w:rsidP="00762EA6">
            <w:pPr>
              <w:pStyle w:val="Rec"/>
              <w:keepNext/>
              <w:rPr>
                <w:i/>
              </w:rPr>
            </w:pPr>
            <w:r w:rsidRPr="00762EA6">
              <w:rPr>
                <w:i/>
              </w:rPr>
              <w:t>Start later</w:t>
            </w:r>
          </w:p>
          <w:p w14:paraId="499EF240" w14:textId="3712F038" w:rsidR="00115066" w:rsidRPr="00324F31" w:rsidRDefault="001C4AE2" w:rsidP="00454C5D">
            <w:pPr>
              <w:pStyle w:val="BoxListBullet"/>
            </w:pPr>
            <w:r w:rsidRPr="00454C5D">
              <w:rPr>
                <w:sz w:val="22"/>
                <w:szCs w:val="22"/>
              </w:rPr>
              <w:t xml:space="preserve">The National Mental Health Commission should publicly report on the progress made against the statement on NMHIP, five </w:t>
            </w:r>
            <w:r w:rsidR="00426C3F" w:rsidRPr="00454C5D">
              <w:rPr>
                <w:sz w:val="22"/>
                <w:szCs w:val="22"/>
              </w:rPr>
              <w:t xml:space="preserve">and ten </w:t>
            </w:r>
            <w:r w:rsidRPr="00454C5D">
              <w:rPr>
                <w:sz w:val="22"/>
                <w:szCs w:val="22"/>
              </w:rPr>
              <w:t>years after its release. The National Mental Health Commission should highlight which data gaps and information priorities</w:t>
            </w:r>
            <w:r w:rsidR="006B1264" w:rsidRPr="00454C5D">
              <w:rPr>
                <w:sz w:val="22"/>
                <w:szCs w:val="22"/>
              </w:rPr>
              <w:t xml:space="preserve"> were addressed, which were not</w:t>
            </w:r>
            <w:r w:rsidRPr="00454C5D">
              <w:rPr>
                <w:sz w:val="22"/>
                <w:szCs w:val="22"/>
              </w:rPr>
              <w:t xml:space="preserve"> and why</w:t>
            </w:r>
            <w:r w:rsidR="00A129CF" w:rsidRPr="00454C5D">
              <w:rPr>
                <w:sz w:val="22"/>
                <w:szCs w:val="22"/>
              </w:rPr>
              <w:t>.</w:t>
            </w:r>
          </w:p>
        </w:tc>
      </w:tr>
      <w:tr w:rsidR="00D41518" w:rsidRPr="00D41518" w14:paraId="140CD3F8"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7C95A5F6" w14:textId="77777777" w:rsidR="00D41518" w:rsidRPr="00D41518" w:rsidRDefault="00D41518" w:rsidP="00762EA6">
            <w:pPr>
              <w:keepNext/>
              <w:keepLines/>
              <w:spacing w:line="120" w:lineRule="exact"/>
              <w:jc w:val="both"/>
              <w:rPr>
                <w:rFonts w:ascii="Arial" w:hAnsi="Arial"/>
                <w:sz w:val="20"/>
                <w:szCs w:val="20"/>
              </w:rPr>
            </w:pPr>
          </w:p>
        </w:tc>
      </w:tr>
      <w:tr w:rsidR="00D41518" w:rsidRPr="00D41518" w14:paraId="05232F82" w14:textId="77777777" w:rsidTr="006878C7">
        <w:trPr>
          <w:trHeight w:val="113"/>
        </w:trPr>
        <w:tc>
          <w:tcPr>
            <w:tcW w:w="5000" w:type="pct"/>
            <w:tcBorders>
              <w:top w:val="single" w:sz="6" w:space="0" w:color="78A22F"/>
              <w:left w:val="nil"/>
              <w:bottom w:val="nil"/>
              <w:right w:val="nil"/>
            </w:tcBorders>
          </w:tcPr>
          <w:p w14:paraId="4B2C7F79" w14:textId="77777777" w:rsidR="00D41518" w:rsidRPr="00D41518" w:rsidRDefault="00D41518" w:rsidP="00AA695D">
            <w:pPr>
              <w:pStyle w:val="BoxSpaceBelow"/>
            </w:pPr>
          </w:p>
        </w:tc>
      </w:tr>
    </w:tbl>
    <w:p w14:paraId="51AE94AA" w14:textId="77777777" w:rsidR="00241461" w:rsidRDefault="00241461" w:rsidP="00762EA6">
      <w:pPr>
        <w:pStyle w:val="BoxSpaceAbove"/>
        <w:keepLines/>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241461" w:rsidRPr="005E64FD" w14:paraId="19002289" w14:textId="77777777" w:rsidTr="00EC4F7A">
        <w:trPr>
          <w:tblHeader/>
        </w:trPr>
        <w:tc>
          <w:tcPr>
            <w:tcW w:w="5000" w:type="pct"/>
            <w:tcBorders>
              <w:top w:val="single" w:sz="6" w:space="0" w:color="78A22F"/>
              <w:left w:val="nil"/>
              <w:bottom w:val="nil"/>
              <w:right w:val="nil"/>
            </w:tcBorders>
            <w:shd w:val="clear" w:color="auto" w:fill="auto"/>
            <w:tcMar>
              <w:left w:w="170" w:type="dxa"/>
              <w:right w:w="170" w:type="dxa"/>
            </w:tcMar>
          </w:tcPr>
          <w:p w14:paraId="318A12CD" w14:textId="7BD3C674" w:rsidR="00241461" w:rsidRPr="005E64FD" w:rsidRDefault="00F8701A" w:rsidP="005E64FD">
            <w:pPr>
              <w:pStyle w:val="RecTitle"/>
              <w:spacing w:before="120"/>
              <w:rPr>
                <w:b/>
                <w:color w:val="3B5117"/>
              </w:rPr>
            </w:pPr>
            <w:r w:rsidRPr="005E64FD">
              <w:rPr>
                <w:b/>
                <w:color w:val="3B5117"/>
              </w:rPr>
              <w:t>ACTION</w:t>
            </w:r>
            <w:r w:rsidR="00241461" w:rsidRPr="005E64FD">
              <w:rPr>
                <w:b/>
                <w:color w:val="3B5117"/>
              </w:rPr>
              <w:t xml:space="preserve"> </w:t>
            </w:r>
            <w:r w:rsidR="00836B99" w:rsidRPr="005E64FD">
              <w:rPr>
                <w:b/>
                <w:color w:val="3B5117"/>
              </w:rPr>
              <w:t>24</w:t>
            </w:r>
            <w:r w:rsidR="00241461" w:rsidRPr="005E64FD">
              <w:rPr>
                <w:b/>
                <w:color w:val="3B5117"/>
              </w:rPr>
              <w:t>.4</w:t>
            </w:r>
            <w:r w:rsidR="00CE7986">
              <w:rPr>
                <w:b/>
                <w:color w:val="3B5117"/>
              </w:rPr>
              <w:t> — </w:t>
            </w:r>
            <w:r w:rsidR="00241461" w:rsidRPr="005E64FD">
              <w:rPr>
                <w:b/>
                <w:color w:val="3B5117"/>
              </w:rPr>
              <w:t>establish targets for key mental health outcomes</w:t>
            </w:r>
          </w:p>
        </w:tc>
      </w:tr>
      <w:tr w:rsidR="00241461" w:rsidRPr="00D41518" w14:paraId="41165088" w14:textId="77777777" w:rsidTr="00EC4F7A">
        <w:tc>
          <w:tcPr>
            <w:tcW w:w="5000" w:type="pct"/>
            <w:tcBorders>
              <w:top w:val="nil"/>
              <w:left w:val="nil"/>
              <w:bottom w:val="nil"/>
              <w:right w:val="nil"/>
            </w:tcBorders>
            <w:shd w:val="clear" w:color="auto" w:fill="F2F2F2"/>
            <w:tcMar>
              <w:left w:w="170" w:type="dxa"/>
              <w:right w:w="170" w:type="dxa"/>
            </w:tcMar>
          </w:tcPr>
          <w:p w14:paraId="35399000" w14:textId="77777777" w:rsidR="00241461" w:rsidRPr="00D41518" w:rsidRDefault="00241461" w:rsidP="00762EA6">
            <w:pPr>
              <w:pStyle w:val="Rec"/>
              <w:keepNext/>
            </w:pPr>
            <w:r w:rsidRPr="00D41518">
              <w:t>Accountability for mental health outcomes should include measurement against predetermined performance targets.</w:t>
            </w:r>
          </w:p>
          <w:p w14:paraId="7C562C9C" w14:textId="3C92A331" w:rsidR="00241461" w:rsidRPr="00D41518" w:rsidRDefault="002246D6" w:rsidP="00762EA6">
            <w:pPr>
              <w:pStyle w:val="Rec"/>
              <w:keepNext/>
              <w:rPr>
                <w:i/>
              </w:rPr>
            </w:pPr>
            <w:r w:rsidRPr="002246D6">
              <w:rPr>
                <w:i/>
              </w:rPr>
              <w:t xml:space="preserve">Start </w:t>
            </w:r>
            <w:r w:rsidR="000329B9">
              <w:rPr>
                <w:i/>
              </w:rPr>
              <w:t>now</w:t>
            </w:r>
          </w:p>
          <w:p w14:paraId="10FA49FF" w14:textId="5E9C145D" w:rsidR="00241461" w:rsidRPr="00D41518" w:rsidRDefault="00DF65F9" w:rsidP="00C12376">
            <w:pPr>
              <w:pStyle w:val="Rec"/>
            </w:pPr>
            <w:r>
              <w:t>The Australian, State and Territory Governments</w:t>
            </w:r>
            <w:r w:rsidRPr="00E51963">
              <w:t xml:space="preserve"> </w:t>
            </w:r>
            <w:r w:rsidR="00241461" w:rsidRPr="00D41518">
              <w:t xml:space="preserve">should agree on a set of targets that specify key mental health and suicide prevention outcomes that Australia should achieve over a defined period of time. </w:t>
            </w:r>
          </w:p>
          <w:p w14:paraId="6CF56FB6" w14:textId="24C609A8" w:rsidR="00241461" w:rsidRPr="00C12376" w:rsidRDefault="00241461" w:rsidP="00C12376">
            <w:pPr>
              <w:pStyle w:val="BoxListBullet"/>
              <w:rPr>
                <w:sz w:val="22"/>
                <w:szCs w:val="22"/>
              </w:rPr>
            </w:pPr>
            <w:r w:rsidRPr="00C12376">
              <w:rPr>
                <w:sz w:val="22"/>
                <w:szCs w:val="22"/>
              </w:rPr>
              <w:t xml:space="preserve">To ensure these targets are relevant and fit-for-purpose, </w:t>
            </w:r>
            <w:r w:rsidR="00DF65F9" w:rsidRPr="00C12376">
              <w:rPr>
                <w:sz w:val="22"/>
                <w:szCs w:val="22"/>
              </w:rPr>
              <w:t xml:space="preserve">they </w:t>
            </w:r>
            <w:r w:rsidRPr="00C12376">
              <w:rPr>
                <w:sz w:val="22"/>
                <w:szCs w:val="22"/>
              </w:rPr>
              <w:t>should develop a process for setting them that, among other things, involves co-design with consumers and carers and includes both quantitative and qualitative evidence and data.</w:t>
            </w:r>
          </w:p>
          <w:p w14:paraId="35CFBFE3" w14:textId="77777777" w:rsidR="00DF65F9" w:rsidRPr="00C12376" w:rsidRDefault="00DF65F9" w:rsidP="00C12376">
            <w:pPr>
              <w:pStyle w:val="BoxListBullet"/>
              <w:rPr>
                <w:sz w:val="22"/>
                <w:szCs w:val="22"/>
              </w:rPr>
            </w:pPr>
            <w:r w:rsidRPr="00C12376">
              <w:rPr>
                <w:sz w:val="22"/>
                <w:szCs w:val="22"/>
              </w:rPr>
              <w:t>They should engage Aboriginal and Torres Strait Islander people and the National Federation Reform Council Indigenous Affairs Taskforce in discussions about any targets that may affect Aboriginal and Torres Strait Islander people.</w:t>
            </w:r>
          </w:p>
          <w:p w14:paraId="7F6782EA" w14:textId="6B8CAF6D" w:rsidR="00241461" w:rsidRPr="00D41518" w:rsidRDefault="00241461" w:rsidP="00C12376">
            <w:pPr>
              <w:pStyle w:val="Rec"/>
            </w:pPr>
            <w:r w:rsidRPr="00D41518">
              <w:t xml:space="preserve">Following this collaborative process, </w:t>
            </w:r>
            <w:r w:rsidR="00176604">
              <w:t>t</w:t>
            </w:r>
            <w:r w:rsidR="00DF65F9">
              <w:t>he Australian, State and Territory Governments</w:t>
            </w:r>
            <w:r w:rsidR="00DF65F9" w:rsidRPr="00E51963">
              <w:t xml:space="preserve"> </w:t>
            </w:r>
            <w:r w:rsidRPr="00D41518">
              <w:t>should publish the targets and an explanation of how they were set</w:t>
            </w:r>
            <w:r>
              <w:t xml:space="preserve"> and </w:t>
            </w:r>
            <w:r w:rsidR="00340C76">
              <w:t>they</w:t>
            </w:r>
            <w:r>
              <w:t xml:space="preserve"> will be monitored and reported</w:t>
            </w:r>
            <w:r w:rsidRPr="00D41518">
              <w:t>.</w:t>
            </w:r>
          </w:p>
        </w:tc>
      </w:tr>
      <w:tr w:rsidR="00241461" w:rsidRPr="00D41518" w14:paraId="26B39641"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101C3F43" w14:textId="77777777" w:rsidR="00241461" w:rsidRPr="00D41518" w:rsidRDefault="00241461" w:rsidP="00762EA6">
            <w:pPr>
              <w:keepNext/>
              <w:keepLines/>
              <w:spacing w:line="120" w:lineRule="exact"/>
              <w:jc w:val="both"/>
              <w:rPr>
                <w:rFonts w:ascii="Arial" w:hAnsi="Arial"/>
                <w:sz w:val="20"/>
                <w:szCs w:val="20"/>
              </w:rPr>
            </w:pPr>
          </w:p>
        </w:tc>
      </w:tr>
      <w:tr w:rsidR="00241461" w:rsidRPr="00D41518" w14:paraId="2ABECB64" w14:textId="77777777" w:rsidTr="00EC4F7A">
        <w:tc>
          <w:tcPr>
            <w:tcW w:w="5000" w:type="pct"/>
            <w:tcBorders>
              <w:top w:val="single" w:sz="6" w:space="0" w:color="78A22F"/>
              <w:left w:val="nil"/>
              <w:bottom w:val="nil"/>
              <w:right w:val="nil"/>
            </w:tcBorders>
            <w:tcMar>
              <w:left w:w="170" w:type="dxa"/>
              <w:right w:w="170" w:type="dxa"/>
            </w:tcMar>
          </w:tcPr>
          <w:p w14:paraId="5297F5D5" w14:textId="77777777" w:rsidR="00241461" w:rsidRPr="00D41518" w:rsidRDefault="00241461" w:rsidP="00762EA6">
            <w:pPr>
              <w:keepNext/>
              <w:keepLines/>
              <w:spacing w:before="60" w:after="60" w:line="80" w:lineRule="exact"/>
              <w:jc w:val="both"/>
              <w:rPr>
                <w:rFonts w:ascii="Arial" w:hAnsi="Arial"/>
                <w:sz w:val="14"/>
                <w:szCs w:val="20"/>
              </w:rPr>
            </w:pPr>
          </w:p>
        </w:tc>
      </w:tr>
    </w:tbl>
    <w:p w14:paraId="66527096" w14:textId="77777777" w:rsidR="00DF65F9" w:rsidRDefault="00DF65F9" w:rsidP="00F00D7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DF65F9" w:rsidRPr="005E64FD" w14:paraId="7C7178C6" w14:textId="77777777" w:rsidTr="00EB578E">
        <w:trPr>
          <w:tblHeader/>
        </w:trPr>
        <w:tc>
          <w:tcPr>
            <w:tcW w:w="5000" w:type="pct"/>
            <w:tcBorders>
              <w:top w:val="single" w:sz="6" w:space="0" w:color="78A22F"/>
              <w:left w:val="nil"/>
              <w:bottom w:val="nil"/>
              <w:right w:val="nil"/>
            </w:tcBorders>
            <w:shd w:val="clear" w:color="auto" w:fill="auto"/>
            <w:tcMar>
              <w:left w:w="170" w:type="dxa"/>
              <w:right w:w="170" w:type="dxa"/>
            </w:tcMar>
          </w:tcPr>
          <w:p w14:paraId="03B61C89" w14:textId="5E1E63FD" w:rsidR="00DF65F9" w:rsidRPr="005E64FD" w:rsidRDefault="00DF65F9" w:rsidP="00176604">
            <w:pPr>
              <w:pStyle w:val="RecTitle"/>
              <w:spacing w:before="120"/>
              <w:rPr>
                <w:b/>
                <w:color w:val="3B5117"/>
              </w:rPr>
            </w:pPr>
            <w:r w:rsidRPr="005E64FD">
              <w:rPr>
                <w:b/>
                <w:color w:val="3B5117"/>
              </w:rPr>
              <w:t>action 24.</w:t>
            </w:r>
            <w:r w:rsidR="00176604">
              <w:rPr>
                <w:b/>
                <w:color w:val="3B5117"/>
              </w:rPr>
              <w:t>5</w:t>
            </w:r>
            <w:r w:rsidR="00CE7986">
              <w:rPr>
                <w:b/>
                <w:color w:val="3B5117"/>
              </w:rPr>
              <w:t> — </w:t>
            </w:r>
            <w:r w:rsidRPr="005E64FD">
              <w:rPr>
                <w:b/>
                <w:color w:val="3B5117"/>
              </w:rPr>
              <w:t>monitoring and reporting at the service provider level</w:t>
            </w:r>
          </w:p>
        </w:tc>
      </w:tr>
      <w:tr w:rsidR="00DF65F9" w:rsidRPr="00750BE2" w14:paraId="3375F683" w14:textId="77777777" w:rsidTr="00EB578E">
        <w:tc>
          <w:tcPr>
            <w:tcW w:w="5000" w:type="pct"/>
            <w:tcBorders>
              <w:top w:val="nil"/>
              <w:left w:val="nil"/>
              <w:bottom w:val="nil"/>
              <w:right w:val="nil"/>
            </w:tcBorders>
            <w:shd w:val="clear" w:color="auto" w:fill="F2F2F2" w:themeFill="background1" w:themeFillShade="F2"/>
            <w:tcMar>
              <w:left w:w="170" w:type="dxa"/>
              <w:right w:w="170" w:type="dxa"/>
            </w:tcMar>
          </w:tcPr>
          <w:p w14:paraId="28334F4C" w14:textId="364379A5" w:rsidR="00DF65F9" w:rsidRDefault="002262F1" w:rsidP="00EB578E">
            <w:pPr>
              <w:pStyle w:val="Rec"/>
              <w:keepNext/>
              <w:rPr>
                <w:i/>
              </w:rPr>
            </w:pPr>
            <w:r>
              <w:t xml:space="preserve">The </w:t>
            </w:r>
            <w:r w:rsidR="00DF65F9">
              <w:t>Australian, State and Territory Governments</w:t>
            </w:r>
            <w:r w:rsidR="00DF65F9" w:rsidRPr="0044350E">
              <w:t xml:space="preserve"> should</w:t>
            </w:r>
            <w:r w:rsidR="00DF65F9">
              <w:t xml:space="preserve"> require monitoring and reporting at the service provider level that is focused on consumer and carer outcomes, to encourage improvements in service quality, improve transparency and accountability, and inform consumer choice.</w:t>
            </w:r>
          </w:p>
          <w:p w14:paraId="5375EAC1" w14:textId="77777777" w:rsidR="00DF65F9" w:rsidRPr="000361B0" w:rsidRDefault="00DF65F9" w:rsidP="00EB578E">
            <w:pPr>
              <w:pStyle w:val="Rec"/>
              <w:keepNext/>
              <w:rPr>
                <w:i/>
              </w:rPr>
            </w:pPr>
            <w:r>
              <w:rPr>
                <w:i/>
              </w:rPr>
              <w:t>Start now</w:t>
            </w:r>
          </w:p>
          <w:p w14:paraId="6DBBC747" w14:textId="2B6BFC2E" w:rsidR="00DF65F9" w:rsidRPr="00660785" w:rsidRDefault="002262F1" w:rsidP="00660785">
            <w:pPr>
              <w:pStyle w:val="BoxListBullet"/>
              <w:rPr>
                <w:sz w:val="22"/>
                <w:szCs w:val="22"/>
              </w:rPr>
            </w:pPr>
            <w:r w:rsidRPr="00660785">
              <w:rPr>
                <w:sz w:val="22"/>
                <w:szCs w:val="22"/>
              </w:rPr>
              <w:t xml:space="preserve">The </w:t>
            </w:r>
            <w:r w:rsidR="00DF65F9" w:rsidRPr="00660785">
              <w:rPr>
                <w:sz w:val="22"/>
                <w:szCs w:val="22"/>
              </w:rPr>
              <w:t>Australian, State and Territory Governments should fund the facilitation and coordination of benchmarking analyses. In doing so, different models of facilitation and coordination should be considered, such as through a national clinical quality registry in mental health or by tasking a central authority. Different funding arrangements should also be considered, including cost sharing models with service providers. Australian, State and Territory Governments should identify and address any implementation barriers.</w:t>
            </w:r>
          </w:p>
          <w:p w14:paraId="57D8CE7A" w14:textId="72A0AE11" w:rsidR="00DF65F9" w:rsidRPr="00B36793" w:rsidRDefault="002262F1" w:rsidP="00660785">
            <w:pPr>
              <w:pStyle w:val="BoxListBullet"/>
              <w:rPr>
                <w:i/>
              </w:rPr>
            </w:pPr>
            <w:r w:rsidRPr="00660785">
              <w:rPr>
                <w:sz w:val="22"/>
                <w:szCs w:val="22"/>
              </w:rPr>
              <w:t xml:space="preserve">The </w:t>
            </w:r>
            <w:r w:rsidR="00DF65F9" w:rsidRPr="00660785">
              <w:rPr>
                <w:sz w:val="22"/>
                <w:szCs w:val="22"/>
              </w:rPr>
              <w:t>Australian, State and Territory Governments should require all publicly funded mental health service providers (clinical and non</w:t>
            </w:r>
            <w:r w:rsidR="00DF65F9" w:rsidRPr="00660785">
              <w:rPr>
                <w:sz w:val="22"/>
                <w:szCs w:val="22"/>
              </w:rPr>
              <w:noBreakHyphen/>
              <w:t xml:space="preserve">clinical) to commit to public reporting at the service provider level. This would support consumers and carers </w:t>
            </w:r>
            <w:r w:rsidR="007B49B2" w:rsidRPr="00660785">
              <w:rPr>
                <w:sz w:val="22"/>
                <w:szCs w:val="22"/>
              </w:rPr>
              <w:t xml:space="preserve">to </w:t>
            </w:r>
            <w:r w:rsidR="00DF65F9" w:rsidRPr="00660785">
              <w:rPr>
                <w:sz w:val="22"/>
                <w:szCs w:val="22"/>
              </w:rPr>
              <w:t>exercise choice, and encourage performance improvement by service providers. Lessons from overseas examples should be drawn on, for example, the National Health Service website that is used to inform consumers and carers in England.</w:t>
            </w:r>
          </w:p>
        </w:tc>
      </w:tr>
      <w:tr w:rsidR="00DF65F9" w14:paraId="4F349078"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4F7ED169" w14:textId="77777777" w:rsidR="00DF65F9" w:rsidRDefault="00DF65F9" w:rsidP="00EB578E">
            <w:pPr>
              <w:pStyle w:val="Space"/>
              <w:keepLines/>
            </w:pPr>
          </w:p>
        </w:tc>
      </w:tr>
      <w:tr w:rsidR="00DF65F9" w:rsidRPr="000863A5" w14:paraId="7A49E50D" w14:textId="77777777" w:rsidTr="00EB578E">
        <w:tc>
          <w:tcPr>
            <w:tcW w:w="5000" w:type="pct"/>
            <w:tcBorders>
              <w:top w:val="single" w:sz="6" w:space="0" w:color="78A22F"/>
              <w:left w:val="nil"/>
              <w:bottom w:val="nil"/>
              <w:right w:val="nil"/>
            </w:tcBorders>
          </w:tcPr>
          <w:p w14:paraId="2E9737F1" w14:textId="77777777" w:rsidR="00DF65F9" w:rsidRPr="00626D32" w:rsidRDefault="00DF65F9" w:rsidP="00EB578E">
            <w:pPr>
              <w:pStyle w:val="BoxSpaceBelow"/>
              <w:keepLines/>
            </w:pPr>
          </w:p>
        </w:tc>
      </w:tr>
    </w:tbl>
    <w:p w14:paraId="3E7611AB" w14:textId="77777777" w:rsidR="00DF65F9" w:rsidRPr="00D41518" w:rsidRDefault="00DF65F9" w:rsidP="00762EA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D41518" w:rsidRPr="005E64FD" w14:paraId="343476B2" w14:textId="77777777" w:rsidTr="00462628">
        <w:trPr>
          <w:tblHeader/>
        </w:trPr>
        <w:tc>
          <w:tcPr>
            <w:tcW w:w="5000" w:type="pct"/>
            <w:tcBorders>
              <w:top w:val="single" w:sz="6" w:space="0" w:color="78A22F"/>
              <w:left w:val="nil"/>
              <w:bottom w:val="nil"/>
              <w:right w:val="nil"/>
            </w:tcBorders>
            <w:shd w:val="clear" w:color="auto" w:fill="auto"/>
            <w:tcMar>
              <w:left w:w="170" w:type="dxa"/>
              <w:right w:w="170" w:type="dxa"/>
            </w:tcMar>
          </w:tcPr>
          <w:p w14:paraId="1A7C78D6" w14:textId="0A349F6D" w:rsidR="00D41518" w:rsidRPr="005E64FD" w:rsidRDefault="00F8701A" w:rsidP="005E64FD">
            <w:pPr>
              <w:pStyle w:val="RecTitle"/>
              <w:spacing w:before="120"/>
              <w:rPr>
                <w:b/>
                <w:color w:val="3B5117"/>
              </w:rPr>
            </w:pPr>
            <w:r w:rsidRPr="005E64FD">
              <w:rPr>
                <w:b/>
                <w:color w:val="3B5117"/>
              </w:rPr>
              <w:t>ACTION 2</w:t>
            </w:r>
            <w:r w:rsidR="00836B99" w:rsidRPr="005E64FD">
              <w:rPr>
                <w:b/>
                <w:color w:val="3B5117"/>
              </w:rPr>
              <w:t>4</w:t>
            </w:r>
            <w:r w:rsidRPr="005E64FD">
              <w:rPr>
                <w:b/>
                <w:color w:val="3B5117"/>
              </w:rPr>
              <w:t>.</w:t>
            </w:r>
            <w:r w:rsidR="00DF65F9" w:rsidRPr="005E64FD">
              <w:rPr>
                <w:b/>
                <w:color w:val="3B5117"/>
              </w:rPr>
              <w:t>6</w:t>
            </w:r>
            <w:r w:rsidR="00CE7986">
              <w:rPr>
                <w:b/>
                <w:color w:val="3B5117"/>
              </w:rPr>
              <w:t> — </w:t>
            </w:r>
            <w:r w:rsidR="00D41518" w:rsidRPr="005E64FD">
              <w:rPr>
                <w:b/>
                <w:color w:val="3B5117"/>
              </w:rPr>
              <w:t>reporting service performance data by region</w:t>
            </w:r>
          </w:p>
        </w:tc>
      </w:tr>
      <w:tr w:rsidR="00D41518" w:rsidRPr="00D41518" w14:paraId="5654D73B" w14:textId="77777777" w:rsidTr="00462628">
        <w:tc>
          <w:tcPr>
            <w:tcW w:w="5000" w:type="pct"/>
            <w:tcBorders>
              <w:top w:val="nil"/>
              <w:left w:val="nil"/>
              <w:bottom w:val="nil"/>
              <w:right w:val="nil"/>
            </w:tcBorders>
            <w:shd w:val="clear" w:color="auto" w:fill="F2F2F2"/>
            <w:tcMar>
              <w:left w:w="170" w:type="dxa"/>
              <w:right w:w="170" w:type="dxa"/>
            </w:tcMar>
          </w:tcPr>
          <w:p w14:paraId="23C6837F" w14:textId="77C35372" w:rsidR="00F911EC" w:rsidRPr="00176604" w:rsidRDefault="00F911EC" w:rsidP="00762EA6">
            <w:pPr>
              <w:pStyle w:val="Rec"/>
            </w:pPr>
            <w:r>
              <w:t>Transparency at a regional level is required to make sure mental health services are meeting local needs.</w:t>
            </w:r>
          </w:p>
          <w:p w14:paraId="5BBA530B" w14:textId="3472662C" w:rsidR="00D41518" w:rsidRPr="00D41518" w:rsidRDefault="002246D6" w:rsidP="00762EA6">
            <w:pPr>
              <w:pStyle w:val="Rec"/>
              <w:rPr>
                <w:i/>
              </w:rPr>
            </w:pPr>
            <w:r w:rsidRPr="002246D6">
              <w:rPr>
                <w:i/>
              </w:rPr>
              <w:t>Start now</w:t>
            </w:r>
          </w:p>
          <w:p w14:paraId="1610B8AC" w14:textId="7142D728" w:rsidR="007D2C05" w:rsidRPr="00660785" w:rsidRDefault="007D2C05" w:rsidP="00660785">
            <w:pPr>
              <w:pStyle w:val="BoxListBullet"/>
              <w:rPr>
                <w:sz w:val="22"/>
                <w:szCs w:val="22"/>
              </w:rPr>
            </w:pPr>
            <w:r w:rsidRPr="00660785">
              <w:rPr>
                <w:sz w:val="22"/>
                <w:szCs w:val="22"/>
              </w:rPr>
              <w:t>The Australian Government should release data collected on and by P</w:t>
            </w:r>
            <w:r w:rsidR="00AA38BE" w:rsidRPr="00660785">
              <w:rPr>
                <w:sz w:val="22"/>
                <w:szCs w:val="22"/>
              </w:rPr>
              <w:t xml:space="preserve">rimary </w:t>
            </w:r>
            <w:r w:rsidRPr="00660785">
              <w:rPr>
                <w:sz w:val="22"/>
                <w:szCs w:val="22"/>
              </w:rPr>
              <w:t>H</w:t>
            </w:r>
            <w:r w:rsidR="00AA38BE" w:rsidRPr="00660785">
              <w:rPr>
                <w:sz w:val="22"/>
                <w:szCs w:val="22"/>
              </w:rPr>
              <w:t xml:space="preserve">ealth </w:t>
            </w:r>
            <w:r w:rsidRPr="00660785">
              <w:rPr>
                <w:sz w:val="22"/>
                <w:szCs w:val="22"/>
              </w:rPr>
              <w:t>N</w:t>
            </w:r>
            <w:r w:rsidR="00AA38BE" w:rsidRPr="00660785">
              <w:rPr>
                <w:sz w:val="22"/>
                <w:szCs w:val="22"/>
              </w:rPr>
              <w:t>etwork</w:t>
            </w:r>
            <w:r w:rsidRPr="00660785">
              <w:rPr>
                <w:sz w:val="22"/>
                <w:szCs w:val="22"/>
              </w:rPr>
              <w:t xml:space="preserve">s for annual publication by </w:t>
            </w:r>
            <w:r w:rsidR="00176604" w:rsidRPr="00660785">
              <w:rPr>
                <w:sz w:val="22"/>
                <w:szCs w:val="22"/>
              </w:rPr>
              <w:t xml:space="preserve">the </w:t>
            </w:r>
            <w:r w:rsidR="00EB578E" w:rsidRPr="00660785">
              <w:rPr>
                <w:sz w:val="22"/>
                <w:szCs w:val="22"/>
              </w:rPr>
              <w:t>Australian</w:t>
            </w:r>
            <w:r w:rsidR="00DF65F9" w:rsidRPr="00660785">
              <w:rPr>
                <w:sz w:val="22"/>
                <w:szCs w:val="22"/>
              </w:rPr>
              <w:t xml:space="preserve"> </w:t>
            </w:r>
            <w:r w:rsidRPr="00660785">
              <w:rPr>
                <w:sz w:val="22"/>
                <w:szCs w:val="22"/>
              </w:rPr>
              <w:t>I</w:t>
            </w:r>
            <w:r w:rsidR="00DF65F9" w:rsidRPr="00660785">
              <w:rPr>
                <w:sz w:val="22"/>
                <w:szCs w:val="22"/>
              </w:rPr>
              <w:t xml:space="preserve">nstitute of </w:t>
            </w:r>
            <w:r w:rsidRPr="00660785">
              <w:rPr>
                <w:sz w:val="22"/>
                <w:szCs w:val="22"/>
              </w:rPr>
              <w:t>H</w:t>
            </w:r>
            <w:r w:rsidR="00DF65F9" w:rsidRPr="00660785">
              <w:rPr>
                <w:sz w:val="22"/>
                <w:szCs w:val="22"/>
              </w:rPr>
              <w:t xml:space="preserve">ealth and </w:t>
            </w:r>
            <w:r w:rsidRPr="00660785">
              <w:rPr>
                <w:sz w:val="22"/>
                <w:szCs w:val="22"/>
              </w:rPr>
              <w:t>W</w:t>
            </w:r>
            <w:r w:rsidR="00DF65F9" w:rsidRPr="00660785">
              <w:rPr>
                <w:sz w:val="22"/>
                <w:szCs w:val="22"/>
              </w:rPr>
              <w:t>elfare</w:t>
            </w:r>
            <w:r w:rsidR="00176604" w:rsidRPr="00660785">
              <w:rPr>
                <w:sz w:val="22"/>
                <w:szCs w:val="22"/>
              </w:rPr>
              <w:t xml:space="preserve"> (AIHW)</w:t>
            </w:r>
            <w:r w:rsidRPr="00660785">
              <w:rPr>
                <w:sz w:val="22"/>
                <w:szCs w:val="22"/>
              </w:rPr>
              <w:t xml:space="preserve">. </w:t>
            </w:r>
          </w:p>
          <w:p w14:paraId="1A8952A3" w14:textId="19FD8926" w:rsidR="00D41518" w:rsidRPr="00D41518" w:rsidRDefault="00DF65F9" w:rsidP="00660785">
            <w:pPr>
              <w:pStyle w:val="BoxListBullet"/>
              <w:rPr>
                <w:b/>
              </w:rPr>
            </w:pPr>
            <w:r w:rsidRPr="00660785">
              <w:rPr>
                <w:sz w:val="22"/>
                <w:szCs w:val="22"/>
              </w:rPr>
              <w:t xml:space="preserve">The </w:t>
            </w:r>
            <w:r w:rsidR="00D41518" w:rsidRPr="00660785">
              <w:rPr>
                <w:sz w:val="22"/>
                <w:szCs w:val="22"/>
              </w:rPr>
              <w:t xml:space="preserve">Australian, State and Territory Governments should authorise the AIHW to report all data relating to the performance of mental health and suicide prevention services at a regional level, as defined by </w:t>
            </w:r>
            <w:r w:rsidR="00AA38BE" w:rsidRPr="00660785">
              <w:rPr>
                <w:sz w:val="22"/>
                <w:szCs w:val="22"/>
              </w:rPr>
              <w:t>Primary Health Network</w:t>
            </w:r>
            <w:r w:rsidR="00125D52" w:rsidRPr="00660785">
              <w:rPr>
                <w:sz w:val="22"/>
                <w:szCs w:val="22"/>
              </w:rPr>
              <w:t xml:space="preserve"> </w:t>
            </w:r>
            <w:r w:rsidR="0040732A" w:rsidRPr="00660785">
              <w:rPr>
                <w:sz w:val="22"/>
                <w:szCs w:val="22"/>
              </w:rPr>
              <w:t>and L</w:t>
            </w:r>
            <w:r w:rsidR="00AA38BE" w:rsidRPr="00660785">
              <w:rPr>
                <w:sz w:val="22"/>
                <w:szCs w:val="22"/>
              </w:rPr>
              <w:t xml:space="preserve">ocal </w:t>
            </w:r>
            <w:r w:rsidR="0040732A" w:rsidRPr="00660785">
              <w:rPr>
                <w:sz w:val="22"/>
                <w:szCs w:val="22"/>
              </w:rPr>
              <w:t>H</w:t>
            </w:r>
            <w:r w:rsidR="00AA38BE" w:rsidRPr="00660785">
              <w:rPr>
                <w:sz w:val="22"/>
                <w:szCs w:val="22"/>
              </w:rPr>
              <w:t xml:space="preserve">ospital </w:t>
            </w:r>
            <w:r w:rsidR="0040732A" w:rsidRPr="00660785">
              <w:rPr>
                <w:sz w:val="22"/>
                <w:szCs w:val="22"/>
              </w:rPr>
              <w:t>N</w:t>
            </w:r>
            <w:r w:rsidR="00AA38BE" w:rsidRPr="00660785">
              <w:rPr>
                <w:sz w:val="22"/>
                <w:szCs w:val="22"/>
              </w:rPr>
              <w:t>etwork</w:t>
            </w:r>
            <w:r w:rsidR="0040732A" w:rsidRPr="00660785">
              <w:rPr>
                <w:sz w:val="22"/>
                <w:szCs w:val="22"/>
              </w:rPr>
              <w:t xml:space="preserve"> regional bound</w:t>
            </w:r>
            <w:r w:rsidR="0040732A">
              <w:t>ar</w:t>
            </w:r>
            <w:r w:rsidR="0040732A" w:rsidRPr="00660785">
              <w:rPr>
                <w:sz w:val="22"/>
                <w:szCs w:val="22"/>
              </w:rPr>
              <w:t>ies</w:t>
            </w:r>
            <w:r w:rsidR="00D41518" w:rsidRPr="00660785">
              <w:rPr>
                <w:sz w:val="22"/>
                <w:szCs w:val="22"/>
              </w:rPr>
              <w:t xml:space="preserve">, as well as at a </w:t>
            </w:r>
            <w:r w:rsidR="00125D52" w:rsidRPr="00660785">
              <w:rPr>
                <w:sz w:val="22"/>
                <w:szCs w:val="22"/>
              </w:rPr>
              <w:t xml:space="preserve">State </w:t>
            </w:r>
            <w:r w:rsidR="00D41518" w:rsidRPr="00660785">
              <w:rPr>
                <w:sz w:val="22"/>
                <w:szCs w:val="22"/>
              </w:rPr>
              <w:t xml:space="preserve">and </w:t>
            </w:r>
            <w:r w:rsidR="00125D52" w:rsidRPr="00660785">
              <w:rPr>
                <w:sz w:val="22"/>
                <w:szCs w:val="22"/>
              </w:rPr>
              <w:t>Territory</w:t>
            </w:r>
            <w:r w:rsidR="00D41518" w:rsidRPr="00660785">
              <w:rPr>
                <w:sz w:val="22"/>
                <w:szCs w:val="22"/>
              </w:rPr>
              <w:t xml:space="preserve"> and national level</w:t>
            </w:r>
            <w:r w:rsidR="00D41518" w:rsidRPr="00D41518">
              <w:t>.</w:t>
            </w:r>
          </w:p>
          <w:p w14:paraId="2133FAE1" w14:textId="77777777" w:rsidR="00D41518" w:rsidRPr="00D41518" w:rsidRDefault="00D41518" w:rsidP="00C56499">
            <w:pPr>
              <w:pStyle w:val="BoxListBullet2"/>
              <w:tabs>
                <w:tab w:val="clear" w:pos="567"/>
              </w:tabs>
              <w:ind w:left="680" w:hanging="340"/>
            </w:pPr>
            <w:r w:rsidRPr="00D41518">
              <w:t xml:space="preserve">The AIHW should ensure that this data is readily accessible to the public, including as historical time series, to maximise </w:t>
            </w:r>
            <w:r w:rsidR="006C068E">
              <w:t>its</w:t>
            </w:r>
            <w:r w:rsidR="006C068E" w:rsidRPr="00D41518">
              <w:t xml:space="preserve"> </w:t>
            </w:r>
            <w:r w:rsidRPr="00D41518">
              <w:t xml:space="preserve">use for planning and research. </w:t>
            </w:r>
          </w:p>
          <w:p w14:paraId="622C3E09" w14:textId="1729C563" w:rsidR="00D41518" w:rsidRPr="00D41518" w:rsidRDefault="00D41518" w:rsidP="00C56499">
            <w:pPr>
              <w:pStyle w:val="BoxListBullet2"/>
              <w:tabs>
                <w:tab w:val="clear" w:pos="567"/>
              </w:tabs>
              <w:ind w:left="680" w:hanging="340"/>
            </w:pPr>
            <w:r w:rsidRPr="00D41518">
              <w:t>The Australian Government should continue to provide AIHW with additional resources to establish service performance reporting at the regional level and to make this data accessible</w:t>
            </w:r>
            <w:r w:rsidR="005409C6">
              <w:t xml:space="preserve"> to commissioning </w:t>
            </w:r>
            <w:r w:rsidR="00766B2E">
              <w:t>bodies</w:t>
            </w:r>
            <w:r w:rsidR="005409C6">
              <w:t xml:space="preserve"> and the public</w:t>
            </w:r>
            <w:r w:rsidRPr="00D41518">
              <w:t>.</w:t>
            </w:r>
          </w:p>
        </w:tc>
      </w:tr>
      <w:tr w:rsidR="00D41518" w:rsidRPr="00D41518" w14:paraId="7D79D7E7"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0FD1C4DC" w14:textId="77777777" w:rsidR="00D41518" w:rsidRPr="00D41518" w:rsidRDefault="00D41518" w:rsidP="00D41518">
            <w:pPr>
              <w:keepNext/>
              <w:keepLines/>
              <w:spacing w:line="120" w:lineRule="exact"/>
              <w:jc w:val="both"/>
              <w:rPr>
                <w:rFonts w:ascii="Arial" w:hAnsi="Arial"/>
                <w:sz w:val="20"/>
                <w:szCs w:val="20"/>
              </w:rPr>
            </w:pPr>
          </w:p>
        </w:tc>
      </w:tr>
      <w:tr w:rsidR="00D41518" w:rsidRPr="00D41518" w14:paraId="6C0BE50A" w14:textId="77777777" w:rsidTr="00462628">
        <w:tc>
          <w:tcPr>
            <w:tcW w:w="5000" w:type="pct"/>
            <w:tcBorders>
              <w:top w:val="single" w:sz="6" w:space="0" w:color="78A22F"/>
              <w:left w:val="nil"/>
              <w:bottom w:val="nil"/>
              <w:right w:val="nil"/>
            </w:tcBorders>
          </w:tcPr>
          <w:p w14:paraId="465CAAA9" w14:textId="77777777" w:rsidR="00A1063C" w:rsidRPr="00D41518" w:rsidRDefault="00A1063C" w:rsidP="00D41518">
            <w:pPr>
              <w:keepLines/>
              <w:spacing w:before="60" w:after="60" w:line="80" w:lineRule="exact"/>
              <w:jc w:val="both"/>
              <w:rPr>
                <w:rFonts w:ascii="Arial" w:hAnsi="Arial"/>
                <w:sz w:val="14"/>
                <w:szCs w:val="20"/>
              </w:rPr>
            </w:pPr>
          </w:p>
        </w:tc>
      </w:tr>
    </w:tbl>
    <w:p w14:paraId="1F5EB40F" w14:textId="77777777" w:rsidR="00C52652" w:rsidRDefault="00C52652" w:rsidP="00762EA6">
      <w:pPr>
        <w:pStyle w:val="BoxSpaceAbove"/>
        <w:keepLines/>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F35677" w:rsidRPr="005E64FD" w14:paraId="033EEBF1" w14:textId="77777777" w:rsidTr="00F35677">
        <w:trPr>
          <w:tblHeader/>
        </w:trPr>
        <w:tc>
          <w:tcPr>
            <w:tcW w:w="5000" w:type="pct"/>
            <w:tcBorders>
              <w:top w:val="single" w:sz="6" w:space="0" w:color="78A22F"/>
              <w:left w:val="nil"/>
              <w:bottom w:val="nil"/>
              <w:right w:val="nil"/>
            </w:tcBorders>
            <w:shd w:val="clear" w:color="auto" w:fill="auto"/>
            <w:tcMar>
              <w:left w:w="170" w:type="dxa"/>
              <w:right w:w="170" w:type="dxa"/>
            </w:tcMar>
          </w:tcPr>
          <w:p w14:paraId="0F2E6E02" w14:textId="42779D22" w:rsidR="00F35677" w:rsidRPr="005E64FD" w:rsidRDefault="00F35677" w:rsidP="005E64FD">
            <w:pPr>
              <w:pStyle w:val="RecTitle"/>
              <w:spacing w:before="120"/>
              <w:rPr>
                <w:b/>
                <w:color w:val="3B5117"/>
              </w:rPr>
            </w:pPr>
            <w:r w:rsidRPr="005E64FD">
              <w:rPr>
                <w:b/>
                <w:color w:val="3B5117"/>
              </w:rPr>
              <w:t xml:space="preserve">ACTION </w:t>
            </w:r>
            <w:r w:rsidR="00EB578E" w:rsidRPr="005E64FD">
              <w:rPr>
                <w:b/>
                <w:color w:val="3B5117"/>
              </w:rPr>
              <w:t>24.7</w:t>
            </w:r>
            <w:r w:rsidR="00CE7986">
              <w:rPr>
                <w:b/>
                <w:color w:val="3B5117"/>
              </w:rPr>
              <w:t> — </w:t>
            </w:r>
            <w:r w:rsidRPr="005E64FD">
              <w:rPr>
                <w:b/>
                <w:color w:val="3B5117"/>
              </w:rPr>
              <w:t>standardised regional reporting requirements</w:t>
            </w:r>
          </w:p>
        </w:tc>
      </w:tr>
      <w:tr w:rsidR="00F35677" w:rsidRPr="00D41518" w14:paraId="2FC5D5D7" w14:textId="77777777" w:rsidTr="00F35677">
        <w:tc>
          <w:tcPr>
            <w:tcW w:w="5000" w:type="pct"/>
            <w:tcBorders>
              <w:top w:val="nil"/>
              <w:left w:val="nil"/>
              <w:bottom w:val="nil"/>
              <w:right w:val="nil"/>
            </w:tcBorders>
            <w:shd w:val="clear" w:color="auto" w:fill="F2F2F2"/>
            <w:tcMar>
              <w:left w:w="170" w:type="dxa"/>
              <w:right w:w="170" w:type="dxa"/>
            </w:tcMar>
          </w:tcPr>
          <w:p w14:paraId="783E6E40" w14:textId="7D887B51" w:rsidR="00F911EC" w:rsidRPr="00176604" w:rsidRDefault="00F911EC" w:rsidP="00762EA6">
            <w:pPr>
              <w:pStyle w:val="Rec"/>
              <w:keepNext/>
            </w:pPr>
            <w:r>
              <w:t xml:space="preserve">Service providers operating in multiple regions should face consistent </w:t>
            </w:r>
            <w:r w:rsidR="001C15A9">
              <w:t xml:space="preserve">outcome-focused </w:t>
            </w:r>
            <w:r>
              <w:t>reporting requirements across those regions.</w:t>
            </w:r>
          </w:p>
          <w:p w14:paraId="1FEE2C48" w14:textId="22B4416B" w:rsidR="00F35677" w:rsidRPr="00D41518" w:rsidRDefault="002246D6" w:rsidP="00762EA6">
            <w:pPr>
              <w:pStyle w:val="Rec"/>
              <w:keepNext/>
              <w:rPr>
                <w:i/>
              </w:rPr>
            </w:pPr>
            <w:r w:rsidRPr="002246D6">
              <w:rPr>
                <w:i/>
              </w:rPr>
              <w:t>Start now</w:t>
            </w:r>
          </w:p>
          <w:p w14:paraId="0F2594B0" w14:textId="20A56766" w:rsidR="00F35677" w:rsidRPr="00D41518" w:rsidRDefault="002262F1" w:rsidP="00766B2E">
            <w:pPr>
              <w:pStyle w:val="Rec"/>
              <w:keepNext/>
            </w:pPr>
            <w:r>
              <w:t xml:space="preserve">The </w:t>
            </w:r>
            <w:r w:rsidR="00F35677" w:rsidRPr="00D41518">
              <w:t xml:space="preserve">Australian, State and Territory Governments should </w:t>
            </w:r>
            <w:r w:rsidR="00F35677">
              <w:t xml:space="preserve">develop, in consultation with regional commissioning </w:t>
            </w:r>
            <w:r w:rsidR="00766B2E">
              <w:t>bodies</w:t>
            </w:r>
            <w:r w:rsidR="00F35677">
              <w:t>, standardised and outcome</w:t>
            </w:r>
            <w:r w:rsidR="00F35677">
              <w:noBreakHyphen/>
              <w:t>focused reporting requirements for service providers. This should ensure undue regulatory burden is not imposed on service providers</w:t>
            </w:r>
            <w:r w:rsidR="00D85A43">
              <w:t xml:space="preserve"> and facilitate inter</w:t>
            </w:r>
            <w:r w:rsidR="00D85A43">
              <w:noBreakHyphen/>
              <w:t>regional comparisons</w:t>
            </w:r>
            <w:r w:rsidR="00F35677">
              <w:t xml:space="preserve">. </w:t>
            </w:r>
            <w:r w:rsidR="00D85A43">
              <w:t xml:space="preserve">The </w:t>
            </w:r>
            <w:r w:rsidR="00F35677">
              <w:t xml:space="preserve">Australian, State and Territory Governments should </w:t>
            </w:r>
            <w:r w:rsidR="00F35677" w:rsidRPr="00D41518">
              <w:t>provide guidance and support to</w:t>
            </w:r>
            <w:r w:rsidR="00F35677">
              <w:t xml:space="preserve"> regional commissioning </w:t>
            </w:r>
            <w:r w:rsidR="00F12CAF">
              <w:t>bodies</w:t>
            </w:r>
            <w:r w:rsidR="00F12CAF" w:rsidRPr="00D41518">
              <w:t xml:space="preserve"> </w:t>
            </w:r>
            <w:r w:rsidR="00F35677" w:rsidRPr="00D41518">
              <w:t xml:space="preserve">to implement </w:t>
            </w:r>
            <w:r w:rsidR="00F35677">
              <w:t>this, and monitor and report on compliance</w:t>
            </w:r>
            <w:r w:rsidR="00F35677" w:rsidRPr="00D41518">
              <w:t>.</w:t>
            </w:r>
          </w:p>
        </w:tc>
      </w:tr>
      <w:tr w:rsidR="00F35677" w:rsidRPr="00D41518" w14:paraId="26834166"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53A971E5" w14:textId="77777777" w:rsidR="00F35677" w:rsidRPr="00D41518" w:rsidRDefault="00F35677" w:rsidP="00762EA6">
            <w:pPr>
              <w:keepNext/>
              <w:keepLines/>
              <w:spacing w:line="120" w:lineRule="exact"/>
              <w:jc w:val="both"/>
              <w:rPr>
                <w:rFonts w:ascii="Arial" w:hAnsi="Arial"/>
                <w:sz w:val="20"/>
                <w:szCs w:val="20"/>
              </w:rPr>
            </w:pPr>
          </w:p>
        </w:tc>
      </w:tr>
      <w:tr w:rsidR="00F35677" w:rsidRPr="00D41518" w14:paraId="4193277D" w14:textId="77777777" w:rsidTr="00F35677">
        <w:tc>
          <w:tcPr>
            <w:tcW w:w="5000" w:type="pct"/>
            <w:tcBorders>
              <w:top w:val="single" w:sz="6" w:space="0" w:color="78A22F"/>
              <w:left w:val="nil"/>
              <w:bottom w:val="nil"/>
              <w:right w:val="nil"/>
            </w:tcBorders>
          </w:tcPr>
          <w:p w14:paraId="1470AC6A" w14:textId="77777777" w:rsidR="00F35677" w:rsidRPr="00D41518" w:rsidRDefault="00F35677" w:rsidP="00762EA6">
            <w:pPr>
              <w:spacing w:before="60" w:after="60" w:line="80" w:lineRule="exact"/>
              <w:jc w:val="both"/>
              <w:rPr>
                <w:rFonts w:ascii="Arial" w:hAnsi="Arial"/>
                <w:sz w:val="14"/>
                <w:szCs w:val="20"/>
              </w:rPr>
            </w:pPr>
          </w:p>
        </w:tc>
      </w:tr>
    </w:tbl>
    <w:p w14:paraId="2665CF60" w14:textId="77777777" w:rsidR="00F35677" w:rsidRPr="00D41518" w:rsidRDefault="00F35677" w:rsidP="00762EA6">
      <w:pPr>
        <w:keepNext/>
        <w:keepLines/>
        <w:spacing w:before="240" w:line="80" w:lineRule="exact"/>
        <w:rPr>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C52652" w:rsidRPr="005E64FD" w14:paraId="3B8A4143" w14:textId="77777777" w:rsidTr="001A68D3">
        <w:trPr>
          <w:tblHeader/>
        </w:trPr>
        <w:tc>
          <w:tcPr>
            <w:tcW w:w="5000" w:type="pct"/>
            <w:tcBorders>
              <w:top w:val="single" w:sz="6" w:space="0" w:color="78A22F"/>
              <w:left w:val="nil"/>
              <w:bottom w:val="nil"/>
              <w:right w:val="nil"/>
            </w:tcBorders>
            <w:shd w:val="clear" w:color="auto" w:fill="FFFFFF"/>
            <w:tcMar>
              <w:left w:w="170" w:type="dxa"/>
              <w:right w:w="170" w:type="dxa"/>
            </w:tcMar>
          </w:tcPr>
          <w:p w14:paraId="2AD153D8" w14:textId="3D2FEEC6" w:rsidR="00C52652" w:rsidRPr="005E64FD" w:rsidRDefault="00F8701A" w:rsidP="00710401">
            <w:pPr>
              <w:pStyle w:val="RecTitle"/>
              <w:spacing w:before="120"/>
              <w:ind w:left="1390" w:hanging="1390"/>
              <w:rPr>
                <w:b/>
                <w:color w:val="3B5117"/>
              </w:rPr>
            </w:pPr>
            <w:r w:rsidRPr="005E64FD">
              <w:rPr>
                <w:b/>
                <w:color w:val="3B5117"/>
              </w:rPr>
              <w:t xml:space="preserve">ACTION </w:t>
            </w:r>
            <w:r w:rsidR="00EB578E" w:rsidRPr="005E64FD">
              <w:rPr>
                <w:b/>
                <w:color w:val="3B5117"/>
              </w:rPr>
              <w:t>24</w:t>
            </w:r>
            <w:r w:rsidRPr="005E64FD">
              <w:rPr>
                <w:b/>
                <w:color w:val="3B5117"/>
              </w:rPr>
              <w:t>.</w:t>
            </w:r>
            <w:r w:rsidR="00241461" w:rsidRPr="005E64FD">
              <w:rPr>
                <w:b/>
                <w:color w:val="3B5117"/>
              </w:rPr>
              <w:t>8</w:t>
            </w:r>
            <w:r w:rsidR="00CE7986">
              <w:rPr>
                <w:b/>
                <w:color w:val="3B5117"/>
              </w:rPr>
              <w:t> — </w:t>
            </w:r>
            <w:r w:rsidR="00EB578E" w:rsidRPr="005E64FD">
              <w:rPr>
                <w:b/>
                <w:color w:val="3B5117"/>
              </w:rPr>
              <w:t xml:space="preserve">Gap analyses using the </w:t>
            </w:r>
            <w:r w:rsidR="00F12CAF" w:rsidRPr="00F12CAF">
              <w:rPr>
                <w:b/>
                <w:color w:val="3B5117"/>
              </w:rPr>
              <w:t>using the national mental health service planning framework</w:t>
            </w:r>
          </w:p>
        </w:tc>
      </w:tr>
      <w:tr w:rsidR="00C52652" w:rsidRPr="00D41518" w14:paraId="2AA58F61" w14:textId="77777777" w:rsidTr="001A68D3">
        <w:tc>
          <w:tcPr>
            <w:tcW w:w="5000" w:type="pct"/>
            <w:tcBorders>
              <w:top w:val="nil"/>
              <w:left w:val="nil"/>
              <w:bottom w:val="nil"/>
              <w:right w:val="nil"/>
            </w:tcBorders>
            <w:shd w:val="clear" w:color="auto" w:fill="F2F2F2"/>
            <w:tcMar>
              <w:left w:w="170" w:type="dxa"/>
              <w:right w:w="170" w:type="dxa"/>
            </w:tcMar>
          </w:tcPr>
          <w:p w14:paraId="1B9F6B2B" w14:textId="77777777" w:rsidR="00EB578E" w:rsidRPr="00D41518" w:rsidRDefault="00EB578E" w:rsidP="00762EA6">
            <w:pPr>
              <w:pStyle w:val="Rec"/>
              <w:keepNext/>
              <w:rPr>
                <w:i/>
              </w:rPr>
            </w:pPr>
            <w:r>
              <w:rPr>
                <w:i/>
              </w:rPr>
              <w:t>Start now</w:t>
            </w:r>
          </w:p>
          <w:p w14:paraId="4DDF1734" w14:textId="17501514" w:rsidR="00EB578E" w:rsidRDefault="00EB578E" w:rsidP="00762EA6">
            <w:pPr>
              <w:pStyle w:val="Rec"/>
              <w:keepNext/>
            </w:pPr>
            <w:r>
              <w:t xml:space="preserve">As work to map data from existing national mental health data collections with National Mental Health Service Planning Framework (NMHSPF) outputs is completed, the </w:t>
            </w:r>
            <w:r w:rsidR="00125D52">
              <w:t xml:space="preserve">Australian Institute of Health and Welfare (AIHW) </w:t>
            </w:r>
            <w:r>
              <w:t>should annually publish all relevant data on mental health services in a format that aligns with the NMHSPF at a national, State/Territory, and regional level.</w:t>
            </w:r>
          </w:p>
          <w:p w14:paraId="028A03C8" w14:textId="1A42308E" w:rsidR="00EB578E" w:rsidRDefault="00EB578E" w:rsidP="00762EA6">
            <w:pPr>
              <w:pStyle w:val="Rec"/>
              <w:keepNext/>
            </w:pPr>
            <w:r>
              <w:t>Each P</w:t>
            </w:r>
            <w:r w:rsidR="00125D52">
              <w:t xml:space="preserve">rimary </w:t>
            </w:r>
            <w:r>
              <w:t>H</w:t>
            </w:r>
            <w:r w:rsidR="00125D52">
              <w:t xml:space="preserve">ealth </w:t>
            </w:r>
            <w:r>
              <w:t>N</w:t>
            </w:r>
            <w:r w:rsidR="00125D52">
              <w:t>etwork</w:t>
            </w:r>
            <w:r>
              <w:t>–L</w:t>
            </w:r>
            <w:r w:rsidR="00125D52">
              <w:t xml:space="preserve">ocal </w:t>
            </w:r>
            <w:r>
              <w:t>H</w:t>
            </w:r>
            <w:r w:rsidR="00125D52">
              <w:t xml:space="preserve">ospital </w:t>
            </w:r>
            <w:r>
              <w:t>N</w:t>
            </w:r>
            <w:r w:rsidR="00125D52">
              <w:t>etwork</w:t>
            </w:r>
            <w:r>
              <w:t xml:space="preserve"> grouping or </w:t>
            </w:r>
            <w:r w:rsidR="00C12376">
              <w:t>regional commissioning authority</w:t>
            </w:r>
            <w:r>
              <w:t xml:space="preserve"> should annually report</w:t>
            </w:r>
            <w:r w:rsidR="00F12CAF">
              <w:t>,</w:t>
            </w:r>
            <w:r>
              <w:t xml:space="preserve"> </w:t>
            </w:r>
            <w:r w:rsidR="00F12CAF">
              <w:t xml:space="preserve">in their joint regional plan, </w:t>
            </w:r>
            <w:r>
              <w:t>a gap analysis using the NMHSPF.</w:t>
            </w:r>
          </w:p>
          <w:p w14:paraId="03BFB3A0" w14:textId="4259843E" w:rsidR="00EB578E" w:rsidRDefault="00EB578E" w:rsidP="00762EA6">
            <w:pPr>
              <w:pStyle w:val="Rec"/>
              <w:keepNext/>
            </w:pPr>
            <w:r>
              <w:t>The Australian Government, and all State and Territory Governments, should give the AIHW permission to annually publish, at both a national and State/Territory level:</w:t>
            </w:r>
          </w:p>
          <w:p w14:paraId="6C5ABBCB" w14:textId="19A455B8" w:rsidR="00EB578E" w:rsidRDefault="00EB578E" w:rsidP="00762EA6">
            <w:pPr>
              <w:pStyle w:val="RecBullet"/>
              <w:keepNext/>
            </w:pPr>
            <w:r>
              <w:t xml:space="preserve">independent estimates of NMHSPF benchmarks </w:t>
            </w:r>
            <w:r w:rsidR="00A13DCB">
              <w:t>of all mental health services, including psychosocial support services,</w:t>
            </w:r>
            <w:r>
              <w:t xml:space="preserve"> included in the NMHSPF, at both a national and State/Territory level</w:t>
            </w:r>
          </w:p>
          <w:p w14:paraId="6FE35431" w14:textId="77777777" w:rsidR="00EB578E" w:rsidRDefault="00EB578E" w:rsidP="00762EA6">
            <w:pPr>
              <w:pStyle w:val="RecBullet"/>
              <w:keepNext/>
            </w:pPr>
            <w:r>
              <w:t>gap analyses based on a comparison of these benchmarks with services that are currently provided (where this data is available)</w:t>
            </w:r>
          </w:p>
          <w:p w14:paraId="16508907" w14:textId="29D617C7" w:rsidR="00C52652" w:rsidRPr="00D41518" w:rsidRDefault="00EB578E" w:rsidP="00E918E5">
            <w:pPr>
              <w:pStyle w:val="RecBullet"/>
              <w:keepNext/>
            </w:pPr>
            <w:r>
              <w:t xml:space="preserve">data on the amount of time that clinical staff </w:t>
            </w:r>
            <w:r w:rsidR="00A13DCB">
              <w:t xml:space="preserve">in </w:t>
            </w:r>
            <w:r w:rsidR="00125D52">
              <w:t xml:space="preserve">community </w:t>
            </w:r>
            <w:r w:rsidR="00A13DCB">
              <w:t xml:space="preserve">ambulatory mental health services </w:t>
            </w:r>
            <w:r>
              <w:t>are spending on consumer</w:t>
            </w:r>
            <w:r>
              <w:noBreakHyphen/>
              <w:t>related activities (with and without the consumer present).</w:t>
            </w:r>
          </w:p>
        </w:tc>
      </w:tr>
      <w:tr w:rsidR="00C52652" w:rsidRPr="00D41518" w14:paraId="6A405E2A"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2C7A489C" w14:textId="77777777" w:rsidR="00C52652" w:rsidRPr="00D41518" w:rsidRDefault="00C52652" w:rsidP="00762EA6">
            <w:pPr>
              <w:keepNext/>
              <w:keepLines/>
              <w:spacing w:line="120" w:lineRule="exact"/>
              <w:jc w:val="both"/>
              <w:rPr>
                <w:rFonts w:ascii="Arial" w:hAnsi="Arial"/>
                <w:sz w:val="20"/>
                <w:szCs w:val="20"/>
              </w:rPr>
            </w:pPr>
          </w:p>
        </w:tc>
      </w:tr>
      <w:tr w:rsidR="00762EA6" w:rsidRPr="00D41518" w14:paraId="35F188F2" w14:textId="77777777" w:rsidTr="00762EA6">
        <w:tc>
          <w:tcPr>
            <w:tcW w:w="5000" w:type="pct"/>
            <w:tcBorders>
              <w:top w:val="single" w:sz="6" w:space="0" w:color="78A22F"/>
              <w:left w:val="nil"/>
              <w:bottom w:val="nil"/>
              <w:right w:val="nil"/>
            </w:tcBorders>
            <w:shd w:val="clear" w:color="auto" w:fill="FFFFFF"/>
            <w:tcMar>
              <w:left w:w="170" w:type="dxa"/>
              <w:right w:w="170" w:type="dxa"/>
            </w:tcMar>
          </w:tcPr>
          <w:p w14:paraId="0ADF5CA3" w14:textId="77777777" w:rsidR="00762EA6" w:rsidRPr="00D41518" w:rsidRDefault="00762EA6" w:rsidP="00762EA6">
            <w:pPr>
              <w:pStyle w:val="BoxSpaceBelow"/>
            </w:pPr>
          </w:p>
        </w:tc>
      </w:tr>
    </w:tbl>
    <w:p w14:paraId="646414EC" w14:textId="77777777" w:rsidR="00EB578E" w:rsidRPr="00D41518" w:rsidRDefault="00EB578E" w:rsidP="00762EA6">
      <w:pPr>
        <w:keepNext/>
        <w:keepLines/>
        <w:spacing w:before="240" w:line="80" w:lineRule="exact"/>
        <w:rPr>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EB578E" w:rsidRPr="005E64FD" w14:paraId="4A2D6E44" w14:textId="77777777" w:rsidTr="00EB578E">
        <w:trPr>
          <w:tblHeader/>
        </w:trPr>
        <w:tc>
          <w:tcPr>
            <w:tcW w:w="5000" w:type="pct"/>
            <w:tcBorders>
              <w:top w:val="single" w:sz="6" w:space="0" w:color="78A22F"/>
              <w:left w:val="nil"/>
              <w:bottom w:val="nil"/>
              <w:right w:val="nil"/>
            </w:tcBorders>
            <w:shd w:val="clear" w:color="auto" w:fill="FFFFFF"/>
            <w:tcMar>
              <w:left w:w="170" w:type="dxa"/>
              <w:right w:w="170" w:type="dxa"/>
            </w:tcMar>
          </w:tcPr>
          <w:p w14:paraId="6E839D10" w14:textId="0D7F9AB9" w:rsidR="00EB578E" w:rsidRPr="005E64FD" w:rsidRDefault="00EB578E" w:rsidP="00F12CAF">
            <w:pPr>
              <w:pStyle w:val="RecTitle"/>
              <w:spacing w:before="120"/>
              <w:ind w:left="1390" w:hanging="1390"/>
              <w:rPr>
                <w:b/>
                <w:color w:val="3B5117"/>
              </w:rPr>
            </w:pPr>
            <w:r w:rsidRPr="005E64FD">
              <w:rPr>
                <w:b/>
                <w:color w:val="3B5117"/>
              </w:rPr>
              <w:t>Action 24.</w:t>
            </w:r>
            <w:r w:rsidR="00176604">
              <w:rPr>
                <w:b/>
                <w:color w:val="3B5117"/>
              </w:rPr>
              <w:t>9</w:t>
            </w:r>
            <w:r w:rsidR="00CE7986">
              <w:rPr>
                <w:b/>
                <w:color w:val="3B5117"/>
              </w:rPr>
              <w:t> — </w:t>
            </w:r>
            <w:r w:rsidRPr="005E64FD">
              <w:rPr>
                <w:b/>
                <w:color w:val="3B5117"/>
              </w:rPr>
              <w:t xml:space="preserve">INCREASING THE TRANSPARENCY of </w:t>
            </w:r>
            <w:r w:rsidR="00F12CAF" w:rsidRPr="00F12CAF">
              <w:rPr>
                <w:b/>
                <w:color w:val="3B5117"/>
              </w:rPr>
              <w:t>the national mental health service planning framework</w:t>
            </w:r>
          </w:p>
        </w:tc>
      </w:tr>
      <w:tr w:rsidR="00EB578E" w:rsidRPr="00D41518" w14:paraId="27676388" w14:textId="77777777" w:rsidTr="00EB578E">
        <w:tc>
          <w:tcPr>
            <w:tcW w:w="5000" w:type="pct"/>
            <w:tcBorders>
              <w:top w:val="nil"/>
              <w:left w:val="nil"/>
              <w:bottom w:val="nil"/>
              <w:right w:val="nil"/>
            </w:tcBorders>
            <w:shd w:val="clear" w:color="auto" w:fill="F2F2F2"/>
            <w:tcMar>
              <w:left w:w="170" w:type="dxa"/>
              <w:right w:w="170" w:type="dxa"/>
            </w:tcMar>
          </w:tcPr>
          <w:p w14:paraId="4BEBFF7E" w14:textId="53703716" w:rsidR="00EB578E" w:rsidRPr="00EB578E" w:rsidRDefault="00EB578E" w:rsidP="00762EA6">
            <w:pPr>
              <w:pStyle w:val="Rec"/>
              <w:keepNext/>
              <w:rPr>
                <w:iCs/>
              </w:rPr>
            </w:pPr>
            <w:r w:rsidRPr="00EB578E">
              <w:rPr>
                <w:iCs/>
              </w:rPr>
              <w:t>The key planning tool used for mental health</w:t>
            </w:r>
            <w:r w:rsidR="00CE7986">
              <w:rPr>
                <w:iCs/>
              </w:rPr>
              <w:t> — </w:t>
            </w:r>
            <w:r w:rsidRPr="00EB578E">
              <w:rPr>
                <w:iCs/>
              </w:rPr>
              <w:t xml:space="preserve">the </w:t>
            </w:r>
            <w:r w:rsidRPr="00EB578E">
              <w:t xml:space="preserve">National Mental Health Service Planning Framework </w:t>
            </w:r>
            <w:r w:rsidR="00F12CAF">
              <w:t>(NMHSPF)</w:t>
            </w:r>
            <w:r w:rsidR="00CE7986">
              <w:t> — </w:t>
            </w:r>
            <w:r w:rsidRPr="00EB578E">
              <w:t>should be transparent to facilitate its improvement.</w:t>
            </w:r>
          </w:p>
          <w:p w14:paraId="37B567FB" w14:textId="77777777" w:rsidR="00EB578E" w:rsidRPr="00D41518" w:rsidRDefault="00EB578E" w:rsidP="00762EA6">
            <w:pPr>
              <w:pStyle w:val="Rec"/>
              <w:keepNext/>
              <w:rPr>
                <w:i/>
              </w:rPr>
            </w:pPr>
            <w:r>
              <w:rPr>
                <w:i/>
              </w:rPr>
              <w:t>Start now</w:t>
            </w:r>
          </w:p>
          <w:p w14:paraId="14791458" w14:textId="75B3CE1C" w:rsidR="00176604" w:rsidRDefault="00EB578E" w:rsidP="00176604">
            <w:pPr>
              <w:pStyle w:val="Rec"/>
              <w:keepNext/>
            </w:pPr>
            <w:r>
              <w:t xml:space="preserve">The </w:t>
            </w:r>
            <w:r w:rsidRPr="00721D8A">
              <w:t>Australian</w:t>
            </w:r>
            <w:r>
              <w:t xml:space="preserve">, State and Territory Governments should enhance and make all parts of the NMHSPF publicly available, including the Planning Support Tool and all supporting documentation. </w:t>
            </w:r>
          </w:p>
          <w:p w14:paraId="76076248" w14:textId="77777777" w:rsidR="00176604" w:rsidRPr="00856067" w:rsidRDefault="00176604" w:rsidP="00176604">
            <w:pPr>
              <w:pStyle w:val="Rec"/>
              <w:rPr>
                <w:i/>
              </w:rPr>
            </w:pPr>
            <w:r w:rsidRPr="00856067">
              <w:rPr>
                <w:i/>
              </w:rPr>
              <w:t>Start later</w:t>
            </w:r>
          </w:p>
          <w:p w14:paraId="14526D34" w14:textId="77777777" w:rsidR="00176604" w:rsidRDefault="00176604" w:rsidP="00176604">
            <w:pPr>
              <w:pStyle w:val="Rec"/>
            </w:pPr>
            <w:r>
              <w:t>Over time, the NMHSPF should:</w:t>
            </w:r>
          </w:p>
          <w:p w14:paraId="39341FE9" w14:textId="77777777" w:rsidR="00176604" w:rsidRPr="00F01A30" w:rsidRDefault="00176604" w:rsidP="00176604">
            <w:pPr>
              <w:pStyle w:val="RecBullet"/>
            </w:pPr>
            <w:r w:rsidRPr="002D2F3C">
              <w:t>be able to account for substitution between types of care</w:t>
            </w:r>
          </w:p>
          <w:p w14:paraId="1FB8F414" w14:textId="77777777" w:rsidR="00176604" w:rsidRDefault="00176604" w:rsidP="00176604">
            <w:pPr>
              <w:pStyle w:val="RecBullet"/>
            </w:pPr>
            <w:r>
              <w:t>be expanded to include forensic mental health services</w:t>
            </w:r>
          </w:p>
          <w:p w14:paraId="2B20E113" w14:textId="00389A04" w:rsidR="00EB578E" w:rsidRPr="00D41518" w:rsidRDefault="00176604" w:rsidP="00176604">
            <w:pPr>
              <w:pStyle w:val="RecBullet"/>
            </w:pPr>
            <w:r>
              <w:t xml:space="preserve">be made more flexible so that it can account for large but temporary ‘shocks’ to population mental health, such a natural disasters, epidemics or recessions. </w:t>
            </w:r>
          </w:p>
        </w:tc>
      </w:tr>
      <w:tr w:rsidR="00EB578E" w:rsidRPr="00D41518" w14:paraId="017722E1"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446212C7" w14:textId="77777777" w:rsidR="00EB578E" w:rsidRPr="00D41518" w:rsidRDefault="00EB578E" w:rsidP="00762EA6">
            <w:pPr>
              <w:keepNext/>
              <w:keepLines/>
              <w:spacing w:line="120" w:lineRule="exact"/>
              <w:jc w:val="both"/>
              <w:rPr>
                <w:rFonts w:ascii="Arial" w:hAnsi="Arial"/>
                <w:sz w:val="20"/>
                <w:szCs w:val="20"/>
              </w:rPr>
            </w:pPr>
          </w:p>
        </w:tc>
      </w:tr>
      <w:tr w:rsidR="00762EA6" w:rsidRPr="00D41518" w14:paraId="53B4C03D" w14:textId="77777777" w:rsidTr="00762EA6">
        <w:tc>
          <w:tcPr>
            <w:tcW w:w="5000" w:type="pct"/>
            <w:tcBorders>
              <w:top w:val="single" w:sz="6" w:space="0" w:color="78A22F"/>
              <w:left w:val="nil"/>
              <w:bottom w:val="nil"/>
              <w:right w:val="nil"/>
            </w:tcBorders>
            <w:shd w:val="clear" w:color="auto" w:fill="FFFFFF"/>
            <w:tcMar>
              <w:left w:w="170" w:type="dxa"/>
              <w:right w:w="170" w:type="dxa"/>
            </w:tcMar>
          </w:tcPr>
          <w:p w14:paraId="4D230647" w14:textId="77777777" w:rsidR="00762EA6" w:rsidRPr="00D41518" w:rsidRDefault="00762EA6" w:rsidP="00762EA6">
            <w:pPr>
              <w:pStyle w:val="BoxSpaceBelow"/>
              <w:keepNext/>
              <w:keepLines/>
            </w:pPr>
          </w:p>
        </w:tc>
      </w:tr>
    </w:tbl>
    <w:p w14:paraId="23B90CE7" w14:textId="77777777" w:rsidR="00EB578E" w:rsidRPr="00D41518" w:rsidRDefault="00EB578E" w:rsidP="00762EA6">
      <w:pPr>
        <w:pStyle w:val="BoxSpaceAbove"/>
        <w:keepLines/>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A1063C" w:rsidRPr="005E64FD" w14:paraId="4D145466" w14:textId="77777777" w:rsidTr="00555DF6">
        <w:trPr>
          <w:tblHeader/>
        </w:trPr>
        <w:tc>
          <w:tcPr>
            <w:tcW w:w="5000" w:type="pct"/>
            <w:tcBorders>
              <w:top w:val="single" w:sz="6" w:space="0" w:color="78A22F"/>
              <w:left w:val="nil"/>
              <w:bottom w:val="nil"/>
              <w:right w:val="nil"/>
            </w:tcBorders>
            <w:shd w:val="clear" w:color="auto" w:fill="auto"/>
            <w:tcMar>
              <w:left w:w="170" w:type="dxa"/>
              <w:right w:w="170" w:type="dxa"/>
            </w:tcMar>
          </w:tcPr>
          <w:p w14:paraId="5DE59F12" w14:textId="3B4CA7E6" w:rsidR="00A1063C" w:rsidRPr="005E64FD" w:rsidRDefault="00F8701A" w:rsidP="005E64FD">
            <w:pPr>
              <w:pStyle w:val="RecTitle"/>
              <w:spacing w:before="120"/>
              <w:rPr>
                <w:b/>
                <w:color w:val="3B5117"/>
              </w:rPr>
            </w:pPr>
            <w:r w:rsidRPr="005E64FD">
              <w:rPr>
                <w:b/>
                <w:color w:val="3B5117"/>
              </w:rPr>
              <w:t xml:space="preserve">ACTION </w:t>
            </w:r>
            <w:r w:rsidR="00543835" w:rsidRPr="005E64FD">
              <w:rPr>
                <w:b/>
                <w:color w:val="3B5117"/>
              </w:rPr>
              <w:t>24.10</w:t>
            </w:r>
            <w:r w:rsidR="00CE7986">
              <w:rPr>
                <w:b/>
                <w:color w:val="3B5117"/>
              </w:rPr>
              <w:t> — </w:t>
            </w:r>
            <w:r w:rsidR="00A1063C" w:rsidRPr="005E64FD">
              <w:rPr>
                <w:b/>
                <w:color w:val="3B5117"/>
              </w:rPr>
              <w:t>STREngthening monitoring</w:t>
            </w:r>
            <w:r w:rsidR="00176604">
              <w:rPr>
                <w:b/>
                <w:color w:val="3B5117"/>
              </w:rPr>
              <w:t xml:space="preserve"> </w:t>
            </w:r>
            <w:r w:rsidR="00A1063C" w:rsidRPr="005E64FD">
              <w:rPr>
                <w:b/>
                <w:color w:val="3B5117"/>
              </w:rPr>
              <w:t>and reporting</w:t>
            </w:r>
          </w:p>
        </w:tc>
      </w:tr>
      <w:tr w:rsidR="00A1063C" w:rsidRPr="00D41518" w14:paraId="6A9FA1EC" w14:textId="77777777" w:rsidTr="00555DF6">
        <w:tc>
          <w:tcPr>
            <w:tcW w:w="5000" w:type="pct"/>
            <w:tcBorders>
              <w:top w:val="nil"/>
              <w:left w:val="nil"/>
              <w:bottom w:val="nil"/>
              <w:right w:val="nil"/>
            </w:tcBorders>
            <w:shd w:val="clear" w:color="auto" w:fill="F2F2F2"/>
            <w:tcMar>
              <w:left w:w="170" w:type="dxa"/>
              <w:right w:w="170" w:type="dxa"/>
            </w:tcMar>
          </w:tcPr>
          <w:p w14:paraId="1FF6A53F" w14:textId="4FEA3421" w:rsidR="00A1063C" w:rsidRPr="00D41518" w:rsidRDefault="00A1063C" w:rsidP="00762EA6">
            <w:pPr>
              <w:pStyle w:val="Rec"/>
              <w:keepNext/>
            </w:pPr>
            <w:r w:rsidRPr="00D41518">
              <w:t>Monitoring</w:t>
            </w:r>
            <w:r w:rsidR="00721D8A">
              <w:t xml:space="preserve"> </w:t>
            </w:r>
            <w:r w:rsidRPr="00D41518">
              <w:t>and reporting should be more focused on consumer and carer outcomes</w:t>
            </w:r>
            <w:r>
              <w:t>,</w:t>
            </w:r>
            <w:r w:rsidRPr="00D41518">
              <w:t xml:space="preserve"> and broadened beyond health portfolios.</w:t>
            </w:r>
          </w:p>
          <w:p w14:paraId="542E33B5" w14:textId="77777777" w:rsidR="00A1063C" w:rsidRPr="00D41518" w:rsidRDefault="002246D6" w:rsidP="00762EA6">
            <w:pPr>
              <w:pStyle w:val="Rec"/>
              <w:keepNext/>
              <w:rPr>
                <w:i/>
              </w:rPr>
            </w:pPr>
            <w:r w:rsidRPr="002246D6">
              <w:rPr>
                <w:i/>
              </w:rPr>
              <w:t>Start now</w:t>
            </w:r>
          </w:p>
          <w:p w14:paraId="0B828E15" w14:textId="2FD6CBFF" w:rsidR="00A1063C" w:rsidRPr="00D41518" w:rsidRDefault="00A1063C" w:rsidP="00176604">
            <w:pPr>
              <w:pStyle w:val="RecBullet"/>
              <w:keepNext/>
            </w:pPr>
            <w:r w:rsidRPr="00D41518">
              <w:t xml:space="preserve">The National Mental Health Commission (NMHC) should </w:t>
            </w:r>
            <w:r>
              <w:t>lead</w:t>
            </w:r>
            <w:r w:rsidRPr="00D41518">
              <w:t xml:space="preserve"> monitoring</w:t>
            </w:r>
            <w:r w:rsidR="00806A5A">
              <w:t xml:space="preserve"> </w:t>
            </w:r>
            <w:r w:rsidRPr="00D41518">
              <w:t>and reporting on mental health and suicide prevention outcomes, activi</w:t>
            </w:r>
            <w:r>
              <w:t>ties</w:t>
            </w:r>
            <w:r w:rsidRPr="00D41518">
              <w:t xml:space="preserve"> and reforms across portfolios. This include</w:t>
            </w:r>
            <w:r>
              <w:t>s</w:t>
            </w:r>
            <w:r w:rsidRPr="00D41518">
              <w:t xml:space="preserve"> monitoring</w:t>
            </w:r>
            <w:r w:rsidR="00721D8A">
              <w:t xml:space="preserve"> </w:t>
            </w:r>
            <w:r w:rsidRPr="00D41518">
              <w:t>and reporting on:</w:t>
            </w:r>
          </w:p>
          <w:p w14:paraId="2A91819D" w14:textId="0770AEB7" w:rsidR="00A1063C" w:rsidRPr="00762EA6" w:rsidRDefault="00A1063C" w:rsidP="00291482">
            <w:pPr>
              <w:pStyle w:val="BoxListBullet2"/>
              <w:tabs>
                <w:tab w:val="clear" w:pos="567"/>
              </w:tabs>
              <w:ind w:left="680" w:hanging="340"/>
            </w:pPr>
            <w:r w:rsidRPr="00762EA6">
              <w:t>outcomes derived from the Contributing Life Framework for people with mental illness, their carers and suicidal behaviour annually</w:t>
            </w:r>
          </w:p>
          <w:p w14:paraId="2B26308A" w14:textId="77777777" w:rsidR="00A1063C" w:rsidRPr="00762EA6" w:rsidRDefault="00A1063C" w:rsidP="00291482">
            <w:pPr>
              <w:pStyle w:val="BoxListBullet2"/>
              <w:tabs>
                <w:tab w:val="clear" w:pos="567"/>
              </w:tabs>
              <w:ind w:left="680" w:hanging="340"/>
            </w:pPr>
            <w:r w:rsidRPr="00762EA6">
              <w:t>mental health and suicide prevention expenditure (including in non</w:t>
            </w:r>
            <w:r w:rsidR="009462A9" w:rsidRPr="00762EA6">
              <w:noBreakHyphen/>
            </w:r>
            <w:r w:rsidRPr="00762EA6">
              <w:t>health sectors), with the NMHC to determine frequency of reporting</w:t>
            </w:r>
          </w:p>
          <w:p w14:paraId="7320E310" w14:textId="6F0ED4DC" w:rsidR="00A1063C" w:rsidRPr="00176604" w:rsidRDefault="00A1063C" w:rsidP="00291482">
            <w:pPr>
              <w:pStyle w:val="BoxListBullet2"/>
              <w:tabs>
                <w:tab w:val="clear" w:pos="567"/>
              </w:tabs>
              <w:ind w:left="680" w:hanging="340"/>
              <w:rPr>
                <w:sz w:val="22"/>
              </w:rPr>
            </w:pPr>
            <w:r w:rsidRPr="00762EA6">
              <w:t>the progress of mental</w:t>
            </w:r>
            <w:r w:rsidRPr="00D41518">
              <w:t xml:space="preserve"> health reforms (including strategies and plans) annually.</w:t>
            </w:r>
          </w:p>
          <w:p w14:paraId="4FB3E136" w14:textId="464D9530" w:rsidR="00A1063C" w:rsidRPr="00D41518" w:rsidRDefault="00A1063C" w:rsidP="00176604">
            <w:pPr>
              <w:pStyle w:val="RecBullet"/>
              <w:keepNext/>
            </w:pPr>
            <w:r w:rsidRPr="00D41518">
              <w:t xml:space="preserve">The NMHC should consult with stakeholders, including consumers and carers, Aboriginal and Torres Strait Islander </w:t>
            </w:r>
            <w:r w:rsidR="00794E99">
              <w:t>people</w:t>
            </w:r>
            <w:r w:rsidRPr="00D41518">
              <w:t xml:space="preserve"> and sector experts in finalising </w:t>
            </w:r>
            <w:r>
              <w:t>a</w:t>
            </w:r>
            <w:r w:rsidRPr="00D41518">
              <w:t xml:space="preserve"> set of indicators to monitor</w:t>
            </w:r>
            <w:r>
              <w:t xml:space="preserve"> and report on</w:t>
            </w:r>
            <w:r w:rsidRPr="00D41518">
              <w:t xml:space="preserve"> progress against outcomes</w:t>
            </w:r>
            <w:r>
              <w:t xml:space="preserve"> </w:t>
            </w:r>
            <w:r w:rsidRPr="00717261">
              <w:t>derived from the Contributing Life Framework</w:t>
            </w:r>
            <w:r w:rsidRPr="00D41518">
              <w:t>.</w:t>
            </w:r>
          </w:p>
          <w:p w14:paraId="42D3ACF5" w14:textId="2708FCA7" w:rsidR="00A1063C" w:rsidRPr="00D41518" w:rsidRDefault="00A1063C" w:rsidP="00176604">
            <w:pPr>
              <w:pStyle w:val="RecBullet"/>
              <w:keepNext/>
            </w:pPr>
            <w:r w:rsidRPr="00D41518">
              <w:t xml:space="preserve">The NMHC should consult with stakeholders and sector experts to identify </w:t>
            </w:r>
            <w:r>
              <w:t xml:space="preserve">mental health related </w:t>
            </w:r>
            <w:r w:rsidRPr="00D41518">
              <w:t xml:space="preserve">expenditure </w:t>
            </w:r>
            <w:r>
              <w:t>in non</w:t>
            </w:r>
            <w:r>
              <w:noBreakHyphen/>
              <w:t>health</w:t>
            </w:r>
            <w:r w:rsidRPr="00D41518">
              <w:t xml:space="preserve"> sectors</w:t>
            </w:r>
            <w:r>
              <w:t>, such as justice and education, that</w:t>
            </w:r>
            <w:r w:rsidRPr="00D41518">
              <w:t xml:space="preserve"> </w:t>
            </w:r>
            <w:r>
              <w:t>c</w:t>
            </w:r>
            <w:r w:rsidRPr="00D41518">
              <w:t xml:space="preserve">ould be </w:t>
            </w:r>
            <w:r>
              <w:t xml:space="preserve">routinely </w:t>
            </w:r>
            <w:r w:rsidRPr="00D41518">
              <w:t>reported on.</w:t>
            </w:r>
          </w:p>
          <w:p w14:paraId="44450796" w14:textId="77777777" w:rsidR="00A1063C" w:rsidRPr="00176604" w:rsidRDefault="00A1063C" w:rsidP="00176604">
            <w:pPr>
              <w:pStyle w:val="RecBullet"/>
              <w:keepNext/>
            </w:pPr>
            <w:r w:rsidRPr="00D41518">
              <w:t>The NMHC should continue to monitor and report on progress against mental health reforms under the National Mental Health Strategy.</w:t>
            </w:r>
          </w:p>
          <w:p w14:paraId="4D9F12C3" w14:textId="3BDB2E17" w:rsidR="00A1063C" w:rsidRPr="00324F31" w:rsidRDefault="00794E99" w:rsidP="00ED1DE1">
            <w:pPr>
              <w:pStyle w:val="RecBullet"/>
              <w:keepNext/>
              <w:rPr>
                <w:b/>
              </w:rPr>
            </w:pPr>
            <w:r>
              <w:t>The NMHC’s monitoring and reporting activities should inform and support its recommended evaluation function (</w:t>
            </w:r>
            <w:r w:rsidR="00ED1DE1">
              <w:t>A</w:t>
            </w:r>
            <w:r>
              <w:t>ction 22.7).</w:t>
            </w:r>
          </w:p>
        </w:tc>
      </w:tr>
      <w:tr w:rsidR="00A1063C" w:rsidRPr="00D41518" w14:paraId="56E5FBD6"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0913C7D5" w14:textId="77777777" w:rsidR="00A1063C" w:rsidRPr="00D41518" w:rsidRDefault="00A1063C" w:rsidP="00762EA6">
            <w:pPr>
              <w:keepNext/>
              <w:keepLines/>
              <w:spacing w:line="120" w:lineRule="exact"/>
              <w:jc w:val="both"/>
              <w:rPr>
                <w:rFonts w:ascii="Arial" w:hAnsi="Arial"/>
                <w:sz w:val="20"/>
                <w:szCs w:val="20"/>
              </w:rPr>
            </w:pPr>
          </w:p>
        </w:tc>
      </w:tr>
      <w:tr w:rsidR="00762EA6" w:rsidRPr="00D41518" w14:paraId="59199464" w14:textId="77777777" w:rsidTr="00762EA6">
        <w:tc>
          <w:tcPr>
            <w:tcW w:w="5000" w:type="pct"/>
            <w:tcBorders>
              <w:top w:val="single" w:sz="6" w:space="0" w:color="78A22F"/>
              <w:left w:val="nil"/>
              <w:bottom w:val="nil"/>
              <w:right w:val="nil"/>
            </w:tcBorders>
            <w:shd w:val="clear" w:color="auto" w:fill="auto"/>
            <w:tcMar>
              <w:left w:w="170" w:type="dxa"/>
              <w:right w:w="170" w:type="dxa"/>
            </w:tcMar>
          </w:tcPr>
          <w:p w14:paraId="7547A889" w14:textId="77777777" w:rsidR="00762EA6" w:rsidRPr="00D41518" w:rsidRDefault="00762EA6" w:rsidP="00762EA6">
            <w:pPr>
              <w:pStyle w:val="BoxSpaceBelow"/>
            </w:pPr>
          </w:p>
        </w:tc>
      </w:tr>
    </w:tbl>
    <w:p w14:paraId="7AC9400C" w14:textId="77777777" w:rsidR="00D41518" w:rsidRPr="00D41518" w:rsidRDefault="00D41518" w:rsidP="00762EA6">
      <w:pPr>
        <w:pStyle w:val="BoxSpaceAbove"/>
        <w:keepLines/>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D41518" w:rsidRPr="00D41518" w14:paraId="5C83F3DA" w14:textId="77777777" w:rsidTr="00462628">
        <w:trPr>
          <w:tblHeader/>
        </w:trPr>
        <w:tc>
          <w:tcPr>
            <w:tcW w:w="5000" w:type="pct"/>
            <w:tcBorders>
              <w:top w:val="single" w:sz="6" w:space="0" w:color="78A22F"/>
              <w:left w:val="nil"/>
              <w:bottom w:val="nil"/>
              <w:right w:val="nil"/>
            </w:tcBorders>
            <w:shd w:val="clear" w:color="auto" w:fill="auto"/>
            <w:tcMar>
              <w:left w:w="170" w:type="dxa"/>
              <w:right w:w="170" w:type="dxa"/>
            </w:tcMar>
          </w:tcPr>
          <w:p w14:paraId="15AB024D" w14:textId="3ECFB741" w:rsidR="00D41518" w:rsidRPr="005E64FD" w:rsidRDefault="00F8701A" w:rsidP="00AA695D">
            <w:pPr>
              <w:pStyle w:val="RecTitle"/>
              <w:spacing w:before="120"/>
              <w:ind w:left="1531" w:hanging="1531"/>
              <w:rPr>
                <w:b/>
                <w:color w:val="3B5117"/>
              </w:rPr>
            </w:pPr>
            <w:r w:rsidRPr="005E64FD">
              <w:rPr>
                <w:b/>
                <w:color w:val="3B5117"/>
              </w:rPr>
              <w:t xml:space="preserve">ACTION </w:t>
            </w:r>
            <w:r w:rsidR="00EB578E" w:rsidRPr="005E64FD">
              <w:rPr>
                <w:b/>
                <w:color w:val="3B5117"/>
              </w:rPr>
              <w:t>24.11</w:t>
            </w:r>
            <w:r w:rsidR="00CE7986">
              <w:rPr>
                <w:b/>
                <w:color w:val="3B5117"/>
              </w:rPr>
              <w:t> — </w:t>
            </w:r>
            <w:r w:rsidR="00D41518" w:rsidRPr="005E64FD">
              <w:rPr>
                <w:b/>
                <w:color w:val="3B5117"/>
              </w:rPr>
              <w:t>requiring cost-effectiveness consideration</w:t>
            </w:r>
            <w:r w:rsidR="00E03006" w:rsidRPr="005E64FD">
              <w:rPr>
                <w:b/>
                <w:color w:val="3B5117"/>
              </w:rPr>
              <w:t xml:space="preserve"> and pilot trials of new program</w:t>
            </w:r>
            <w:r w:rsidR="00B668C1" w:rsidRPr="005E64FD">
              <w:rPr>
                <w:b/>
                <w:color w:val="3B5117"/>
              </w:rPr>
              <w:t>S</w:t>
            </w:r>
          </w:p>
        </w:tc>
      </w:tr>
      <w:tr w:rsidR="00D41518" w:rsidRPr="00D41518" w14:paraId="725836DF" w14:textId="77777777" w:rsidTr="00462628">
        <w:tc>
          <w:tcPr>
            <w:tcW w:w="5000" w:type="pct"/>
            <w:tcBorders>
              <w:top w:val="nil"/>
              <w:left w:val="nil"/>
              <w:bottom w:val="nil"/>
              <w:right w:val="nil"/>
            </w:tcBorders>
            <w:shd w:val="clear" w:color="auto" w:fill="F2F2F2"/>
            <w:tcMar>
              <w:left w:w="170" w:type="dxa"/>
              <w:right w:w="170" w:type="dxa"/>
            </w:tcMar>
          </w:tcPr>
          <w:p w14:paraId="623841A3" w14:textId="2657E55D" w:rsidR="009D761D" w:rsidRPr="00ED1DE1" w:rsidRDefault="009D761D" w:rsidP="00762EA6">
            <w:pPr>
              <w:pStyle w:val="Rec"/>
            </w:pPr>
            <w:r>
              <w:t>New programs should be cost effective and trialled before being scaled up</w:t>
            </w:r>
          </w:p>
          <w:p w14:paraId="4D2ECEA8" w14:textId="2E49D9E0" w:rsidR="00D41518" w:rsidRPr="00D41518" w:rsidRDefault="002246D6" w:rsidP="00762EA6">
            <w:pPr>
              <w:pStyle w:val="Rec"/>
              <w:rPr>
                <w:i/>
              </w:rPr>
            </w:pPr>
            <w:r w:rsidRPr="002246D6">
              <w:rPr>
                <w:i/>
              </w:rPr>
              <w:t>Start later</w:t>
            </w:r>
          </w:p>
          <w:p w14:paraId="17BAE26B" w14:textId="511D6261" w:rsidR="00D41518" w:rsidRPr="001E53BA" w:rsidRDefault="00186E37" w:rsidP="00ED1DE1">
            <w:pPr>
              <w:pStyle w:val="RecBullet"/>
            </w:pPr>
            <w:r>
              <w:t>As part</w:t>
            </w:r>
            <w:r w:rsidR="001E53BA">
              <w:t xml:space="preserve"> of </w:t>
            </w:r>
            <w:r w:rsidR="00125D52">
              <w:t>their</w:t>
            </w:r>
            <w:r w:rsidR="001E53BA">
              <w:t xml:space="preserve"> commissioning processes, g</w:t>
            </w:r>
            <w:r w:rsidR="00D41518" w:rsidRPr="00D41518">
              <w:t>overnment</w:t>
            </w:r>
            <w:r w:rsidR="001E53BA">
              <w:t>s</w:t>
            </w:r>
            <w:r w:rsidR="00D41518" w:rsidRPr="00D41518">
              <w:t xml:space="preserve"> should </w:t>
            </w:r>
            <w:r>
              <w:t>require</w:t>
            </w:r>
            <w:r w:rsidR="001E53BA">
              <w:t xml:space="preserve"> </w:t>
            </w:r>
            <w:r w:rsidR="00895DE9" w:rsidRPr="001E53BA">
              <w:t xml:space="preserve">all funding applications for </w:t>
            </w:r>
            <w:r w:rsidR="00D41518" w:rsidRPr="001E53BA">
              <w:t xml:space="preserve">mental health programs or interventions </w:t>
            </w:r>
            <w:r w:rsidR="00895DE9" w:rsidRPr="001E53BA">
              <w:t>to include an assessment of the expected cost-effectiveness of the proposed program or intervention.</w:t>
            </w:r>
            <w:r w:rsidR="00D41518" w:rsidRPr="001E53BA">
              <w:t xml:space="preserve"> Allocation of funding should only be considered for programs or interventions that are expected, on the basis of evidence provided in the funding request, to be cost</w:t>
            </w:r>
            <w:r w:rsidR="00C345F1">
              <w:t xml:space="preserve"> </w:t>
            </w:r>
            <w:r w:rsidR="00D41518" w:rsidRPr="001E53BA">
              <w:t>effective.</w:t>
            </w:r>
            <w:r w:rsidR="00470C82" w:rsidRPr="001E53BA">
              <w:t xml:space="preserve"> The Australian Government</w:t>
            </w:r>
            <w:r w:rsidR="00ED1DE1">
              <w:t>,</w:t>
            </w:r>
            <w:r w:rsidR="00470C82" w:rsidRPr="001E53BA">
              <w:t xml:space="preserve"> </w:t>
            </w:r>
            <w:r w:rsidR="00EB578E">
              <w:t>in consultation with State and Territory Governments,</w:t>
            </w:r>
            <w:r w:rsidR="00470C82" w:rsidRPr="001E53BA">
              <w:t xml:space="preserve"> should develop a set of general principles and reference cases to ensure a consistent approach.</w:t>
            </w:r>
          </w:p>
          <w:p w14:paraId="778CDF1C" w14:textId="6F540039" w:rsidR="00895DE9" w:rsidRPr="00D41518" w:rsidRDefault="001E53BA" w:rsidP="00ED1DE1">
            <w:pPr>
              <w:pStyle w:val="RecBullet"/>
            </w:pPr>
            <w:r>
              <w:t>A</w:t>
            </w:r>
            <w:r w:rsidR="00895DE9" w:rsidRPr="001E53BA">
              <w:t xml:space="preserve">ll new mental health programs or interventions </w:t>
            </w:r>
            <w:r>
              <w:t xml:space="preserve">should </w:t>
            </w:r>
            <w:r w:rsidR="00895DE9" w:rsidRPr="001E53BA">
              <w:t>be first trialled as pilot programs, before they can be pro</w:t>
            </w:r>
            <w:r w:rsidR="00960550" w:rsidRPr="001E53BA">
              <w:t>gressively scaled up</w:t>
            </w:r>
            <w:r w:rsidR="00895DE9" w:rsidRPr="001E53BA">
              <w:t>.</w:t>
            </w:r>
            <w:r w:rsidR="00960550" w:rsidRPr="001E53BA">
              <w:t xml:space="preserve"> Only pilot trials with positive impact evaluations that have </w:t>
            </w:r>
            <w:r w:rsidR="00125D52">
              <w:t xml:space="preserve">been </w:t>
            </w:r>
            <w:r w:rsidR="00960550" w:rsidRPr="001E53BA">
              <w:t>shown to improve outcomes in practice should be scaled up.</w:t>
            </w:r>
          </w:p>
        </w:tc>
      </w:tr>
      <w:tr w:rsidR="00D41518" w:rsidRPr="00D41518" w14:paraId="0CA17B03"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3D3DF309" w14:textId="77777777" w:rsidR="00D41518" w:rsidRPr="00D41518" w:rsidRDefault="00D41518" w:rsidP="00762EA6">
            <w:pPr>
              <w:keepNext/>
              <w:keepLines/>
              <w:spacing w:line="120" w:lineRule="exact"/>
              <w:jc w:val="both"/>
              <w:rPr>
                <w:rFonts w:ascii="Arial" w:hAnsi="Arial"/>
                <w:sz w:val="20"/>
                <w:szCs w:val="20"/>
              </w:rPr>
            </w:pPr>
          </w:p>
        </w:tc>
      </w:tr>
      <w:tr w:rsidR="00D41518" w:rsidRPr="00D41518" w14:paraId="49F50F8C" w14:textId="77777777" w:rsidTr="00462628">
        <w:tc>
          <w:tcPr>
            <w:tcW w:w="5000" w:type="pct"/>
            <w:tcBorders>
              <w:top w:val="single" w:sz="6" w:space="0" w:color="78A22F"/>
              <w:left w:val="nil"/>
              <w:bottom w:val="nil"/>
              <w:right w:val="nil"/>
            </w:tcBorders>
          </w:tcPr>
          <w:p w14:paraId="29F8D44B" w14:textId="77777777" w:rsidR="00D41518" w:rsidRPr="00D41518" w:rsidRDefault="00D41518" w:rsidP="00762EA6">
            <w:pPr>
              <w:keepNext/>
              <w:keepLines/>
              <w:spacing w:before="60" w:after="60" w:line="80" w:lineRule="exact"/>
              <w:jc w:val="both"/>
              <w:rPr>
                <w:rFonts w:ascii="Arial" w:hAnsi="Arial"/>
                <w:sz w:val="14"/>
                <w:szCs w:val="20"/>
              </w:rPr>
            </w:pPr>
          </w:p>
        </w:tc>
      </w:tr>
    </w:tbl>
    <w:p w14:paraId="59624094" w14:textId="5DD8C6F9" w:rsidR="009F0594" w:rsidRPr="004E3B94" w:rsidRDefault="009F0594" w:rsidP="009F0594">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8"/>
      </w:tblGrid>
      <w:tr w:rsidR="009F0594" w14:paraId="2459B3CE" w14:textId="77777777" w:rsidTr="00555DF6">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29545BFD" w14:textId="13102540" w:rsidR="009F0594" w:rsidRPr="00CE4C64" w:rsidRDefault="009F0594" w:rsidP="00E362D0">
            <w:pPr>
              <w:pStyle w:val="FindingTitle"/>
              <w:spacing w:before="120"/>
              <w:rPr>
                <w:noProof/>
              </w:rPr>
            </w:pPr>
            <w:r>
              <w:t xml:space="preserve">Finding </w:t>
            </w:r>
            <w:r w:rsidR="00241461">
              <w:t>2</w:t>
            </w:r>
            <w:r w:rsidR="00EB578E">
              <w:t>4.</w:t>
            </w:r>
            <w:r w:rsidR="00241461">
              <w:t>1</w:t>
            </w:r>
            <w:r>
              <w:rPr>
                <w:noProof/>
              </w:rPr>
              <w:t xml:space="preserve"> —support</w:t>
            </w:r>
            <w:r w:rsidR="00F70D02">
              <w:rPr>
                <w:noProof/>
              </w:rPr>
              <w:t xml:space="preserve"> for</w:t>
            </w:r>
            <w:r w:rsidR="00251BFE">
              <w:rPr>
                <w:noProof/>
              </w:rPr>
              <w:t xml:space="preserve"> </w:t>
            </w:r>
            <w:r>
              <w:rPr>
                <w:noProof/>
              </w:rPr>
              <w:t xml:space="preserve">practical </w:t>
            </w:r>
            <w:r w:rsidR="00F70D02">
              <w:rPr>
                <w:noProof/>
              </w:rPr>
              <w:t xml:space="preserve">coordinated </w:t>
            </w:r>
            <w:r>
              <w:rPr>
                <w:noProof/>
              </w:rPr>
              <w:t>research</w:t>
            </w:r>
          </w:p>
        </w:tc>
      </w:tr>
      <w:tr w:rsidR="009F0594" w:rsidRPr="00750BE2" w14:paraId="1AB6F59C" w14:textId="77777777" w:rsidTr="00555DF6">
        <w:trPr>
          <w:cantSplit/>
        </w:trPr>
        <w:tc>
          <w:tcPr>
            <w:tcW w:w="5000" w:type="pct"/>
            <w:tcBorders>
              <w:top w:val="nil"/>
              <w:left w:val="nil"/>
              <w:bottom w:val="nil"/>
              <w:right w:val="nil"/>
            </w:tcBorders>
            <w:shd w:val="clear" w:color="auto" w:fill="F2F2F2"/>
            <w:tcMar>
              <w:left w:w="170" w:type="dxa"/>
              <w:right w:w="170" w:type="dxa"/>
            </w:tcMar>
          </w:tcPr>
          <w:p w14:paraId="2053B6D6" w14:textId="77777777" w:rsidR="009F0594" w:rsidRPr="00345E8C" w:rsidRDefault="009F0594" w:rsidP="00762EA6">
            <w:pPr>
              <w:pStyle w:val="Finding"/>
              <w:rPr>
                <w:spacing w:val="-2"/>
              </w:rPr>
            </w:pPr>
            <w:r w:rsidRPr="00345E8C">
              <w:rPr>
                <w:spacing w:val="-2"/>
              </w:rPr>
              <w:t xml:space="preserve">Mental health and suicide prevention research in Australia has largely been misaligned with </w:t>
            </w:r>
            <w:r w:rsidR="00A467D9" w:rsidRPr="00345E8C">
              <w:rPr>
                <w:spacing w:val="-2"/>
              </w:rPr>
              <w:t xml:space="preserve">both </w:t>
            </w:r>
            <w:r w:rsidRPr="00345E8C">
              <w:rPr>
                <w:spacing w:val="-2"/>
              </w:rPr>
              <w:t>national strategic priorities</w:t>
            </w:r>
            <w:r w:rsidR="00A467D9" w:rsidRPr="00345E8C">
              <w:rPr>
                <w:spacing w:val="-2"/>
              </w:rPr>
              <w:t xml:space="preserve"> and current ‘real wor</w:t>
            </w:r>
            <w:r w:rsidR="00701CFC" w:rsidRPr="00345E8C">
              <w:rPr>
                <w:spacing w:val="-2"/>
              </w:rPr>
              <w:t>l</w:t>
            </w:r>
            <w:r w:rsidR="00A467D9" w:rsidRPr="00345E8C">
              <w:rPr>
                <w:spacing w:val="-2"/>
              </w:rPr>
              <w:t>d’ problems, and has</w:t>
            </w:r>
            <w:r w:rsidRPr="00345E8C">
              <w:rPr>
                <w:spacing w:val="-2"/>
              </w:rPr>
              <w:t xml:space="preserve"> generated evidence that is not translated in practice or widely disseminated. As a result, mental health and suicide prevention research appears to be disconnected from policy making, program development</w:t>
            </w:r>
            <w:r w:rsidR="00A467D9" w:rsidRPr="00345E8C">
              <w:rPr>
                <w:spacing w:val="-2"/>
              </w:rPr>
              <w:t>,</w:t>
            </w:r>
            <w:r w:rsidRPr="00345E8C">
              <w:rPr>
                <w:spacing w:val="-2"/>
              </w:rPr>
              <w:t xml:space="preserve"> service models and delivery</w:t>
            </w:r>
            <w:r w:rsidR="00A467D9" w:rsidRPr="00345E8C">
              <w:rPr>
                <w:spacing w:val="-2"/>
              </w:rPr>
              <w:t>, and desired consumer outcomes</w:t>
            </w:r>
            <w:r w:rsidRPr="00345E8C">
              <w:rPr>
                <w:spacing w:val="-2"/>
              </w:rPr>
              <w:t>.</w:t>
            </w:r>
          </w:p>
          <w:p w14:paraId="4699F0C8" w14:textId="060E8813" w:rsidR="009F0594" w:rsidRDefault="00A467D9" w:rsidP="00762EA6">
            <w:pPr>
              <w:pStyle w:val="Finding"/>
            </w:pPr>
            <w:r w:rsidRPr="00345E8C">
              <w:rPr>
                <w:spacing w:val="-2"/>
              </w:rPr>
              <w:t>While</w:t>
            </w:r>
            <w:r w:rsidR="00631D3A" w:rsidRPr="00345E8C">
              <w:rPr>
                <w:spacing w:val="-2"/>
              </w:rPr>
              <w:t xml:space="preserve"> Governments have recognised these shortcomings and are supporting</w:t>
            </w:r>
            <w:r w:rsidRPr="00345E8C">
              <w:rPr>
                <w:spacing w:val="-2"/>
              </w:rPr>
              <w:t xml:space="preserve"> some</w:t>
            </w:r>
            <w:r w:rsidR="00631D3A" w:rsidRPr="00345E8C">
              <w:rPr>
                <w:spacing w:val="-2"/>
              </w:rPr>
              <w:t xml:space="preserve"> initiatives to address them</w:t>
            </w:r>
            <w:r w:rsidR="00CE7986">
              <w:rPr>
                <w:spacing w:val="-2"/>
              </w:rPr>
              <w:t> — </w:t>
            </w:r>
            <w:r w:rsidR="005B44DD" w:rsidRPr="00345E8C">
              <w:rPr>
                <w:spacing w:val="-2"/>
              </w:rPr>
              <w:t>including through steps to align mental health research with national strategic priorities and funds to establish a national centre for innovation</w:t>
            </w:r>
            <w:r w:rsidR="00CE7986">
              <w:rPr>
                <w:spacing w:val="-2"/>
              </w:rPr>
              <w:t> — </w:t>
            </w:r>
            <w:r w:rsidR="005B44DD" w:rsidRPr="00345E8C">
              <w:rPr>
                <w:spacing w:val="-2"/>
              </w:rPr>
              <w:t>more can be done to ensure research is coordinated and making efficient use of research funds</w:t>
            </w:r>
            <w:r w:rsidR="00251BFE" w:rsidRPr="00345E8C">
              <w:rPr>
                <w:spacing w:val="-2"/>
              </w:rPr>
              <w:t>.</w:t>
            </w:r>
          </w:p>
        </w:tc>
      </w:tr>
      <w:tr w:rsidR="009F0594" w14:paraId="2CCF2065" w14:textId="77777777" w:rsidTr="00555DF6">
        <w:trPr>
          <w:cantSplit/>
        </w:trPr>
        <w:tc>
          <w:tcPr>
            <w:tcW w:w="5000" w:type="pct"/>
            <w:tcBorders>
              <w:top w:val="nil"/>
              <w:left w:val="nil"/>
              <w:bottom w:val="single" w:sz="6" w:space="0" w:color="78A22F"/>
              <w:right w:val="nil"/>
            </w:tcBorders>
            <w:shd w:val="clear" w:color="auto" w:fill="F2F2F2"/>
            <w:tcMar>
              <w:left w:w="170" w:type="dxa"/>
              <w:right w:w="170" w:type="dxa"/>
            </w:tcMar>
          </w:tcPr>
          <w:p w14:paraId="77F92A0D" w14:textId="77777777" w:rsidR="009F0594" w:rsidRDefault="009F0594" w:rsidP="00555DF6">
            <w:pPr>
              <w:pStyle w:val="Space"/>
              <w:keepLines/>
            </w:pPr>
          </w:p>
        </w:tc>
      </w:tr>
      <w:tr w:rsidR="009F0594" w:rsidRPr="000863A5" w14:paraId="15109DCA" w14:textId="77777777" w:rsidTr="00555DF6">
        <w:trPr>
          <w:cantSplit/>
        </w:trPr>
        <w:tc>
          <w:tcPr>
            <w:tcW w:w="5000" w:type="pct"/>
            <w:tcBorders>
              <w:top w:val="single" w:sz="6" w:space="0" w:color="78A22F"/>
              <w:left w:val="nil"/>
              <w:bottom w:val="nil"/>
              <w:right w:val="nil"/>
            </w:tcBorders>
            <w:tcMar>
              <w:left w:w="170" w:type="dxa"/>
              <w:right w:w="170" w:type="dxa"/>
            </w:tcMar>
          </w:tcPr>
          <w:p w14:paraId="211A9D48" w14:textId="60562D6D" w:rsidR="009F0594" w:rsidRPr="00626D32" w:rsidRDefault="009F0594" w:rsidP="00555DF6">
            <w:pPr>
              <w:pStyle w:val="BoxSpaceBelow"/>
              <w:keepLines/>
            </w:pPr>
          </w:p>
        </w:tc>
      </w:tr>
    </w:tbl>
    <w:p w14:paraId="3981FE90" w14:textId="77777777" w:rsidR="009F0594" w:rsidRPr="00D41518" w:rsidRDefault="009F0594" w:rsidP="00762EA6">
      <w:pPr>
        <w:pStyle w:val="BoxSpaceAbove"/>
        <w:keepLines/>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8"/>
      </w:tblGrid>
      <w:tr w:rsidR="00D41518" w:rsidRPr="005E64FD" w14:paraId="33513B6C" w14:textId="77777777" w:rsidTr="00462628">
        <w:trPr>
          <w:tblHeader/>
        </w:trPr>
        <w:tc>
          <w:tcPr>
            <w:tcW w:w="5000" w:type="pct"/>
            <w:tcBorders>
              <w:top w:val="single" w:sz="6" w:space="0" w:color="78A22F"/>
              <w:left w:val="nil"/>
              <w:bottom w:val="nil"/>
              <w:right w:val="nil"/>
            </w:tcBorders>
            <w:shd w:val="clear" w:color="auto" w:fill="auto"/>
            <w:tcMar>
              <w:left w:w="170" w:type="dxa"/>
              <w:right w:w="170" w:type="dxa"/>
            </w:tcMar>
          </w:tcPr>
          <w:p w14:paraId="4B0FAC49" w14:textId="316E4984" w:rsidR="00D41518" w:rsidRPr="005E64FD" w:rsidRDefault="00F8701A" w:rsidP="005E64FD">
            <w:pPr>
              <w:pStyle w:val="RecTitle"/>
              <w:spacing w:before="120"/>
              <w:rPr>
                <w:b/>
                <w:color w:val="3B5117"/>
              </w:rPr>
            </w:pPr>
            <w:r w:rsidRPr="005E64FD">
              <w:rPr>
                <w:b/>
                <w:color w:val="3B5117"/>
              </w:rPr>
              <w:t xml:space="preserve">ACTION </w:t>
            </w:r>
            <w:r w:rsidR="00EB578E" w:rsidRPr="005E64FD">
              <w:rPr>
                <w:b/>
                <w:color w:val="3B5117"/>
              </w:rPr>
              <w:t>24.12</w:t>
            </w:r>
            <w:r w:rsidR="00CE7986">
              <w:rPr>
                <w:b/>
                <w:color w:val="3B5117"/>
              </w:rPr>
              <w:t> — </w:t>
            </w:r>
            <w:r w:rsidR="00D41518" w:rsidRPr="005E64FD">
              <w:rPr>
                <w:b/>
                <w:color w:val="3B5117"/>
              </w:rPr>
              <w:t>a clinical trials network should be established</w:t>
            </w:r>
          </w:p>
        </w:tc>
      </w:tr>
      <w:tr w:rsidR="00D41518" w:rsidRPr="00D41518" w14:paraId="4209BDCB" w14:textId="77777777" w:rsidTr="00462628">
        <w:tc>
          <w:tcPr>
            <w:tcW w:w="5000" w:type="pct"/>
            <w:tcBorders>
              <w:top w:val="nil"/>
              <w:left w:val="nil"/>
              <w:bottom w:val="nil"/>
              <w:right w:val="nil"/>
            </w:tcBorders>
            <w:shd w:val="clear" w:color="auto" w:fill="F2F2F2"/>
            <w:tcMar>
              <w:left w:w="170" w:type="dxa"/>
              <w:right w:w="170" w:type="dxa"/>
            </w:tcMar>
          </w:tcPr>
          <w:p w14:paraId="6FB55F02" w14:textId="2BCFB2CC" w:rsidR="009D761D" w:rsidRPr="00ED1DE1" w:rsidRDefault="009D761D" w:rsidP="00762EA6">
            <w:pPr>
              <w:pStyle w:val="Rec"/>
              <w:keepNext/>
            </w:pPr>
            <w:r>
              <w:t xml:space="preserve">A </w:t>
            </w:r>
            <w:r w:rsidR="00EB578E">
              <w:t>c</w:t>
            </w:r>
            <w:r>
              <w:t>linical trials network can improve the community alignment and application of mental health and suicide prevention research.</w:t>
            </w:r>
          </w:p>
          <w:p w14:paraId="4E615BFA" w14:textId="705E60D3" w:rsidR="00D41518" w:rsidRPr="00D41518" w:rsidRDefault="002246D6" w:rsidP="00762EA6">
            <w:pPr>
              <w:pStyle w:val="Rec"/>
              <w:keepNext/>
              <w:rPr>
                <w:i/>
              </w:rPr>
            </w:pPr>
            <w:r w:rsidRPr="002246D6">
              <w:rPr>
                <w:i/>
              </w:rPr>
              <w:t>Start now</w:t>
            </w:r>
          </w:p>
          <w:p w14:paraId="08125313" w14:textId="38285984" w:rsidR="00BB1035" w:rsidRPr="00D41518" w:rsidRDefault="00D41518" w:rsidP="009B21EF">
            <w:pPr>
              <w:pStyle w:val="Rec"/>
              <w:keepNext/>
            </w:pPr>
            <w:r w:rsidRPr="00D41518">
              <w:t>The Australian Government should fund the establishment of a national clinical trial</w:t>
            </w:r>
            <w:r w:rsidR="009C0984">
              <w:t>s</w:t>
            </w:r>
            <w:r w:rsidRPr="00D41518">
              <w:t xml:space="preserve"> network in mental health and suicide prevention. </w:t>
            </w:r>
            <w:r w:rsidR="009C0984">
              <w:t xml:space="preserve">This network should consider research across all areas of the mental health system, including care provided in community settings. </w:t>
            </w:r>
            <w:r w:rsidRPr="00D41518">
              <w:t xml:space="preserve">In developing this network, the Australian Government should consult with bodies that work in this area including the National </w:t>
            </w:r>
            <w:r w:rsidR="001D4516" w:rsidRPr="00D41518">
              <w:t>Health</w:t>
            </w:r>
            <w:r w:rsidRPr="00D41518">
              <w:t xml:space="preserve"> and </w:t>
            </w:r>
            <w:r w:rsidR="001D4516" w:rsidRPr="00D41518">
              <w:t>Medical</w:t>
            </w:r>
            <w:r w:rsidRPr="00D41518">
              <w:t xml:space="preserve"> Research </w:t>
            </w:r>
            <w:r w:rsidR="009B21EF">
              <w:t>Council</w:t>
            </w:r>
            <w:r w:rsidR="009C0984">
              <w:t>,</w:t>
            </w:r>
            <w:r w:rsidRPr="00D41518">
              <w:t xml:space="preserve"> the Australian Clinical Trials Alliance</w:t>
            </w:r>
            <w:r w:rsidR="00BB6534">
              <w:t xml:space="preserve"> and </w:t>
            </w:r>
            <w:r w:rsidR="00A311B3">
              <w:t xml:space="preserve">other relevant </w:t>
            </w:r>
            <w:r w:rsidR="00BB6534">
              <w:t>stakeholders, including people with lived experience</w:t>
            </w:r>
            <w:r w:rsidRPr="00D41518">
              <w:t>.</w:t>
            </w:r>
          </w:p>
        </w:tc>
      </w:tr>
      <w:tr w:rsidR="00D41518" w:rsidRPr="00D41518" w14:paraId="737B7FD5" w14:textId="77777777" w:rsidTr="003B3426">
        <w:tc>
          <w:tcPr>
            <w:tcW w:w="5000" w:type="pct"/>
            <w:tcBorders>
              <w:top w:val="nil"/>
              <w:left w:val="nil"/>
              <w:bottom w:val="single" w:sz="6" w:space="0" w:color="78A22F"/>
              <w:right w:val="nil"/>
            </w:tcBorders>
            <w:shd w:val="clear" w:color="auto" w:fill="F2F2F2" w:themeFill="background1" w:themeFillShade="F2"/>
            <w:tcMar>
              <w:left w:w="170" w:type="dxa"/>
              <w:right w:w="170" w:type="dxa"/>
            </w:tcMar>
          </w:tcPr>
          <w:p w14:paraId="0AC2EFF0" w14:textId="77777777" w:rsidR="00D41518" w:rsidRPr="00D41518" w:rsidRDefault="00D41518" w:rsidP="00762EA6">
            <w:pPr>
              <w:keepNext/>
              <w:keepLines/>
              <w:spacing w:line="120" w:lineRule="exact"/>
              <w:jc w:val="both"/>
              <w:rPr>
                <w:rFonts w:ascii="Arial" w:hAnsi="Arial"/>
                <w:sz w:val="20"/>
                <w:szCs w:val="20"/>
              </w:rPr>
            </w:pPr>
          </w:p>
        </w:tc>
      </w:tr>
      <w:tr w:rsidR="00D41518" w:rsidRPr="00D41518" w14:paraId="3F60B841" w14:textId="77777777" w:rsidTr="00462628">
        <w:tc>
          <w:tcPr>
            <w:tcW w:w="5000" w:type="pct"/>
            <w:tcBorders>
              <w:top w:val="single" w:sz="6" w:space="0" w:color="78A22F"/>
              <w:left w:val="nil"/>
              <w:bottom w:val="nil"/>
              <w:right w:val="nil"/>
            </w:tcBorders>
          </w:tcPr>
          <w:p w14:paraId="63E410AD" w14:textId="77777777" w:rsidR="00D41518" w:rsidRPr="00D41518" w:rsidRDefault="00D41518" w:rsidP="00762EA6">
            <w:pPr>
              <w:keepNext/>
              <w:keepLines/>
              <w:spacing w:before="60" w:after="60" w:line="80" w:lineRule="exact"/>
              <w:jc w:val="both"/>
              <w:rPr>
                <w:rFonts w:ascii="Arial" w:hAnsi="Arial"/>
                <w:sz w:val="14"/>
                <w:szCs w:val="20"/>
              </w:rPr>
            </w:pPr>
          </w:p>
        </w:tc>
      </w:tr>
    </w:tbl>
    <w:p w14:paraId="47BD54D6" w14:textId="16F65449" w:rsidR="00D41518" w:rsidRPr="00D41518" w:rsidRDefault="00D41518" w:rsidP="00F00D75">
      <w:pPr>
        <w:pStyle w:val="RecTitle"/>
        <w:keepNext w:val="0"/>
        <w:keepLines w:val="0"/>
        <w:spacing w:before="120"/>
      </w:pPr>
    </w:p>
    <w:sectPr w:rsidR="00D41518" w:rsidRPr="00D41518" w:rsidSect="006E50CC">
      <w:headerReference w:type="even" r:id="rId15"/>
      <w:headerReference w:type="default" r:id="rId16"/>
      <w:footerReference w:type="even" r:id="rId17"/>
      <w:footerReference w:type="default" r:id="rId18"/>
      <w:type w:val="oddPage"/>
      <w:pgSz w:w="11906" w:h="16838" w:code="9"/>
      <w:pgMar w:top="1985" w:right="1304" w:bottom="1247" w:left="1814" w:header="1701"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60D2F" w14:textId="77777777" w:rsidR="00865DB4" w:rsidRDefault="00865DB4" w:rsidP="00D41518">
      <w:r>
        <w:separator/>
      </w:r>
    </w:p>
  </w:endnote>
  <w:endnote w:type="continuationSeparator" w:id="0">
    <w:p w14:paraId="63216EA3" w14:textId="77777777" w:rsidR="00865DB4" w:rsidRDefault="00865DB4" w:rsidP="00D41518">
      <w:r>
        <w:continuationSeparator/>
      </w:r>
    </w:p>
  </w:endnote>
  <w:endnote w:type="continuationNotice" w:id="1">
    <w:p w14:paraId="194AC936" w14:textId="77777777" w:rsidR="00865DB4" w:rsidRDefault="00865D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Open Sans">
    <w:altName w:val="Times New Roman"/>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865DB4" w14:paraId="6A60D9C9" w14:textId="77777777" w:rsidTr="00462628">
      <w:trPr>
        <w:trHeight w:val="567"/>
      </w:trPr>
      <w:tc>
        <w:tcPr>
          <w:tcW w:w="510" w:type="dxa"/>
          <w:tcBorders>
            <w:top w:val="single" w:sz="4" w:space="0" w:color="auto"/>
          </w:tcBorders>
          <w:shd w:val="clear" w:color="auto" w:fill="auto"/>
        </w:tcPr>
        <w:p w14:paraId="270857C3" w14:textId="77777777" w:rsidR="00865DB4" w:rsidRPr="00F92A39" w:rsidRDefault="00865DB4" w:rsidP="00462628">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116</w:t>
          </w:r>
          <w:r>
            <w:rPr>
              <w:rStyle w:val="PageNumber"/>
            </w:rPr>
            <w:fldChar w:fldCharType="end"/>
          </w:r>
        </w:p>
      </w:tc>
      <w:tc>
        <w:tcPr>
          <w:tcW w:w="7767" w:type="dxa"/>
          <w:tcBorders>
            <w:top w:val="single" w:sz="4" w:space="0" w:color="auto"/>
          </w:tcBorders>
          <w:shd w:val="clear" w:color="auto" w:fill="auto"/>
        </w:tcPr>
        <w:p w14:paraId="061B93AF" w14:textId="77777777" w:rsidR="00865DB4" w:rsidRDefault="00865DB4" w:rsidP="00462628">
          <w:pPr>
            <w:pStyle w:val="Footer"/>
          </w:pPr>
          <w:r>
            <w:t>MENTAL HEALTH</w:t>
          </w:r>
        </w:p>
        <w:p w14:paraId="6AFD4AC2" w14:textId="77777777" w:rsidR="00865DB4" w:rsidRPr="00F92A39" w:rsidRDefault="00865DB4" w:rsidP="00462628">
          <w:pPr>
            <w:pStyle w:val="Footer"/>
            <w:spacing w:before="40"/>
            <w:rPr>
              <w:color w:val="808080"/>
            </w:rPr>
          </w:pPr>
          <w:r>
            <w:rPr>
              <w:color w:val="808080"/>
            </w:rPr>
            <w:t>REPORT</w:t>
          </w:r>
        </w:p>
      </w:tc>
      <w:tc>
        <w:tcPr>
          <w:tcW w:w="510" w:type="dxa"/>
          <w:tcBorders>
            <w:top w:val="single" w:sz="4" w:space="0" w:color="auto"/>
          </w:tcBorders>
          <w:shd w:val="clear" w:color="auto" w:fill="auto"/>
        </w:tcPr>
        <w:p w14:paraId="1229D86F" w14:textId="77777777" w:rsidR="00865DB4" w:rsidRDefault="00865DB4" w:rsidP="00462628">
          <w:pPr>
            <w:pStyle w:val="Footer"/>
          </w:pPr>
        </w:p>
      </w:tc>
    </w:tr>
  </w:tbl>
  <w:p w14:paraId="208FEE74" w14:textId="77777777" w:rsidR="00865DB4" w:rsidRPr="00F92A39" w:rsidRDefault="00865DB4" w:rsidP="00462628">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B5DEB" w14:textId="77777777" w:rsidR="003C667A" w:rsidRDefault="003C66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B76A1" w14:textId="77777777" w:rsidR="003C667A" w:rsidRDefault="003C667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865DB4" w14:paraId="2677A725" w14:textId="77777777" w:rsidTr="00942C43">
      <w:trPr>
        <w:trHeight w:hRule="exact" w:val="567"/>
      </w:trPr>
      <w:tc>
        <w:tcPr>
          <w:tcW w:w="510" w:type="dxa"/>
        </w:tcPr>
        <w:p w14:paraId="0BEF9745" w14:textId="77777777" w:rsidR="00865DB4" w:rsidRPr="00A24443" w:rsidRDefault="00865DB4" w:rsidP="00942C43">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3C667A">
            <w:rPr>
              <w:rStyle w:val="PageNumber"/>
              <w:caps w:val="0"/>
              <w:noProof/>
            </w:rPr>
            <w:t>74</w:t>
          </w:r>
          <w:r w:rsidRPr="00A24443">
            <w:rPr>
              <w:rStyle w:val="PageNumber"/>
              <w:caps w:val="0"/>
            </w:rPr>
            <w:fldChar w:fldCharType="end"/>
          </w:r>
        </w:p>
      </w:tc>
      <w:tc>
        <w:tcPr>
          <w:tcW w:w="7767" w:type="dxa"/>
        </w:tcPr>
        <w:p w14:paraId="018AEFBD" w14:textId="7612BF44" w:rsidR="00865DB4" w:rsidRPr="0013739A" w:rsidRDefault="00865DB4" w:rsidP="00942C43">
          <w:pPr>
            <w:pStyle w:val="Footer"/>
            <w:rPr>
              <w:rFonts w:cs="Arial"/>
            </w:rPr>
          </w:pPr>
          <w:r>
            <w:rPr>
              <w:rFonts w:cs="Arial"/>
            </w:rPr>
            <w:t>mental health</w:t>
          </w:r>
          <w:r w:rsidRPr="00BA5B14">
            <w:rPr>
              <w:rFonts w:cs="Arial"/>
            </w:rPr>
            <w:fldChar w:fldCharType="begin"/>
          </w:r>
          <w:r w:rsidRPr="00BA5B14">
            <w:rPr>
              <w:rFonts w:cs="Arial"/>
            </w:rPr>
            <w:instrText xml:space="preserve"> SUBJECT  \* MERGEFORMAT </w:instrText>
          </w:r>
          <w:r w:rsidRPr="00BA5B14">
            <w:rPr>
              <w:rFonts w:cs="Arial"/>
            </w:rPr>
            <w:fldChar w:fldCharType="end"/>
          </w:r>
        </w:p>
      </w:tc>
      <w:tc>
        <w:tcPr>
          <w:tcW w:w="510" w:type="dxa"/>
        </w:tcPr>
        <w:p w14:paraId="4A1BC594" w14:textId="77777777" w:rsidR="00865DB4" w:rsidRDefault="00865DB4" w:rsidP="00942C43">
          <w:pPr>
            <w:pStyle w:val="Footer"/>
          </w:pPr>
        </w:p>
      </w:tc>
    </w:tr>
  </w:tbl>
  <w:p w14:paraId="5753F65B" w14:textId="77777777" w:rsidR="00865DB4" w:rsidRDefault="00865DB4" w:rsidP="00942C43">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865DB4" w14:paraId="70E339C5" w14:textId="77777777" w:rsidTr="006E50CC">
      <w:trPr>
        <w:trHeight w:hRule="exact" w:val="567"/>
      </w:trPr>
      <w:tc>
        <w:tcPr>
          <w:tcW w:w="510" w:type="dxa"/>
        </w:tcPr>
        <w:p w14:paraId="79675F3C" w14:textId="30B3602B" w:rsidR="00865DB4" w:rsidRPr="00A24443" w:rsidRDefault="00865DB4" w:rsidP="00942C43">
          <w:pPr>
            <w:pStyle w:val="Footer"/>
            <w:tabs>
              <w:tab w:val="left" w:pos="0"/>
            </w:tabs>
            <w:ind w:right="0"/>
            <w:rPr>
              <w:rStyle w:val="PageNumber"/>
              <w:caps w:val="0"/>
            </w:rPr>
          </w:pPr>
        </w:p>
      </w:tc>
      <w:tc>
        <w:tcPr>
          <w:tcW w:w="7767" w:type="dxa"/>
        </w:tcPr>
        <w:p w14:paraId="0DBD66DA" w14:textId="0EE7850A" w:rsidR="00865DB4" w:rsidRPr="0013739A" w:rsidRDefault="00865DB4" w:rsidP="006E50CC">
          <w:pPr>
            <w:pStyle w:val="Footer"/>
            <w:jc w:val="right"/>
            <w:rPr>
              <w:rFonts w:cs="Arial"/>
            </w:rPr>
          </w:pPr>
          <w:r>
            <w:rPr>
              <w:rFonts w:cs="Arial"/>
            </w:rPr>
            <w:t>actions and findings</w:t>
          </w:r>
          <w:r w:rsidRPr="00BA5B14">
            <w:rPr>
              <w:rFonts w:cs="Arial"/>
            </w:rPr>
            <w:fldChar w:fldCharType="begin"/>
          </w:r>
          <w:r w:rsidRPr="00BA5B14">
            <w:rPr>
              <w:rFonts w:cs="Arial"/>
            </w:rPr>
            <w:instrText xml:space="preserve"> SUBJECT  \* MERGEFORMAT </w:instrText>
          </w:r>
          <w:r w:rsidRPr="00BA5B14">
            <w:rPr>
              <w:rFonts w:cs="Arial"/>
            </w:rPr>
            <w:fldChar w:fldCharType="end"/>
          </w:r>
          <w:bookmarkStart w:id="7" w:name="DraftReportEven"/>
          <w:bookmarkEnd w:id="7"/>
        </w:p>
      </w:tc>
      <w:tc>
        <w:tcPr>
          <w:tcW w:w="510" w:type="dxa"/>
        </w:tcPr>
        <w:p w14:paraId="361F7BF5" w14:textId="6C7D23D1" w:rsidR="00865DB4" w:rsidRDefault="00865DB4" w:rsidP="006E50CC">
          <w:pPr>
            <w:pStyle w:val="Footer"/>
            <w:jc w:val="right"/>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3C667A">
            <w:rPr>
              <w:rStyle w:val="PageNumber"/>
              <w:caps w:val="0"/>
              <w:noProof/>
            </w:rPr>
            <w:t>73</w:t>
          </w:r>
          <w:r w:rsidRPr="00A24443">
            <w:rPr>
              <w:rStyle w:val="PageNumber"/>
              <w:caps w:val="0"/>
            </w:rPr>
            <w:fldChar w:fldCharType="end"/>
          </w:r>
        </w:p>
      </w:tc>
    </w:tr>
  </w:tbl>
  <w:p w14:paraId="582C3D9D" w14:textId="77777777" w:rsidR="00865DB4" w:rsidRPr="00AA6181" w:rsidRDefault="00865DB4" w:rsidP="00942C43">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6F2032" w14:textId="77777777" w:rsidR="00865DB4" w:rsidRDefault="00865DB4" w:rsidP="00D41518">
      <w:r>
        <w:separator/>
      </w:r>
    </w:p>
  </w:footnote>
  <w:footnote w:type="continuationSeparator" w:id="0">
    <w:p w14:paraId="56E880FA" w14:textId="77777777" w:rsidR="00865DB4" w:rsidRDefault="00865DB4" w:rsidP="00D41518">
      <w:r>
        <w:continuationSeparator/>
      </w:r>
    </w:p>
  </w:footnote>
  <w:footnote w:type="continuationNotice" w:id="1">
    <w:p w14:paraId="57B2D10E" w14:textId="77777777" w:rsidR="00865DB4" w:rsidRDefault="00865DB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000" w:firstRow="0" w:lastRow="0" w:firstColumn="0" w:lastColumn="0" w:noHBand="0" w:noVBand="0"/>
    </w:tblPr>
    <w:tblGrid>
      <w:gridCol w:w="2155"/>
      <w:gridCol w:w="6633"/>
    </w:tblGrid>
    <w:tr w:rsidR="00865DB4" w14:paraId="2C878438" w14:textId="77777777" w:rsidTr="00462628">
      <w:trPr>
        <w:trHeight w:val="300"/>
      </w:trPr>
      <w:tc>
        <w:tcPr>
          <w:tcW w:w="1226" w:type="pct"/>
          <w:tcBorders>
            <w:top w:val="single" w:sz="24" w:space="0" w:color="auto"/>
          </w:tcBorders>
          <w:shd w:val="clear" w:color="auto" w:fill="auto"/>
        </w:tcPr>
        <w:p w14:paraId="139B2045" w14:textId="77777777" w:rsidR="00865DB4" w:rsidRDefault="00865DB4" w:rsidP="00462628">
          <w:pPr>
            <w:pStyle w:val="HeaderEven"/>
          </w:pPr>
        </w:p>
      </w:tc>
      <w:tc>
        <w:tcPr>
          <w:tcW w:w="3774" w:type="pct"/>
          <w:tcBorders>
            <w:top w:val="single" w:sz="6" w:space="0" w:color="auto"/>
          </w:tcBorders>
          <w:shd w:val="clear" w:color="auto" w:fill="auto"/>
        </w:tcPr>
        <w:p w14:paraId="4131BF5F" w14:textId="77777777" w:rsidR="00865DB4" w:rsidRDefault="00865DB4" w:rsidP="00462628">
          <w:pPr>
            <w:pStyle w:val="HeaderEven"/>
          </w:pPr>
        </w:p>
      </w:tc>
    </w:tr>
  </w:tbl>
  <w:p w14:paraId="65E8109D" w14:textId="77777777" w:rsidR="00865DB4" w:rsidRPr="00F92A39" w:rsidRDefault="00865DB4" w:rsidP="00462628">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3FF17" w14:textId="77777777" w:rsidR="003C667A" w:rsidRDefault="003C66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BDF5B" w14:textId="77777777" w:rsidR="003C667A" w:rsidRDefault="003C667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865DB4" w14:paraId="1E5CD8D3" w14:textId="77777777" w:rsidTr="00942C43">
      <w:tc>
        <w:tcPr>
          <w:tcW w:w="2155" w:type="dxa"/>
          <w:tcBorders>
            <w:top w:val="single" w:sz="24" w:space="0" w:color="auto"/>
          </w:tcBorders>
        </w:tcPr>
        <w:p w14:paraId="5682890C" w14:textId="77777777" w:rsidR="00865DB4" w:rsidRDefault="00865DB4" w:rsidP="00942C43">
          <w:pPr>
            <w:pStyle w:val="HeaderEven"/>
          </w:pPr>
        </w:p>
      </w:tc>
      <w:tc>
        <w:tcPr>
          <w:tcW w:w="6634" w:type="dxa"/>
          <w:tcBorders>
            <w:top w:val="single" w:sz="6" w:space="0" w:color="auto"/>
          </w:tcBorders>
        </w:tcPr>
        <w:p w14:paraId="68D06919" w14:textId="77777777" w:rsidR="00865DB4" w:rsidRDefault="00865DB4" w:rsidP="00942C43">
          <w:pPr>
            <w:pStyle w:val="HeaderEven"/>
          </w:pPr>
        </w:p>
      </w:tc>
    </w:tr>
  </w:tbl>
  <w:p w14:paraId="6AF6C9FA" w14:textId="77777777" w:rsidR="00865DB4" w:rsidRDefault="00865DB4" w:rsidP="00942C43">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865DB4" w14:paraId="1E80EBE7" w14:textId="77777777" w:rsidTr="00942C43">
      <w:tc>
        <w:tcPr>
          <w:tcW w:w="6634" w:type="dxa"/>
          <w:tcBorders>
            <w:top w:val="single" w:sz="6" w:space="0" w:color="auto"/>
          </w:tcBorders>
        </w:tcPr>
        <w:p w14:paraId="1BE5CA01" w14:textId="77777777" w:rsidR="00865DB4" w:rsidRDefault="00865DB4" w:rsidP="00942C43">
          <w:pPr>
            <w:pStyle w:val="HeaderOdd"/>
          </w:pPr>
        </w:p>
      </w:tc>
      <w:tc>
        <w:tcPr>
          <w:tcW w:w="2155" w:type="dxa"/>
          <w:tcBorders>
            <w:top w:val="single" w:sz="24" w:space="0" w:color="auto"/>
          </w:tcBorders>
        </w:tcPr>
        <w:p w14:paraId="598355D7" w14:textId="77777777" w:rsidR="00865DB4" w:rsidRDefault="00865DB4" w:rsidP="00942C43">
          <w:pPr>
            <w:pStyle w:val="HeaderOdd"/>
          </w:pPr>
        </w:p>
      </w:tc>
    </w:tr>
  </w:tbl>
  <w:p w14:paraId="52E6CBBE" w14:textId="77777777" w:rsidR="00865DB4" w:rsidRDefault="00865DB4" w:rsidP="00942C43">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D92D5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CDC5F10"/>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3E2869E"/>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6FEAFA20"/>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FE"/>
    <w:multiLevelType w:val="singleLevel"/>
    <w:tmpl w:val="FFFFFFFF"/>
    <w:lvl w:ilvl="0">
      <w:numFmt w:val="decimal"/>
      <w:lvlText w:val="*"/>
      <w:lvlJc w:val="left"/>
    </w:lvl>
  </w:abstractNum>
  <w:abstractNum w:abstractNumId="6"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8"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9" w15:restartNumberingAfterBreak="0">
    <w:nsid w:val="07A317B6"/>
    <w:multiLevelType w:val="hybridMultilevel"/>
    <w:tmpl w:val="CC08F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3" w15:restartNumberingAfterBreak="0">
    <w:nsid w:val="13B540A7"/>
    <w:multiLevelType w:val="hybridMultilevel"/>
    <w:tmpl w:val="3E8E184A"/>
    <w:lvl w:ilvl="0" w:tplc="0432401A">
      <w:start w:val="1"/>
      <w:numFmt w:val="bullet"/>
      <w:pStyle w:val="Dash3"/>
      <w:lvlText w:val="-"/>
      <w:lvlJc w:val="left"/>
      <w:pPr>
        <w:ind w:left="1430" w:hanging="360"/>
      </w:pPr>
      <w:rPr>
        <w:rFonts w:ascii="Calibri" w:hAnsi="Calibri"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1D6445BE"/>
    <w:multiLevelType w:val="hybridMultilevel"/>
    <w:tmpl w:val="4F76F6D2"/>
    <w:lvl w:ilvl="0" w:tplc="FB164282">
      <w:start w:val="1"/>
      <w:numFmt w:val="bullet"/>
      <w:lvlText w:val="-"/>
      <w:lvlJc w:val="left"/>
      <w:pPr>
        <w:ind w:left="700" w:hanging="360"/>
      </w:pPr>
      <w:rPr>
        <w:rFonts w:ascii="Courier New" w:hAnsi="Courier New" w:hint="default"/>
        <w:kern w:val="24"/>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4E3DD0"/>
    <w:multiLevelType w:val="hybridMultilevel"/>
    <w:tmpl w:val="42BA47F0"/>
    <w:lvl w:ilvl="0" w:tplc="52F61D9A">
      <w:start w:val="1"/>
      <w:numFmt w:val="bullet"/>
      <w:lvlText w:val=""/>
      <w:lvlJc w:val="left"/>
      <w:pPr>
        <w:ind w:left="360" w:hanging="360"/>
      </w:pPr>
      <w:rPr>
        <w:rFonts w:ascii="Symbol" w:hAnsi="Symbol" w:hint="default"/>
        <w:sz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29F6BAD"/>
    <w:multiLevelType w:val="hybridMultilevel"/>
    <w:tmpl w:val="0F4413DE"/>
    <w:lvl w:ilvl="0" w:tplc="12466944">
      <w:start w:val="1"/>
      <w:numFmt w:val="bullet"/>
      <w:lvlText w:val=""/>
      <w:lvlJc w:val="left"/>
      <w:pPr>
        <w:ind w:left="700" w:hanging="360"/>
      </w:pPr>
      <w:rPr>
        <w:rFonts w:ascii="Symbol" w:hAnsi="Symbol" w:hint="default"/>
        <w:sz w:val="18"/>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18" w15:restartNumberingAfterBreak="0">
    <w:nsid w:val="238E2FD4"/>
    <w:multiLevelType w:val="hybridMultilevel"/>
    <w:tmpl w:val="2490F7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20" w15:restartNumberingAfterBreak="0">
    <w:nsid w:val="265F43FF"/>
    <w:multiLevelType w:val="hybridMultilevel"/>
    <w:tmpl w:val="87B25D7C"/>
    <w:lvl w:ilvl="0" w:tplc="FB164282">
      <w:start w:val="1"/>
      <w:numFmt w:val="bullet"/>
      <w:lvlText w:val="-"/>
      <w:lvlJc w:val="left"/>
      <w:pPr>
        <w:ind w:left="700" w:hanging="360"/>
      </w:pPr>
      <w:rPr>
        <w:rFonts w:ascii="Courier New" w:hAnsi="Courier New" w:hint="default"/>
        <w:kern w:val="24"/>
        <w:sz w:val="16"/>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21"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23" w15:restartNumberingAfterBreak="0">
    <w:nsid w:val="34584516"/>
    <w:multiLevelType w:val="hybridMultilevel"/>
    <w:tmpl w:val="45CE6250"/>
    <w:lvl w:ilvl="0" w:tplc="12466944">
      <w:start w:val="1"/>
      <w:numFmt w:val="bullet"/>
      <w:lvlText w:val=""/>
      <w:lvlJc w:val="left"/>
      <w:pPr>
        <w:ind w:left="700" w:hanging="360"/>
      </w:pPr>
      <w:rPr>
        <w:rFonts w:ascii="Symbol" w:hAnsi="Symbol" w:hint="default"/>
        <w:sz w:val="18"/>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24" w15:restartNumberingAfterBreak="0">
    <w:nsid w:val="37062BF9"/>
    <w:multiLevelType w:val="hybridMultilevel"/>
    <w:tmpl w:val="397004A0"/>
    <w:lvl w:ilvl="0" w:tplc="12466944">
      <w:start w:val="1"/>
      <w:numFmt w:val="bullet"/>
      <w:lvlText w:val=""/>
      <w:lvlJc w:val="left"/>
      <w:pPr>
        <w:ind w:left="700" w:hanging="360"/>
      </w:pPr>
      <w:rPr>
        <w:rFonts w:ascii="Symbol" w:hAnsi="Symbol" w:hint="default"/>
        <w:sz w:val="18"/>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25" w15:restartNumberingAfterBreak="0">
    <w:nsid w:val="3B545557"/>
    <w:multiLevelType w:val="hybridMultilevel"/>
    <w:tmpl w:val="13805898"/>
    <w:lvl w:ilvl="0" w:tplc="CB3A1820">
      <w:start w:val="1"/>
      <w:numFmt w:val="bullet"/>
      <w:pStyle w:val="Bullets"/>
      <w:lvlText w:val=""/>
      <w:lvlJc w:val="left"/>
      <w:pPr>
        <w:ind w:left="360" w:hanging="360"/>
      </w:pPr>
      <w:rPr>
        <w:rFonts w:ascii="Symbol" w:hAnsi="Symbol" w:hint="default"/>
        <w:color w:val="0092C7"/>
      </w:rPr>
    </w:lvl>
    <w:lvl w:ilvl="1" w:tplc="43E635C0">
      <w:start w:val="1"/>
      <w:numFmt w:val="bullet"/>
      <w:lvlText w:val="o"/>
      <w:lvlJc w:val="left"/>
      <w:pPr>
        <w:ind w:left="1080" w:hanging="360"/>
      </w:pPr>
      <w:rPr>
        <w:rFonts w:ascii="Courier New" w:hAnsi="Courier New" w:cs="Courier New" w:hint="default"/>
        <w:color w:val="0092C7"/>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6" w15:restartNumberingAfterBreak="0">
    <w:nsid w:val="45616482"/>
    <w:multiLevelType w:val="hybridMultilevel"/>
    <w:tmpl w:val="53E00E7E"/>
    <w:lvl w:ilvl="0" w:tplc="12466944">
      <w:start w:val="1"/>
      <w:numFmt w:val="bullet"/>
      <w:lvlText w:val=""/>
      <w:lvlJc w:val="left"/>
      <w:pPr>
        <w:ind w:left="700" w:hanging="360"/>
      </w:pPr>
      <w:rPr>
        <w:rFonts w:ascii="Symbol" w:hAnsi="Symbol" w:hint="default"/>
        <w:sz w:val="18"/>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27"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E0A2755"/>
    <w:multiLevelType w:val="hybridMultilevel"/>
    <w:tmpl w:val="4590F896"/>
    <w:lvl w:ilvl="0" w:tplc="FB164282">
      <w:start w:val="1"/>
      <w:numFmt w:val="bullet"/>
      <w:lvlText w:val="-"/>
      <w:lvlJc w:val="left"/>
      <w:pPr>
        <w:ind w:left="360" w:hanging="360"/>
      </w:pPr>
      <w:rPr>
        <w:rFonts w:ascii="Courier New" w:hAnsi="Courier New" w:hint="default"/>
        <w:kern w:val="24"/>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E4A36A9"/>
    <w:multiLevelType w:val="hybridMultilevel"/>
    <w:tmpl w:val="7DB2BE00"/>
    <w:lvl w:ilvl="0" w:tplc="52F61D9A">
      <w:start w:val="1"/>
      <w:numFmt w:val="bullet"/>
      <w:lvlText w:val=""/>
      <w:lvlJc w:val="left"/>
      <w:pPr>
        <w:ind w:left="360" w:hanging="360"/>
      </w:pPr>
      <w:rPr>
        <w:rFonts w:ascii="Symbol" w:hAnsi="Symbol" w:hint="default"/>
        <w:sz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010476B"/>
    <w:multiLevelType w:val="hybridMultilevel"/>
    <w:tmpl w:val="540E1C4C"/>
    <w:lvl w:ilvl="0" w:tplc="FB164282">
      <w:start w:val="1"/>
      <w:numFmt w:val="bullet"/>
      <w:lvlText w:val="-"/>
      <w:lvlJc w:val="left"/>
      <w:pPr>
        <w:ind w:left="700" w:hanging="360"/>
      </w:pPr>
      <w:rPr>
        <w:rFonts w:ascii="Courier New" w:hAnsi="Courier New" w:hint="default"/>
        <w:kern w:val="24"/>
        <w:sz w:val="16"/>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31"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32"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33" w15:restartNumberingAfterBreak="0">
    <w:nsid w:val="54BA1E5A"/>
    <w:multiLevelType w:val="multilevel"/>
    <w:tmpl w:val="D65C22E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54C13163"/>
    <w:multiLevelType w:val="hybridMultilevel"/>
    <w:tmpl w:val="B4A49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5834F9B"/>
    <w:multiLevelType w:val="hybridMultilevel"/>
    <w:tmpl w:val="62164CAE"/>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36"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37" w15:restartNumberingAfterBreak="0">
    <w:nsid w:val="56C50B9C"/>
    <w:multiLevelType w:val="hybridMultilevel"/>
    <w:tmpl w:val="1A72F84E"/>
    <w:lvl w:ilvl="0" w:tplc="FB164282">
      <w:start w:val="1"/>
      <w:numFmt w:val="bullet"/>
      <w:lvlText w:val="-"/>
      <w:lvlJc w:val="left"/>
      <w:pPr>
        <w:ind w:left="700" w:hanging="360"/>
      </w:pPr>
      <w:rPr>
        <w:rFonts w:ascii="Courier New" w:hAnsi="Courier New" w:hint="default"/>
        <w:kern w:val="24"/>
        <w:sz w:val="16"/>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38"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9" w15:restartNumberingAfterBreak="0">
    <w:nsid w:val="5B3F5620"/>
    <w:multiLevelType w:val="hybridMultilevel"/>
    <w:tmpl w:val="AFC0F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E593BAE"/>
    <w:multiLevelType w:val="hybridMultilevel"/>
    <w:tmpl w:val="2D9E9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018525B"/>
    <w:multiLevelType w:val="hybridMultilevel"/>
    <w:tmpl w:val="510C8CCE"/>
    <w:lvl w:ilvl="0" w:tplc="12466944">
      <w:start w:val="1"/>
      <w:numFmt w:val="bullet"/>
      <w:lvlText w:val=""/>
      <w:lvlJc w:val="left"/>
      <w:pPr>
        <w:ind w:left="360" w:hanging="360"/>
      </w:pPr>
      <w:rPr>
        <w:rFonts w:ascii="Symbol" w:hAnsi="Symbol" w:hint="default"/>
        <w:sz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309259F"/>
    <w:multiLevelType w:val="multilevel"/>
    <w:tmpl w:val="866C5A8E"/>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4"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45" w15:restartNumberingAfterBreak="0">
    <w:nsid w:val="689A24B6"/>
    <w:multiLevelType w:val="hybridMultilevel"/>
    <w:tmpl w:val="28662EEE"/>
    <w:lvl w:ilvl="0" w:tplc="12466944">
      <w:start w:val="1"/>
      <w:numFmt w:val="bullet"/>
      <w:lvlText w:val=""/>
      <w:lvlJc w:val="left"/>
      <w:pPr>
        <w:ind w:left="644" w:hanging="360"/>
      </w:pPr>
      <w:rPr>
        <w:rFonts w:ascii="Symbol" w:hAnsi="Symbol" w:hint="default"/>
        <w:sz w:val="18"/>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6" w15:restartNumberingAfterBreak="0">
    <w:nsid w:val="68BF2DBF"/>
    <w:multiLevelType w:val="hybridMultilevel"/>
    <w:tmpl w:val="098A699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7" w15:restartNumberingAfterBreak="0">
    <w:nsid w:val="6A7D0BCF"/>
    <w:multiLevelType w:val="hybridMultilevel"/>
    <w:tmpl w:val="58088D80"/>
    <w:lvl w:ilvl="0" w:tplc="12466944">
      <w:start w:val="1"/>
      <w:numFmt w:val="bullet"/>
      <w:lvlText w:val=""/>
      <w:lvlJc w:val="left"/>
      <w:pPr>
        <w:ind w:left="700" w:hanging="360"/>
      </w:pPr>
      <w:rPr>
        <w:rFonts w:ascii="Symbol" w:hAnsi="Symbol" w:hint="default"/>
        <w:sz w:val="18"/>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48" w15:restartNumberingAfterBreak="0">
    <w:nsid w:val="6E7555F0"/>
    <w:multiLevelType w:val="hybridMultilevel"/>
    <w:tmpl w:val="7DD258E8"/>
    <w:lvl w:ilvl="0" w:tplc="0409000F">
      <w:start w:val="1"/>
      <w:numFmt w:val="decimal"/>
      <w:pStyle w:val="Reco"/>
      <w:lvlText w:val="%1."/>
      <w:lvlJc w:val="left"/>
      <w:pPr>
        <w:ind w:left="360" w:hanging="360"/>
      </w:pPr>
      <w:rPr>
        <w:rFonts w:hint="default"/>
      </w:rPr>
    </w:lvl>
    <w:lvl w:ilvl="1" w:tplc="04090019" w:tentative="1">
      <w:start w:val="1"/>
      <w:numFmt w:val="lowerLetter"/>
      <w:lvlText w:val="%2."/>
      <w:lvlJc w:val="left"/>
      <w:pPr>
        <w:ind w:left="726" w:hanging="360"/>
      </w:pPr>
    </w:lvl>
    <w:lvl w:ilvl="2" w:tplc="0409001B" w:tentative="1">
      <w:start w:val="1"/>
      <w:numFmt w:val="lowerRoman"/>
      <w:lvlText w:val="%3."/>
      <w:lvlJc w:val="right"/>
      <w:pPr>
        <w:ind w:left="1446" w:hanging="180"/>
      </w:pPr>
    </w:lvl>
    <w:lvl w:ilvl="3" w:tplc="0409000F" w:tentative="1">
      <w:start w:val="1"/>
      <w:numFmt w:val="decimal"/>
      <w:lvlText w:val="%4."/>
      <w:lvlJc w:val="left"/>
      <w:pPr>
        <w:ind w:left="2166" w:hanging="360"/>
      </w:pPr>
    </w:lvl>
    <w:lvl w:ilvl="4" w:tplc="04090019" w:tentative="1">
      <w:start w:val="1"/>
      <w:numFmt w:val="lowerLetter"/>
      <w:lvlText w:val="%5."/>
      <w:lvlJc w:val="left"/>
      <w:pPr>
        <w:ind w:left="2886" w:hanging="360"/>
      </w:pPr>
    </w:lvl>
    <w:lvl w:ilvl="5" w:tplc="0409001B" w:tentative="1">
      <w:start w:val="1"/>
      <w:numFmt w:val="lowerRoman"/>
      <w:lvlText w:val="%6."/>
      <w:lvlJc w:val="right"/>
      <w:pPr>
        <w:ind w:left="3606" w:hanging="180"/>
      </w:pPr>
    </w:lvl>
    <w:lvl w:ilvl="6" w:tplc="0409000F" w:tentative="1">
      <w:start w:val="1"/>
      <w:numFmt w:val="decimal"/>
      <w:lvlText w:val="%7."/>
      <w:lvlJc w:val="left"/>
      <w:pPr>
        <w:ind w:left="4326" w:hanging="360"/>
      </w:pPr>
    </w:lvl>
    <w:lvl w:ilvl="7" w:tplc="04090019" w:tentative="1">
      <w:start w:val="1"/>
      <w:numFmt w:val="lowerLetter"/>
      <w:lvlText w:val="%8."/>
      <w:lvlJc w:val="left"/>
      <w:pPr>
        <w:ind w:left="5046" w:hanging="360"/>
      </w:pPr>
    </w:lvl>
    <w:lvl w:ilvl="8" w:tplc="0409001B" w:tentative="1">
      <w:start w:val="1"/>
      <w:numFmt w:val="lowerRoman"/>
      <w:lvlText w:val="%9."/>
      <w:lvlJc w:val="right"/>
      <w:pPr>
        <w:ind w:left="5766" w:hanging="180"/>
      </w:pPr>
    </w:lvl>
  </w:abstractNum>
  <w:abstractNum w:abstractNumId="49" w15:restartNumberingAfterBreak="0">
    <w:nsid w:val="6F9F04EC"/>
    <w:multiLevelType w:val="hybridMultilevel"/>
    <w:tmpl w:val="E3B412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715D57EB"/>
    <w:multiLevelType w:val="hybridMultilevel"/>
    <w:tmpl w:val="3A6A64EA"/>
    <w:lvl w:ilvl="0" w:tplc="12466944">
      <w:start w:val="1"/>
      <w:numFmt w:val="bullet"/>
      <w:lvlText w:val=""/>
      <w:lvlJc w:val="left"/>
      <w:pPr>
        <w:ind w:left="360" w:hanging="360"/>
      </w:pPr>
      <w:rPr>
        <w:rFonts w:ascii="Symbol" w:hAnsi="Symbol" w:hint="default"/>
        <w:sz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71BB61F6"/>
    <w:multiLevelType w:val="hybridMultilevel"/>
    <w:tmpl w:val="DEE4862C"/>
    <w:lvl w:ilvl="0" w:tplc="12466944">
      <w:start w:val="1"/>
      <w:numFmt w:val="bullet"/>
      <w:lvlText w:val=""/>
      <w:lvlJc w:val="left"/>
      <w:pPr>
        <w:ind w:left="644" w:hanging="360"/>
      </w:pPr>
      <w:rPr>
        <w:rFonts w:ascii="Symbol" w:hAnsi="Symbol" w:hint="default"/>
        <w:sz w:val="18"/>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2" w15:restartNumberingAfterBreak="0">
    <w:nsid w:val="72E936F2"/>
    <w:multiLevelType w:val="hybridMultilevel"/>
    <w:tmpl w:val="0C847D0E"/>
    <w:lvl w:ilvl="0" w:tplc="FB164282">
      <w:start w:val="1"/>
      <w:numFmt w:val="bullet"/>
      <w:lvlText w:val="-"/>
      <w:lvlJc w:val="left"/>
      <w:pPr>
        <w:ind w:left="700" w:hanging="360"/>
      </w:pPr>
      <w:rPr>
        <w:rFonts w:ascii="Courier New" w:hAnsi="Courier New" w:hint="default"/>
        <w:kern w:val="24"/>
        <w:sz w:val="16"/>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53" w15:restartNumberingAfterBreak="0">
    <w:nsid w:val="7919078C"/>
    <w:multiLevelType w:val="hybridMultilevel"/>
    <w:tmpl w:val="8DFA1BB0"/>
    <w:lvl w:ilvl="0" w:tplc="12466944">
      <w:start w:val="1"/>
      <w:numFmt w:val="bullet"/>
      <w:lvlText w:val=""/>
      <w:lvlJc w:val="left"/>
      <w:pPr>
        <w:ind w:left="700" w:hanging="360"/>
      </w:pPr>
      <w:rPr>
        <w:rFonts w:ascii="Symbol" w:hAnsi="Symbol" w:hint="default"/>
        <w:sz w:val="18"/>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54"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55"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56" w15:restartNumberingAfterBreak="0">
    <w:nsid w:val="7C1E517D"/>
    <w:multiLevelType w:val="hybridMultilevel"/>
    <w:tmpl w:val="E478875C"/>
    <w:lvl w:ilvl="0" w:tplc="FB164282">
      <w:start w:val="1"/>
      <w:numFmt w:val="bullet"/>
      <w:lvlText w:val="-"/>
      <w:lvlJc w:val="left"/>
      <w:pPr>
        <w:ind w:left="700" w:hanging="360"/>
      </w:pPr>
      <w:rPr>
        <w:rFonts w:ascii="Courier New" w:hAnsi="Courier New" w:hint="default"/>
        <w:kern w:val="24"/>
        <w:sz w:val="16"/>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57" w15:restartNumberingAfterBreak="0">
    <w:nsid w:val="7DE20B81"/>
    <w:multiLevelType w:val="multilevel"/>
    <w:tmpl w:val="D65C22EC"/>
    <w:numStyleLink w:val="ZZBullets"/>
  </w:abstractNum>
  <w:num w:numId="1">
    <w:abstractNumId w:val="22"/>
  </w:num>
  <w:num w:numId="2">
    <w:abstractNumId w:val="8"/>
  </w:num>
  <w:num w:numId="3">
    <w:abstractNumId w:val="44"/>
  </w:num>
  <w:num w:numId="4">
    <w:abstractNumId w:val="38"/>
  </w:num>
  <w:num w:numId="5">
    <w:abstractNumId w:val="10"/>
  </w:num>
  <w:num w:numId="6">
    <w:abstractNumId w:val="21"/>
  </w:num>
  <w:num w:numId="7">
    <w:abstractNumId w:val="54"/>
  </w:num>
  <w:num w:numId="8">
    <w:abstractNumId w:val="31"/>
  </w:num>
  <w:num w:numId="9">
    <w:abstractNumId w:val="27"/>
  </w:num>
  <w:num w:numId="10">
    <w:abstractNumId w:val="6"/>
  </w:num>
  <w:num w:numId="11">
    <w:abstractNumId w:val="42"/>
  </w:num>
  <w:num w:numId="12">
    <w:abstractNumId w:val="14"/>
  </w:num>
  <w:num w:numId="13">
    <w:abstractNumId w:val="11"/>
  </w:num>
  <w:num w:numId="14">
    <w:abstractNumId w:val="36"/>
  </w:num>
  <w:num w:numId="15">
    <w:abstractNumId w:val="55"/>
  </w:num>
  <w:num w:numId="16">
    <w:abstractNumId w:val="19"/>
  </w:num>
  <w:num w:numId="17">
    <w:abstractNumId w:val="7"/>
  </w:num>
  <w:num w:numId="18">
    <w:abstractNumId w:val="12"/>
  </w:num>
  <w:num w:numId="19">
    <w:abstractNumId w:val="32"/>
  </w:num>
  <w:num w:numId="20">
    <w:abstractNumId w:val="48"/>
  </w:num>
  <w:num w:numId="21">
    <w:abstractNumId w:val="13"/>
  </w:num>
  <w:num w:numId="22">
    <w:abstractNumId w:val="30"/>
  </w:num>
  <w:num w:numId="23">
    <w:abstractNumId w:val="25"/>
  </w:num>
  <w:num w:numId="24">
    <w:abstractNumId w:val="43"/>
  </w:num>
  <w:num w:numId="25">
    <w:abstractNumId w:val="33"/>
    <w:lvlOverride w:ilvl="0">
      <w:lvl w:ilvl="0">
        <w:start w:val="1"/>
        <w:numFmt w:val="bullet"/>
        <w:pStyle w:val="DHHSbullet1"/>
        <w:lvlText w:val="•"/>
        <w:lvlJc w:val="left"/>
        <w:pPr>
          <w:ind w:left="284" w:hanging="284"/>
        </w:pPr>
        <w:rPr>
          <w:rFonts w:ascii="Calibri" w:hAnsi="Calibri" w:hint="default"/>
          <w:color w:val="44546A" w:themeColor="text2"/>
        </w:rPr>
      </w:lvl>
    </w:lvlOverride>
  </w:num>
  <w:num w:numId="26">
    <w:abstractNumId w:val="33"/>
  </w:num>
  <w:num w:numId="27">
    <w:abstractNumId w:val="16"/>
  </w:num>
  <w:num w:numId="28">
    <w:abstractNumId w:val="41"/>
  </w:num>
  <w:num w:numId="29">
    <w:abstractNumId w:val="20"/>
  </w:num>
  <w:num w:numId="30">
    <w:abstractNumId w:val="52"/>
  </w:num>
  <w:num w:numId="31">
    <w:abstractNumId w:val="56"/>
  </w:num>
  <w:num w:numId="32">
    <w:abstractNumId w:val="55"/>
  </w:num>
  <w:num w:numId="33">
    <w:abstractNumId w:val="55"/>
  </w:num>
  <w:num w:numId="34">
    <w:abstractNumId w:val="22"/>
  </w:num>
  <w:num w:numId="35">
    <w:abstractNumId w:val="8"/>
  </w:num>
  <w:num w:numId="36">
    <w:abstractNumId w:val="55"/>
  </w:num>
  <w:num w:numId="37">
    <w:abstractNumId w:val="55"/>
  </w:num>
  <w:num w:numId="38">
    <w:abstractNumId w:val="55"/>
  </w:num>
  <w:num w:numId="39">
    <w:abstractNumId w:val="55"/>
  </w:num>
  <w:num w:numId="40">
    <w:abstractNumId w:val="55"/>
  </w:num>
  <w:num w:numId="41">
    <w:abstractNumId w:val="18"/>
  </w:num>
  <w:num w:numId="42">
    <w:abstractNumId w:val="54"/>
  </w:num>
  <w:num w:numId="43">
    <w:abstractNumId w:val="42"/>
  </w:num>
  <w:num w:numId="44">
    <w:abstractNumId w:val="14"/>
  </w:num>
  <w:num w:numId="45">
    <w:abstractNumId w:val="31"/>
  </w:num>
  <w:num w:numId="46">
    <w:abstractNumId w:val="7"/>
  </w:num>
  <w:num w:numId="47">
    <w:abstractNumId w:val="44"/>
  </w:num>
  <w:num w:numId="48">
    <w:abstractNumId w:val="36"/>
  </w:num>
  <w:num w:numId="49">
    <w:abstractNumId w:val="55"/>
  </w:num>
  <w:num w:numId="50">
    <w:abstractNumId w:val="32"/>
  </w:num>
  <w:num w:numId="51">
    <w:abstractNumId w:val="22"/>
  </w:num>
  <w:num w:numId="52">
    <w:abstractNumId w:val="8"/>
  </w:num>
  <w:num w:numId="53">
    <w:abstractNumId w:val="38"/>
  </w:num>
  <w:num w:numId="54">
    <w:abstractNumId w:val="9"/>
  </w:num>
  <w:num w:numId="55">
    <w:abstractNumId w:val="22"/>
  </w:num>
  <w:num w:numId="56">
    <w:abstractNumId w:val="42"/>
  </w:num>
  <w:num w:numId="57">
    <w:abstractNumId w:val="54"/>
  </w:num>
  <w:num w:numId="58">
    <w:abstractNumId w:val="54"/>
  </w:num>
  <w:num w:numId="59">
    <w:abstractNumId w:val="54"/>
  </w:num>
  <w:num w:numId="60">
    <w:abstractNumId w:val="42"/>
  </w:num>
  <w:num w:numId="61">
    <w:abstractNumId w:val="54"/>
  </w:num>
  <w:num w:numId="62">
    <w:abstractNumId w:val="34"/>
  </w:num>
  <w:num w:numId="63">
    <w:abstractNumId w:val="22"/>
  </w:num>
  <w:num w:numId="64">
    <w:abstractNumId w:val="49"/>
  </w:num>
  <w:num w:numId="65">
    <w:abstractNumId w:val="53"/>
  </w:num>
  <w:num w:numId="66">
    <w:abstractNumId w:val="55"/>
  </w:num>
  <w:num w:numId="67">
    <w:abstractNumId w:val="57"/>
  </w:num>
  <w:num w:numId="68">
    <w:abstractNumId w:val="47"/>
  </w:num>
  <w:num w:numId="69">
    <w:abstractNumId w:val="37"/>
  </w:num>
  <w:num w:numId="70">
    <w:abstractNumId w:val="55"/>
  </w:num>
  <w:num w:numId="71">
    <w:abstractNumId w:val="55"/>
  </w:num>
  <w:num w:numId="72">
    <w:abstractNumId w:val="45"/>
  </w:num>
  <w:num w:numId="73">
    <w:abstractNumId w:val="50"/>
  </w:num>
  <w:num w:numId="74">
    <w:abstractNumId w:val="29"/>
  </w:num>
  <w:num w:numId="75">
    <w:abstractNumId w:val="23"/>
  </w:num>
  <w:num w:numId="76">
    <w:abstractNumId w:val="24"/>
  </w:num>
  <w:num w:numId="77">
    <w:abstractNumId w:val="17"/>
  </w:num>
  <w:num w:numId="78">
    <w:abstractNumId w:val="26"/>
  </w:num>
  <w:num w:numId="79">
    <w:abstractNumId w:val="51"/>
  </w:num>
  <w:num w:numId="80">
    <w:abstractNumId w:val="15"/>
  </w:num>
  <w:num w:numId="81">
    <w:abstractNumId w:val="39"/>
  </w:num>
  <w:num w:numId="82">
    <w:abstractNumId w:val="40"/>
  </w:num>
  <w:num w:numId="83">
    <w:abstractNumId w:val="35"/>
  </w:num>
  <w:num w:numId="84">
    <w:abstractNumId w:val="46"/>
  </w:num>
  <w:num w:numId="85">
    <w:abstractNumId w:val="55"/>
  </w:num>
  <w:num w:numId="86">
    <w:abstractNumId w:val="55"/>
  </w:num>
  <w:num w:numId="87">
    <w:abstractNumId w:val="55"/>
  </w:num>
  <w:num w:numId="88">
    <w:abstractNumId w:val="28"/>
  </w:num>
  <w:num w:numId="89">
    <w:abstractNumId w:val="31"/>
  </w:num>
  <w:num w:numId="90">
    <w:abstractNumId w:val="4"/>
  </w:num>
  <w:num w:numId="91">
    <w:abstractNumId w:val="5"/>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92">
    <w:abstractNumId w:val="3"/>
  </w:num>
  <w:num w:numId="93">
    <w:abstractNumId w:val="2"/>
  </w:num>
  <w:num w:numId="94">
    <w:abstractNumId w:val="1"/>
  </w:num>
  <w:num w:numId="95">
    <w:abstractNumId w:val="0"/>
  </w:num>
  <w:num w:numId="96">
    <w:abstractNumId w:val="8"/>
  </w:num>
  <w:num w:numId="97">
    <w:abstractNumId w:val="55"/>
  </w:num>
  <w:num w:numId="98">
    <w:abstractNumId w:val="55"/>
  </w:num>
  <w:num w:numId="99">
    <w:abstractNumId w:val="55"/>
  </w:num>
  <w:num w:numId="100">
    <w:abstractNumId w:val="55"/>
  </w:num>
  <w:num w:numId="101">
    <w:abstractNumId w:val="55"/>
  </w:num>
  <w:num w:numId="102">
    <w:abstractNumId w:val="55"/>
  </w:num>
  <w:num w:numId="103">
    <w:abstractNumId w:val="55"/>
  </w:num>
  <w:num w:numId="104">
    <w:abstractNumId w:val="55"/>
  </w:num>
  <w:num w:numId="105">
    <w:abstractNumId w:val="55"/>
  </w:num>
  <w:num w:numId="106">
    <w:abstractNumId w:val="55"/>
  </w:num>
  <w:num w:numId="107">
    <w:abstractNumId w:val="55"/>
  </w:num>
  <w:num w:numId="108">
    <w:abstractNumId w:val="55"/>
  </w:num>
  <w:num w:numId="109">
    <w:abstractNumId w:val="55"/>
  </w:num>
  <w:num w:numId="110">
    <w:abstractNumId w:val="55"/>
  </w:num>
  <w:num w:numId="111">
    <w:abstractNumId w:val="55"/>
  </w:num>
  <w:num w:numId="112">
    <w:abstractNumId w:val="55"/>
  </w:num>
  <w:num w:numId="113">
    <w:abstractNumId w:val="55"/>
  </w:num>
  <w:num w:numId="114">
    <w:abstractNumId w:val="55"/>
  </w:num>
  <w:num w:numId="115">
    <w:abstractNumId w:val="55"/>
  </w:num>
  <w:num w:numId="116">
    <w:abstractNumId w:val="55"/>
  </w:num>
  <w:num w:numId="117">
    <w:abstractNumId w:val="55"/>
  </w:num>
  <w:num w:numId="118">
    <w:abstractNumId w:val="55"/>
  </w:num>
  <w:num w:numId="119">
    <w:abstractNumId w:val="55"/>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linkStyles/>
  <w:defaultTabStop w:val="720"/>
  <w:evenAndOddHeaders/>
  <w:characterSpacingControl w:val="doNotCompress"/>
  <w:hdrShapeDefaults>
    <o:shapedefaults v:ext="edit" spidmax="419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518"/>
    <w:rsid w:val="0000033D"/>
    <w:rsid w:val="00001597"/>
    <w:rsid w:val="00001D1C"/>
    <w:rsid w:val="00001D7E"/>
    <w:rsid w:val="00001DF5"/>
    <w:rsid w:val="00003807"/>
    <w:rsid w:val="00007165"/>
    <w:rsid w:val="000076E7"/>
    <w:rsid w:val="00007F80"/>
    <w:rsid w:val="00010889"/>
    <w:rsid w:val="000126F2"/>
    <w:rsid w:val="00012B55"/>
    <w:rsid w:val="00013BF5"/>
    <w:rsid w:val="00014D41"/>
    <w:rsid w:val="00014E18"/>
    <w:rsid w:val="00015B41"/>
    <w:rsid w:val="00015BDC"/>
    <w:rsid w:val="00016098"/>
    <w:rsid w:val="000164E4"/>
    <w:rsid w:val="00016CB5"/>
    <w:rsid w:val="00016DFF"/>
    <w:rsid w:val="00016FB0"/>
    <w:rsid w:val="00017E8D"/>
    <w:rsid w:val="00021C37"/>
    <w:rsid w:val="000263D6"/>
    <w:rsid w:val="000267C5"/>
    <w:rsid w:val="00026A18"/>
    <w:rsid w:val="00026D36"/>
    <w:rsid w:val="0002796E"/>
    <w:rsid w:val="000305E0"/>
    <w:rsid w:val="00030C3C"/>
    <w:rsid w:val="00031234"/>
    <w:rsid w:val="000313BA"/>
    <w:rsid w:val="0003201D"/>
    <w:rsid w:val="000329B9"/>
    <w:rsid w:val="00035849"/>
    <w:rsid w:val="000369D3"/>
    <w:rsid w:val="00036AEC"/>
    <w:rsid w:val="00036BEC"/>
    <w:rsid w:val="00036E5B"/>
    <w:rsid w:val="0003719E"/>
    <w:rsid w:val="0003721A"/>
    <w:rsid w:val="0003733C"/>
    <w:rsid w:val="000374ED"/>
    <w:rsid w:val="00040172"/>
    <w:rsid w:val="0004037D"/>
    <w:rsid w:val="0004178F"/>
    <w:rsid w:val="00042FD2"/>
    <w:rsid w:val="000448AF"/>
    <w:rsid w:val="0004532D"/>
    <w:rsid w:val="0005019C"/>
    <w:rsid w:val="0005039F"/>
    <w:rsid w:val="00050615"/>
    <w:rsid w:val="0005067D"/>
    <w:rsid w:val="00050E73"/>
    <w:rsid w:val="0005242A"/>
    <w:rsid w:val="000525D5"/>
    <w:rsid w:val="00052B1A"/>
    <w:rsid w:val="0005431A"/>
    <w:rsid w:val="00054CD7"/>
    <w:rsid w:val="000551E2"/>
    <w:rsid w:val="00055D5B"/>
    <w:rsid w:val="00055F7D"/>
    <w:rsid w:val="00057604"/>
    <w:rsid w:val="00060310"/>
    <w:rsid w:val="000603BE"/>
    <w:rsid w:val="00061C53"/>
    <w:rsid w:val="000639EA"/>
    <w:rsid w:val="00064871"/>
    <w:rsid w:val="00065B0E"/>
    <w:rsid w:val="00067718"/>
    <w:rsid w:val="00070063"/>
    <w:rsid w:val="000732F8"/>
    <w:rsid w:val="000733E4"/>
    <w:rsid w:val="00073A93"/>
    <w:rsid w:val="0007570C"/>
    <w:rsid w:val="0007668F"/>
    <w:rsid w:val="000770EE"/>
    <w:rsid w:val="000772D3"/>
    <w:rsid w:val="00077BBF"/>
    <w:rsid w:val="00077CE1"/>
    <w:rsid w:val="000804DC"/>
    <w:rsid w:val="00081266"/>
    <w:rsid w:val="00082012"/>
    <w:rsid w:val="0008214E"/>
    <w:rsid w:val="0008241A"/>
    <w:rsid w:val="0008270F"/>
    <w:rsid w:val="00083666"/>
    <w:rsid w:val="00083675"/>
    <w:rsid w:val="000845DB"/>
    <w:rsid w:val="00085582"/>
    <w:rsid w:val="000858F2"/>
    <w:rsid w:val="00086EB0"/>
    <w:rsid w:val="00086FAE"/>
    <w:rsid w:val="00090B45"/>
    <w:rsid w:val="00090D04"/>
    <w:rsid w:val="000912A5"/>
    <w:rsid w:val="00091AA3"/>
    <w:rsid w:val="00092084"/>
    <w:rsid w:val="00092402"/>
    <w:rsid w:val="00092904"/>
    <w:rsid w:val="00092D46"/>
    <w:rsid w:val="00093150"/>
    <w:rsid w:val="00093233"/>
    <w:rsid w:val="0009336A"/>
    <w:rsid w:val="0009494C"/>
    <w:rsid w:val="00095272"/>
    <w:rsid w:val="0009542C"/>
    <w:rsid w:val="00095646"/>
    <w:rsid w:val="000958DA"/>
    <w:rsid w:val="000A0488"/>
    <w:rsid w:val="000A0FD4"/>
    <w:rsid w:val="000A1C84"/>
    <w:rsid w:val="000A1E85"/>
    <w:rsid w:val="000A20DA"/>
    <w:rsid w:val="000A2A93"/>
    <w:rsid w:val="000A34F5"/>
    <w:rsid w:val="000A4A32"/>
    <w:rsid w:val="000A5617"/>
    <w:rsid w:val="000A56C2"/>
    <w:rsid w:val="000A60B9"/>
    <w:rsid w:val="000A78C5"/>
    <w:rsid w:val="000A7BA4"/>
    <w:rsid w:val="000A7DD9"/>
    <w:rsid w:val="000B0379"/>
    <w:rsid w:val="000B068C"/>
    <w:rsid w:val="000B08FE"/>
    <w:rsid w:val="000B10BC"/>
    <w:rsid w:val="000B1C1A"/>
    <w:rsid w:val="000B1E2A"/>
    <w:rsid w:val="000B2083"/>
    <w:rsid w:val="000B377E"/>
    <w:rsid w:val="000B3F7F"/>
    <w:rsid w:val="000B4690"/>
    <w:rsid w:val="000B59CC"/>
    <w:rsid w:val="000C0894"/>
    <w:rsid w:val="000C14E4"/>
    <w:rsid w:val="000C1B7C"/>
    <w:rsid w:val="000C349F"/>
    <w:rsid w:val="000C37D8"/>
    <w:rsid w:val="000C3921"/>
    <w:rsid w:val="000C4CFF"/>
    <w:rsid w:val="000C54DC"/>
    <w:rsid w:val="000C65F0"/>
    <w:rsid w:val="000C679A"/>
    <w:rsid w:val="000C6C31"/>
    <w:rsid w:val="000C7E13"/>
    <w:rsid w:val="000D03AD"/>
    <w:rsid w:val="000D0626"/>
    <w:rsid w:val="000D1837"/>
    <w:rsid w:val="000D19B4"/>
    <w:rsid w:val="000D2578"/>
    <w:rsid w:val="000D2E66"/>
    <w:rsid w:val="000D3461"/>
    <w:rsid w:val="000D35D5"/>
    <w:rsid w:val="000D4E0E"/>
    <w:rsid w:val="000D52C0"/>
    <w:rsid w:val="000D538F"/>
    <w:rsid w:val="000D5983"/>
    <w:rsid w:val="000D5DEE"/>
    <w:rsid w:val="000D669F"/>
    <w:rsid w:val="000D6782"/>
    <w:rsid w:val="000D6E68"/>
    <w:rsid w:val="000E14D7"/>
    <w:rsid w:val="000E170C"/>
    <w:rsid w:val="000E1A8F"/>
    <w:rsid w:val="000E1BE8"/>
    <w:rsid w:val="000E1C67"/>
    <w:rsid w:val="000E2CBD"/>
    <w:rsid w:val="000E36E3"/>
    <w:rsid w:val="000E4205"/>
    <w:rsid w:val="000E4739"/>
    <w:rsid w:val="000E4DB0"/>
    <w:rsid w:val="000E5201"/>
    <w:rsid w:val="000E5565"/>
    <w:rsid w:val="000E5DC8"/>
    <w:rsid w:val="000E6DD9"/>
    <w:rsid w:val="000E6F7A"/>
    <w:rsid w:val="000E7304"/>
    <w:rsid w:val="000E7849"/>
    <w:rsid w:val="000F040A"/>
    <w:rsid w:val="000F1287"/>
    <w:rsid w:val="000F1F65"/>
    <w:rsid w:val="000F2950"/>
    <w:rsid w:val="000F335D"/>
    <w:rsid w:val="000F3F76"/>
    <w:rsid w:val="000F3FE4"/>
    <w:rsid w:val="000F54B8"/>
    <w:rsid w:val="000F55BB"/>
    <w:rsid w:val="000F596E"/>
    <w:rsid w:val="000F7667"/>
    <w:rsid w:val="0010057B"/>
    <w:rsid w:val="001011AB"/>
    <w:rsid w:val="001019B5"/>
    <w:rsid w:val="001020BC"/>
    <w:rsid w:val="00104990"/>
    <w:rsid w:val="001051E7"/>
    <w:rsid w:val="001057CA"/>
    <w:rsid w:val="00105E0E"/>
    <w:rsid w:val="00106482"/>
    <w:rsid w:val="00106CD3"/>
    <w:rsid w:val="00106D4E"/>
    <w:rsid w:val="001100DC"/>
    <w:rsid w:val="0011017D"/>
    <w:rsid w:val="0011146C"/>
    <w:rsid w:val="00112145"/>
    <w:rsid w:val="00112630"/>
    <w:rsid w:val="001128A8"/>
    <w:rsid w:val="001128C5"/>
    <w:rsid w:val="00112BCC"/>
    <w:rsid w:val="001137FF"/>
    <w:rsid w:val="00113ED0"/>
    <w:rsid w:val="0011453F"/>
    <w:rsid w:val="00114C61"/>
    <w:rsid w:val="00115066"/>
    <w:rsid w:val="00115AF4"/>
    <w:rsid w:val="0011697F"/>
    <w:rsid w:val="001169C6"/>
    <w:rsid w:val="001170B7"/>
    <w:rsid w:val="00121617"/>
    <w:rsid w:val="00121EDE"/>
    <w:rsid w:val="00121FC0"/>
    <w:rsid w:val="00122621"/>
    <w:rsid w:val="00122B48"/>
    <w:rsid w:val="00123107"/>
    <w:rsid w:val="00124A84"/>
    <w:rsid w:val="00125D52"/>
    <w:rsid w:val="00127753"/>
    <w:rsid w:val="00127DDB"/>
    <w:rsid w:val="001303E5"/>
    <w:rsid w:val="001322A8"/>
    <w:rsid w:val="001328BE"/>
    <w:rsid w:val="00133381"/>
    <w:rsid w:val="001342AA"/>
    <w:rsid w:val="00134659"/>
    <w:rsid w:val="0013484A"/>
    <w:rsid w:val="00134BAC"/>
    <w:rsid w:val="00134C89"/>
    <w:rsid w:val="00136332"/>
    <w:rsid w:val="001368E0"/>
    <w:rsid w:val="00136C05"/>
    <w:rsid w:val="00137245"/>
    <w:rsid w:val="0013744D"/>
    <w:rsid w:val="001402AE"/>
    <w:rsid w:val="00140937"/>
    <w:rsid w:val="001412FD"/>
    <w:rsid w:val="00141D28"/>
    <w:rsid w:val="001430AA"/>
    <w:rsid w:val="00143F0C"/>
    <w:rsid w:val="001441AD"/>
    <w:rsid w:val="0014598A"/>
    <w:rsid w:val="00145DBC"/>
    <w:rsid w:val="00146613"/>
    <w:rsid w:val="00146C6E"/>
    <w:rsid w:val="0015025A"/>
    <w:rsid w:val="00150417"/>
    <w:rsid w:val="001504E9"/>
    <w:rsid w:val="0015079B"/>
    <w:rsid w:val="00151525"/>
    <w:rsid w:val="00151B5A"/>
    <w:rsid w:val="00152467"/>
    <w:rsid w:val="00152486"/>
    <w:rsid w:val="00152F1D"/>
    <w:rsid w:val="0015346F"/>
    <w:rsid w:val="00155092"/>
    <w:rsid w:val="00155178"/>
    <w:rsid w:val="001551C4"/>
    <w:rsid w:val="0015533C"/>
    <w:rsid w:val="001554DB"/>
    <w:rsid w:val="0015563B"/>
    <w:rsid w:val="00156EA0"/>
    <w:rsid w:val="001577E5"/>
    <w:rsid w:val="00160615"/>
    <w:rsid w:val="00160D26"/>
    <w:rsid w:val="001628A8"/>
    <w:rsid w:val="00163692"/>
    <w:rsid w:val="00164058"/>
    <w:rsid w:val="0016514A"/>
    <w:rsid w:val="00165AEB"/>
    <w:rsid w:val="00165F66"/>
    <w:rsid w:val="001661A9"/>
    <w:rsid w:val="001672BD"/>
    <w:rsid w:val="00167418"/>
    <w:rsid w:val="00167469"/>
    <w:rsid w:val="00170344"/>
    <w:rsid w:val="001708E2"/>
    <w:rsid w:val="001727CE"/>
    <w:rsid w:val="00173054"/>
    <w:rsid w:val="00174F6A"/>
    <w:rsid w:val="0017500F"/>
    <w:rsid w:val="001759DE"/>
    <w:rsid w:val="00175D0A"/>
    <w:rsid w:val="00176604"/>
    <w:rsid w:val="0017662F"/>
    <w:rsid w:val="00176B2F"/>
    <w:rsid w:val="001777C8"/>
    <w:rsid w:val="00177BA6"/>
    <w:rsid w:val="001815E3"/>
    <w:rsid w:val="00181EDE"/>
    <w:rsid w:val="00182FA5"/>
    <w:rsid w:val="00183231"/>
    <w:rsid w:val="0018397F"/>
    <w:rsid w:val="00184A3B"/>
    <w:rsid w:val="00184B34"/>
    <w:rsid w:val="00184E68"/>
    <w:rsid w:val="00185900"/>
    <w:rsid w:val="00185EDC"/>
    <w:rsid w:val="001868B2"/>
    <w:rsid w:val="00186C9D"/>
    <w:rsid w:val="00186E37"/>
    <w:rsid w:val="00187896"/>
    <w:rsid w:val="00190B02"/>
    <w:rsid w:val="00191AFE"/>
    <w:rsid w:val="00191C3C"/>
    <w:rsid w:val="001937B0"/>
    <w:rsid w:val="00194CFF"/>
    <w:rsid w:val="001956D6"/>
    <w:rsid w:val="00196ED7"/>
    <w:rsid w:val="001970F7"/>
    <w:rsid w:val="00197791"/>
    <w:rsid w:val="00197DF0"/>
    <w:rsid w:val="001A1709"/>
    <w:rsid w:val="001A1AC7"/>
    <w:rsid w:val="001A3059"/>
    <w:rsid w:val="001A34C3"/>
    <w:rsid w:val="001A3735"/>
    <w:rsid w:val="001A3A33"/>
    <w:rsid w:val="001A4523"/>
    <w:rsid w:val="001A4600"/>
    <w:rsid w:val="001A5E24"/>
    <w:rsid w:val="001A5E28"/>
    <w:rsid w:val="001A68D3"/>
    <w:rsid w:val="001A6BA4"/>
    <w:rsid w:val="001A74B8"/>
    <w:rsid w:val="001A7BB6"/>
    <w:rsid w:val="001B022A"/>
    <w:rsid w:val="001B06BF"/>
    <w:rsid w:val="001B1847"/>
    <w:rsid w:val="001B1D47"/>
    <w:rsid w:val="001B1D67"/>
    <w:rsid w:val="001B22B1"/>
    <w:rsid w:val="001B299D"/>
    <w:rsid w:val="001B2BEC"/>
    <w:rsid w:val="001B2C7D"/>
    <w:rsid w:val="001B427D"/>
    <w:rsid w:val="001B450C"/>
    <w:rsid w:val="001B4578"/>
    <w:rsid w:val="001B4699"/>
    <w:rsid w:val="001B491D"/>
    <w:rsid w:val="001B4BCB"/>
    <w:rsid w:val="001B4DBC"/>
    <w:rsid w:val="001B4E24"/>
    <w:rsid w:val="001B7836"/>
    <w:rsid w:val="001B7A8F"/>
    <w:rsid w:val="001C1148"/>
    <w:rsid w:val="001C15A9"/>
    <w:rsid w:val="001C1A62"/>
    <w:rsid w:val="001C2419"/>
    <w:rsid w:val="001C2B01"/>
    <w:rsid w:val="001C3B5A"/>
    <w:rsid w:val="001C3CC7"/>
    <w:rsid w:val="001C418E"/>
    <w:rsid w:val="001C47AC"/>
    <w:rsid w:val="001C4AE2"/>
    <w:rsid w:val="001C5177"/>
    <w:rsid w:val="001C5B4B"/>
    <w:rsid w:val="001C62D4"/>
    <w:rsid w:val="001C6879"/>
    <w:rsid w:val="001C6EBF"/>
    <w:rsid w:val="001C716A"/>
    <w:rsid w:val="001D01E8"/>
    <w:rsid w:val="001D02FD"/>
    <w:rsid w:val="001D0301"/>
    <w:rsid w:val="001D0890"/>
    <w:rsid w:val="001D2079"/>
    <w:rsid w:val="001D2BE6"/>
    <w:rsid w:val="001D347F"/>
    <w:rsid w:val="001D400C"/>
    <w:rsid w:val="001D428C"/>
    <w:rsid w:val="001D4516"/>
    <w:rsid w:val="001D46B7"/>
    <w:rsid w:val="001D4899"/>
    <w:rsid w:val="001D4BAE"/>
    <w:rsid w:val="001D5E0A"/>
    <w:rsid w:val="001D6ED0"/>
    <w:rsid w:val="001D6F27"/>
    <w:rsid w:val="001D7909"/>
    <w:rsid w:val="001D796A"/>
    <w:rsid w:val="001E04AB"/>
    <w:rsid w:val="001E0BA0"/>
    <w:rsid w:val="001E0BAA"/>
    <w:rsid w:val="001E1D8F"/>
    <w:rsid w:val="001E34B9"/>
    <w:rsid w:val="001E4A43"/>
    <w:rsid w:val="001E510D"/>
    <w:rsid w:val="001E53BA"/>
    <w:rsid w:val="001E57F4"/>
    <w:rsid w:val="001E632F"/>
    <w:rsid w:val="001E7FEE"/>
    <w:rsid w:val="001F0902"/>
    <w:rsid w:val="001F0DD8"/>
    <w:rsid w:val="001F1A9D"/>
    <w:rsid w:val="001F1C84"/>
    <w:rsid w:val="001F23C2"/>
    <w:rsid w:val="001F2648"/>
    <w:rsid w:val="001F35C7"/>
    <w:rsid w:val="001F4228"/>
    <w:rsid w:val="001F4F02"/>
    <w:rsid w:val="001F5B2E"/>
    <w:rsid w:val="001F61CF"/>
    <w:rsid w:val="001F757D"/>
    <w:rsid w:val="00200799"/>
    <w:rsid w:val="002008B1"/>
    <w:rsid w:val="00200CF3"/>
    <w:rsid w:val="0020106A"/>
    <w:rsid w:val="002019CB"/>
    <w:rsid w:val="002019F6"/>
    <w:rsid w:val="002032D7"/>
    <w:rsid w:val="00203723"/>
    <w:rsid w:val="002038D1"/>
    <w:rsid w:val="00203C0F"/>
    <w:rsid w:val="00203C5A"/>
    <w:rsid w:val="00203D7E"/>
    <w:rsid w:val="002046C5"/>
    <w:rsid w:val="002067F2"/>
    <w:rsid w:val="00206E80"/>
    <w:rsid w:val="00206F24"/>
    <w:rsid w:val="00207A73"/>
    <w:rsid w:val="00207AC7"/>
    <w:rsid w:val="002102EE"/>
    <w:rsid w:val="00210E8A"/>
    <w:rsid w:val="00211236"/>
    <w:rsid w:val="002117E4"/>
    <w:rsid w:val="00211F74"/>
    <w:rsid w:val="00212603"/>
    <w:rsid w:val="00212757"/>
    <w:rsid w:val="00212A13"/>
    <w:rsid w:val="00212D17"/>
    <w:rsid w:val="002153A8"/>
    <w:rsid w:val="002153AD"/>
    <w:rsid w:val="00216606"/>
    <w:rsid w:val="002175D7"/>
    <w:rsid w:val="00217A0B"/>
    <w:rsid w:val="00217FF6"/>
    <w:rsid w:val="00220107"/>
    <w:rsid w:val="00221282"/>
    <w:rsid w:val="002212B0"/>
    <w:rsid w:val="00222596"/>
    <w:rsid w:val="002246D6"/>
    <w:rsid w:val="00225552"/>
    <w:rsid w:val="002262F1"/>
    <w:rsid w:val="002263D3"/>
    <w:rsid w:val="002265B4"/>
    <w:rsid w:val="0022710A"/>
    <w:rsid w:val="0022734E"/>
    <w:rsid w:val="00230878"/>
    <w:rsid w:val="00230A65"/>
    <w:rsid w:val="00231107"/>
    <w:rsid w:val="0023161D"/>
    <w:rsid w:val="00233EC4"/>
    <w:rsid w:val="0023690B"/>
    <w:rsid w:val="00237C51"/>
    <w:rsid w:val="00240E5B"/>
    <w:rsid w:val="00241461"/>
    <w:rsid w:val="00241EA5"/>
    <w:rsid w:val="0024215A"/>
    <w:rsid w:val="0024326F"/>
    <w:rsid w:val="0024418E"/>
    <w:rsid w:val="002448F9"/>
    <w:rsid w:val="002454B6"/>
    <w:rsid w:val="0024677B"/>
    <w:rsid w:val="00246A93"/>
    <w:rsid w:val="002473C1"/>
    <w:rsid w:val="0024778E"/>
    <w:rsid w:val="002512F2"/>
    <w:rsid w:val="0025167D"/>
    <w:rsid w:val="00251AA1"/>
    <w:rsid w:val="00251BFE"/>
    <w:rsid w:val="002522E3"/>
    <w:rsid w:val="002531BA"/>
    <w:rsid w:val="002570BE"/>
    <w:rsid w:val="0026030E"/>
    <w:rsid w:val="00260908"/>
    <w:rsid w:val="0026150F"/>
    <w:rsid w:val="00261F7F"/>
    <w:rsid w:val="002637C0"/>
    <w:rsid w:val="00263F73"/>
    <w:rsid w:val="002646E6"/>
    <w:rsid w:val="00264987"/>
    <w:rsid w:val="002652E4"/>
    <w:rsid w:val="002676AA"/>
    <w:rsid w:val="00267F0D"/>
    <w:rsid w:val="002708A3"/>
    <w:rsid w:val="002713A0"/>
    <w:rsid w:val="002716AF"/>
    <w:rsid w:val="0027183D"/>
    <w:rsid w:val="002721C3"/>
    <w:rsid w:val="002722A0"/>
    <w:rsid w:val="00272D4F"/>
    <w:rsid w:val="0027360B"/>
    <w:rsid w:val="0027385B"/>
    <w:rsid w:val="00273A8A"/>
    <w:rsid w:val="0027542A"/>
    <w:rsid w:val="0027629D"/>
    <w:rsid w:val="0027681C"/>
    <w:rsid w:val="00276FD5"/>
    <w:rsid w:val="0027720C"/>
    <w:rsid w:val="002777DA"/>
    <w:rsid w:val="00277873"/>
    <w:rsid w:val="00277C41"/>
    <w:rsid w:val="00277F63"/>
    <w:rsid w:val="00277FA0"/>
    <w:rsid w:val="002824E8"/>
    <w:rsid w:val="00283AA5"/>
    <w:rsid w:val="002842A0"/>
    <w:rsid w:val="00284C82"/>
    <w:rsid w:val="00284E20"/>
    <w:rsid w:val="0028569E"/>
    <w:rsid w:val="00286A7D"/>
    <w:rsid w:val="00287790"/>
    <w:rsid w:val="002901A8"/>
    <w:rsid w:val="00290D14"/>
    <w:rsid w:val="00290FF3"/>
    <w:rsid w:val="00291095"/>
    <w:rsid w:val="00291482"/>
    <w:rsid w:val="002914B3"/>
    <w:rsid w:val="00291F6D"/>
    <w:rsid w:val="002932FB"/>
    <w:rsid w:val="00293F1D"/>
    <w:rsid w:val="00294B22"/>
    <w:rsid w:val="00295B21"/>
    <w:rsid w:val="002960E5"/>
    <w:rsid w:val="00297F06"/>
    <w:rsid w:val="002A1AA8"/>
    <w:rsid w:val="002A2790"/>
    <w:rsid w:val="002A4639"/>
    <w:rsid w:val="002A5D34"/>
    <w:rsid w:val="002A5EC3"/>
    <w:rsid w:val="002A5F36"/>
    <w:rsid w:val="002B14DA"/>
    <w:rsid w:val="002B1D2B"/>
    <w:rsid w:val="002B1DF7"/>
    <w:rsid w:val="002B20DA"/>
    <w:rsid w:val="002B3012"/>
    <w:rsid w:val="002B3544"/>
    <w:rsid w:val="002B36E5"/>
    <w:rsid w:val="002B538C"/>
    <w:rsid w:val="002B6056"/>
    <w:rsid w:val="002B656F"/>
    <w:rsid w:val="002C0C02"/>
    <w:rsid w:val="002C122C"/>
    <w:rsid w:val="002C177C"/>
    <w:rsid w:val="002C1DA6"/>
    <w:rsid w:val="002C274E"/>
    <w:rsid w:val="002C27CB"/>
    <w:rsid w:val="002C3B6E"/>
    <w:rsid w:val="002C46E2"/>
    <w:rsid w:val="002C49E4"/>
    <w:rsid w:val="002C5233"/>
    <w:rsid w:val="002C70B8"/>
    <w:rsid w:val="002C7249"/>
    <w:rsid w:val="002C7A4D"/>
    <w:rsid w:val="002C7F47"/>
    <w:rsid w:val="002C7F87"/>
    <w:rsid w:val="002D0502"/>
    <w:rsid w:val="002D12E5"/>
    <w:rsid w:val="002D3716"/>
    <w:rsid w:val="002D37AA"/>
    <w:rsid w:val="002D3B39"/>
    <w:rsid w:val="002D4426"/>
    <w:rsid w:val="002D4503"/>
    <w:rsid w:val="002D45E3"/>
    <w:rsid w:val="002D613B"/>
    <w:rsid w:val="002D7BF2"/>
    <w:rsid w:val="002E0300"/>
    <w:rsid w:val="002E04A0"/>
    <w:rsid w:val="002E2D80"/>
    <w:rsid w:val="002E5A3F"/>
    <w:rsid w:val="002E5BBB"/>
    <w:rsid w:val="002E7A81"/>
    <w:rsid w:val="002F0A34"/>
    <w:rsid w:val="002F13D3"/>
    <w:rsid w:val="002F1732"/>
    <w:rsid w:val="002F1C35"/>
    <w:rsid w:val="002F239E"/>
    <w:rsid w:val="002F2795"/>
    <w:rsid w:val="002F2D3B"/>
    <w:rsid w:val="002F3E7A"/>
    <w:rsid w:val="002F4676"/>
    <w:rsid w:val="002F4EB1"/>
    <w:rsid w:val="002F58E2"/>
    <w:rsid w:val="002F5AE5"/>
    <w:rsid w:val="002F5F71"/>
    <w:rsid w:val="002F6606"/>
    <w:rsid w:val="002F78A5"/>
    <w:rsid w:val="002F7D46"/>
    <w:rsid w:val="002F7EEF"/>
    <w:rsid w:val="002F7F61"/>
    <w:rsid w:val="0030126C"/>
    <w:rsid w:val="00301BEC"/>
    <w:rsid w:val="00302EAD"/>
    <w:rsid w:val="003037DD"/>
    <w:rsid w:val="003041AE"/>
    <w:rsid w:val="003053CD"/>
    <w:rsid w:val="0030610C"/>
    <w:rsid w:val="00306ED2"/>
    <w:rsid w:val="00307878"/>
    <w:rsid w:val="00310486"/>
    <w:rsid w:val="003104B6"/>
    <w:rsid w:val="00310C36"/>
    <w:rsid w:val="00311822"/>
    <w:rsid w:val="00311829"/>
    <w:rsid w:val="00311BDA"/>
    <w:rsid w:val="00311EE0"/>
    <w:rsid w:val="0031289F"/>
    <w:rsid w:val="00312927"/>
    <w:rsid w:val="0031380C"/>
    <w:rsid w:val="00313A9E"/>
    <w:rsid w:val="00314064"/>
    <w:rsid w:val="00315BB0"/>
    <w:rsid w:val="00316334"/>
    <w:rsid w:val="00316945"/>
    <w:rsid w:val="00317309"/>
    <w:rsid w:val="00320881"/>
    <w:rsid w:val="0032185A"/>
    <w:rsid w:val="00322096"/>
    <w:rsid w:val="00322EE7"/>
    <w:rsid w:val="00323BA3"/>
    <w:rsid w:val="00324F31"/>
    <w:rsid w:val="003300DD"/>
    <w:rsid w:val="003318B9"/>
    <w:rsid w:val="0033331F"/>
    <w:rsid w:val="003333BE"/>
    <w:rsid w:val="00333CD3"/>
    <w:rsid w:val="0033428A"/>
    <w:rsid w:val="003342DB"/>
    <w:rsid w:val="00334E00"/>
    <w:rsid w:val="003352B6"/>
    <w:rsid w:val="003361A4"/>
    <w:rsid w:val="003366E6"/>
    <w:rsid w:val="0033685D"/>
    <w:rsid w:val="00336E53"/>
    <w:rsid w:val="0033747F"/>
    <w:rsid w:val="0034043A"/>
    <w:rsid w:val="0034065B"/>
    <w:rsid w:val="00340B29"/>
    <w:rsid w:val="00340C76"/>
    <w:rsid w:val="00340E8C"/>
    <w:rsid w:val="003413D2"/>
    <w:rsid w:val="003416C7"/>
    <w:rsid w:val="00341D4B"/>
    <w:rsid w:val="0034210F"/>
    <w:rsid w:val="00343290"/>
    <w:rsid w:val="00343D8B"/>
    <w:rsid w:val="00344697"/>
    <w:rsid w:val="00344E2A"/>
    <w:rsid w:val="00345D50"/>
    <w:rsid w:val="00345E8C"/>
    <w:rsid w:val="003463FD"/>
    <w:rsid w:val="00347683"/>
    <w:rsid w:val="00347E1C"/>
    <w:rsid w:val="003501A1"/>
    <w:rsid w:val="00350958"/>
    <w:rsid w:val="00351B87"/>
    <w:rsid w:val="00352C60"/>
    <w:rsid w:val="003532CF"/>
    <w:rsid w:val="003538E1"/>
    <w:rsid w:val="00354BDE"/>
    <w:rsid w:val="00357026"/>
    <w:rsid w:val="003571A8"/>
    <w:rsid w:val="003572CE"/>
    <w:rsid w:val="003574AF"/>
    <w:rsid w:val="00360723"/>
    <w:rsid w:val="00361367"/>
    <w:rsid w:val="0036195D"/>
    <w:rsid w:val="00362629"/>
    <w:rsid w:val="00362DFF"/>
    <w:rsid w:val="00362F34"/>
    <w:rsid w:val="003634D3"/>
    <w:rsid w:val="00363A88"/>
    <w:rsid w:val="00364E86"/>
    <w:rsid w:val="003658E2"/>
    <w:rsid w:val="0036693A"/>
    <w:rsid w:val="00366A63"/>
    <w:rsid w:val="00367435"/>
    <w:rsid w:val="00367672"/>
    <w:rsid w:val="00367BBC"/>
    <w:rsid w:val="00367C6D"/>
    <w:rsid w:val="00367DD7"/>
    <w:rsid w:val="0037015E"/>
    <w:rsid w:val="00370433"/>
    <w:rsid w:val="003721E7"/>
    <w:rsid w:val="00372604"/>
    <w:rsid w:val="0037274D"/>
    <w:rsid w:val="003728EC"/>
    <w:rsid w:val="0037321D"/>
    <w:rsid w:val="00373CA7"/>
    <w:rsid w:val="003742F0"/>
    <w:rsid w:val="0037434F"/>
    <w:rsid w:val="00374E5A"/>
    <w:rsid w:val="00375189"/>
    <w:rsid w:val="003757F1"/>
    <w:rsid w:val="0037624E"/>
    <w:rsid w:val="003767E4"/>
    <w:rsid w:val="0037709C"/>
    <w:rsid w:val="00377BD2"/>
    <w:rsid w:val="00377C7E"/>
    <w:rsid w:val="0038047B"/>
    <w:rsid w:val="00380656"/>
    <w:rsid w:val="00380B30"/>
    <w:rsid w:val="00380B7B"/>
    <w:rsid w:val="00380F9A"/>
    <w:rsid w:val="00381915"/>
    <w:rsid w:val="00381C88"/>
    <w:rsid w:val="00381DA4"/>
    <w:rsid w:val="00383739"/>
    <w:rsid w:val="003837DA"/>
    <w:rsid w:val="00385816"/>
    <w:rsid w:val="0038596C"/>
    <w:rsid w:val="003864EF"/>
    <w:rsid w:val="00386CB2"/>
    <w:rsid w:val="00386E6A"/>
    <w:rsid w:val="00387B2C"/>
    <w:rsid w:val="00387C8F"/>
    <w:rsid w:val="00387F6B"/>
    <w:rsid w:val="00390339"/>
    <w:rsid w:val="00390D7B"/>
    <w:rsid w:val="0039289F"/>
    <w:rsid w:val="00392900"/>
    <w:rsid w:val="00392CCB"/>
    <w:rsid w:val="00393408"/>
    <w:rsid w:val="003937B4"/>
    <w:rsid w:val="00393983"/>
    <w:rsid w:val="003939FE"/>
    <w:rsid w:val="003943CB"/>
    <w:rsid w:val="00394813"/>
    <w:rsid w:val="00395238"/>
    <w:rsid w:val="00395C32"/>
    <w:rsid w:val="00396A81"/>
    <w:rsid w:val="003A0C14"/>
    <w:rsid w:val="003A0F00"/>
    <w:rsid w:val="003A1F24"/>
    <w:rsid w:val="003A1F51"/>
    <w:rsid w:val="003A215A"/>
    <w:rsid w:val="003A226D"/>
    <w:rsid w:val="003A2990"/>
    <w:rsid w:val="003A2BF1"/>
    <w:rsid w:val="003A6DB8"/>
    <w:rsid w:val="003A764D"/>
    <w:rsid w:val="003A7E04"/>
    <w:rsid w:val="003B0A45"/>
    <w:rsid w:val="003B234A"/>
    <w:rsid w:val="003B2643"/>
    <w:rsid w:val="003B29F0"/>
    <w:rsid w:val="003B3426"/>
    <w:rsid w:val="003B4775"/>
    <w:rsid w:val="003B5380"/>
    <w:rsid w:val="003B5C43"/>
    <w:rsid w:val="003B5D70"/>
    <w:rsid w:val="003B6F68"/>
    <w:rsid w:val="003B7C0F"/>
    <w:rsid w:val="003C08CF"/>
    <w:rsid w:val="003C0DEF"/>
    <w:rsid w:val="003C0FD0"/>
    <w:rsid w:val="003C18FF"/>
    <w:rsid w:val="003C1A2F"/>
    <w:rsid w:val="003C3055"/>
    <w:rsid w:val="003C3954"/>
    <w:rsid w:val="003C46E8"/>
    <w:rsid w:val="003C5281"/>
    <w:rsid w:val="003C5945"/>
    <w:rsid w:val="003C5C09"/>
    <w:rsid w:val="003C5C8B"/>
    <w:rsid w:val="003C667A"/>
    <w:rsid w:val="003C6FE5"/>
    <w:rsid w:val="003C7971"/>
    <w:rsid w:val="003D063F"/>
    <w:rsid w:val="003D07F5"/>
    <w:rsid w:val="003D0BD0"/>
    <w:rsid w:val="003D17C6"/>
    <w:rsid w:val="003D1C6A"/>
    <w:rsid w:val="003D1DB4"/>
    <w:rsid w:val="003D1F6D"/>
    <w:rsid w:val="003D247D"/>
    <w:rsid w:val="003D320D"/>
    <w:rsid w:val="003D61BC"/>
    <w:rsid w:val="003D70C4"/>
    <w:rsid w:val="003D7230"/>
    <w:rsid w:val="003D7ACE"/>
    <w:rsid w:val="003E064C"/>
    <w:rsid w:val="003E1145"/>
    <w:rsid w:val="003E1225"/>
    <w:rsid w:val="003E21A1"/>
    <w:rsid w:val="003E2423"/>
    <w:rsid w:val="003E2BF8"/>
    <w:rsid w:val="003E2F74"/>
    <w:rsid w:val="003E31E5"/>
    <w:rsid w:val="003E47C3"/>
    <w:rsid w:val="003E4838"/>
    <w:rsid w:val="003E4EFD"/>
    <w:rsid w:val="003E53B1"/>
    <w:rsid w:val="003E5847"/>
    <w:rsid w:val="003E660D"/>
    <w:rsid w:val="003E6626"/>
    <w:rsid w:val="003E6630"/>
    <w:rsid w:val="003E67BB"/>
    <w:rsid w:val="003E6D98"/>
    <w:rsid w:val="003E6E5A"/>
    <w:rsid w:val="003E6EF9"/>
    <w:rsid w:val="003F0BFB"/>
    <w:rsid w:val="003F0D22"/>
    <w:rsid w:val="003F13D7"/>
    <w:rsid w:val="003F1E20"/>
    <w:rsid w:val="003F255A"/>
    <w:rsid w:val="003F4C16"/>
    <w:rsid w:val="003F55B8"/>
    <w:rsid w:val="003F6871"/>
    <w:rsid w:val="003F69F6"/>
    <w:rsid w:val="003F7AD5"/>
    <w:rsid w:val="003F7FC6"/>
    <w:rsid w:val="00400188"/>
    <w:rsid w:val="00400A4A"/>
    <w:rsid w:val="004020AE"/>
    <w:rsid w:val="00402B80"/>
    <w:rsid w:val="00402BCD"/>
    <w:rsid w:val="00402D35"/>
    <w:rsid w:val="00403CBF"/>
    <w:rsid w:val="00404B2D"/>
    <w:rsid w:val="004053A2"/>
    <w:rsid w:val="004064C1"/>
    <w:rsid w:val="00406835"/>
    <w:rsid w:val="00406F23"/>
    <w:rsid w:val="0040732A"/>
    <w:rsid w:val="00407C52"/>
    <w:rsid w:val="0041095B"/>
    <w:rsid w:val="00410979"/>
    <w:rsid w:val="00410EA6"/>
    <w:rsid w:val="0041177B"/>
    <w:rsid w:val="00412130"/>
    <w:rsid w:val="00412856"/>
    <w:rsid w:val="00415B00"/>
    <w:rsid w:val="00416D6B"/>
    <w:rsid w:val="004177AD"/>
    <w:rsid w:val="0041796D"/>
    <w:rsid w:val="00417DBA"/>
    <w:rsid w:val="00420CB3"/>
    <w:rsid w:val="00422126"/>
    <w:rsid w:val="00422D72"/>
    <w:rsid w:val="00422DE4"/>
    <w:rsid w:val="00424452"/>
    <w:rsid w:val="004246E4"/>
    <w:rsid w:val="00424E20"/>
    <w:rsid w:val="00425271"/>
    <w:rsid w:val="00425DC4"/>
    <w:rsid w:val="00426043"/>
    <w:rsid w:val="004266A2"/>
    <w:rsid w:val="00426C3F"/>
    <w:rsid w:val="00427443"/>
    <w:rsid w:val="004276A7"/>
    <w:rsid w:val="00427B31"/>
    <w:rsid w:val="00430935"/>
    <w:rsid w:val="00431F63"/>
    <w:rsid w:val="004333D0"/>
    <w:rsid w:val="004334EE"/>
    <w:rsid w:val="00435DB0"/>
    <w:rsid w:val="00435DCD"/>
    <w:rsid w:val="00435E56"/>
    <w:rsid w:val="00435EF1"/>
    <w:rsid w:val="00435F2E"/>
    <w:rsid w:val="0043669F"/>
    <w:rsid w:val="00436ADC"/>
    <w:rsid w:val="004372E1"/>
    <w:rsid w:val="004406D2"/>
    <w:rsid w:val="00441181"/>
    <w:rsid w:val="00442292"/>
    <w:rsid w:val="004422C8"/>
    <w:rsid w:val="0044249B"/>
    <w:rsid w:val="00444D6C"/>
    <w:rsid w:val="0044733B"/>
    <w:rsid w:val="00451AC7"/>
    <w:rsid w:val="0045366C"/>
    <w:rsid w:val="0045437D"/>
    <w:rsid w:val="004549B2"/>
    <w:rsid w:val="00454C5D"/>
    <w:rsid w:val="00455942"/>
    <w:rsid w:val="00456524"/>
    <w:rsid w:val="00456627"/>
    <w:rsid w:val="004568BD"/>
    <w:rsid w:val="0045742C"/>
    <w:rsid w:val="004579AA"/>
    <w:rsid w:val="00457D7D"/>
    <w:rsid w:val="00460670"/>
    <w:rsid w:val="00460FCD"/>
    <w:rsid w:val="00461C89"/>
    <w:rsid w:val="00462628"/>
    <w:rsid w:val="00462789"/>
    <w:rsid w:val="00462ADA"/>
    <w:rsid w:val="00462F2C"/>
    <w:rsid w:val="00463404"/>
    <w:rsid w:val="00465A7B"/>
    <w:rsid w:val="00465EB3"/>
    <w:rsid w:val="00466E98"/>
    <w:rsid w:val="00466FD4"/>
    <w:rsid w:val="0046716C"/>
    <w:rsid w:val="0046738B"/>
    <w:rsid w:val="00467EEC"/>
    <w:rsid w:val="00470692"/>
    <w:rsid w:val="00470C82"/>
    <w:rsid w:val="004711C0"/>
    <w:rsid w:val="004712B9"/>
    <w:rsid w:val="00471DB1"/>
    <w:rsid w:val="00471DD9"/>
    <w:rsid w:val="00472798"/>
    <w:rsid w:val="0047372D"/>
    <w:rsid w:val="00474535"/>
    <w:rsid w:val="00475AC5"/>
    <w:rsid w:val="004760D9"/>
    <w:rsid w:val="00476437"/>
    <w:rsid w:val="004768E6"/>
    <w:rsid w:val="00477B93"/>
    <w:rsid w:val="00481FFC"/>
    <w:rsid w:val="00482523"/>
    <w:rsid w:val="00484981"/>
    <w:rsid w:val="004866E1"/>
    <w:rsid w:val="004875AE"/>
    <w:rsid w:val="00490523"/>
    <w:rsid w:val="00490B37"/>
    <w:rsid w:val="00491A6A"/>
    <w:rsid w:val="00491EE1"/>
    <w:rsid w:val="0049265B"/>
    <w:rsid w:val="00492707"/>
    <w:rsid w:val="00492A46"/>
    <w:rsid w:val="00492F29"/>
    <w:rsid w:val="00493EA4"/>
    <w:rsid w:val="004940EC"/>
    <w:rsid w:val="00495906"/>
    <w:rsid w:val="004960E7"/>
    <w:rsid w:val="00496AA3"/>
    <w:rsid w:val="00496B24"/>
    <w:rsid w:val="00496F34"/>
    <w:rsid w:val="004970C5"/>
    <w:rsid w:val="004A0468"/>
    <w:rsid w:val="004A3BD4"/>
    <w:rsid w:val="004A46E1"/>
    <w:rsid w:val="004A486D"/>
    <w:rsid w:val="004A49BA"/>
    <w:rsid w:val="004A4D7D"/>
    <w:rsid w:val="004A5C7F"/>
    <w:rsid w:val="004A5E8B"/>
    <w:rsid w:val="004A6589"/>
    <w:rsid w:val="004A7280"/>
    <w:rsid w:val="004B0282"/>
    <w:rsid w:val="004B035B"/>
    <w:rsid w:val="004B0665"/>
    <w:rsid w:val="004B1449"/>
    <w:rsid w:val="004B17F0"/>
    <w:rsid w:val="004B1BDC"/>
    <w:rsid w:val="004B1D7D"/>
    <w:rsid w:val="004B1EB4"/>
    <w:rsid w:val="004B2BAF"/>
    <w:rsid w:val="004B2C9F"/>
    <w:rsid w:val="004B325F"/>
    <w:rsid w:val="004B3330"/>
    <w:rsid w:val="004B3B16"/>
    <w:rsid w:val="004B4035"/>
    <w:rsid w:val="004B4074"/>
    <w:rsid w:val="004B4184"/>
    <w:rsid w:val="004B68F5"/>
    <w:rsid w:val="004B6AD5"/>
    <w:rsid w:val="004B6DDE"/>
    <w:rsid w:val="004B70AE"/>
    <w:rsid w:val="004B70B8"/>
    <w:rsid w:val="004B7612"/>
    <w:rsid w:val="004B7C73"/>
    <w:rsid w:val="004C04CE"/>
    <w:rsid w:val="004C0B15"/>
    <w:rsid w:val="004C0BE8"/>
    <w:rsid w:val="004C0CB7"/>
    <w:rsid w:val="004C2628"/>
    <w:rsid w:val="004C2701"/>
    <w:rsid w:val="004C2DD9"/>
    <w:rsid w:val="004C3185"/>
    <w:rsid w:val="004C3D49"/>
    <w:rsid w:val="004C4066"/>
    <w:rsid w:val="004C50C6"/>
    <w:rsid w:val="004C5CF4"/>
    <w:rsid w:val="004C64AF"/>
    <w:rsid w:val="004C6CFE"/>
    <w:rsid w:val="004D06F6"/>
    <w:rsid w:val="004D0E85"/>
    <w:rsid w:val="004D197D"/>
    <w:rsid w:val="004D2036"/>
    <w:rsid w:val="004D3868"/>
    <w:rsid w:val="004D477B"/>
    <w:rsid w:val="004D5D09"/>
    <w:rsid w:val="004D6903"/>
    <w:rsid w:val="004D6ACD"/>
    <w:rsid w:val="004D7179"/>
    <w:rsid w:val="004D7783"/>
    <w:rsid w:val="004E0E3E"/>
    <w:rsid w:val="004E1BA9"/>
    <w:rsid w:val="004E1FEB"/>
    <w:rsid w:val="004E2A68"/>
    <w:rsid w:val="004E2C6E"/>
    <w:rsid w:val="004E33D7"/>
    <w:rsid w:val="004E386F"/>
    <w:rsid w:val="004E5797"/>
    <w:rsid w:val="004E5EFB"/>
    <w:rsid w:val="004E7C9E"/>
    <w:rsid w:val="004E7E97"/>
    <w:rsid w:val="004F04EA"/>
    <w:rsid w:val="004F10A1"/>
    <w:rsid w:val="004F1547"/>
    <w:rsid w:val="004F419F"/>
    <w:rsid w:val="004F4A81"/>
    <w:rsid w:val="004F4D00"/>
    <w:rsid w:val="004F4F60"/>
    <w:rsid w:val="004F5341"/>
    <w:rsid w:val="005002A5"/>
    <w:rsid w:val="00500B22"/>
    <w:rsid w:val="00502053"/>
    <w:rsid w:val="00502487"/>
    <w:rsid w:val="005028B3"/>
    <w:rsid w:val="00502F79"/>
    <w:rsid w:val="00505A1C"/>
    <w:rsid w:val="00505FAD"/>
    <w:rsid w:val="00505FEA"/>
    <w:rsid w:val="0050658D"/>
    <w:rsid w:val="005073C8"/>
    <w:rsid w:val="00511064"/>
    <w:rsid w:val="005126B5"/>
    <w:rsid w:val="005130BE"/>
    <w:rsid w:val="00513306"/>
    <w:rsid w:val="005137EF"/>
    <w:rsid w:val="00513BE6"/>
    <w:rsid w:val="005156EF"/>
    <w:rsid w:val="00515C50"/>
    <w:rsid w:val="00516D62"/>
    <w:rsid w:val="00517492"/>
    <w:rsid w:val="005174B2"/>
    <w:rsid w:val="005204D3"/>
    <w:rsid w:val="00521CCA"/>
    <w:rsid w:val="00522EB5"/>
    <w:rsid w:val="00523361"/>
    <w:rsid w:val="00523B12"/>
    <w:rsid w:val="00524419"/>
    <w:rsid w:val="0052463B"/>
    <w:rsid w:val="005254C5"/>
    <w:rsid w:val="00527AB8"/>
    <w:rsid w:val="00530377"/>
    <w:rsid w:val="005305D8"/>
    <w:rsid w:val="00530A07"/>
    <w:rsid w:val="00531131"/>
    <w:rsid w:val="00533AA0"/>
    <w:rsid w:val="00534154"/>
    <w:rsid w:val="00534702"/>
    <w:rsid w:val="00535159"/>
    <w:rsid w:val="005360C8"/>
    <w:rsid w:val="00536235"/>
    <w:rsid w:val="005362E0"/>
    <w:rsid w:val="005365C0"/>
    <w:rsid w:val="00536CE9"/>
    <w:rsid w:val="0053737C"/>
    <w:rsid w:val="00537486"/>
    <w:rsid w:val="005377AA"/>
    <w:rsid w:val="00537A98"/>
    <w:rsid w:val="005404B3"/>
    <w:rsid w:val="005409C6"/>
    <w:rsid w:val="00540EF3"/>
    <w:rsid w:val="0054146D"/>
    <w:rsid w:val="00542195"/>
    <w:rsid w:val="00543835"/>
    <w:rsid w:val="00544267"/>
    <w:rsid w:val="005451B8"/>
    <w:rsid w:val="00545B05"/>
    <w:rsid w:val="0054676D"/>
    <w:rsid w:val="0054724E"/>
    <w:rsid w:val="005476E1"/>
    <w:rsid w:val="00547A67"/>
    <w:rsid w:val="0055026E"/>
    <w:rsid w:val="00550707"/>
    <w:rsid w:val="00550B04"/>
    <w:rsid w:val="00550BEE"/>
    <w:rsid w:val="00551BFE"/>
    <w:rsid w:val="00552358"/>
    <w:rsid w:val="00552E8C"/>
    <w:rsid w:val="00553131"/>
    <w:rsid w:val="00554445"/>
    <w:rsid w:val="0055490C"/>
    <w:rsid w:val="00554CC6"/>
    <w:rsid w:val="00555383"/>
    <w:rsid w:val="00555845"/>
    <w:rsid w:val="00555867"/>
    <w:rsid w:val="00555DF6"/>
    <w:rsid w:val="00556198"/>
    <w:rsid w:val="00556B37"/>
    <w:rsid w:val="00556B7A"/>
    <w:rsid w:val="00556E24"/>
    <w:rsid w:val="00557BB8"/>
    <w:rsid w:val="00557C8E"/>
    <w:rsid w:val="0056038E"/>
    <w:rsid w:val="00561EC7"/>
    <w:rsid w:val="005621F2"/>
    <w:rsid w:val="00562571"/>
    <w:rsid w:val="0056273B"/>
    <w:rsid w:val="00562C4B"/>
    <w:rsid w:val="00563324"/>
    <w:rsid w:val="005656B2"/>
    <w:rsid w:val="005657C5"/>
    <w:rsid w:val="005668AA"/>
    <w:rsid w:val="00566BE2"/>
    <w:rsid w:val="0057027E"/>
    <w:rsid w:val="00570C0C"/>
    <w:rsid w:val="00570CE5"/>
    <w:rsid w:val="00571446"/>
    <w:rsid w:val="005716BD"/>
    <w:rsid w:val="005718AC"/>
    <w:rsid w:val="005724A4"/>
    <w:rsid w:val="005727B5"/>
    <w:rsid w:val="005728BC"/>
    <w:rsid w:val="0057345E"/>
    <w:rsid w:val="00573741"/>
    <w:rsid w:val="0057377F"/>
    <w:rsid w:val="005743D3"/>
    <w:rsid w:val="00574541"/>
    <w:rsid w:val="00575038"/>
    <w:rsid w:val="00576608"/>
    <w:rsid w:val="00577FB3"/>
    <w:rsid w:val="00580E33"/>
    <w:rsid w:val="005813CD"/>
    <w:rsid w:val="0058155A"/>
    <w:rsid w:val="005815CF"/>
    <w:rsid w:val="00582093"/>
    <w:rsid w:val="00582398"/>
    <w:rsid w:val="0058413A"/>
    <w:rsid w:val="005841D5"/>
    <w:rsid w:val="005847E8"/>
    <w:rsid w:val="00584985"/>
    <w:rsid w:val="005860CC"/>
    <w:rsid w:val="00586E91"/>
    <w:rsid w:val="00587560"/>
    <w:rsid w:val="00587875"/>
    <w:rsid w:val="00587A48"/>
    <w:rsid w:val="00590B10"/>
    <w:rsid w:val="00591283"/>
    <w:rsid w:val="0059218E"/>
    <w:rsid w:val="00592449"/>
    <w:rsid w:val="00592D25"/>
    <w:rsid w:val="00592F3B"/>
    <w:rsid w:val="00593804"/>
    <w:rsid w:val="005948F9"/>
    <w:rsid w:val="00594BFF"/>
    <w:rsid w:val="00595036"/>
    <w:rsid w:val="00595614"/>
    <w:rsid w:val="00595B08"/>
    <w:rsid w:val="005961B8"/>
    <w:rsid w:val="005A090C"/>
    <w:rsid w:val="005A282D"/>
    <w:rsid w:val="005A29F4"/>
    <w:rsid w:val="005A3DB6"/>
    <w:rsid w:val="005A4E40"/>
    <w:rsid w:val="005A57FC"/>
    <w:rsid w:val="005A6C17"/>
    <w:rsid w:val="005A6DD8"/>
    <w:rsid w:val="005B1B83"/>
    <w:rsid w:val="005B2228"/>
    <w:rsid w:val="005B2299"/>
    <w:rsid w:val="005B23B3"/>
    <w:rsid w:val="005B36C6"/>
    <w:rsid w:val="005B41B8"/>
    <w:rsid w:val="005B44DD"/>
    <w:rsid w:val="005B5075"/>
    <w:rsid w:val="005B5CC0"/>
    <w:rsid w:val="005B7285"/>
    <w:rsid w:val="005C0814"/>
    <w:rsid w:val="005C158A"/>
    <w:rsid w:val="005C1B75"/>
    <w:rsid w:val="005C2166"/>
    <w:rsid w:val="005C2DA0"/>
    <w:rsid w:val="005C3806"/>
    <w:rsid w:val="005C49DE"/>
    <w:rsid w:val="005C4F11"/>
    <w:rsid w:val="005C4FD3"/>
    <w:rsid w:val="005C5A00"/>
    <w:rsid w:val="005C76F8"/>
    <w:rsid w:val="005D022D"/>
    <w:rsid w:val="005D0413"/>
    <w:rsid w:val="005D078A"/>
    <w:rsid w:val="005D0D72"/>
    <w:rsid w:val="005D11B6"/>
    <w:rsid w:val="005D1E02"/>
    <w:rsid w:val="005D1F6E"/>
    <w:rsid w:val="005D2345"/>
    <w:rsid w:val="005D244B"/>
    <w:rsid w:val="005D4ACE"/>
    <w:rsid w:val="005D565C"/>
    <w:rsid w:val="005D6384"/>
    <w:rsid w:val="005D6F8A"/>
    <w:rsid w:val="005D785A"/>
    <w:rsid w:val="005D7F39"/>
    <w:rsid w:val="005E1057"/>
    <w:rsid w:val="005E180B"/>
    <w:rsid w:val="005E1D4D"/>
    <w:rsid w:val="005E4942"/>
    <w:rsid w:val="005E5762"/>
    <w:rsid w:val="005E5CE2"/>
    <w:rsid w:val="005E60A0"/>
    <w:rsid w:val="005E64FD"/>
    <w:rsid w:val="005E714D"/>
    <w:rsid w:val="005E7E94"/>
    <w:rsid w:val="005E7F59"/>
    <w:rsid w:val="005F1BD9"/>
    <w:rsid w:val="005F2064"/>
    <w:rsid w:val="005F23AC"/>
    <w:rsid w:val="005F2C7E"/>
    <w:rsid w:val="005F51E2"/>
    <w:rsid w:val="005F5786"/>
    <w:rsid w:val="005F59A7"/>
    <w:rsid w:val="005F5B14"/>
    <w:rsid w:val="005F6113"/>
    <w:rsid w:val="005F73FB"/>
    <w:rsid w:val="005F7422"/>
    <w:rsid w:val="005F7750"/>
    <w:rsid w:val="00601A84"/>
    <w:rsid w:val="00603116"/>
    <w:rsid w:val="00605581"/>
    <w:rsid w:val="00606F61"/>
    <w:rsid w:val="00610A0C"/>
    <w:rsid w:val="00610C2C"/>
    <w:rsid w:val="00612E55"/>
    <w:rsid w:val="00613928"/>
    <w:rsid w:val="00613C68"/>
    <w:rsid w:val="0061455A"/>
    <w:rsid w:val="006145B9"/>
    <w:rsid w:val="0061479C"/>
    <w:rsid w:val="00614F0F"/>
    <w:rsid w:val="00615774"/>
    <w:rsid w:val="00615B14"/>
    <w:rsid w:val="00616540"/>
    <w:rsid w:val="00616B32"/>
    <w:rsid w:val="006176E2"/>
    <w:rsid w:val="0061775F"/>
    <w:rsid w:val="006177CF"/>
    <w:rsid w:val="00617AE7"/>
    <w:rsid w:val="006213FD"/>
    <w:rsid w:val="006225FE"/>
    <w:rsid w:val="0062297A"/>
    <w:rsid w:val="00624C70"/>
    <w:rsid w:val="00625529"/>
    <w:rsid w:val="00625667"/>
    <w:rsid w:val="00626550"/>
    <w:rsid w:val="00630162"/>
    <w:rsid w:val="006302D8"/>
    <w:rsid w:val="00630666"/>
    <w:rsid w:val="006311FC"/>
    <w:rsid w:val="0063136C"/>
    <w:rsid w:val="00631D3A"/>
    <w:rsid w:val="00632BCA"/>
    <w:rsid w:val="00633826"/>
    <w:rsid w:val="00634A06"/>
    <w:rsid w:val="0063619B"/>
    <w:rsid w:val="00636FB2"/>
    <w:rsid w:val="00637C64"/>
    <w:rsid w:val="00637CDE"/>
    <w:rsid w:val="006401CF"/>
    <w:rsid w:val="006407D7"/>
    <w:rsid w:val="00640A69"/>
    <w:rsid w:val="00642481"/>
    <w:rsid w:val="00642643"/>
    <w:rsid w:val="0064335C"/>
    <w:rsid w:val="006440ED"/>
    <w:rsid w:val="006446E8"/>
    <w:rsid w:val="00644CBA"/>
    <w:rsid w:val="00644CE9"/>
    <w:rsid w:val="0064529B"/>
    <w:rsid w:val="00647F2D"/>
    <w:rsid w:val="006507A7"/>
    <w:rsid w:val="00650903"/>
    <w:rsid w:val="006510C7"/>
    <w:rsid w:val="00651850"/>
    <w:rsid w:val="006523E9"/>
    <w:rsid w:val="00652427"/>
    <w:rsid w:val="00652B64"/>
    <w:rsid w:val="00652DB3"/>
    <w:rsid w:val="006530C4"/>
    <w:rsid w:val="00654406"/>
    <w:rsid w:val="00654CBA"/>
    <w:rsid w:val="00654DA5"/>
    <w:rsid w:val="00655F78"/>
    <w:rsid w:val="006563AC"/>
    <w:rsid w:val="00657B23"/>
    <w:rsid w:val="00657C2D"/>
    <w:rsid w:val="00660785"/>
    <w:rsid w:val="006611C0"/>
    <w:rsid w:val="00662AB1"/>
    <w:rsid w:val="0066342F"/>
    <w:rsid w:val="00663D65"/>
    <w:rsid w:val="00663F1E"/>
    <w:rsid w:val="006647B5"/>
    <w:rsid w:val="006654AE"/>
    <w:rsid w:val="006658A2"/>
    <w:rsid w:val="0066601B"/>
    <w:rsid w:val="006672D3"/>
    <w:rsid w:val="006674BE"/>
    <w:rsid w:val="00667D94"/>
    <w:rsid w:val="00670820"/>
    <w:rsid w:val="00671A63"/>
    <w:rsid w:val="006727C2"/>
    <w:rsid w:val="00673093"/>
    <w:rsid w:val="0067366C"/>
    <w:rsid w:val="00673E89"/>
    <w:rsid w:val="0067422D"/>
    <w:rsid w:val="00675887"/>
    <w:rsid w:val="00675F68"/>
    <w:rsid w:val="0067695A"/>
    <w:rsid w:val="00677677"/>
    <w:rsid w:val="00677CF1"/>
    <w:rsid w:val="00681D9C"/>
    <w:rsid w:val="006827AE"/>
    <w:rsid w:val="00682939"/>
    <w:rsid w:val="00682AF0"/>
    <w:rsid w:val="0068326C"/>
    <w:rsid w:val="006833C1"/>
    <w:rsid w:val="00683504"/>
    <w:rsid w:val="00685B8A"/>
    <w:rsid w:val="00685D7D"/>
    <w:rsid w:val="00686C7A"/>
    <w:rsid w:val="006878C7"/>
    <w:rsid w:val="00690EB0"/>
    <w:rsid w:val="006910D5"/>
    <w:rsid w:val="006912CF"/>
    <w:rsid w:val="006921B0"/>
    <w:rsid w:val="00692652"/>
    <w:rsid w:val="00693918"/>
    <w:rsid w:val="0069474B"/>
    <w:rsid w:val="006948DD"/>
    <w:rsid w:val="0069760A"/>
    <w:rsid w:val="00697E5B"/>
    <w:rsid w:val="006A0858"/>
    <w:rsid w:val="006A08FC"/>
    <w:rsid w:val="006A16A8"/>
    <w:rsid w:val="006A2B97"/>
    <w:rsid w:val="006A3DDE"/>
    <w:rsid w:val="006A442D"/>
    <w:rsid w:val="006A4609"/>
    <w:rsid w:val="006A4681"/>
    <w:rsid w:val="006A4C17"/>
    <w:rsid w:val="006A4ECB"/>
    <w:rsid w:val="006A5755"/>
    <w:rsid w:val="006A5959"/>
    <w:rsid w:val="006A6054"/>
    <w:rsid w:val="006A612E"/>
    <w:rsid w:val="006B08B2"/>
    <w:rsid w:val="006B1264"/>
    <w:rsid w:val="006B1BEF"/>
    <w:rsid w:val="006B1CF7"/>
    <w:rsid w:val="006B248C"/>
    <w:rsid w:val="006B2DA3"/>
    <w:rsid w:val="006B2DE2"/>
    <w:rsid w:val="006B4D1B"/>
    <w:rsid w:val="006B5159"/>
    <w:rsid w:val="006B611C"/>
    <w:rsid w:val="006B73AB"/>
    <w:rsid w:val="006B74DE"/>
    <w:rsid w:val="006B7594"/>
    <w:rsid w:val="006B790A"/>
    <w:rsid w:val="006B7A9C"/>
    <w:rsid w:val="006B7D3D"/>
    <w:rsid w:val="006B7FCA"/>
    <w:rsid w:val="006C0569"/>
    <w:rsid w:val="006C068E"/>
    <w:rsid w:val="006C0AE6"/>
    <w:rsid w:val="006C2202"/>
    <w:rsid w:val="006C3E24"/>
    <w:rsid w:val="006C4255"/>
    <w:rsid w:val="006C487E"/>
    <w:rsid w:val="006C54AE"/>
    <w:rsid w:val="006C61F1"/>
    <w:rsid w:val="006C6673"/>
    <w:rsid w:val="006C6DAC"/>
    <w:rsid w:val="006C70D4"/>
    <w:rsid w:val="006C733D"/>
    <w:rsid w:val="006D04B8"/>
    <w:rsid w:val="006D19FE"/>
    <w:rsid w:val="006D2876"/>
    <w:rsid w:val="006D3161"/>
    <w:rsid w:val="006D3590"/>
    <w:rsid w:val="006D4771"/>
    <w:rsid w:val="006D583D"/>
    <w:rsid w:val="006D58FF"/>
    <w:rsid w:val="006D6480"/>
    <w:rsid w:val="006D6641"/>
    <w:rsid w:val="006D6C08"/>
    <w:rsid w:val="006D6C45"/>
    <w:rsid w:val="006D7541"/>
    <w:rsid w:val="006E0B23"/>
    <w:rsid w:val="006E1282"/>
    <w:rsid w:val="006E1725"/>
    <w:rsid w:val="006E181B"/>
    <w:rsid w:val="006E1DFD"/>
    <w:rsid w:val="006E1E6F"/>
    <w:rsid w:val="006E4E80"/>
    <w:rsid w:val="006E5072"/>
    <w:rsid w:val="006E50CC"/>
    <w:rsid w:val="006E51FC"/>
    <w:rsid w:val="006E55FA"/>
    <w:rsid w:val="006E623A"/>
    <w:rsid w:val="006E674D"/>
    <w:rsid w:val="006E6A40"/>
    <w:rsid w:val="006E7461"/>
    <w:rsid w:val="006E7EA7"/>
    <w:rsid w:val="006F014D"/>
    <w:rsid w:val="006F1448"/>
    <w:rsid w:val="006F14B9"/>
    <w:rsid w:val="006F217E"/>
    <w:rsid w:val="006F222E"/>
    <w:rsid w:val="006F269B"/>
    <w:rsid w:val="006F31A3"/>
    <w:rsid w:val="006F35B1"/>
    <w:rsid w:val="006F3A4B"/>
    <w:rsid w:val="006F4ECA"/>
    <w:rsid w:val="006F6DA9"/>
    <w:rsid w:val="006F6DCB"/>
    <w:rsid w:val="006F78CC"/>
    <w:rsid w:val="00701477"/>
    <w:rsid w:val="00701CFC"/>
    <w:rsid w:val="007051A6"/>
    <w:rsid w:val="007065A5"/>
    <w:rsid w:val="007072E3"/>
    <w:rsid w:val="00707352"/>
    <w:rsid w:val="0070759D"/>
    <w:rsid w:val="00707610"/>
    <w:rsid w:val="00710401"/>
    <w:rsid w:val="0071313B"/>
    <w:rsid w:val="007134A7"/>
    <w:rsid w:val="00713EA6"/>
    <w:rsid w:val="007148DC"/>
    <w:rsid w:val="00715DF4"/>
    <w:rsid w:val="00716364"/>
    <w:rsid w:val="00716B2E"/>
    <w:rsid w:val="00717261"/>
    <w:rsid w:val="0071729E"/>
    <w:rsid w:val="00717591"/>
    <w:rsid w:val="007175C2"/>
    <w:rsid w:val="00717ACD"/>
    <w:rsid w:val="00717CE1"/>
    <w:rsid w:val="00720C0D"/>
    <w:rsid w:val="00721576"/>
    <w:rsid w:val="00721D8A"/>
    <w:rsid w:val="00722332"/>
    <w:rsid w:val="0072445A"/>
    <w:rsid w:val="00724777"/>
    <w:rsid w:val="00724CFA"/>
    <w:rsid w:val="00724D06"/>
    <w:rsid w:val="00727DED"/>
    <w:rsid w:val="00727E7B"/>
    <w:rsid w:val="00727EAE"/>
    <w:rsid w:val="0073154F"/>
    <w:rsid w:val="007321BF"/>
    <w:rsid w:val="0073280A"/>
    <w:rsid w:val="007349F7"/>
    <w:rsid w:val="00734CF4"/>
    <w:rsid w:val="0073596A"/>
    <w:rsid w:val="00735E41"/>
    <w:rsid w:val="00736863"/>
    <w:rsid w:val="00736F4E"/>
    <w:rsid w:val="00740ABA"/>
    <w:rsid w:val="0074133A"/>
    <w:rsid w:val="00741502"/>
    <w:rsid w:val="00741585"/>
    <w:rsid w:val="0074178C"/>
    <w:rsid w:val="00742D10"/>
    <w:rsid w:val="0074400D"/>
    <w:rsid w:val="00744126"/>
    <w:rsid w:val="007441FB"/>
    <w:rsid w:val="00745520"/>
    <w:rsid w:val="007520E4"/>
    <w:rsid w:val="007529D4"/>
    <w:rsid w:val="007541CF"/>
    <w:rsid w:val="007543CF"/>
    <w:rsid w:val="00754AAB"/>
    <w:rsid w:val="007550EE"/>
    <w:rsid w:val="007563F6"/>
    <w:rsid w:val="00756D5A"/>
    <w:rsid w:val="00757A22"/>
    <w:rsid w:val="007612DB"/>
    <w:rsid w:val="0076146E"/>
    <w:rsid w:val="007615F4"/>
    <w:rsid w:val="00762EA6"/>
    <w:rsid w:val="007635B3"/>
    <w:rsid w:val="007641F4"/>
    <w:rsid w:val="00765196"/>
    <w:rsid w:val="00765BF5"/>
    <w:rsid w:val="00766B2E"/>
    <w:rsid w:val="00767AF2"/>
    <w:rsid w:val="007700C9"/>
    <w:rsid w:val="00770809"/>
    <w:rsid w:val="00770B7A"/>
    <w:rsid w:val="007727D0"/>
    <w:rsid w:val="0077347D"/>
    <w:rsid w:val="00773F2E"/>
    <w:rsid w:val="007741C4"/>
    <w:rsid w:val="0077497A"/>
    <w:rsid w:val="007762CB"/>
    <w:rsid w:val="00776FC0"/>
    <w:rsid w:val="00777EB9"/>
    <w:rsid w:val="00781759"/>
    <w:rsid w:val="007824C8"/>
    <w:rsid w:val="00782677"/>
    <w:rsid w:val="00782E05"/>
    <w:rsid w:val="00783036"/>
    <w:rsid w:val="007831B9"/>
    <w:rsid w:val="007831D9"/>
    <w:rsid w:val="00783F0D"/>
    <w:rsid w:val="0078479A"/>
    <w:rsid w:val="00784ECF"/>
    <w:rsid w:val="00784F8C"/>
    <w:rsid w:val="00785313"/>
    <w:rsid w:val="00786F75"/>
    <w:rsid w:val="0078717A"/>
    <w:rsid w:val="00787F14"/>
    <w:rsid w:val="00790050"/>
    <w:rsid w:val="00791699"/>
    <w:rsid w:val="007939F4"/>
    <w:rsid w:val="00793C46"/>
    <w:rsid w:val="00793C82"/>
    <w:rsid w:val="00793CA3"/>
    <w:rsid w:val="007946B3"/>
    <w:rsid w:val="00794E99"/>
    <w:rsid w:val="007960B0"/>
    <w:rsid w:val="007960BE"/>
    <w:rsid w:val="007965D8"/>
    <w:rsid w:val="007968ED"/>
    <w:rsid w:val="007972E7"/>
    <w:rsid w:val="00797BDD"/>
    <w:rsid w:val="007A0F47"/>
    <w:rsid w:val="007A13D8"/>
    <w:rsid w:val="007A1960"/>
    <w:rsid w:val="007A4B5F"/>
    <w:rsid w:val="007A508E"/>
    <w:rsid w:val="007A590D"/>
    <w:rsid w:val="007A5E94"/>
    <w:rsid w:val="007A6AF8"/>
    <w:rsid w:val="007A759E"/>
    <w:rsid w:val="007A7FD5"/>
    <w:rsid w:val="007B0673"/>
    <w:rsid w:val="007B1EAB"/>
    <w:rsid w:val="007B2BC3"/>
    <w:rsid w:val="007B2CE7"/>
    <w:rsid w:val="007B3BF9"/>
    <w:rsid w:val="007B49B2"/>
    <w:rsid w:val="007B5CA6"/>
    <w:rsid w:val="007B6A4D"/>
    <w:rsid w:val="007B792D"/>
    <w:rsid w:val="007C1632"/>
    <w:rsid w:val="007C1D78"/>
    <w:rsid w:val="007C1EC5"/>
    <w:rsid w:val="007C2F1C"/>
    <w:rsid w:val="007C4A13"/>
    <w:rsid w:val="007C4BD8"/>
    <w:rsid w:val="007C4E93"/>
    <w:rsid w:val="007C5B7E"/>
    <w:rsid w:val="007C6340"/>
    <w:rsid w:val="007C6FBE"/>
    <w:rsid w:val="007D0033"/>
    <w:rsid w:val="007D078F"/>
    <w:rsid w:val="007D2C05"/>
    <w:rsid w:val="007D410B"/>
    <w:rsid w:val="007D4186"/>
    <w:rsid w:val="007D440C"/>
    <w:rsid w:val="007D4680"/>
    <w:rsid w:val="007D4C0D"/>
    <w:rsid w:val="007D60B4"/>
    <w:rsid w:val="007E0709"/>
    <w:rsid w:val="007E0C77"/>
    <w:rsid w:val="007E1C96"/>
    <w:rsid w:val="007E23A5"/>
    <w:rsid w:val="007E2CDF"/>
    <w:rsid w:val="007E310B"/>
    <w:rsid w:val="007E3246"/>
    <w:rsid w:val="007E3941"/>
    <w:rsid w:val="007E4600"/>
    <w:rsid w:val="007E5F8F"/>
    <w:rsid w:val="007E6640"/>
    <w:rsid w:val="007E6DC7"/>
    <w:rsid w:val="007E739B"/>
    <w:rsid w:val="007E7567"/>
    <w:rsid w:val="007F17A9"/>
    <w:rsid w:val="007F1B30"/>
    <w:rsid w:val="007F242B"/>
    <w:rsid w:val="007F2490"/>
    <w:rsid w:val="007F2C12"/>
    <w:rsid w:val="007F3520"/>
    <w:rsid w:val="007F4B73"/>
    <w:rsid w:val="007F63D0"/>
    <w:rsid w:val="007F67C1"/>
    <w:rsid w:val="007F789E"/>
    <w:rsid w:val="00800CFB"/>
    <w:rsid w:val="00800FE2"/>
    <w:rsid w:val="00801850"/>
    <w:rsid w:val="0080280B"/>
    <w:rsid w:val="0080693A"/>
    <w:rsid w:val="00806A5A"/>
    <w:rsid w:val="00806BF9"/>
    <w:rsid w:val="00806F8B"/>
    <w:rsid w:val="00807C76"/>
    <w:rsid w:val="00810C7C"/>
    <w:rsid w:val="00812055"/>
    <w:rsid w:val="008136EC"/>
    <w:rsid w:val="00814268"/>
    <w:rsid w:val="00814B77"/>
    <w:rsid w:val="00814E37"/>
    <w:rsid w:val="00815DA7"/>
    <w:rsid w:val="00816679"/>
    <w:rsid w:val="0081670F"/>
    <w:rsid w:val="00816E07"/>
    <w:rsid w:val="008170DC"/>
    <w:rsid w:val="0081772D"/>
    <w:rsid w:val="008204BF"/>
    <w:rsid w:val="00820873"/>
    <w:rsid w:val="00822CBC"/>
    <w:rsid w:val="00823442"/>
    <w:rsid w:val="00823870"/>
    <w:rsid w:val="00824C94"/>
    <w:rsid w:val="00826613"/>
    <w:rsid w:val="00826F40"/>
    <w:rsid w:val="00827728"/>
    <w:rsid w:val="0083004C"/>
    <w:rsid w:val="0083071F"/>
    <w:rsid w:val="00830A46"/>
    <w:rsid w:val="00830E74"/>
    <w:rsid w:val="00831562"/>
    <w:rsid w:val="00831CCD"/>
    <w:rsid w:val="0083206C"/>
    <w:rsid w:val="00832DDF"/>
    <w:rsid w:val="00833666"/>
    <w:rsid w:val="00833F35"/>
    <w:rsid w:val="008341C8"/>
    <w:rsid w:val="008345A8"/>
    <w:rsid w:val="008346D1"/>
    <w:rsid w:val="008358B5"/>
    <w:rsid w:val="00835EFD"/>
    <w:rsid w:val="00836332"/>
    <w:rsid w:val="00836B99"/>
    <w:rsid w:val="008379C3"/>
    <w:rsid w:val="008409BA"/>
    <w:rsid w:val="00841C23"/>
    <w:rsid w:val="00842135"/>
    <w:rsid w:val="008428AE"/>
    <w:rsid w:val="00842D77"/>
    <w:rsid w:val="008431E4"/>
    <w:rsid w:val="0084340A"/>
    <w:rsid w:val="00843548"/>
    <w:rsid w:val="0084372E"/>
    <w:rsid w:val="00843E94"/>
    <w:rsid w:val="008441F0"/>
    <w:rsid w:val="00845DB8"/>
    <w:rsid w:val="008463C5"/>
    <w:rsid w:val="00850B66"/>
    <w:rsid w:val="00850FF6"/>
    <w:rsid w:val="008513C0"/>
    <w:rsid w:val="00851EB7"/>
    <w:rsid w:val="008522BA"/>
    <w:rsid w:val="008531FC"/>
    <w:rsid w:val="0085321B"/>
    <w:rsid w:val="00854FC7"/>
    <w:rsid w:val="00855DE9"/>
    <w:rsid w:val="00856021"/>
    <w:rsid w:val="0085609D"/>
    <w:rsid w:val="00856EEC"/>
    <w:rsid w:val="00856FF4"/>
    <w:rsid w:val="008608AE"/>
    <w:rsid w:val="008612BE"/>
    <w:rsid w:val="008620F2"/>
    <w:rsid w:val="00863DB5"/>
    <w:rsid w:val="008642A2"/>
    <w:rsid w:val="0086527A"/>
    <w:rsid w:val="00865AAA"/>
    <w:rsid w:val="00865DB4"/>
    <w:rsid w:val="00866BA1"/>
    <w:rsid w:val="00866BEF"/>
    <w:rsid w:val="0086741F"/>
    <w:rsid w:val="00870607"/>
    <w:rsid w:val="008714EA"/>
    <w:rsid w:val="008722DF"/>
    <w:rsid w:val="0087270C"/>
    <w:rsid w:val="00872DE8"/>
    <w:rsid w:val="00873451"/>
    <w:rsid w:val="008741DE"/>
    <w:rsid w:val="00874F29"/>
    <w:rsid w:val="008759AA"/>
    <w:rsid w:val="00876EC2"/>
    <w:rsid w:val="00877886"/>
    <w:rsid w:val="00880015"/>
    <w:rsid w:val="008815AE"/>
    <w:rsid w:val="00881836"/>
    <w:rsid w:val="00881867"/>
    <w:rsid w:val="00881F9C"/>
    <w:rsid w:val="008829CC"/>
    <w:rsid w:val="00882AC8"/>
    <w:rsid w:val="0088352A"/>
    <w:rsid w:val="00883E35"/>
    <w:rsid w:val="008841AC"/>
    <w:rsid w:val="008849DC"/>
    <w:rsid w:val="00885159"/>
    <w:rsid w:val="00885BC3"/>
    <w:rsid w:val="008864F3"/>
    <w:rsid w:val="00887DB9"/>
    <w:rsid w:val="00890688"/>
    <w:rsid w:val="00890882"/>
    <w:rsid w:val="00890C3F"/>
    <w:rsid w:val="00891258"/>
    <w:rsid w:val="008927F8"/>
    <w:rsid w:val="00892B89"/>
    <w:rsid w:val="00892E32"/>
    <w:rsid w:val="0089345D"/>
    <w:rsid w:val="008934EA"/>
    <w:rsid w:val="00895572"/>
    <w:rsid w:val="008958F3"/>
    <w:rsid w:val="00895DE9"/>
    <w:rsid w:val="008962B7"/>
    <w:rsid w:val="00896A18"/>
    <w:rsid w:val="00897CD9"/>
    <w:rsid w:val="008A0F4B"/>
    <w:rsid w:val="008A5003"/>
    <w:rsid w:val="008A5757"/>
    <w:rsid w:val="008A6F51"/>
    <w:rsid w:val="008A714E"/>
    <w:rsid w:val="008A790D"/>
    <w:rsid w:val="008B05E1"/>
    <w:rsid w:val="008B1724"/>
    <w:rsid w:val="008B32A5"/>
    <w:rsid w:val="008B39C3"/>
    <w:rsid w:val="008B3AFF"/>
    <w:rsid w:val="008B4BB2"/>
    <w:rsid w:val="008B5B2B"/>
    <w:rsid w:val="008B6056"/>
    <w:rsid w:val="008B721A"/>
    <w:rsid w:val="008B7BE6"/>
    <w:rsid w:val="008B7BFA"/>
    <w:rsid w:val="008B7D9D"/>
    <w:rsid w:val="008C1675"/>
    <w:rsid w:val="008C19C8"/>
    <w:rsid w:val="008C1D7E"/>
    <w:rsid w:val="008C1D82"/>
    <w:rsid w:val="008C3110"/>
    <w:rsid w:val="008C4168"/>
    <w:rsid w:val="008C47D6"/>
    <w:rsid w:val="008C4A43"/>
    <w:rsid w:val="008C50B9"/>
    <w:rsid w:val="008C631C"/>
    <w:rsid w:val="008C73FC"/>
    <w:rsid w:val="008C79F1"/>
    <w:rsid w:val="008D0223"/>
    <w:rsid w:val="008D23CF"/>
    <w:rsid w:val="008D2421"/>
    <w:rsid w:val="008D3BEB"/>
    <w:rsid w:val="008D4B2F"/>
    <w:rsid w:val="008D51C8"/>
    <w:rsid w:val="008D54C5"/>
    <w:rsid w:val="008D5701"/>
    <w:rsid w:val="008D5C95"/>
    <w:rsid w:val="008D5CF7"/>
    <w:rsid w:val="008D6340"/>
    <w:rsid w:val="008D69EA"/>
    <w:rsid w:val="008D79AE"/>
    <w:rsid w:val="008D7A9B"/>
    <w:rsid w:val="008E1CB7"/>
    <w:rsid w:val="008E28A8"/>
    <w:rsid w:val="008E2924"/>
    <w:rsid w:val="008E4775"/>
    <w:rsid w:val="008E4E7C"/>
    <w:rsid w:val="008E51D6"/>
    <w:rsid w:val="008E56FB"/>
    <w:rsid w:val="008E5A6F"/>
    <w:rsid w:val="008E5B86"/>
    <w:rsid w:val="008E5E8F"/>
    <w:rsid w:val="008E604A"/>
    <w:rsid w:val="008E6539"/>
    <w:rsid w:val="008E694F"/>
    <w:rsid w:val="008E6A00"/>
    <w:rsid w:val="008E6CF5"/>
    <w:rsid w:val="008E7ACA"/>
    <w:rsid w:val="008F0350"/>
    <w:rsid w:val="008F071A"/>
    <w:rsid w:val="008F14A6"/>
    <w:rsid w:val="008F1BF6"/>
    <w:rsid w:val="008F1D4C"/>
    <w:rsid w:val="008F496D"/>
    <w:rsid w:val="008F6217"/>
    <w:rsid w:val="008F6DBD"/>
    <w:rsid w:val="008F7283"/>
    <w:rsid w:val="008F7E79"/>
    <w:rsid w:val="00900C7F"/>
    <w:rsid w:val="00900DCE"/>
    <w:rsid w:val="00900FD6"/>
    <w:rsid w:val="00901432"/>
    <w:rsid w:val="009021B7"/>
    <w:rsid w:val="009023B7"/>
    <w:rsid w:val="00902A77"/>
    <w:rsid w:val="00902AD4"/>
    <w:rsid w:val="009037BA"/>
    <w:rsid w:val="00904BBE"/>
    <w:rsid w:val="00906100"/>
    <w:rsid w:val="00906B48"/>
    <w:rsid w:val="00906BF2"/>
    <w:rsid w:val="00906F08"/>
    <w:rsid w:val="00910978"/>
    <w:rsid w:val="009118C4"/>
    <w:rsid w:val="009121CD"/>
    <w:rsid w:val="00912635"/>
    <w:rsid w:val="009129BB"/>
    <w:rsid w:val="00912CC9"/>
    <w:rsid w:val="00913318"/>
    <w:rsid w:val="009136A4"/>
    <w:rsid w:val="00913D78"/>
    <w:rsid w:val="0091445E"/>
    <w:rsid w:val="00914E01"/>
    <w:rsid w:val="00915A40"/>
    <w:rsid w:val="00915E79"/>
    <w:rsid w:val="00917296"/>
    <w:rsid w:val="00917ABC"/>
    <w:rsid w:val="00917D00"/>
    <w:rsid w:val="00920108"/>
    <w:rsid w:val="00921803"/>
    <w:rsid w:val="00921E1C"/>
    <w:rsid w:val="00922273"/>
    <w:rsid w:val="009222E5"/>
    <w:rsid w:val="00922B18"/>
    <w:rsid w:val="00924839"/>
    <w:rsid w:val="00926054"/>
    <w:rsid w:val="009271BD"/>
    <w:rsid w:val="00927CA5"/>
    <w:rsid w:val="0093020E"/>
    <w:rsid w:val="00930B24"/>
    <w:rsid w:val="00931747"/>
    <w:rsid w:val="009319AB"/>
    <w:rsid w:val="00931A7A"/>
    <w:rsid w:val="00931F47"/>
    <w:rsid w:val="009322C0"/>
    <w:rsid w:val="0093303B"/>
    <w:rsid w:val="0093330A"/>
    <w:rsid w:val="00934104"/>
    <w:rsid w:val="00934788"/>
    <w:rsid w:val="00934FE2"/>
    <w:rsid w:val="00936C7F"/>
    <w:rsid w:val="009378D3"/>
    <w:rsid w:val="00937A71"/>
    <w:rsid w:val="00940C7D"/>
    <w:rsid w:val="0094120E"/>
    <w:rsid w:val="0094124F"/>
    <w:rsid w:val="009412D5"/>
    <w:rsid w:val="00942C43"/>
    <w:rsid w:val="0094514C"/>
    <w:rsid w:val="00945653"/>
    <w:rsid w:val="009462A9"/>
    <w:rsid w:val="00946A1C"/>
    <w:rsid w:val="00950AF8"/>
    <w:rsid w:val="00950BF4"/>
    <w:rsid w:val="00950FA1"/>
    <w:rsid w:val="0095151E"/>
    <w:rsid w:val="00952E73"/>
    <w:rsid w:val="00952F3A"/>
    <w:rsid w:val="009535E9"/>
    <w:rsid w:val="00953BAA"/>
    <w:rsid w:val="00953EB1"/>
    <w:rsid w:val="00956F79"/>
    <w:rsid w:val="00960550"/>
    <w:rsid w:val="0096137E"/>
    <w:rsid w:val="009630A6"/>
    <w:rsid w:val="00963835"/>
    <w:rsid w:val="009644F2"/>
    <w:rsid w:val="0096472F"/>
    <w:rsid w:val="0096530F"/>
    <w:rsid w:val="0096545B"/>
    <w:rsid w:val="0096569A"/>
    <w:rsid w:val="009657EC"/>
    <w:rsid w:val="00966D34"/>
    <w:rsid w:val="00967801"/>
    <w:rsid w:val="00970110"/>
    <w:rsid w:val="00970921"/>
    <w:rsid w:val="00970928"/>
    <w:rsid w:val="00970B18"/>
    <w:rsid w:val="00970EE4"/>
    <w:rsid w:val="009712E4"/>
    <w:rsid w:val="00971F11"/>
    <w:rsid w:val="0097225C"/>
    <w:rsid w:val="00972445"/>
    <w:rsid w:val="009726C6"/>
    <w:rsid w:val="00972A05"/>
    <w:rsid w:val="00972ED9"/>
    <w:rsid w:val="00973958"/>
    <w:rsid w:val="00974607"/>
    <w:rsid w:val="00975364"/>
    <w:rsid w:val="00976650"/>
    <w:rsid w:val="00980725"/>
    <w:rsid w:val="00980CCF"/>
    <w:rsid w:val="0098107B"/>
    <w:rsid w:val="009814DA"/>
    <w:rsid w:val="00981994"/>
    <w:rsid w:val="0098203E"/>
    <w:rsid w:val="009825C7"/>
    <w:rsid w:val="00982688"/>
    <w:rsid w:val="00982C80"/>
    <w:rsid w:val="009831D1"/>
    <w:rsid w:val="00983496"/>
    <w:rsid w:val="009840DB"/>
    <w:rsid w:val="00985ACF"/>
    <w:rsid w:val="009879B3"/>
    <w:rsid w:val="00990E01"/>
    <w:rsid w:val="00990FBC"/>
    <w:rsid w:val="00991570"/>
    <w:rsid w:val="00991F80"/>
    <w:rsid w:val="0099267C"/>
    <w:rsid w:val="00992A03"/>
    <w:rsid w:val="0099416F"/>
    <w:rsid w:val="00994865"/>
    <w:rsid w:val="00994E4D"/>
    <w:rsid w:val="0099654C"/>
    <w:rsid w:val="0099655B"/>
    <w:rsid w:val="00997279"/>
    <w:rsid w:val="009A0384"/>
    <w:rsid w:val="009A0537"/>
    <w:rsid w:val="009A064D"/>
    <w:rsid w:val="009A1034"/>
    <w:rsid w:val="009A1151"/>
    <w:rsid w:val="009A26D1"/>
    <w:rsid w:val="009A2712"/>
    <w:rsid w:val="009A3095"/>
    <w:rsid w:val="009A313C"/>
    <w:rsid w:val="009A3793"/>
    <w:rsid w:val="009A4B07"/>
    <w:rsid w:val="009A591B"/>
    <w:rsid w:val="009A5F23"/>
    <w:rsid w:val="009A62CC"/>
    <w:rsid w:val="009A6AB3"/>
    <w:rsid w:val="009A6B1B"/>
    <w:rsid w:val="009A71F6"/>
    <w:rsid w:val="009A724E"/>
    <w:rsid w:val="009A73AA"/>
    <w:rsid w:val="009B128C"/>
    <w:rsid w:val="009B1AAC"/>
    <w:rsid w:val="009B1B7B"/>
    <w:rsid w:val="009B1C65"/>
    <w:rsid w:val="009B21EF"/>
    <w:rsid w:val="009B22AF"/>
    <w:rsid w:val="009B273D"/>
    <w:rsid w:val="009B27D9"/>
    <w:rsid w:val="009B287F"/>
    <w:rsid w:val="009B3161"/>
    <w:rsid w:val="009B317A"/>
    <w:rsid w:val="009B3947"/>
    <w:rsid w:val="009B4482"/>
    <w:rsid w:val="009B4B8C"/>
    <w:rsid w:val="009B4C3B"/>
    <w:rsid w:val="009B4D9B"/>
    <w:rsid w:val="009B4F55"/>
    <w:rsid w:val="009B50C3"/>
    <w:rsid w:val="009B61FA"/>
    <w:rsid w:val="009B7206"/>
    <w:rsid w:val="009C052E"/>
    <w:rsid w:val="009C0984"/>
    <w:rsid w:val="009C0BC0"/>
    <w:rsid w:val="009C1B8D"/>
    <w:rsid w:val="009C205D"/>
    <w:rsid w:val="009C2822"/>
    <w:rsid w:val="009C28FB"/>
    <w:rsid w:val="009C5423"/>
    <w:rsid w:val="009C578A"/>
    <w:rsid w:val="009C6C11"/>
    <w:rsid w:val="009C6C79"/>
    <w:rsid w:val="009C75AB"/>
    <w:rsid w:val="009C7B66"/>
    <w:rsid w:val="009D0751"/>
    <w:rsid w:val="009D0BA5"/>
    <w:rsid w:val="009D0D74"/>
    <w:rsid w:val="009D0E6C"/>
    <w:rsid w:val="009D14B8"/>
    <w:rsid w:val="009D1696"/>
    <w:rsid w:val="009D2460"/>
    <w:rsid w:val="009D6291"/>
    <w:rsid w:val="009D6AFE"/>
    <w:rsid w:val="009D6D88"/>
    <w:rsid w:val="009D761D"/>
    <w:rsid w:val="009D7D53"/>
    <w:rsid w:val="009E0756"/>
    <w:rsid w:val="009E2027"/>
    <w:rsid w:val="009E2C09"/>
    <w:rsid w:val="009E2D08"/>
    <w:rsid w:val="009E2E87"/>
    <w:rsid w:val="009E724E"/>
    <w:rsid w:val="009E7DD9"/>
    <w:rsid w:val="009F0594"/>
    <w:rsid w:val="009F06F7"/>
    <w:rsid w:val="009F1155"/>
    <w:rsid w:val="009F1E45"/>
    <w:rsid w:val="009F1F8D"/>
    <w:rsid w:val="009F217F"/>
    <w:rsid w:val="009F27E2"/>
    <w:rsid w:val="009F3A6D"/>
    <w:rsid w:val="009F56C5"/>
    <w:rsid w:val="009F5BE5"/>
    <w:rsid w:val="009F5EC7"/>
    <w:rsid w:val="009F607A"/>
    <w:rsid w:val="009F6447"/>
    <w:rsid w:val="009F66B0"/>
    <w:rsid w:val="009F6939"/>
    <w:rsid w:val="009F772F"/>
    <w:rsid w:val="00A01939"/>
    <w:rsid w:val="00A01F23"/>
    <w:rsid w:val="00A029E4"/>
    <w:rsid w:val="00A03774"/>
    <w:rsid w:val="00A03A9F"/>
    <w:rsid w:val="00A056D9"/>
    <w:rsid w:val="00A0571E"/>
    <w:rsid w:val="00A059BA"/>
    <w:rsid w:val="00A0633D"/>
    <w:rsid w:val="00A06673"/>
    <w:rsid w:val="00A066F7"/>
    <w:rsid w:val="00A07BA1"/>
    <w:rsid w:val="00A07C76"/>
    <w:rsid w:val="00A102E7"/>
    <w:rsid w:val="00A1063C"/>
    <w:rsid w:val="00A108F8"/>
    <w:rsid w:val="00A10D4D"/>
    <w:rsid w:val="00A1114C"/>
    <w:rsid w:val="00A11D27"/>
    <w:rsid w:val="00A12695"/>
    <w:rsid w:val="00A129CF"/>
    <w:rsid w:val="00A12E1C"/>
    <w:rsid w:val="00A12EA6"/>
    <w:rsid w:val="00A12F7B"/>
    <w:rsid w:val="00A1383F"/>
    <w:rsid w:val="00A13A7D"/>
    <w:rsid w:val="00A13DCB"/>
    <w:rsid w:val="00A14025"/>
    <w:rsid w:val="00A142D9"/>
    <w:rsid w:val="00A144E6"/>
    <w:rsid w:val="00A15209"/>
    <w:rsid w:val="00A15B38"/>
    <w:rsid w:val="00A1682E"/>
    <w:rsid w:val="00A173DC"/>
    <w:rsid w:val="00A20861"/>
    <w:rsid w:val="00A210CC"/>
    <w:rsid w:val="00A217DF"/>
    <w:rsid w:val="00A21FD9"/>
    <w:rsid w:val="00A22A7D"/>
    <w:rsid w:val="00A23B49"/>
    <w:rsid w:val="00A24698"/>
    <w:rsid w:val="00A25641"/>
    <w:rsid w:val="00A25780"/>
    <w:rsid w:val="00A2647C"/>
    <w:rsid w:val="00A267E3"/>
    <w:rsid w:val="00A26A70"/>
    <w:rsid w:val="00A26AE8"/>
    <w:rsid w:val="00A26C9F"/>
    <w:rsid w:val="00A26CBA"/>
    <w:rsid w:val="00A27C4E"/>
    <w:rsid w:val="00A311B3"/>
    <w:rsid w:val="00A312D0"/>
    <w:rsid w:val="00A3146F"/>
    <w:rsid w:val="00A32129"/>
    <w:rsid w:val="00A322D7"/>
    <w:rsid w:val="00A3276E"/>
    <w:rsid w:val="00A3297D"/>
    <w:rsid w:val="00A3517B"/>
    <w:rsid w:val="00A368D8"/>
    <w:rsid w:val="00A36E03"/>
    <w:rsid w:val="00A36F51"/>
    <w:rsid w:val="00A40820"/>
    <w:rsid w:val="00A41318"/>
    <w:rsid w:val="00A42C07"/>
    <w:rsid w:val="00A44988"/>
    <w:rsid w:val="00A4594A"/>
    <w:rsid w:val="00A467D9"/>
    <w:rsid w:val="00A46800"/>
    <w:rsid w:val="00A46851"/>
    <w:rsid w:val="00A47810"/>
    <w:rsid w:val="00A50269"/>
    <w:rsid w:val="00A5027A"/>
    <w:rsid w:val="00A50743"/>
    <w:rsid w:val="00A509B2"/>
    <w:rsid w:val="00A519FE"/>
    <w:rsid w:val="00A5207E"/>
    <w:rsid w:val="00A521A1"/>
    <w:rsid w:val="00A52AA7"/>
    <w:rsid w:val="00A5344B"/>
    <w:rsid w:val="00A53623"/>
    <w:rsid w:val="00A545F1"/>
    <w:rsid w:val="00A54B68"/>
    <w:rsid w:val="00A552E5"/>
    <w:rsid w:val="00A573A1"/>
    <w:rsid w:val="00A57FA0"/>
    <w:rsid w:val="00A60268"/>
    <w:rsid w:val="00A60AD6"/>
    <w:rsid w:val="00A62343"/>
    <w:rsid w:val="00A6417C"/>
    <w:rsid w:val="00A6497D"/>
    <w:rsid w:val="00A649DC"/>
    <w:rsid w:val="00A64AD9"/>
    <w:rsid w:val="00A650A6"/>
    <w:rsid w:val="00A652C2"/>
    <w:rsid w:val="00A654C9"/>
    <w:rsid w:val="00A66AD7"/>
    <w:rsid w:val="00A674C4"/>
    <w:rsid w:val="00A70A1B"/>
    <w:rsid w:val="00A714E5"/>
    <w:rsid w:val="00A71DF4"/>
    <w:rsid w:val="00A71E67"/>
    <w:rsid w:val="00A72C81"/>
    <w:rsid w:val="00A72CE1"/>
    <w:rsid w:val="00A72D10"/>
    <w:rsid w:val="00A7312F"/>
    <w:rsid w:val="00A732DF"/>
    <w:rsid w:val="00A73611"/>
    <w:rsid w:val="00A74D34"/>
    <w:rsid w:val="00A75848"/>
    <w:rsid w:val="00A7675E"/>
    <w:rsid w:val="00A80256"/>
    <w:rsid w:val="00A80900"/>
    <w:rsid w:val="00A80DFA"/>
    <w:rsid w:val="00A815BB"/>
    <w:rsid w:val="00A816E3"/>
    <w:rsid w:val="00A81B82"/>
    <w:rsid w:val="00A821C9"/>
    <w:rsid w:val="00A8238A"/>
    <w:rsid w:val="00A828F8"/>
    <w:rsid w:val="00A82ED3"/>
    <w:rsid w:val="00A843C5"/>
    <w:rsid w:val="00A84637"/>
    <w:rsid w:val="00A85B8C"/>
    <w:rsid w:val="00A85FB8"/>
    <w:rsid w:val="00A87538"/>
    <w:rsid w:val="00A87B61"/>
    <w:rsid w:val="00A87EBB"/>
    <w:rsid w:val="00A902C9"/>
    <w:rsid w:val="00A929C0"/>
    <w:rsid w:val="00A92CDE"/>
    <w:rsid w:val="00A92D4E"/>
    <w:rsid w:val="00A935E7"/>
    <w:rsid w:val="00A9375E"/>
    <w:rsid w:val="00A939C3"/>
    <w:rsid w:val="00A9448E"/>
    <w:rsid w:val="00A961B5"/>
    <w:rsid w:val="00A96333"/>
    <w:rsid w:val="00A96FC6"/>
    <w:rsid w:val="00A9729C"/>
    <w:rsid w:val="00A97510"/>
    <w:rsid w:val="00A978F1"/>
    <w:rsid w:val="00AA1BD2"/>
    <w:rsid w:val="00AA1C27"/>
    <w:rsid w:val="00AA256E"/>
    <w:rsid w:val="00AA2620"/>
    <w:rsid w:val="00AA38BE"/>
    <w:rsid w:val="00AA3D96"/>
    <w:rsid w:val="00AA5B9F"/>
    <w:rsid w:val="00AA5F8E"/>
    <w:rsid w:val="00AA6181"/>
    <w:rsid w:val="00AA63D8"/>
    <w:rsid w:val="00AA6803"/>
    <w:rsid w:val="00AA695D"/>
    <w:rsid w:val="00AA71F6"/>
    <w:rsid w:val="00AA7F47"/>
    <w:rsid w:val="00AB09C7"/>
    <w:rsid w:val="00AB123C"/>
    <w:rsid w:val="00AB1586"/>
    <w:rsid w:val="00AB6304"/>
    <w:rsid w:val="00AB7EA1"/>
    <w:rsid w:val="00AC130A"/>
    <w:rsid w:val="00AC2A85"/>
    <w:rsid w:val="00AC406F"/>
    <w:rsid w:val="00AC4B03"/>
    <w:rsid w:val="00AC4D4B"/>
    <w:rsid w:val="00AC5D13"/>
    <w:rsid w:val="00AC5F90"/>
    <w:rsid w:val="00AC64B0"/>
    <w:rsid w:val="00AC6B05"/>
    <w:rsid w:val="00AC7AE1"/>
    <w:rsid w:val="00AD07E8"/>
    <w:rsid w:val="00AD0F76"/>
    <w:rsid w:val="00AD1212"/>
    <w:rsid w:val="00AD2A4D"/>
    <w:rsid w:val="00AD2CB8"/>
    <w:rsid w:val="00AD4254"/>
    <w:rsid w:val="00AD466E"/>
    <w:rsid w:val="00AD4FB0"/>
    <w:rsid w:val="00AD5224"/>
    <w:rsid w:val="00AD59B3"/>
    <w:rsid w:val="00AD5F46"/>
    <w:rsid w:val="00AD65FC"/>
    <w:rsid w:val="00AD67F4"/>
    <w:rsid w:val="00AD6F83"/>
    <w:rsid w:val="00AD7ED1"/>
    <w:rsid w:val="00AE0C7D"/>
    <w:rsid w:val="00AE1A00"/>
    <w:rsid w:val="00AE2529"/>
    <w:rsid w:val="00AE2DCE"/>
    <w:rsid w:val="00AE306A"/>
    <w:rsid w:val="00AE4841"/>
    <w:rsid w:val="00AE4F3B"/>
    <w:rsid w:val="00AF06F1"/>
    <w:rsid w:val="00AF07F9"/>
    <w:rsid w:val="00AF1212"/>
    <w:rsid w:val="00AF1CCC"/>
    <w:rsid w:val="00AF1DF1"/>
    <w:rsid w:val="00AF2419"/>
    <w:rsid w:val="00AF2524"/>
    <w:rsid w:val="00AF277A"/>
    <w:rsid w:val="00AF27F1"/>
    <w:rsid w:val="00AF4732"/>
    <w:rsid w:val="00AF4857"/>
    <w:rsid w:val="00AF49A8"/>
    <w:rsid w:val="00AF6011"/>
    <w:rsid w:val="00AF6319"/>
    <w:rsid w:val="00AF6C09"/>
    <w:rsid w:val="00AF6C9C"/>
    <w:rsid w:val="00AF7D07"/>
    <w:rsid w:val="00AF7F05"/>
    <w:rsid w:val="00B009A0"/>
    <w:rsid w:val="00B01B05"/>
    <w:rsid w:val="00B025E7"/>
    <w:rsid w:val="00B028B3"/>
    <w:rsid w:val="00B03825"/>
    <w:rsid w:val="00B041B2"/>
    <w:rsid w:val="00B05941"/>
    <w:rsid w:val="00B0597B"/>
    <w:rsid w:val="00B05EAF"/>
    <w:rsid w:val="00B073EB"/>
    <w:rsid w:val="00B100B6"/>
    <w:rsid w:val="00B10A05"/>
    <w:rsid w:val="00B1212E"/>
    <w:rsid w:val="00B1281B"/>
    <w:rsid w:val="00B12AFB"/>
    <w:rsid w:val="00B12DEE"/>
    <w:rsid w:val="00B139C7"/>
    <w:rsid w:val="00B14CC1"/>
    <w:rsid w:val="00B15405"/>
    <w:rsid w:val="00B15411"/>
    <w:rsid w:val="00B16226"/>
    <w:rsid w:val="00B16302"/>
    <w:rsid w:val="00B1699D"/>
    <w:rsid w:val="00B175A5"/>
    <w:rsid w:val="00B17A26"/>
    <w:rsid w:val="00B20151"/>
    <w:rsid w:val="00B2082F"/>
    <w:rsid w:val="00B20C00"/>
    <w:rsid w:val="00B21966"/>
    <w:rsid w:val="00B21F9D"/>
    <w:rsid w:val="00B24D59"/>
    <w:rsid w:val="00B24FF0"/>
    <w:rsid w:val="00B255F7"/>
    <w:rsid w:val="00B262E4"/>
    <w:rsid w:val="00B268F2"/>
    <w:rsid w:val="00B27360"/>
    <w:rsid w:val="00B305C3"/>
    <w:rsid w:val="00B310F4"/>
    <w:rsid w:val="00B312E4"/>
    <w:rsid w:val="00B3149D"/>
    <w:rsid w:val="00B31993"/>
    <w:rsid w:val="00B331A8"/>
    <w:rsid w:val="00B33304"/>
    <w:rsid w:val="00B33CF3"/>
    <w:rsid w:val="00B33D70"/>
    <w:rsid w:val="00B353FD"/>
    <w:rsid w:val="00B35721"/>
    <w:rsid w:val="00B36685"/>
    <w:rsid w:val="00B366E4"/>
    <w:rsid w:val="00B36D8B"/>
    <w:rsid w:val="00B40284"/>
    <w:rsid w:val="00B40BCC"/>
    <w:rsid w:val="00B40DF3"/>
    <w:rsid w:val="00B40FBF"/>
    <w:rsid w:val="00B432E8"/>
    <w:rsid w:val="00B4373B"/>
    <w:rsid w:val="00B43874"/>
    <w:rsid w:val="00B43945"/>
    <w:rsid w:val="00B44201"/>
    <w:rsid w:val="00B442A5"/>
    <w:rsid w:val="00B476E9"/>
    <w:rsid w:val="00B50A9C"/>
    <w:rsid w:val="00B51252"/>
    <w:rsid w:val="00B51AE3"/>
    <w:rsid w:val="00B543C0"/>
    <w:rsid w:val="00B559A2"/>
    <w:rsid w:val="00B560F6"/>
    <w:rsid w:val="00B5700C"/>
    <w:rsid w:val="00B5763C"/>
    <w:rsid w:val="00B605F0"/>
    <w:rsid w:val="00B60CFE"/>
    <w:rsid w:val="00B60EDF"/>
    <w:rsid w:val="00B62016"/>
    <w:rsid w:val="00B621EF"/>
    <w:rsid w:val="00B62A64"/>
    <w:rsid w:val="00B63A91"/>
    <w:rsid w:val="00B63CDC"/>
    <w:rsid w:val="00B6413E"/>
    <w:rsid w:val="00B64E16"/>
    <w:rsid w:val="00B668C1"/>
    <w:rsid w:val="00B67FAA"/>
    <w:rsid w:val="00B712B6"/>
    <w:rsid w:val="00B71B39"/>
    <w:rsid w:val="00B71EE7"/>
    <w:rsid w:val="00B72168"/>
    <w:rsid w:val="00B721F0"/>
    <w:rsid w:val="00B73049"/>
    <w:rsid w:val="00B74330"/>
    <w:rsid w:val="00B75773"/>
    <w:rsid w:val="00B763D9"/>
    <w:rsid w:val="00B7713A"/>
    <w:rsid w:val="00B80801"/>
    <w:rsid w:val="00B808D1"/>
    <w:rsid w:val="00B82A1D"/>
    <w:rsid w:val="00B85324"/>
    <w:rsid w:val="00B85E15"/>
    <w:rsid w:val="00B86EC9"/>
    <w:rsid w:val="00B903B7"/>
    <w:rsid w:val="00B915ED"/>
    <w:rsid w:val="00B93768"/>
    <w:rsid w:val="00B943FE"/>
    <w:rsid w:val="00B94864"/>
    <w:rsid w:val="00B94D9B"/>
    <w:rsid w:val="00B94DA4"/>
    <w:rsid w:val="00B94E7B"/>
    <w:rsid w:val="00B94F29"/>
    <w:rsid w:val="00B9591B"/>
    <w:rsid w:val="00B95AF2"/>
    <w:rsid w:val="00B96C3F"/>
    <w:rsid w:val="00B96FF5"/>
    <w:rsid w:val="00BA0936"/>
    <w:rsid w:val="00BA1F68"/>
    <w:rsid w:val="00BA20A7"/>
    <w:rsid w:val="00BA3BF0"/>
    <w:rsid w:val="00BA685C"/>
    <w:rsid w:val="00BB072E"/>
    <w:rsid w:val="00BB1035"/>
    <w:rsid w:val="00BB1085"/>
    <w:rsid w:val="00BB1612"/>
    <w:rsid w:val="00BB1753"/>
    <w:rsid w:val="00BB2AC9"/>
    <w:rsid w:val="00BB3A5D"/>
    <w:rsid w:val="00BB4FEA"/>
    <w:rsid w:val="00BB5B21"/>
    <w:rsid w:val="00BB6534"/>
    <w:rsid w:val="00BB6BC8"/>
    <w:rsid w:val="00BC094F"/>
    <w:rsid w:val="00BC0D94"/>
    <w:rsid w:val="00BC20DD"/>
    <w:rsid w:val="00BC2F2E"/>
    <w:rsid w:val="00BC2FF1"/>
    <w:rsid w:val="00BC342C"/>
    <w:rsid w:val="00BC3B00"/>
    <w:rsid w:val="00BC3B5A"/>
    <w:rsid w:val="00BC48C9"/>
    <w:rsid w:val="00BC5C31"/>
    <w:rsid w:val="00BC6AB2"/>
    <w:rsid w:val="00BC6D8D"/>
    <w:rsid w:val="00BC6E65"/>
    <w:rsid w:val="00BD02E1"/>
    <w:rsid w:val="00BD03A1"/>
    <w:rsid w:val="00BD0FEB"/>
    <w:rsid w:val="00BD2854"/>
    <w:rsid w:val="00BD409C"/>
    <w:rsid w:val="00BD515F"/>
    <w:rsid w:val="00BD5A28"/>
    <w:rsid w:val="00BD679B"/>
    <w:rsid w:val="00BD67A3"/>
    <w:rsid w:val="00BD67F0"/>
    <w:rsid w:val="00BD6C5C"/>
    <w:rsid w:val="00BD6CA7"/>
    <w:rsid w:val="00BE0451"/>
    <w:rsid w:val="00BE10BF"/>
    <w:rsid w:val="00BE1326"/>
    <w:rsid w:val="00BE1AB6"/>
    <w:rsid w:val="00BE2E0F"/>
    <w:rsid w:val="00BE36C7"/>
    <w:rsid w:val="00BE373B"/>
    <w:rsid w:val="00BE3A00"/>
    <w:rsid w:val="00BE478F"/>
    <w:rsid w:val="00BE4FB8"/>
    <w:rsid w:val="00BE561A"/>
    <w:rsid w:val="00BE5765"/>
    <w:rsid w:val="00BE5A0C"/>
    <w:rsid w:val="00BE6B56"/>
    <w:rsid w:val="00BE714E"/>
    <w:rsid w:val="00BF0726"/>
    <w:rsid w:val="00BF1505"/>
    <w:rsid w:val="00BF27AD"/>
    <w:rsid w:val="00BF2A9C"/>
    <w:rsid w:val="00BF2EE4"/>
    <w:rsid w:val="00BF3762"/>
    <w:rsid w:val="00BF3CA0"/>
    <w:rsid w:val="00BF3F37"/>
    <w:rsid w:val="00BF5442"/>
    <w:rsid w:val="00BF58D3"/>
    <w:rsid w:val="00BF59A9"/>
    <w:rsid w:val="00BF5E44"/>
    <w:rsid w:val="00BF6350"/>
    <w:rsid w:val="00BF6A9B"/>
    <w:rsid w:val="00BF6EC5"/>
    <w:rsid w:val="00BF7187"/>
    <w:rsid w:val="00BF7941"/>
    <w:rsid w:val="00BF799D"/>
    <w:rsid w:val="00C0063E"/>
    <w:rsid w:val="00C01F9E"/>
    <w:rsid w:val="00C01FA4"/>
    <w:rsid w:val="00C02DD2"/>
    <w:rsid w:val="00C03393"/>
    <w:rsid w:val="00C042E5"/>
    <w:rsid w:val="00C05BE4"/>
    <w:rsid w:val="00C0610D"/>
    <w:rsid w:val="00C10425"/>
    <w:rsid w:val="00C12376"/>
    <w:rsid w:val="00C1313D"/>
    <w:rsid w:val="00C1338B"/>
    <w:rsid w:val="00C15934"/>
    <w:rsid w:val="00C15CE5"/>
    <w:rsid w:val="00C15E26"/>
    <w:rsid w:val="00C21465"/>
    <w:rsid w:val="00C224C6"/>
    <w:rsid w:val="00C22A58"/>
    <w:rsid w:val="00C22F17"/>
    <w:rsid w:val="00C24334"/>
    <w:rsid w:val="00C246E1"/>
    <w:rsid w:val="00C2490F"/>
    <w:rsid w:val="00C260B6"/>
    <w:rsid w:val="00C26DD8"/>
    <w:rsid w:val="00C27BEF"/>
    <w:rsid w:val="00C3037E"/>
    <w:rsid w:val="00C30A31"/>
    <w:rsid w:val="00C30B62"/>
    <w:rsid w:val="00C3168C"/>
    <w:rsid w:val="00C31C72"/>
    <w:rsid w:val="00C330D5"/>
    <w:rsid w:val="00C33800"/>
    <w:rsid w:val="00C345F1"/>
    <w:rsid w:val="00C346FC"/>
    <w:rsid w:val="00C363B2"/>
    <w:rsid w:val="00C365B3"/>
    <w:rsid w:val="00C3747D"/>
    <w:rsid w:val="00C41107"/>
    <w:rsid w:val="00C412B4"/>
    <w:rsid w:val="00C41B1E"/>
    <w:rsid w:val="00C4287C"/>
    <w:rsid w:val="00C428D1"/>
    <w:rsid w:val="00C43A5B"/>
    <w:rsid w:val="00C4524E"/>
    <w:rsid w:val="00C473CC"/>
    <w:rsid w:val="00C47EB1"/>
    <w:rsid w:val="00C52552"/>
    <w:rsid w:val="00C52652"/>
    <w:rsid w:val="00C538AD"/>
    <w:rsid w:val="00C5523C"/>
    <w:rsid w:val="00C556C2"/>
    <w:rsid w:val="00C55A67"/>
    <w:rsid w:val="00C55DF5"/>
    <w:rsid w:val="00C5642F"/>
    <w:rsid w:val="00C56499"/>
    <w:rsid w:val="00C56655"/>
    <w:rsid w:val="00C57B05"/>
    <w:rsid w:val="00C607A0"/>
    <w:rsid w:val="00C6107D"/>
    <w:rsid w:val="00C61C52"/>
    <w:rsid w:val="00C620F7"/>
    <w:rsid w:val="00C62A69"/>
    <w:rsid w:val="00C6376E"/>
    <w:rsid w:val="00C649CD"/>
    <w:rsid w:val="00C66046"/>
    <w:rsid w:val="00C66C21"/>
    <w:rsid w:val="00C7171A"/>
    <w:rsid w:val="00C74E05"/>
    <w:rsid w:val="00C76880"/>
    <w:rsid w:val="00C77B06"/>
    <w:rsid w:val="00C77D15"/>
    <w:rsid w:val="00C80E15"/>
    <w:rsid w:val="00C8238A"/>
    <w:rsid w:val="00C82B16"/>
    <w:rsid w:val="00C833C5"/>
    <w:rsid w:val="00C83498"/>
    <w:rsid w:val="00C84670"/>
    <w:rsid w:val="00C84FA5"/>
    <w:rsid w:val="00C8563E"/>
    <w:rsid w:val="00C85799"/>
    <w:rsid w:val="00C85CB7"/>
    <w:rsid w:val="00C8604C"/>
    <w:rsid w:val="00C87744"/>
    <w:rsid w:val="00C87EFB"/>
    <w:rsid w:val="00C90F18"/>
    <w:rsid w:val="00C93B26"/>
    <w:rsid w:val="00C958D8"/>
    <w:rsid w:val="00C96C07"/>
    <w:rsid w:val="00C97394"/>
    <w:rsid w:val="00C978CB"/>
    <w:rsid w:val="00C97966"/>
    <w:rsid w:val="00CA0B03"/>
    <w:rsid w:val="00CA1101"/>
    <w:rsid w:val="00CA1A76"/>
    <w:rsid w:val="00CA3137"/>
    <w:rsid w:val="00CA3267"/>
    <w:rsid w:val="00CA3B88"/>
    <w:rsid w:val="00CA4073"/>
    <w:rsid w:val="00CA578D"/>
    <w:rsid w:val="00CA5FBE"/>
    <w:rsid w:val="00CA647F"/>
    <w:rsid w:val="00CA6CE9"/>
    <w:rsid w:val="00CA6FB8"/>
    <w:rsid w:val="00CA770D"/>
    <w:rsid w:val="00CA7CEE"/>
    <w:rsid w:val="00CB1004"/>
    <w:rsid w:val="00CB11BD"/>
    <w:rsid w:val="00CB1604"/>
    <w:rsid w:val="00CB191B"/>
    <w:rsid w:val="00CB2AFD"/>
    <w:rsid w:val="00CB336C"/>
    <w:rsid w:val="00CB390B"/>
    <w:rsid w:val="00CB3CD6"/>
    <w:rsid w:val="00CB4195"/>
    <w:rsid w:val="00CB4546"/>
    <w:rsid w:val="00CB4670"/>
    <w:rsid w:val="00CB4A4A"/>
    <w:rsid w:val="00CB4B38"/>
    <w:rsid w:val="00CB65B2"/>
    <w:rsid w:val="00CB686F"/>
    <w:rsid w:val="00CB6947"/>
    <w:rsid w:val="00CB75ED"/>
    <w:rsid w:val="00CB7813"/>
    <w:rsid w:val="00CC02D7"/>
    <w:rsid w:val="00CC038A"/>
    <w:rsid w:val="00CC066C"/>
    <w:rsid w:val="00CC2D63"/>
    <w:rsid w:val="00CC3946"/>
    <w:rsid w:val="00CC3D02"/>
    <w:rsid w:val="00CC4333"/>
    <w:rsid w:val="00CC4796"/>
    <w:rsid w:val="00CC55DB"/>
    <w:rsid w:val="00CC62C0"/>
    <w:rsid w:val="00CC7123"/>
    <w:rsid w:val="00CD047F"/>
    <w:rsid w:val="00CD0A9E"/>
    <w:rsid w:val="00CD0FB2"/>
    <w:rsid w:val="00CD264D"/>
    <w:rsid w:val="00CD29FF"/>
    <w:rsid w:val="00CD2D1F"/>
    <w:rsid w:val="00CD3159"/>
    <w:rsid w:val="00CD3EE1"/>
    <w:rsid w:val="00CD4B32"/>
    <w:rsid w:val="00CD4E1B"/>
    <w:rsid w:val="00CD5262"/>
    <w:rsid w:val="00CD5BC6"/>
    <w:rsid w:val="00CD71F6"/>
    <w:rsid w:val="00CD740A"/>
    <w:rsid w:val="00CE0352"/>
    <w:rsid w:val="00CE0368"/>
    <w:rsid w:val="00CE05C3"/>
    <w:rsid w:val="00CE0B88"/>
    <w:rsid w:val="00CE1002"/>
    <w:rsid w:val="00CE1144"/>
    <w:rsid w:val="00CE26AA"/>
    <w:rsid w:val="00CE4BAC"/>
    <w:rsid w:val="00CE5198"/>
    <w:rsid w:val="00CE573E"/>
    <w:rsid w:val="00CE5835"/>
    <w:rsid w:val="00CE7986"/>
    <w:rsid w:val="00CF0221"/>
    <w:rsid w:val="00CF070F"/>
    <w:rsid w:val="00CF0F19"/>
    <w:rsid w:val="00CF423B"/>
    <w:rsid w:val="00CF4C66"/>
    <w:rsid w:val="00CF5224"/>
    <w:rsid w:val="00CF62A4"/>
    <w:rsid w:val="00CF6E69"/>
    <w:rsid w:val="00CF7487"/>
    <w:rsid w:val="00D024C4"/>
    <w:rsid w:val="00D04266"/>
    <w:rsid w:val="00D050AC"/>
    <w:rsid w:val="00D05319"/>
    <w:rsid w:val="00D05ACF"/>
    <w:rsid w:val="00D06563"/>
    <w:rsid w:val="00D0672C"/>
    <w:rsid w:val="00D0701D"/>
    <w:rsid w:val="00D105F3"/>
    <w:rsid w:val="00D123A3"/>
    <w:rsid w:val="00D1326C"/>
    <w:rsid w:val="00D13F94"/>
    <w:rsid w:val="00D14994"/>
    <w:rsid w:val="00D14B77"/>
    <w:rsid w:val="00D150D2"/>
    <w:rsid w:val="00D152F4"/>
    <w:rsid w:val="00D15DA8"/>
    <w:rsid w:val="00D16436"/>
    <w:rsid w:val="00D16DB8"/>
    <w:rsid w:val="00D17A03"/>
    <w:rsid w:val="00D21EB1"/>
    <w:rsid w:val="00D2248A"/>
    <w:rsid w:val="00D2248B"/>
    <w:rsid w:val="00D224A1"/>
    <w:rsid w:val="00D2460A"/>
    <w:rsid w:val="00D248AA"/>
    <w:rsid w:val="00D249D7"/>
    <w:rsid w:val="00D24E94"/>
    <w:rsid w:val="00D24FD8"/>
    <w:rsid w:val="00D25076"/>
    <w:rsid w:val="00D255B7"/>
    <w:rsid w:val="00D2686F"/>
    <w:rsid w:val="00D27EC6"/>
    <w:rsid w:val="00D27FB6"/>
    <w:rsid w:val="00D304F1"/>
    <w:rsid w:val="00D30A01"/>
    <w:rsid w:val="00D315F0"/>
    <w:rsid w:val="00D33393"/>
    <w:rsid w:val="00D33E8F"/>
    <w:rsid w:val="00D34338"/>
    <w:rsid w:val="00D34550"/>
    <w:rsid w:val="00D34F00"/>
    <w:rsid w:val="00D34FEC"/>
    <w:rsid w:val="00D3540A"/>
    <w:rsid w:val="00D356BC"/>
    <w:rsid w:val="00D36299"/>
    <w:rsid w:val="00D36CEF"/>
    <w:rsid w:val="00D41439"/>
    <w:rsid w:val="00D41518"/>
    <w:rsid w:val="00D41AC5"/>
    <w:rsid w:val="00D41D15"/>
    <w:rsid w:val="00D41F53"/>
    <w:rsid w:val="00D41FC2"/>
    <w:rsid w:val="00D4278F"/>
    <w:rsid w:val="00D42C21"/>
    <w:rsid w:val="00D43465"/>
    <w:rsid w:val="00D43FD7"/>
    <w:rsid w:val="00D448C0"/>
    <w:rsid w:val="00D450A5"/>
    <w:rsid w:val="00D463CC"/>
    <w:rsid w:val="00D474F7"/>
    <w:rsid w:val="00D479A3"/>
    <w:rsid w:val="00D47B02"/>
    <w:rsid w:val="00D501CE"/>
    <w:rsid w:val="00D51EEB"/>
    <w:rsid w:val="00D522E6"/>
    <w:rsid w:val="00D52CB8"/>
    <w:rsid w:val="00D5347A"/>
    <w:rsid w:val="00D54149"/>
    <w:rsid w:val="00D55172"/>
    <w:rsid w:val="00D55513"/>
    <w:rsid w:val="00D55F5F"/>
    <w:rsid w:val="00D565EC"/>
    <w:rsid w:val="00D61263"/>
    <w:rsid w:val="00D61667"/>
    <w:rsid w:val="00D623B8"/>
    <w:rsid w:val="00D62E5D"/>
    <w:rsid w:val="00D63642"/>
    <w:rsid w:val="00D63A16"/>
    <w:rsid w:val="00D63B7C"/>
    <w:rsid w:val="00D64951"/>
    <w:rsid w:val="00D64DCF"/>
    <w:rsid w:val="00D67967"/>
    <w:rsid w:val="00D67C4C"/>
    <w:rsid w:val="00D715FE"/>
    <w:rsid w:val="00D732FA"/>
    <w:rsid w:val="00D733B5"/>
    <w:rsid w:val="00D74586"/>
    <w:rsid w:val="00D75887"/>
    <w:rsid w:val="00D75B03"/>
    <w:rsid w:val="00D773D1"/>
    <w:rsid w:val="00D77970"/>
    <w:rsid w:val="00D8022F"/>
    <w:rsid w:val="00D811E9"/>
    <w:rsid w:val="00D848CF"/>
    <w:rsid w:val="00D85798"/>
    <w:rsid w:val="00D85A43"/>
    <w:rsid w:val="00D90095"/>
    <w:rsid w:val="00D904DA"/>
    <w:rsid w:val="00D90945"/>
    <w:rsid w:val="00D918CC"/>
    <w:rsid w:val="00D91A0A"/>
    <w:rsid w:val="00D92450"/>
    <w:rsid w:val="00D926FF"/>
    <w:rsid w:val="00D92B3D"/>
    <w:rsid w:val="00D933D8"/>
    <w:rsid w:val="00D93C52"/>
    <w:rsid w:val="00D93C5E"/>
    <w:rsid w:val="00D93CD3"/>
    <w:rsid w:val="00D959C0"/>
    <w:rsid w:val="00D95F29"/>
    <w:rsid w:val="00D97356"/>
    <w:rsid w:val="00D97962"/>
    <w:rsid w:val="00D97E60"/>
    <w:rsid w:val="00DA21D4"/>
    <w:rsid w:val="00DA2636"/>
    <w:rsid w:val="00DA3C5B"/>
    <w:rsid w:val="00DA3E15"/>
    <w:rsid w:val="00DA3EB0"/>
    <w:rsid w:val="00DA3ED7"/>
    <w:rsid w:val="00DA60CE"/>
    <w:rsid w:val="00DA651A"/>
    <w:rsid w:val="00DA713D"/>
    <w:rsid w:val="00DA7773"/>
    <w:rsid w:val="00DA7BD6"/>
    <w:rsid w:val="00DB084A"/>
    <w:rsid w:val="00DB0C03"/>
    <w:rsid w:val="00DB17F7"/>
    <w:rsid w:val="00DB2C65"/>
    <w:rsid w:val="00DB2E21"/>
    <w:rsid w:val="00DB2EEE"/>
    <w:rsid w:val="00DB2EF7"/>
    <w:rsid w:val="00DB42CA"/>
    <w:rsid w:val="00DB43BC"/>
    <w:rsid w:val="00DB4BEB"/>
    <w:rsid w:val="00DB50E3"/>
    <w:rsid w:val="00DB5AAF"/>
    <w:rsid w:val="00DB686D"/>
    <w:rsid w:val="00DB6929"/>
    <w:rsid w:val="00DC0411"/>
    <w:rsid w:val="00DC0877"/>
    <w:rsid w:val="00DC10C6"/>
    <w:rsid w:val="00DC12F2"/>
    <w:rsid w:val="00DC2003"/>
    <w:rsid w:val="00DC3E58"/>
    <w:rsid w:val="00DC4041"/>
    <w:rsid w:val="00DC6402"/>
    <w:rsid w:val="00DC6DAC"/>
    <w:rsid w:val="00DC721E"/>
    <w:rsid w:val="00DC7980"/>
    <w:rsid w:val="00DC7A54"/>
    <w:rsid w:val="00DC7B88"/>
    <w:rsid w:val="00DD0790"/>
    <w:rsid w:val="00DD0CF9"/>
    <w:rsid w:val="00DD0FD4"/>
    <w:rsid w:val="00DD1295"/>
    <w:rsid w:val="00DD1CBA"/>
    <w:rsid w:val="00DD2523"/>
    <w:rsid w:val="00DD2961"/>
    <w:rsid w:val="00DD36A5"/>
    <w:rsid w:val="00DD508F"/>
    <w:rsid w:val="00DD58A2"/>
    <w:rsid w:val="00DD721B"/>
    <w:rsid w:val="00DE0AC3"/>
    <w:rsid w:val="00DE264B"/>
    <w:rsid w:val="00DE29AB"/>
    <w:rsid w:val="00DE2D71"/>
    <w:rsid w:val="00DE2E85"/>
    <w:rsid w:val="00DE325C"/>
    <w:rsid w:val="00DE4888"/>
    <w:rsid w:val="00DE4EC5"/>
    <w:rsid w:val="00DE51A2"/>
    <w:rsid w:val="00DF0160"/>
    <w:rsid w:val="00DF0B64"/>
    <w:rsid w:val="00DF158D"/>
    <w:rsid w:val="00DF190B"/>
    <w:rsid w:val="00DF246A"/>
    <w:rsid w:val="00DF3929"/>
    <w:rsid w:val="00DF3A58"/>
    <w:rsid w:val="00DF424E"/>
    <w:rsid w:val="00DF47B1"/>
    <w:rsid w:val="00DF65F9"/>
    <w:rsid w:val="00DF7167"/>
    <w:rsid w:val="00DF7870"/>
    <w:rsid w:val="00E0029A"/>
    <w:rsid w:val="00E00503"/>
    <w:rsid w:val="00E009BD"/>
    <w:rsid w:val="00E00FB1"/>
    <w:rsid w:val="00E016ED"/>
    <w:rsid w:val="00E019AE"/>
    <w:rsid w:val="00E02287"/>
    <w:rsid w:val="00E03006"/>
    <w:rsid w:val="00E04289"/>
    <w:rsid w:val="00E042DD"/>
    <w:rsid w:val="00E0449A"/>
    <w:rsid w:val="00E04F41"/>
    <w:rsid w:val="00E053F9"/>
    <w:rsid w:val="00E06F1D"/>
    <w:rsid w:val="00E0768D"/>
    <w:rsid w:val="00E07858"/>
    <w:rsid w:val="00E0788B"/>
    <w:rsid w:val="00E07BE2"/>
    <w:rsid w:val="00E10E2A"/>
    <w:rsid w:val="00E120EA"/>
    <w:rsid w:val="00E12282"/>
    <w:rsid w:val="00E13361"/>
    <w:rsid w:val="00E135B3"/>
    <w:rsid w:val="00E148BD"/>
    <w:rsid w:val="00E1557B"/>
    <w:rsid w:val="00E16A89"/>
    <w:rsid w:val="00E20C14"/>
    <w:rsid w:val="00E20D17"/>
    <w:rsid w:val="00E210D0"/>
    <w:rsid w:val="00E219F4"/>
    <w:rsid w:val="00E22276"/>
    <w:rsid w:val="00E2245C"/>
    <w:rsid w:val="00E2250C"/>
    <w:rsid w:val="00E22F1E"/>
    <w:rsid w:val="00E23276"/>
    <w:rsid w:val="00E23580"/>
    <w:rsid w:val="00E23B54"/>
    <w:rsid w:val="00E24A68"/>
    <w:rsid w:val="00E24AA8"/>
    <w:rsid w:val="00E2531E"/>
    <w:rsid w:val="00E25821"/>
    <w:rsid w:val="00E260BB"/>
    <w:rsid w:val="00E260E5"/>
    <w:rsid w:val="00E27249"/>
    <w:rsid w:val="00E272B0"/>
    <w:rsid w:val="00E2766D"/>
    <w:rsid w:val="00E27764"/>
    <w:rsid w:val="00E304C4"/>
    <w:rsid w:val="00E31151"/>
    <w:rsid w:val="00E31467"/>
    <w:rsid w:val="00E31595"/>
    <w:rsid w:val="00E335B1"/>
    <w:rsid w:val="00E33F15"/>
    <w:rsid w:val="00E3400D"/>
    <w:rsid w:val="00E36112"/>
    <w:rsid w:val="00E362D0"/>
    <w:rsid w:val="00E36A46"/>
    <w:rsid w:val="00E36BA9"/>
    <w:rsid w:val="00E37138"/>
    <w:rsid w:val="00E3742F"/>
    <w:rsid w:val="00E37670"/>
    <w:rsid w:val="00E4036C"/>
    <w:rsid w:val="00E4071C"/>
    <w:rsid w:val="00E40B69"/>
    <w:rsid w:val="00E4180A"/>
    <w:rsid w:val="00E42A85"/>
    <w:rsid w:val="00E45567"/>
    <w:rsid w:val="00E51FCD"/>
    <w:rsid w:val="00E5285D"/>
    <w:rsid w:val="00E52BDB"/>
    <w:rsid w:val="00E52E73"/>
    <w:rsid w:val="00E5314E"/>
    <w:rsid w:val="00E53FEF"/>
    <w:rsid w:val="00E53FFF"/>
    <w:rsid w:val="00E540B0"/>
    <w:rsid w:val="00E544DA"/>
    <w:rsid w:val="00E54596"/>
    <w:rsid w:val="00E54F86"/>
    <w:rsid w:val="00E55145"/>
    <w:rsid w:val="00E567B5"/>
    <w:rsid w:val="00E60023"/>
    <w:rsid w:val="00E609C4"/>
    <w:rsid w:val="00E6245A"/>
    <w:rsid w:val="00E6262F"/>
    <w:rsid w:val="00E63A1E"/>
    <w:rsid w:val="00E63E56"/>
    <w:rsid w:val="00E6431F"/>
    <w:rsid w:val="00E64C5E"/>
    <w:rsid w:val="00E64EAE"/>
    <w:rsid w:val="00E64EAF"/>
    <w:rsid w:val="00E652A8"/>
    <w:rsid w:val="00E65BA8"/>
    <w:rsid w:val="00E67BAB"/>
    <w:rsid w:val="00E70996"/>
    <w:rsid w:val="00E70E80"/>
    <w:rsid w:val="00E72C32"/>
    <w:rsid w:val="00E72E16"/>
    <w:rsid w:val="00E73C2A"/>
    <w:rsid w:val="00E73D9F"/>
    <w:rsid w:val="00E74FA0"/>
    <w:rsid w:val="00E752FA"/>
    <w:rsid w:val="00E754B2"/>
    <w:rsid w:val="00E76F8E"/>
    <w:rsid w:val="00E77054"/>
    <w:rsid w:val="00E77FDF"/>
    <w:rsid w:val="00E77FFA"/>
    <w:rsid w:val="00E8045D"/>
    <w:rsid w:val="00E8077C"/>
    <w:rsid w:val="00E81081"/>
    <w:rsid w:val="00E8207F"/>
    <w:rsid w:val="00E82CE5"/>
    <w:rsid w:val="00E836B4"/>
    <w:rsid w:val="00E83839"/>
    <w:rsid w:val="00E83F1D"/>
    <w:rsid w:val="00E84BEC"/>
    <w:rsid w:val="00E85057"/>
    <w:rsid w:val="00E85B14"/>
    <w:rsid w:val="00E87207"/>
    <w:rsid w:val="00E87D0E"/>
    <w:rsid w:val="00E90474"/>
    <w:rsid w:val="00E91254"/>
    <w:rsid w:val="00E918E5"/>
    <w:rsid w:val="00E926DC"/>
    <w:rsid w:val="00E9363D"/>
    <w:rsid w:val="00E93938"/>
    <w:rsid w:val="00E93A5F"/>
    <w:rsid w:val="00E940E8"/>
    <w:rsid w:val="00E94101"/>
    <w:rsid w:val="00E95508"/>
    <w:rsid w:val="00E96D02"/>
    <w:rsid w:val="00E975B3"/>
    <w:rsid w:val="00E97793"/>
    <w:rsid w:val="00EA0204"/>
    <w:rsid w:val="00EA0F22"/>
    <w:rsid w:val="00EA24C2"/>
    <w:rsid w:val="00EA2A14"/>
    <w:rsid w:val="00EA31DA"/>
    <w:rsid w:val="00EA31EA"/>
    <w:rsid w:val="00EA3FFF"/>
    <w:rsid w:val="00EA498D"/>
    <w:rsid w:val="00EA5A29"/>
    <w:rsid w:val="00EA633B"/>
    <w:rsid w:val="00EA7FB3"/>
    <w:rsid w:val="00EB06BE"/>
    <w:rsid w:val="00EB0E4E"/>
    <w:rsid w:val="00EB1FA2"/>
    <w:rsid w:val="00EB318B"/>
    <w:rsid w:val="00EB3A5C"/>
    <w:rsid w:val="00EB3D4C"/>
    <w:rsid w:val="00EB463A"/>
    <w:rsid w:val="00EB4CF2"/>
    <w:rsid w:val="00EB5059"/>
    <w:rsid w:val="00EB578E"/>
    <w:rsid w:val="00EB57F1"/>
    <w:rsid w:val="00EB6372"/>
    <w:rsid w:val="00EB6833"/>
    <w:rsid w:val="00EB6C19"/>
    <w:rsid w:val="00EB6DBF"/>
    <w:rsid w:val="00EB6F4F"/>
    <w:rsid w:val="00EB78A1"/>
    <w:rsid w:val="00EB7A90"/>
    <w:rsid w:val="00EC04CC"/>
    <w:rsid w:val="00EC0583"/>
    <w:rsid w:val="00EC1653"/>
    <w:rsid w:val="00EC16DB"/>
    <w:rsid w:val="00EC1AD9"/>
    <w:rsid w:val="00EC2237"/>
    <w:rsid w:val="00EC293C"/>
    <w:rsid w:val="00EC3212"/>
    <w:rsid w:val="00EC3E0F"/>
    <w:rsid w:val="00EC40DA"/>
    <w:rsid w:val="00EC424D"/>
    <w:rsid w:val="00EC4F7A"/>
    <w:rsid w:val="00EC5D4A"/>
    <w:rsid w:val="00EC5E41"/>
    <w:rsid w:val="00ED05D5"/>
    <w:rsid w:val="00ED0E3D"/>
    <w:rsid w:val="00ED1631"/>
    <w:rsid w:val="00ED1D80"/>
    <w:rsid w:val="00ED1DE1"/>
    <w:rsid w:val="00ED31BC"/>
    <w:rsid w:val="00ED3659"/>
    <w:rsid w:val="00ED4F5B"/>
    <w:rsid w:val="00ED5EA5"/>
    <w:rsid w:val="00ED6994"/>
    <w:rsid w:val="00ED6EBA"/>
    <w:rsid w:val="00ED7A2E"/>
    <w:rsid w:val="00ED7D64"/>
    <w:rsid w:val="00ED7ED0"/>
    <w:rsid w:val="00EE0B8D"/>
    <w:rsid w:val="00EE17BA"/>
    <w:rsid w:val="00EE3461"/>
    <w:rsid w:val="00EE49D5"/>
    <w:rsid w:val="00EE50FB"/>
    <w:rsid w:val="00EE555F"/>
    <w:rsid w:val="00EE56C3"/>
    <w:rsid w:val="00EE5DB5"/>
    <w:rsid w:val="00EE6099"/>
    <w:rsid w:val="00EE62BE"/>
    <w:rsid w:val="00EE7779"/>
    <w:rsid w:val="00EE7C0A"/>
    <w:rsid w:val="00EF0D3C"/>
    <w:rsid w:val="00EF34AA"/>
    <w:rsid w:val="00EF58C3"/>
    <w:rsid w:val="00EF5EDE"/>
    <w:rsid w:val="00EF60F0"/>
    <w:rsid w:val="00EF6958"/>
    <w:rsid w:val="00EF79C8"/>
    <w:rsid w:val="00F006BD"/>
    <w:rsid w:val="00F008A2"/>
    <w:rsid w:val="00F00C2B"/>
    <w:rsid w:val="00F00D75"/>
    <w:rsid w:val="00F02433"/>
    <w:rsid w:val="00F02E6C"/>
    <w:rsid w:val="00F0323F"/>
    <w:rsid w:val="00F0380A"/>
    <w:rsid w:val="00F042B6"/>
    <w:rsid w:val="00F04642"/>
    <w:rsid w:val="00F0550F"/>
    <w:rsid w:val="00F05C0E"/>
    <w:rsid w:val="00F05C5E"/>
    <w:rsid w:val="00F06302"/>
    <w:rsid w:val="00F0637D"/>
    <w:rsid w:val="00F067A3"/>
    <w:rsid w:val="00F07883"/>
    <w:rsid w:val="00F07A6F"/>
    <w:rsid w:val="00F10BFA"/>
    <w:rsid w:val="00F11624"/>
    <w:rsid w:val="00F119F4"/>
    <w:rsid w:val="00F12B25"/>
    <w:rsid w:val="00F12CAF"/>
    <w:rsid w:val="00F137C3"/>
    <w:rsid w:val="00F138FE"/>
    <w:rsid w:val="00F140E4"/>
    <w:rsid w:val="00F1429E"/>
    <w:rsid w:val="00F1449D"/>
    <w:rsid w:val="00F14559"/>
    <w:rsid w:val="00F148F2"/>
    <w:rsid w:val="00F1600B"/>
    <w:rsid w:val="00F17CD5"/>
    <w:rsid w:val="00F20D44"/>
    <w:rsid w:val="00F216BD"/>
    <w:rsid w:val="00F229F9"/>
    <w:rsid w:val="00F22BF4"/>
    <w:rsid w:val="00F23A40"/>
    <w:rsid w:val="00F23FEB"/>
    <w:rsid w:val="00F24CA3"/>
    <w:rsid w:val="00F25939"/>
    <w:rsid w:val="00F265FA"/>
    <w:rsid w:val="00F31447"/>
    <w:rsid w:val="00F33C58"/>
    <w:rsid w:val="00F341E4"/>
    <w:rsid w:val="00F34718"/>
    <w:rsid w:val="00F34980"/>
    <w:rsid w:val="00F35161"/>
    <w:rsid w:val="00F35677"/>
    <w:rsid w:val="00F360CD"/>
    <w:rsid w:val="00F40D7B"/>
    <w:rsid w:val="00F40F82"/>
    <w:rsid w:val="00F42738"/>
    <w:rsid w:val="00F4327A"/>
    <w:rsid w:val="00F43698"/>
    <w:rsid w:val="00F43D19"/>
    <w:rsid w:val="00F44F97"/>
    <w:rsid w:val="00F45AF3"/>
    <w:rsid w:val="00F475B2"/>
    <w:rsid w:val="00F502B1"/>
    <w:rsid w:val="00F50756"/>
    <w:rsid w:val="00F50E4F"/>
    <w:rsid w:val="00F5101C"/>
    <w:rsid w:val="00F523D4"/>
    <w:rsid w:val="00F5255F"/>
    <w:rsid w:val="00F52EF3"/>
    <w:rsid w:val="00F53272"/>
    <w:rsid w:val="00F532C4"/>
    <w:rsid w:val="00F537E4"/>
    <w:rsid w:val="00F5392C"/>
    <w:rsid w:val="00F54839"/>
    <w:rsid w:val="00F54D41"/>
    <w:rsid w:val="00F5521E"/>
    <w:rsid w:val="00F55B6B"/>
    <w:rsid w:val="00F56A9C"/>
    <w:rsid w:val="00F56D45"/>
    <w:rsid w:val="00F56FB2"/>
    <w:rsid w:val="00F572C4"/>
    <w:rsid w:val="00F57F4C"/>
    <w:rsid w:val="00F603E1"/>
    <w:rsid w:val="00F6066D"/>
    <w:rsid w:val="00F60E6E"/>
    <w:rsid w:val="00F60FAE"/>
    <w:rsid w:val="00F6129A"/>
    <w:rsid w:val="00F615B8"/>
    <w:rsid w:val="00F627E4"/>
    <w:rsid w:val="00F62A4E"/>
    <w:rsid w:val="00F63097"/>
    <w:rsid w:val="00F6309D"/>
    <w:rsid w:val="00F63CE9"/>
    <w:rsid w:val="00F63D52"/>
    <w:rsid w:val="00F6506D"/>
    <w:rsid w:val="00F659C4"/>
    <w:rsid w:val="00F66B21"/>
    <w:rsid w:val="00F66B64"/>
    <w:rsid w:val="00F66D60"/>
    <w:rsid w:val="00F7034D"/>
    <w:rsid w:val="00F70754"/>
    <w:rsid w:val="00F70D02"/>
    <w:rsid w:val="00F71253"/>
    <w:rsid w:val="00F7232A"/>
    <w:rsid w:val="00F7252C"/>
    <w:rsid w:val="00F729B3"/>
    <w:rsid w:val="00F738B3"/>
    <w:rsid w:val="00F74BD4"/>
    <w:rsid w:val="00F752C2"/>
    <w:rsid w:val="00F763E6"/>
    <w:rsid w:val="00F767A4"/>
    <w:rsid w:val="00F767D6"/>
    <w:rsid w:val="00F80092"/>
    <w:rsid w:val="00F803F6"/>
    <w:rsid w:val="00F80F74"/>
    <w:rsid w:val="00F820F8"/>
    <w:rsid w:val="00F82550"/>
    <w:rsid w:val="00F82D6E"/>
    <w:rsid w:val="00F839D2"/>
    <w:rsid w:val="00F84F17"/>
    <w:rsid w:val="00F85ADA"/>
    <w:rsid w:val="00F85B8A"/>
    <w:rsid w:val="00F85CC3"/>
    <w:rsid w:val="00F86C34"/>
    <w:rsid w:val="00F8701A"/>
    <w:rsid w:val="00F872CA"/>
    <w:rsid w:val="00F8759F"/>
    <w:rsid w:val="00F87A23"/>
    <w:rsid w:val="00F911EC"/>
    <w:rsid w:val="00F93687"/>
    <w:rsid w:val="00F94691"/>
    <w:rsid w:val="00F966AB"/>
    <w:rsid w:val="00F9715E"/>
    <w:rsid w:val="00FA05B8"/>
    <w:rsid w:val="00FA0BB6"/>
    <w:rsid w:val="00FA0FF5"/>
    <w:rsid w:val="00FA1614"/>
    <w:rsid w:val="00FA191E"/>
    <w:rsid w:val="00FA193F"/>
    <w:rsid w:val="00FA1A82"/>
    <w:rsid w:val="00FA1A9B"/>
    <w:rsid w:val="00FA3AE0"/>
    <w:rsid w:val="00FA3B89"/>
    <w:rsid w:val="00FA4E83"/>
    <w:rsid w:val="00FA6109"/>
    <w:rsid w:val="00FA6694"/>
    <w:rsid w:val="00FB04A4"/>
    <w:rsid w:val="00FB1701"/>
    <w:rsid w:val="00FB1BBC"/>
    <w:rsid w:val="00FB2AD9"/>
    <w:rsid w:val="00FB2D35"/>
    <w:rsid w:val="00FB35D4"/>
    <w:rsid w:val="00FB3D43"/>
    <w:rsid w:val="00FB4223"/>
    <w:rsid w:val="00FB4406"/>
    <w:rsid w:val="00FB5900"/>
    <w:rsid w:val="00FB6180"/>
    <w:rsid w:val="00FB63EB"/>
    <w:rsid w:val="00FB6A98"/>
    <w:rsid w:val="00FB6F7E"/>
    <w:rsid w:val="00FB70AD"/>
    <w:rsid w:val="00FB7B71"/>
    <w:rsid w:val="00FC03F0"/>
    <w:rsid w:val="00FC1444"/>
    <w:rsid w:val="00FC1834"/>
    <w:rsid w:val="00FC1D45"/>
    <w:rsid w:val="00FC2014"/>
    <w:rsid w:val="00FC23C1"/>
    <w:rsid w:val="00FC3DE2"/>
    <w:rsid w:val="00FC4D4A"/>
    <w:rsid w:val="00FC5990"/>
    <w:rsid w:val="00FC5DD2"/>
    <w:rsid w:val="00FC675C"/>
    <w:rsid w:val="00FC6B22"/>
    <w:rsid w:val="00FC6BCF"/>
    <w:rsid w:val="00FC6E1B"/>
    <w:rsid w:val="00FC6EF8"/>
    <w:rsid w:val="00FD0993"/>
    <w:rsid w:val="00FD246D"/>
    <w:rsid w:val="00FD2735"/>
    <w:rsid w:val="00FD48A3"/>
    <w:rsid w:val="00FD4C8B"/>
    <w:rsid w:val="00FD4ED3"/>
    <w:rsid w:val="00FD638F"/>
    <w:rsid w:val="00FD7B61"/>
    <w:rsid w:val="00FE0138"/>
    <w:rsid w:val="00FE03B5"/>
    <w:rsid w:val="00FE064C"/>
    <w:rsid w:val="00FE0BDC"/>
    <w:rsid w:val="00FE11AE"/>
    <w:rsid w:val="00FE15AF"/>
    <w:rsid w:val="00FE26E0"/>
    <w:rsid w:val="00FE31D7"/>
    <w:rsid w:val="00FE3754"/>
    <w:rsid w:val="00FE43C0"/>
    <w:rsid w:val="00FE4D32"/>
    <w:rsid w:val="00FE5DEB"/>
    <w:rsid w:val="00FF16A5"/>
    <w:rsid w:val="00FF1A6B"/>
    <w:rsid w:val="00FF2136"/>
    <w:rsid w:val="00FF2232"/>
    <w:rsid w:val="00FF315F"/>
    <w:rsid w:val="00FF4759"/>
    <w:rsid w:val="00FF526B"/>
    <w:rsid w:val="00FF5548"/>
    <w:rsid w:val="00FF5854"/>
    <w:rsid w:val="00FF6641"/>
    <w:rsid w:val="00FF6B99"/>
    <w:rsid w:val="00FF6F78"/>
    <w:rsid w:val="00FF78B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1A61D4C2"/>
  <w15:chartTrackingRefBased/>
  <w15:docId w15:val="{33AD84DC-B313-486C-9324-67F1E9C10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82AC8"/>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BodyText"/>
    <w:next w:val="BodyText"/>
    <w:link w:val="Heading1Char"/>
    <w:rsid w:val="00882AC8"/>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882AC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882AC8"/>
    <w:pPr>
      <w:spacing w:before="560" w:line="320" w:lineRule="exact"/>
      <w:ind w:left="0" w:firstLine="0"/>
      <w:outlineLvl w:val="2"/>
    </w:pPr>
    <w:rPr>
      <w:sz w:val="26"/>
    </w:rPr>
  </w:style>
  <w:style w:type="paragraph" w:styleId="Heading4">
    <w:name w:val="heading 4"/>
    <w:basedOn w:val="Heading3"/>
    <w:next w:val="BodyText"/>
    <w:link w:val="Heading4Char"/>
    <w:qFormat/>
    <w:rsid w:val="00882AC8"/>
    <w:pPr>
      <w:spacing w:before="480"/>
      <w:outlineLvl w:val="3"/>
    </w:pPr>
    <w:rPr>
      <w:b w:val="0"/>
      <w:sz w:val="24"/>
    </w:rPr>
  </w:style>
  <w:style w:type="paragraph" w:styleId="Heading5">
    <w:name w:val="heading 5"/>
    <w:basedOn w:val="Heading4"/>
    <w:next w:val="BodyText"/>
    <w:link w:val="Heading5Char"/>
    <w:qFormat/>
    <w:rsid w:val="00882AC8"/>
    <w:pPr>
      <w:outlineLvl w:val="4"/>
    </w:pPr>
    <w:rPr>
      <w:i/>
      <w:sz w:val="22"/>
    </w:rPr>
  </w:style>
  <w:style w:type="paragraph" w:styleId="Heading6">
    <w:name w:val="heading 6"/>
    <w:basedOn w:val="BodyText"/>
    <w:next w:val="BodyText"/>
    <w:link w:val="Heading6Char"/>
    <w:semiHidden/>
    <w:rsid w:val="00882AC8"/>
    <w:pPr>
      <w:spacing w:after="60"/>
      <w:jc w:val="left"/>
      <w:outlineLvl w:val="5"/>
    </w:pPr>
    <w:rPr>
      <w:i/>
      <w:sz w:val="22"/>
    </w:rPr>
  </w:style>
  <w:style w:type="paragraph" w:styleId="Heading7">
    <w:name w:val="heading 7"/>
    <w:basedOn w:val="BodyText"/>
    <w:next w:val="BodyText"/>
    <w:link w:val="Heading7Char"/>
    <w:semiHidden/>
    <w:rsid w:val="00882AC8"/>
    <w:pPr>
      <w:spacing w:after="60" w:line="240" w:lineRule="auto"/>
      <w:jc w:val="left"/>
      <w:outlineLvl w:val="6"/>
    </w:pPr>
    <w:rPr>
      <w:rFonts w:ascii="Arial" w:hAnsi="Arial"/>
      <w:sz w:val="20"/>
    </w:rPr>
  </w:style>
  <w:style w:type="paragraph" w:styleId="Heading8">
    <w:name w:val="heading 8"/>
    <w:basedOn w:val="BodyText"/>
    <w:next w:val="BodyText"/>
    <w:link w:val="Heading8Char"/>
    <w:semiHidden/>
    <w:rsid w:val="00882AC8"/>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rsid w:val="00882AC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882AC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82AC8"/>
  </w:style>
  <w:style w:type="character" w:customStyle="1" w:styleId="Heading1Char">
    <w:name w:val="Heading 1 Char"/>
    <w:basedOn w:val="DefaultParagraphFont"/>
    <w:link w:val="Heading1"/>
    <w:rsid w:val="00D41518"/>
    <w:rPr>
      <w:rFonts w:ascii="Times New Roman" w:eastAsia="Times New Roman" w:hAnsi="Times New Roman" w:cs="Times New Roman"/>
      <w:sz w:val="52"/>
      <w:szCs w:val="20"/>
      <w:lang w:eastAsia="en-AU"/>
    </w:rPr>
  </w:style>
  <w:style w:type="character" w:customStyle="1" w:styleId="Heading2Char">
    <w:name w:val="Heading 2 Char"/>
    <w:basedOn w:val="DefaultParagraphFont"/>
    <w:link w:val="Heading2"/>
    <w:rsid w:val="00D41518"/>
    <w:rPr>
      <w:rFonts w:ascii="Arial" w:eastAsia="Times New Roman" w:hAnsi="Arial" w:cs="Times New Roman"/>
      <w:b/>
      <w:sz w:val="32"/>
      <w:szCs w:val="20"/>
      <w:lang w:eastAsia="en-AU"/>
    </w:rPr>
  </w:style>
  <w:style w:type="character" w:customStyle="1" w:styleId="Heading3Char">
    <w:name w:val="Heading 3 Char"/>
    <w:basedOn w:val="DefaultParagraphFont"/>
    <w:link w:val="Heading3"/>
    <w:rsid w:val="00D41518"/>
    <w:rPr>
      <w:rFonts w:ascii="Arial" w:eastAsia="Times New Roman" w:hAnsi="Arial" w:cs="Times New Roman"/>
      <w:b/>
      <w:sz w:val="26"/>
      <w:szCs w:val="20"/>
      <w:lang w:eastAsia="en-AU"/>
    </w:rPr>
  </w:style>
  <w:style w:type="character" w:customStyle="1" w:styleId="Heading4Char">
    <w:name w:val="Heading 4 Char"/>
    <w:basedOn w:val="DefaultParagraphFont"/>
    <w:link w:val="Heading4"/>
    <w:rsid w:val="00D41518"/>
    <w:rPr>
      <w:rFonts w:ascii="Arial" w:eastAsia="Times New Roman" w:hAnsi="Arial" w:cs="Times New Roman"/>
      <w:sz w:val="24"/>
      <w:szCs w:val="20"/>
      <w:lang w:eastAsia="en-AU"/>
    </w:rPr>
  </w:style>
  <w:style w:type="character" w:customStyle="1" w:styleId="Heading5Char">
    <w:name w:val="Heading 5 Char"/>
    <w:basedOn w:val="DefaultParagraphFont"/>
    <w:link w:val="Heading5"/>
    <w:rsid w:val="00882AC8"/>
    <w:rPr>
      <w:rFonts w:ascii="Arial" w:eastAsia="Times New Roman" w:hAnsi="Arial" w:cs="Times New Roman"/>
      <w:i/>
      <w:szCs w:val="20"/>
      <w:lang w:eastAsia="en-AU"/>
    </w:rPr>
  </w:style>
  <w:style w:type="character" w:customStyle="1" w:styleId="Heading6Char">
    <w:name w:val="Heading 6 Char"/>
    <w:basedOn w:val="DefaultParagraphFont"/>
    <w:link w:val="Heading6"/>
    <w:semiHidden/>
    <w:rsid w:val="00D41518"/>
    <w:rPr>
      <w:rFonts w:ascii="Times New Roman" w:eastAsia="Times New Roman" w:hAnsi="Times New Roman" w:cs="Times New Roman"/>
      <w:i/>
      <w:szCs w:val="20"/>
      <w:lang w:eastAsia="en-AU"/>
    </w:rPr>
  </w:style>
  <w:style w:type="character" w:customStyle="1" w:styleId="Heading7Char">
    <w:name w:val="Heading 7 Char"/>
    <w:basedOn w:val="DefaultParagraphFont"/>
    <w:link w:val="Heading7"/>
    <w:semiHidden/>
    <w:rsid w:val="00D41518"/>
    <w:rPr>
      <w:rFonts w:ascii="Arial" w:eastAsia="Times New Roman" w:hAnsi="Arial" w:cs="Times New Roman"/>
      <w:sz w:val="20"/>
      <w:szCs w:val="20"/>
      <w:lang w:eastAsia="en-AU"/>
    </w:rPr>
  </w:style>
  <w:style w:type="character" w:customStyle="1" w:styleId="Heading8Char">
    <w:name w:val="Heading 8 Char"/>
    <w:basedOn w:val="DefaultParagraphFont"/>
    <w:link w:val="Heading8"/>
    <w:semiHidden/>
    <w:rsid w:val="00D41518"/>
    <w:rPr>
      <w:rFonts w:ascii="Arial" w:eastAsia="Times New Roman" w:hAnsi="Arial" w:cs="Times New Roman"/>
      <w:i/>
      <w:sz w:val="20"/>
      <w:szCs w:val="20"/>
      <w:lang w:eastAsia="en-AU"/>
    </w:rPr>
  </w:style>
  <w:style w:type="character" w:customStyle="1" w:styleId="Heading9Char">
    <w:name w:val="Heading 9 Char"/>
    <w:basedOn w:val="DefaultParagraphFont"/>
    <w:link w:val="Heading9"/>
    <w:semiHidden/>
    <w:rsid w:val="00D41518"/>
    <w:rPr>
      <w:rFonts w:ascii="Arial" w:eastAsia="Times New Roman" w:hAnsi="Arial" w:cs="Times New Roman"/>
      <w:b/>
      <w:i/>
      <w:sz w:val="18"/>
      <w:szCs w:val="20"/>
      <w:lang w:eastAsia="en-AU"/>
    </w:rPr>
  </w:style>
  <w:style w:type="numbering" w:customStyle="1" w:styleId="NoList1">
    <w:name w:val="No List1"/>
    <w:next w:val="NoList"/>
    <w:uiPriority w:val="99"/>
    <w:semiHidden/>
    <w:unhideWhenUsed/>
    <w:rsid w:val="00D41518"/>
  </w:style>
  <w:style w:type="paragraph" w:styleId="BodyText">
    <w:name w:val="Body Text"/>
    <w:link w:val="BodyTextChar"/>
    <w:qFormat/>
    <w:rsid w:val="00882AC8"/>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882AC8"/>
    <w:rPr>
      <w:rFonts w:ascii="Times New Roman" w:eastAsia="Times New Roman" w:hAnsi="Times New Roman" w:cs="Times New Roman"/>
      <w:sz w:val="24"/>
      <w:szCs w:val="20"/>
      <w:lang w:eastAsia="en-AU"/>
    </w:rPr>
  </w:style>
  <w:style w:type="paragraph" w:customStyle="1" w:styleId="Abbreviation">
    <w:name w:val="Abbreviation"/>
    <w:basedOn w:val="BodyText"/>
    <w:rsid w:val="00882AC8"/>
    <w:pPr>
      <w:spacing w:before="120"/>
      <w:ind w:left="2381" w:hanging="2381"/>
      <w:jc w:val="left"/>
    </w:pPr>
  </w:style>
  <w:style w:type="paragraph" w:styleId="BalloonText">
    <w:name w:val="Balloon Text"/>
    <w:basedOn w:val="Normal"/>
    <w:link w:val="BalloonTextChar"/>
    <w:rsid w:val="00882AC8"/>
    <w:rPr>
      <w:rFonts w:ascii="Tahoma" w:hAnsi="Tahoma" w:cs="Tahoma"/>
      <w:sz w:val="16"/>
      <w:szCs w:val="16"/>
    </w:rPr>
  </w:style>
  <w:style w:type="character" w:customStyle="1" w:styleId="BalloonTextChar">
    <w:name w:val="Balloon Text Char"/>
    <w:basedOn w:val="DefaultParagraphFont"/>
    <w:link w:val="BalloonText"/>
    <w:rsid w:val="00882AC8"/>
    <w:rPr>
      <w:rFonts w:ascii="Tahoma" w:eastAsia="Times New Roman" w:hAnsi="Tahoma" w:cs="Tahoma"/>
      <w:sz w:val="16"/>
      <w:szCs w:val="16"/>
      <w:lang w:eastAsia="en-AU"/>
    </w:rPr>
  </w:style>
  <w:style w:type="paragraph" w:customStyle="1" w:styleId="Box">
    <w:name w:val="Box"/>
    <w:basedOn w:val="BodyText"/>
    <w:link w:val="BoxChar"/>
    <w:qFormat/>
    <w:rsid w:val="00882AC8"/>
    <w:pPr>
      <w:keepNext/>
      <w:spacing w:before="120" w:line="260" w:lineRule="atLeast"/>
    </w:pPr>
    <w:rPr>
      <w:rFonts w:ascii="Arial" w:hAnsi="Arial"/>
      <w:sz w:val="20"/>
    </w:rPr>
  </w:style>
  <w:style w:type="paragraph" w:customStyle="1" w:styleId="BoxContinued">
    <w:name w:val="Box Continued"/>
    <w:basedOn w:val="BodyText"/>
    <w:next w:val="BodyText"/>
    <w:semiHidden/>
    <w:rsid w:val="00882AC8"/>
    <w:pPr>
      <w:spacing w:before="180" w:line="220" w:lineRule="exact"/>
      <w:jc w:val="right"/>
    </w:pPr>
    <w:rPr>
      <w:rFonts w:ascii="Arial" w:hAnsi="Arial"/>
      <w:sz w:val="18"/>
    </w:rPr>
  </w:style>
  <w:style w:type="paragraph" w:customStyle="1" w:styleId="BoxHeading1">
    <w:name w:val="Box Heading 1"/>
    <w:basedOn w:val="BodyText"/>
    <w:next w:val="Box"/>
    <w:rsid w:val="00882AC8"/>
    <w:pPr>
      <w:keepNext/>
      <w:spacing w:before="200" w:line="280" w:lineRule="atLeast"/>
    </w:pPr>
    <w:rPr>
      <w:rFonts w:ascii="Arial" w:hAnsi="Arial"/>
      <w:b/>
      <w:sz w:val="22"/>
    </w:rPr>
  </w:style>
  <w:style w:type="paragraph" w:customStyle="1" w:styleId="BoxHeading2">
    <w:name w:val="Box Heading 2"/>
    <w:basedOn w:val="BoxHeading1"/>
    <w:next w:val="Box"/>
    <w:rsid w:val="00882AC8"/>
    <w:rPr>
      <w:b w:val="0"/>
      <w:i/>
    </w:rPr>
  </w:style>
  <w:style w:type="paragraph" w:customStyle="1" w:styleId="BoxListBullet">
    <w:name w:val="Box List Bullet"/>
    <w:basedOn w:val="BodyText"/>
    <w:link w:val="BoxListBulletChar"/>
    <w:rsid w:val="00882AC8"/>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82AC8"/>
    <w:pPr>
      <w:numPr>
        <w:numId w:val="2"/>
      </w:numPr>
      <w:ind w:left="568" w:hanging="284"/>
    </w:pPr>
  </w:style>
  <w:style w:type="paragraph" w:styleId="ListBullet3">
    <w:name w:val="List Bullet 3"/>
    <w:basedOn w:val="BodyText"/>
    <w:rsid w:val="00882AC8"/>
    <w:pPr>
      <w:numPr>
        <w:numId w:val="3"/>
      </w:numPr>
      <w:spacing w:before="120"/>
      <w:ind w:left="1020" w:hanging="340"/>
    </w:pPr>
  </w:style>
  <w:style w:type="paragraph" w:customStyle="1" w:styleId="BoxListBullet3">
    <w:name w:val="Box List Bullet 3"/>
    <w:basedOn w:val="ListBullet3"/>
    <w:rsid w:val="00882AC8"/>
    <w:pPr>
      <w:numPr>
        <w:numId w:val="4"/>
      </w:numPr>
      <w:tabs>
        <w:tab w:val="left" w:pos="907"/>
      </w:tabs>
      <w:spacing w:before="60" w:line="260" w:lineRule="atLeast"/>
      <w:ind w:left="907" w:hanging="340"/>
    </w:pPr>
    <w:rPr>
      <w:rFonts w:ascii="Arial" w:hAnsi="Arial"/>
      <w:sz w:val="20"/>
    </w:rPr>
  </w:style>
  <w:style w:type="paragraph" w:customStyle="1" w:styleId="BoxListNumber">
    <w:name w:val="Box List Number"/>
    <w:basedOn w:val="BodyText"/>
    <w:rsid w:val="00882AC8"/>
    <w:pPr>
      <w:keepNext/>
      <w:numPr>
        <w:numId w:val="5"/>
      </w:numPr>
      <w:spacing w:before="100" w:line="260" w:lineRule="atLeast"/>
    </w:pPr>
    <w:rPr>
      <w:rFonts w:ascii="Arial" w:hAnsi="Arial"/>
      <w:sz w:val="20"/>
    </w:rPr>
  </w:style>
  <w:style w:type="paragraph" w:customStyle="1" w:styleId="BoxListNumber2">
    <w:name w:val="Box List Number 2"/>
    <w:basedOn w:val="BoxListNumber"/>
    <w:rsid w:val="00882AC8"/>
    <w:pPr>
      <w:numPr>
        <w:ilvl w:val="1"/>
      </w:numPr>
      <w:ind w:left="681" w:hanging="397"/>
    </w:pPr>
  </w:style>
  <w:style w:type="paragraph" w:customStyle="1" w:styleId="BoxQuote">
    <w:name w:val="Box Quote"/>
    <w:basedOn w:val="BodyText"/>
    <w:next w:val="Box"/>
    <w:qFormat/>
    <w:rsid w:val="00882AC8"/>
    <w:pPr>
      <w:keepNext/>
      <w:spacing w:before="60" w:line="240" w:lineRule="exact"/>
      <w:ind w:left="284"/>
    </w:pPr>
    <w:rPr>
      <w:rFonts w:ascii="Arial" w:hAnsi="Arial"/>
      <w:sz w:val="18"/>
    </w:rPr>
  </w:style>
  <w:style w:type="paragraph" w:customStyle="1" w:styleId="BoxQuoteBullet">
    <w:name w:val="Box Quote Bullet"/>
    <w:basedOn w:val="BoxQuote"/>
    <w:next w:val="Box"/>
    <w:rsid w:val="00882AC8"/>
    <w:pPr>
      <w:numPr>
        <w:numId w:val="6"/>
      </w:numPr>
      <w:ind w:left="568" w:hanging="284"/>
    </w:pPr>
  </w:style>
  <w:style w:type="paragraph" w:customStyle="1" w:styleId="Source">
    <w:name w:val="Source"/>
    <w:basedOn w:val="Normal"/>
    <w:next w:val="BodyText"/>
    <w:rsid w:val="00882AC8"/>
    <w:pPr>
      <w:keepLines/>
      <w:spacing w:before="80" w:line="220" w:lineRule="exact"/>
      <w:jc w:val="both"/>
    </w:pPr>
    <w:rPr>
      <w:rFonts w:ascii="Arial" w:hAnsi="Arial"/>
      <w:sz w:val="18"/>
      <w:szCs w:val="20"/>
    </w:rPr>
  </w:style>
  <w:style w:type="paragraph" w:customStyle="1" w:styleId="BoxSource">
    <w:name w:val="Box Source"/>
    <w:basedOn w:val="Source"/>
    <w:next w:val="BodyText"/>
    <w:rsid w:val="00882AC8"/>
    <w:pPr>
      <w:spacing w:before="120"/>
    </w:pPr>
  </w:style>
  <w:style w:type="paragraph" w:customStyle="1" w:styleId="BoxSpaceAbove">
    <w:name w:val="Box Space Above"/>
    <w:basedOn w:val="BodyText"/>
    <w:rsid w:val="00882AC8"/>
    <w:pPr>
      <w:keepNext/>
      <w:spacing w:before="360" w:line="80" w:lineRule="exact"/>
      <w:jc w:val="left"/>
    </w:pPr>
  </w:style>
  <w:style w:type="paragraph" w:customStyle="1" w:styleId="BoxSpaceBelow">
    <w:name w:val="Box Space Below"/>
    <w:basedOn w:val="Box"/>
    <w:rsid w:val="00882AC8"/>
    <w:pPr>
      <w:keepNext w:val="0"/>
      <w:spacing w:before="60" w:after="60" w:line="80" w:lineRule="exact"/>
    </w:pPr>
    <w:rPr>
      <w:sz w:val="14"/>
    </w:rPr>
  </w:style>
  <w:style w:type="paragraph" w:styleId="Caption">
    <w:name w:val="caption"/>
    <w:basedOn w:val="Normal"/>
    <w:next w:val="BodyText"/>
    <w:rsid w:val="00882AC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882AC8"/>
    <w:pPr>
      <w:spacing w:before="120" w:after="0"/>
    </w:pPr>
  </w:style>
  <w:style w:type="paragraph" w:customStyle="1" w:styleId="BoxSubtitle">
    <w:name w:val="Box Subtitle"/>
    <w:basedOn w:val="BoxTitle"/>
    <w:next w:val="Normal"/>
    <w:rsid w:val="00882AC8"/>
    <w:pPr>
      <w:spacing w:after="80" w:line="200" w:lineRule="exact"/>
      <w:ind w:firstLine="0"/>
    </w:pPr>
    <w:rPr>
      <w:b w:val="0"/>
      <w:sz w:val="20"/>
    </w:rPr>
  </w:style>
  <w:style w:type="paragraph" w:customStyle="1" w:styleId="Chapter">
    <w:name w:val="Chapter"/>
    <w:basedOn w:val="Heading1"/>
    <w:next w:val="BodyText"/>
    <w:semiHidden/>
    <w:rsid w:val="00882AC8"/>
    <w:pPr>
      <w:ind w:left="0" w:firstLine="0"/>
      <w:outlineLvl w:val="9"/>
    </w:pPr>
  </w:style>
  <w:style w:type="paragraph" w:customStyle="1" w:styleId="ChapterSummary">
    <w:name w:val="Chapter Summary"/>
    <w:basedOn w:val="BodyText"/>
    <w:rsid w:val="00882AC8"/>
    <w:pPr>
      <w:spacing w:line="280" w:lineRule="atLeast"/>
      <w:ind w:left="907"/>
    </w:pPr>
    <w:rPr>
      <w:rFonts w:ascii="Arial" w:hAnsi="Arial"/>
      <w:b/>
      <w:sz w:val="20"/>
    </w:rPr>
  </w:style>
  <w:style w:type="character" w:styleId="CommentReference">
    <w:name w:val="annotation reference"/>
    <w:basedOn w:val="DefaultParagraphFont"/>
    <w:semiHidden/>
    <w:rsid w:val="00882AC8"/>
    <w:rPr>
      <w:b/>
      <w:vanish/>
      <w:color w:val="FF00FF"/>
      <w:sz w:val="20"/>
    </w:rPr>
  </w:style>
  <w:style w:type="paragraph" w:styleId="CommentText">
    <w:name w:val="annotation text"/>
    <w:basedOn w:val="Normal"/>
    <w:link w:val="CommentTextChar"/>
    <w:rsid w:val="00882AC8"/>
    <w:pPr>
      <w:spacing w:before="120" w:line="240" w:lineRule="atLeast"/>
      <w:ind w:left="567" w:hanging="567"/>
    </w:pPr>
    <w:rPr>
      <w:sz w:val="20"/>
    </w:rPr>
  </w:style>
  <w:style w:type="character" w:customStyle="1" w:styleId="CommentTextChar">
    <w:name w:val="Comment Text Char"/>
    <w:basedOn w:val="DefaultParagraphFont"/>
    <w:link w:val="CommentText"/>
    <w:rsid w:val="00D41518"/>
    <w:rPr>
      <w:rFonts w:ascii="Times New Roman" w:eastAsia="Times New Roman" w:hAnsi="Times New Roman" w:cs="Times New Roman"/>
      <w:sz w:val="20"/>
      <w:szCs w:val="24"/>
      <w:lang w:eastAsia="en-AU"/>
    </w:rPr>
  </w:style>
  <w:style w:type="paragraph" w:customStyle="1" w:styleId="Continued">
    <w:name w:val="Continued"/>
    <w:basedOn w:val="BoxContinued"/>
    <w:next w:val="BodyText"/>
    <w:rsid w:val="00882AC8"/>
  </w:style>
  <w:style w:type="character" w:customStyle="1" w:styleId="Continuedintitle">
    <w:name w:val="Continued (in title)"/>
    <w:basedOn w:val="DefaultParagraphFont"/>
    <w:rsid w:val="00882AC8"/>
    <w:rPr>
      <w:rFonts w:ascii="Arial" w:hAnsi="Arial"/>
      <w:b/>
      <w:sz w:val="18"/>
    </w:rPr>
  </w:style>
  <w:style w:type="character" w:customStyle="1" w:styleId="DocumentInfo">
    <w:name w:val="Document Info"/>
    <w:basedOn w:val="DefaultParagraphFont"/>
    <w:semiHidden/>
    <w:rsid w:val="00882AC8"/>
    <w:rPr>
      <w:rFonts w:ascii="Arial" w:hAnsi="Arial"/>
      <w:sz w:val="14"/>
    </w:rPr>
  </w:style>
  <w:style w:type="character" w:customStyle="1" w:styleId="DraftingNote">
    <w:name w:val="Drafting Note"/>
    <w:basedOn w:val="DefaultParagraphFont"/>
    <w:rsid w:val="00882AC8"/>
    <w:rPr>
      <w:b/>
      <w:color w:val="FF0000"/>
      <w:sz w:val="24"/>
      <w:u w:val="dotted"/>
    </w:rPr>
  </w:style>
  <w:style w:type="character" w:styleId="Emphasis">
    <w:name w:val="Emphasis"/>
    <w:basedOn w:val="DefaultParagraphFont"/>
    <w:rsid w:val="00882AC8"/>
    <w:rPr>
      <w:i/>
      <w:iCs/>
    </w:rPr>
  </w:style>
  <w:style w:type="paragraph" w:customStyle="1" w:styleId="Figure">
    <w:name w:val="Figure"/>
    <w:basedOn w:val="BodyText"/>
    <w:rsid w:val="00882AC8"/>
    <w:pPr>
      <w:keepNext/>
      <w:spacing w:before="120" w:after="120" w:line="240" w:lineRule="atLeast"/>
      <w:jc w:val="center"/>
    </w:pPr>
  </w:style>
  <w:style w:type="paragraph" w:customStyle="1" w:styleId="Figurespace">
    <w:name w:val="Figure space"/>
    <w:basedOn w:val="Box"/>
    <w:rsid w:val="00882AC8"/>
    <w:pPr>
      <w:spacing w:before="0" w:line="120" w:lineRule="exact"/>
    </w:pPr>
  </w:style>
  <w:style w:type="paragraph" w:customStyle="1" w:styleId="FigureTitle">
    <w:name w:val="Figure Title"/>
    <w:basedOn w:val="Caption"/>
    <w:next w:val="Subtitle"/>
    <w:rsid w:val="00882AC8"/>
    <w:pPr>
      <w:spacing w:before="120"/>
    </w:pPr>
  </w:style>
  <w:style w:type="paragraph" w:styleId="Subtitle">
    <w:name w:val="Subtitle"/>
    <w:basedOn w:val="Caption"/>
    <w:link w:val="SubtitleChar"/>
    <w:qFormat/>
    <w:rsid w:val="00882AC8"/>
    <w:pPr>
      <w:spacing w:before="0" w:line="200" w:lineRule="exact"/>
      <w:ind w:firstLine="0"/>
    </w:pPr>
    <w:rPr>
      <w:b w:val="0"/>
      <w:sz w:val="20"/>
    </w:rPr>
  </w:style>
  <w:style w:type="character" w:customStyle="1" w:styleId="SubtitleChar">
    <w:name w:val="Subtitle Char"/>
    <w:basedOn w:val="DefaultParagraphFont"/>
    <w:link w:val="Subtitle"/>
    <w:rsid w:val="00882AC8"/>
    <w:rPr>
      <w:rFonts w:ascii="Arial" w:eastAsia="Times New Roman" w:hAnsi="Arial" w:cs="Times New Roman"/>
      <w:sz w:val="20"/>
      <w:szCs w:val="24"/>
      <w:lang w:eastAsia="en-AU"/>
    </w:rPr>
  </w:style>
  <w:style w:type="paragraph" w:customStyle="1" w:styleId="Finding">
    <w:name w:val="Finding"/>
    <w:basedOn w:val="BodyText"/>
    <w:rsid w:val="00882AC8"/>
    <w:pPr>
      <w:keepLines/>
      <w:spacing w:before="120" w:line="280" w:lineRule="atLeast"/>
    </w:pPr>
    <w:rPr>
      <w:rFonts w:ascii="Arial" w:hAnsi="Arial"/>
      <w:sz w:val="22"/>
    </w:rPr>
  </w:style>
  <w:style w:type="paragraph" w:customStyle="1" w:styleId="FindingBullet">
    <w:name w:val="Finding Bullet"/>
    <w:basedOn w:val="Finding"/>
    <w:rsid w:val="00882AC8"/>
    <w:pPr>
      <w:numPr>
        <w:numId w:val="7"/>
      </w:numPr>
      <w:spacing w:before="80"/>
    </w:pPr>
  </w:style>
  <w:style w:type="paragraph" w:customStyle="1" w:styleId="FindingNoTitle">
    <w:name w:val="Finding NoTitle"/>
    <w:basedOn w:val="Finding"/>
    <w:semiHidden/>
    <w:rsid w:val="00882AC8"/>
    <w:pPr>
      <w:spacing w:before="240"/>
    </w:pPr>
  </w:style>
  <w:style w:type="paragraph" w:customStyle="1" w:styleId="RecTitle">
    <w:name w:val="Rec Title"/>
    <w:basedOn w:val="BodyText"/>
    <w:next w:val="Rec"/>
    <w:qFormat/>
    <w:rsid w:val="00882AC8"/>
    <w:pPr>
      <w:keepNext/>
      <w:keepLines/>
      <w:spacing w:line="280" w:lineRule="atLeast"/>
    </w:pPr>
    <w:rPr>
      <w:rFonts w:ascii="Arial" w:hAnsi="Arial"/>
      <w:caps/>
      <w:sz w:val="18"/>
    </w:rPr>
  </w:style>
  <w:style w:type="paragraph" w:customStyle="1" w:styleId="FindingTitle">
    <w:name w:val="Finding Title"/>
    <w:basedOn w:val="RecTitle"/>
    <w:next w:val="Finding"/>
    <w:rsid w:val="00882AC8"/>
  </w:style>
  <w:style w:type="paragraph" w:styleId="Footer">
    <w:name w:val="footer"/>
    <w:basedOn w:val="BodyText"/>
    <w:link w:val="FooterChar"/>
    <w:rsid w:val="00882AC8"/>
    <w:pPr>
      <w:spacing w:before="80" w:line="200" w:lineRule="exact"/>
      <w:ind w:right="6"/>
      <w:jc w:val="left"/>
    </w:pPr>
    <w:rPr>
      <w:rFonts w:ascii="Arial" w:hAnsi="Arial"/>
      <w:caps/>
      <w:spacing w:val="-4"/>
      <w:sz w:val="16"/>
    </w:rPr>
  </w:style>
  <w:style w:type="character" w:customStyle="1" w:styleId="FooterChar">
    <w:name w:val="Footer Char"/>
    <w:basedOn w:val="BodyTextChar"/>
    <w:link w:val="Footer"/>
    <w:rsid w:val="00882AC8"/>
    <w:rPr>
      <w:rFonts w:ascii="Arial" w:eastAsia="Times New Roman" w:hAnsi="Arial" w:cs="Times New Roman"/>
      <w:caps/>
      <w:spacing w:val="-4"/>
      <w:sz w:val="16"/>
      <w:szCs w:val="20"/>
      <w:lang w:eastAsia="en-AU"/>
    </w:rPr>
  </w:style>
  <w:style w:type="paragraph" w:customStyle="1" w:styleId="FooterEnd">
    <w:name w:val="Footer End"/>
    <w:basedOn w:val="Footer"/>
    <w:rsid w:val="00882AC8"/>
    <w:pPr>
      <w:spacing w:before="0" w:line="20" w:lineRule="exact"/>
    </w:pPr>
  </w:style>
  <w:style w:type="paragraph" w:customStyle="1" w:styleId="FooterDraftReport">
    <w:name w:val="FooterDraftReport"/>
    <w:basedOn w:val="Footer"/>
    <w:link w:val="FooterDraftReportChar"/>
    <w:rsid w:val="00882AC8"/>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882AC8"/>
    <w:rPr>
      <w:rFonts w:ascii="Arial" w:eastAsia="Times New Roman" w:hAnsi="Arial" w:cs="Arial"/>
      <w:caps/>
      <w:color w:val="808080"/>
      <w:spacing w:val="-4"/>
      <w:sz w:val="16"/>
      <w:szCs w:val="20"/>
      <w:lang w:eastAsia="en-AU"/>
      <w14:textFill>
        <w14:solidFill>
          <w14:srgbClr w14:val="808080">
            <w14:lumMod w14:val="50000"/>
            <w14:lumOff w14:val="50000"/>
            <w14:lumMod w14:val="50000"/>
            <w14:lumOff w14:val="50000"/>
            <w14:lumMod w14:val="50000"/>
          </w14:srgbClr>
        </w14:solidFill>
      </w14:textFill>
    </w:rPr>
  </w:style>
  <w:style w:type="character" w:styleId="FootnoteReference">
    <w:name w:val="footnote reference"/>
    <w:aliases w:val="Footnotes refss,Footnote number,Footnote,[0]"/>
    <w:basedOn w:val="DefaultParagraphFont"/>
    <w:rsid w:val="00882AC8"/>
    <w:rPr>
      <w:rFonts w:ascii="Times New Roman" w:hAnsi="Times New Roman"/>
      <w:position w:val="6"/>
      <w:sz w:val="20"/>
      <w:vertAlign w:val="baseline"/>
    </w:rPr>
  </w:style>
  <w:style w:type="paragraph" w:styleId="FootnoteText">
    <w:name w:val="footnote text"/>
    <w:basedOn w:val="BodyText"/>
    <w:link w:val="FootnoteTextChar"/>
    <w:rsid w:val="00882AC8"/>
    <w:pPr>
      <w:tabs>
        <w:tab w:val="left" w:pos="284"/>
      </w:tabs>
      <w:spacing w:before="80" w:line="240" w:lineRule="exact"/>
      <w:ind w:left="284" w:hanging="284"/>
    </w:pPr>
    <w:rPr>
      <w:sz w:val="20"/>
    </w:rPr>
  </w:style>
  <w:style w:type="character" w:customStyle="1" w:styleId="FootnoteTextChar">
    <w:name w:val="Footnote Text Char"/>
    <w:basedOn w:val="DefaultParagraphFont"/>
    <w:link w:val="FootnoteText"/>
    <w:rsid w:val="00D41518"/>
    <w:rPr>
      <w:rFonts w:ascii="Times New Roman" w:eastAsia="Times New Roman" w:hAnsi="Times New Roman" w:cs="Times New Roman"/>
      <w:sz w:val="20"/>
      <w:szCs w:val="20"/>
      <w:lang w:eastAsia="en-AU"/>
    </w:rPr>
  </w:style>
  <w:style w:type="paragraph" w:styleId="Header">
    <w:name w:val="header"/>
    <w:basedOn w:val="BodyText"/>
    <w:link w:val="HeaderChar"/>
    <w:rsid w:val="00882AC8"/>
    <w:pPr>
      <w:tabs>
        <w:tab w:val="center" w:pos="4394"/>
        <w:tab w:val="right" w:pos="8789"/>
      </w:tabs>
      <w:spacing w:before="0" w:line="240" w:lineRule="atLeast"/>
      <w:jc w:val="left"/>
    </w:pPr>
    <w:rPr>
      <w:rFonts w:ascii="Arial" w:hAnsi="Arial"/>
      <w:caps/>
    </w:rPr>
  </w:style>
  <w:style w:type="character" w:customStyle="1" w:styleId="HeaderChar">
    <w:name w:val="Header Char"/>
    <w:basedOn w:val="DefaultParagraphFont"/>
    <w:link w:val="Header"/>
    <w:rsid w:val="00D41518"/>
    <w:rPr>
      <w:rFonts w:ascii="Arial" w:eastAsia="Times New Roman" w:hAnsi="Arial" w:cs="Times New Roman"/>
      <w:caps/>
      <w:sz w:val="24"/>
      <w:szCs w:val="20"/>
      <w:lang w:eastAsia="en-AU"/>
    </w:rPr>
  </w:style>
  <w:style w:type="paragraph" w:customStyle="1" w:styleId="HeaderEnd">
    <w:name w:val="Header End"/>
    <w:basedOn w:val="Header"/>
    <w:autoRedefine/>
    <w:rsid w:val="00882AC8"/>
    <w:pPr>
      <w:spacing w:line="20" w:lineRule="exact"/>
    </w:pPr>
    <w:rPr>
      <w:sz w:val="16"/>
    </w:rPr>
  </w:style>
  <w:style w:type="paragraph" w:customStyle="1" w:styleId="HeaderEven">
    <w:name w:val="Header Even"/>
    <w:basedOn w:val="Header"/>
    <w:rsid w:val="00882AC8"/>
  </w:style>
  <w:style w:type="paragraph" w:customStyle="1" w:styleId="HeaderOdd">
    <w:name w:val="Header Odd"/>
    <w:basedOn w:val="Header"/>
    <w:rsid w:val="00882AC8"/>
  </w:style>
  <w:style w:type="paragraph" w:customStyle="1" w:styleId="Heading1nochapterno">
    <w:name w:val="Heading 1 (no chapter no.)"/>
    <w:basedOn w:val="Heading1"/>
    <w:rsid w:val="00882AC8"/>
    <w:pPr>
      <w:spacing w:before="0"/>
      <w:ind w:left="0" w:firstLine="0"/>
    </w:pPr>
  </w:style>
  <w:style w:type="paragraph" w:customStyle="1" w:styleId="Heading2nosectionno">
    <w:name w:val="Heading 2 (no section no.)"/>
    <w:basedOn w:val="Heading2"/>
    <w:rsid w:val="00882AC8"/>
    <w:pPr>
      <w:ind w:left="0" w:firstLine="0"/>
    </w:pPr>
  </w:style>
  <w:style w:type="paragraph" w:customStyle="1" w:styleId="InformationRequest">
    <w:name w:val="Information Request"/>
    <w:basedOn w:val="Finding"/>
    <w:next w:val="BodyText"/>
    <w:rsid w:val="00882AC8"/>
    <w:rPr>
      <w:i/>
    </w:rPr>
  </w:style>
  <w:style w:type="paragraph" w:styleId="ListBullet">
    <w:name w:val="List Bullet"/>
    <w:basedOn w:val="BodyText"/>
    <w:rsid w:val="00882AC8"/>
    <w:pPr>
      <w:numPr>
        <w:numId w:val="8"/>
      </w:numPr>
      <w:spacing w:before="120"/>
    </w:pPr>
  </w:style>
  <w:style w:type="paragraph" w:customStyle="1" w:styleId="InformationRequestBullet">
    <w:name w:val="Information Request Bullet"/>
    <w:basedOn w:val="ListBullet"/>
    <w:next w:val="BodyText"/>
    <w:rsid w:val="00882AC8"/>
    <w:pPr>
      <w:numPr>
        <w:numId w:val="9"/>
      </w:numPr>
      <w:spacing w:before="80" w:line="280" w:lineRule="atLeast"/>
      <w:ind w:left="357" w:hanging="357"/>
    </w:pPr>
    <w:rPr>
      <w:rFonts w:ascii="Arial" w:hAnsi="Arial"/>
      <w:i/>
      <w:sz w:val="22"/>
    </w:rPr>
  </w:style>
  <w:style w:type="paragraph" w:customStyle="1" w:styleId="InformationRequestTitle">
    <w:name w:val="Information Request Title"/>
    <w:basedOn w:val="FindingTitle"/>
    <w:next w:val="InformationRequest"/>
    <w:rsid w:val="00882AC8"/>
    <w:rPr>
      <w:i/>
    </w:rPr>
  </w:style>
  <w:style w:type="paragraph" w:customStyle="1" w:styleId="Jurisdictioncommentsbodytext">
    <w:name w:val="Jurisdiction comments body text"/>
    <w:rsid w:val="00882AC8"/>
    <w:pPr>
      <w:spacing w:after="140" w:line="240" w:lineRule="auto"/>
      <w:jc w:val="both"/>
    </w:pPr>
    <w:rPr>
      <w:rFonts w:ascii="Arial" w:eastAsia="Times New Roman" w:hAnsi="Arial" w:cs="Times New Roman"/>
      <w:sz w:val="24"/>
      <w:szCs w:val="20"/>
    </w:rPr>
  </w:style>
  <w:style w:type="paragraph" w:customStyle="1" w:styleId="Jurisdictioncommentsheading">
    <w:name w:val="Jurisdiction comments heading"/>
    <w:rsid w:val="00882AC8"/>
    <w:pPr>
      <w:spacing w:after="140" w:line="320" w:lineRule="atLeast"/>
      <w:jc w:val="both"/>
    </w:pPr>
    <w:rPr>
      <w:rFonts w:ascii="Arial" w:eastAsia="Times New Roman" w:hAnsi="Arial" w:cs="Times New Roman"/>
      <w:b/>
      <w:sz w:val="24"/>
      <w:szCs w:val="20"/>
    </w:rPr>
  </w:style>
  <w:style w:type="paragraph" w:customStyle="1" w:styleId="Jurisdictioncommentslistbullet">
    <w:name w:val="Jurisdiction comments list bullet"/>
    <w:rsid w:val="00882AC8"/>
    <w:pPr>
      <w:numPr>
        <w:numId w:val="10"/>
      </w:numPr>
      <w:spacing w:after="140" w:line="240" w:lineRule="auto"/>
      <w:jc w:val="both"/>
    </w:pPr>
    <w:rPr>
      <w:rFonts w:ascii="Arial" w:eastAsia="Times New Roman" w:hAnsi="Arial" w:cs="Times New Roman"/>
      <w:sz w:val="24"/>
      <w:szCs w:val="20"/>
    </w:rPr>
  </w:style>
  <w:style w:type="paragraph" w:customStyle="1" w:styleId="KeyPointsListBullet">
    <w:name w:val="Key Points List Bullet"/>
    <w:basedOn w:val="Normal"/>
    <w:qFormat/>
    <w:rsid w:val="00882AC8"/>
    <w:pPr>
      <w:keepNext/>
      <w:numPr>
        <w:numId w:val="11"/>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882AC8"/>
    <w:pPr>
      <w:numPr>
        <w:numId w:val="12"/>
      </w:numPr>
      <w:ind w:left="568" w:hanging="284"/>
    </w:pPr>
  </w:style>
  <w:style w:type="paragraph" w:styleId="ListBullet2">
    <w:name w:val="List Bullet 2"/>
    <w:basedOn w:val="BodyText"/>
    <w:rsid w:val="00882AC8"/>
    <w:pPr>
      <w:numPr>
        <w:numId w:val="17"/>
      </w:numPr>
      <w:spacing w:before="120"/>
    </w:pPr>
  </w:style>
  <w:style w:type="paragraph" w:styleId="ListNumber">
    <w:name w:val="List Number"/>
    <w:basedOn w:val="BodyText"/>
    <w:rsid w:val="00882AC8"/>
    <w:pPr>
      <w:numPr>
        <w:numId w:val="13"/>
      </w:numPr>
      <w:spacing w:before="120"/>
    </w:pPr>
  </w:style>
  <w:style w:type="paragraph" w:styleId="ListNumber2">
    <w:name w:val="List Number 2"/>
    <w:basedOn w:val="ListNumber"/>
    <w:rsid w:val="00882AC8"/>
    <w:pPr>
      <w:numPr>
        <w:ilvl w:val="1"/>
      </w:numPr>
    </w:pPr>
  </w:style>
  <w:style w:type="paragraph" w:styleId="ListNumber3">
    <w:name w:val="List Number 3"/>
    <w:basedOn w:val="ListNumber2"/>
    <w:rsid w:val="00882AC8"/>
    <w:pPr>
      <w:numPr>
        <w:ilvl w:val="2"/>
      </w:numPr>
    </w:pPr>
  </w:style>
  <w:style w:type="paragraph" w:customStyle="1" w:styleId="Note">
    <w:name w:val="Note"/>
    <w:basedOn w:val="BodyText"/>
    <w:next w:val="BodyText"/>
    <w:rsid w:val="00882AC8"/>
    <w:pPr>
      <w:keepLines/>
      <w:spacing w:before="80" w:line="220" w:lineRule="exact"/>
    </w:pPr>
    <w:rPr>
      <w:rFonts w:ascii="Arial" w:hAnsi="Arial"/>
      <w:sz w:val="18"/>
    </w:rPr>
  </w:style>
  <w:style w:type="character" w:customStyle="1" w:styleId="NoteLabel">
    <w:name w:val="Note Label"/>
    <w:basedOn w:val="DefaultParagraphFont"/>
    <w:rsid w:val="00882AC8"/>
    <w:rPr>
      <w:rFonts w:ascii="Arial" w:hAnsi="Arial"/>
      <w:b/>
      <w:position w:val="6"/>
      <w:sz w:val="18"/>
    </w:rPr>
  </w:style>
  <w:style w:type="character" w:styleId="PageNumber">
    <w:name w:val="page number"/>
    <w:basedOn w:val="DefaultParagraphFont"/>
    <w:rsid w:val="00882AC8"/>
    <w:rPr>
      <w:rFonts w:ascii="Arial" w:hAnsi="Arial"/>
      <w:b/>
      <w:sz w:val="16"/>
    </w:rPr>
  </w:style>
  <w:style w:type="paragraph" w:customStyle="1" w:styleId="PartDivider">
    <w:name w:val="Part Divider"/>
    <w:basedOn w:val="BodyText"/>
    <w:next w:val="BodyText"/>
    <w:rsid w:val="00882AC8"/>
    <w:pPr>
      <w:spacing w:before="0" w:line="40" w:lineRule="exact"/>
      <w:jc w:val="right"/>
    </w:pPr>
    <w:rPr>
      <w:smallCaps/>
      <w:sz w:val="16"/>
    </w:rPr>
  </w:style>
  <w:style w:type="paragraph" w:customStyle="1" w:styleId="PartNumber">
    <w:name w:val="Part Number"/>
    <w:basedOn w:val="BodyText"/>
    <w:next w:val="BodyText"/>
    <w:rsid w:val="00882AC8"/>
    <w:pPr>
      <w:spacing w:before="4000" w:line="320" w:lineRule="exact"/>
      <w:ind w:left="6634"/>
      <w:jc w:val="right"/>
    </w:pPr>
    <w:rPr>
      <w:smallCaps/>
      <w:spacing w:val="60"/>
      <w:sz w:val="32"/>
    </w:rPr>
  </w:style>
  <w:style w:type="paragraph" w:customStyle="1" w:styleId="PartTitle">
    <w:name w:val="Part Title"/>
    <w:basedOn w:val="BodyText"/>
    <w:rsid w:val="00882AC8"/>
    <w:pPr>
      <w:spacing w:before="160" w:after="1360" w:line="520" w:lineRule="exact"/>
      <w:ind w:right="2381"/>
      <w:jc w:val="right"/>
    </w:pPr>
    <w:rPr>
      <w:smallCaps/>
      <w:sz w:val="52"/>
    </w:rPr>
  </w:style>
  <w:style w:type="paragraph" w:styleId="Quote">
    <w:name w:val="Quote"/>
    <w:basedOn w:val="BodyText"/>
    <w:next w:val="BodyText"/>
    <w:link w:val="QuoteChar"/>
    <w:qFormat/>
    <w:rsid w:val="00882AC8"/>
    <w:pPr>
      <w:spacing w:before="120" w:line="280" w:lineRule="exact"/>
      <w:ind w:left="340"/>
    </w:pPr>
    <w:rPr>
      <w:sz w:val="22"/>
    </w:rPr>
  </w:style>
  <w:style w:type="character" w:customStyle="1" w:styleId="QuoteChar">
    <w:name w:val="Quote Char"/>
    <w:basedOn w:val="DefaultParagraphFont"/>
    <w:link w:val="Quote"/>
    <w:rsid w:val="00D41518"/>
    <w:rPr>
      <w:rFonts w:ascii="Times New Roman" w:eastAsia="Times New Roman" w:hAnsi="Times New Roman" w:cs="Times New Roman"/>
      <w:szCs w:val="20"/>
      <w:lang w:eastAsia="en-AU"/>
    </w:rPr>
  </w:style>
  <w:style w:type="paragraph" w:customStyle="1" w:styleId="QuoteBullet">
    <w:name w:val="Quote Bullet"/>
    <w:basedOn w:val="Quote"/>
    <w:rsid w:val="00882AC8"/>
    <w:pPr>
      <w:numPr>
        <w:numId w:val="14"/>
      </w:numPr>
    </w:pPr>
  </w:style>
  <w:style w:type="paragraph" w:customStyle="1" w:styleId="Rec">
    <w:name w:val="Rec"/>
    <w:basedOn w:val="BodyText"/>
    <w:qFormat/>
    <w:rsid w:val="00882AC8"/>
    <w:pPr>
      <w:keepLines/>
      <w:spacing w:before="120" w:line="280" w:lineRule="atLeast"/>
    </w:pPr>
    <w:rPr>
      <w:rFonts w:ascii="Arial" w:hAnsi="Arial"/>
      <w:sz w:val="22"/>
    </w:rPr>
  </w:style>
  <w:style w:type="paragraph" w:customStyle="1" w:styleId="RecBullet">
    <w:name w:val="Rec Bullet"/>
    <w:basedOn w:val="Rec"/>
    <w:rsid w:val="00882AC8"/>
    <w:pPr>
      <w:numPr>
        <w:numId w:val="15"/>
      </w:numPr>
      <w:spacing w:before="80"/>
    </w:pPr>
  </w:style>
  <w:style w:type="paragraph" w:customStyle="1" w:styleId="RecB">
    <w:name w:val="RecB"/>
    <w:basedOn w:val="Normal"/>
    <w:semiHidden/>
    <w:rsid w:val="00882AC8"/>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882AC8"/>
    <w:pPr>
      <w:numPr>
        <w:numId w:val="16"/>
      </w:numPr>
      <w:spacing w:before="80"/>
    </w:pPr>
  </w:style>
  <w:style w:type="paragraph" w:customStyle="1" w:styleId="RecBBullet2">
    <w:name w:val="RecB Bullet 2"/>
    <w:basedOn w:val="ListBullet2"/>
    <w:semiHidden/>
    <w:rsid w:val="00882AC8"/>
    <w:pPr>
      <w:pBdr>
        <w:left w:val="single" w:sz="24" w:space="29" w:color="C0C0C0"/>
      </w:pBdr>
    </w:pPr>
    <w:rPr>
      <w:b/>
      <w:i/>
    </w:rPr>
  </w:style>
  <w:style w:type="paragraph" w:customStyle="1" w:styleId="RecBNoTitle">
    <w:name w:val="RecB NoTitle"/>
    <w:basedOn w:val="RecB"/>
    <w:semiHidden/>
    <w:rsid w:val="00882AC8"/>
    <w:pPr>
      <w:spacing w:before="240"/>
    </w:pPr>
  </w:style>
  <w:style w:type="paragraph" w:customStyle="1" w:styleId="Reference">
    <w:name w:val="Reference"/>
    <w:basedOn w:val="BodyText"/>
    <w:rsid w:val="00882AC8"/>
    <w:pPr>
      <w:spacing w:before="120"/>
      <w:ind w:left="340" w:hanging="340"/>
    </w:pPr>
  </w:style>
  <w:style w:type="paragraph" w:customStyle="1" w:styleId="SequenceInfo">
    <w:name w:val="Sequence Info"/>
    <w:basedOn w:val="BodyText"/>
    <w:semiHidden/>
    <w:rsid w:val="00882AC8"/>
    <w:rPr>
      <w:vanish/>
      <w:sz w:val="16"/>
    </w:rPr>
  </w:style>
  <w:style w:type="paragraph" w:customStyle="1" w:styleId="SideNote">
    <w:name w:val="Side Note"/>
    <w:basedOn w:val="BodyText"/>
    <w:next w:val="BodyText"/>
    <w:semiHidden/>
    <w:rsid w:val="00882AC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882AC8"/>
    <w:pPr>
      <w:framePr w:wrap="around"/>
      <w:numPr>
        <w:numId w:val="18"/>
      </w:numPr>
      <w:tabs>
        <w:tab w:val="left" w:pos="227"/>
      </w:tabs>
    </w:pPr>
  </w:style>
  <w:style w:type="paragraph" w:customStyle="1" w:styleId="SideNoteGraphic">
    <w:name w:val="Side Note Graphic"/>
    <w:basedOn w:val="SideNote"/>
    <w:next w:val="BodyText"/>
    <w:semiHidden/>
    <w:rsid w:val="00882AC8"/>
    <w:pPr>
      <w:framePr w:wrap="around"/>
    </w:pPr>
  </w:style>
  <w:style w:type="paragraph" w:customStyle="1" w:styleId="Space">
    <w:name w:val="Space"/>
    <w:basedOn w:val="Normal"/>
    <w:rsid w:val="00882AC8"/>
    <w:pPr>
      <w:keepNext/>
      <w:spacing w:line="120" w:lineRule="exact"/>
      <w:jc w:val="both"/>
    </w:pPr>
    <w:rPr>
      <w:rFonts w:ascii="Arial" w:hAnsi="Arial"/>
      <w:sz w:val="20"/>
      <w:szCs w:val="20"/>
    </w:rPr>
  </w:style>
  <w:style w:type="paragraph" w:customStyle="1" w:styleId="TableBodyText">
    <w:name w:val="Table Body Text"/>
    <w:basedOn w:val="BodyText"/>
    <w:rsid w:val="00882AC8"/>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82AC8"/>
    <w:pPr>
      <w:numPr>
        <w:numId w:val="19"/>
      </w:numPr>
      <w:jc w:val="left"/>
    </w:pPr>
  </w:style>
  <w:style w:type="paragraph" w:customStyle="1" w:styleId="TableColumnHeading">
    <w:name w:val="Table Column Heading"/>
    <w:basedOn w:val="TableBodyText"/>
    <w:rsid w:val="00882AC8"/>
    <w:pPr>
      <w:spacing w:before="80" w:after="80"/>
    </w:pPr>
    <w:rPr>
      <w:i/>
    </w:rPr>
  </w:style>
  <w:style w:type="table" w:styleId="TableGrid">
    <w:name w:val="Table Grid"/>
    <w:basedOn w:val="TableNormal"/>
    <w:rsid w:val="00882AC8"/>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TOC2"/>
    <w:link w:val="TOC1Char"/>
    <w:rsid w:val="00882AC8"/>
    <w:pPr>
      <w:tabs>
        <w:tab w:val="right" w:pos="8789"/>
      </w:tabs>
      <w:spacing w:before="120" w:line="320" w:lineRule="exact"/>
      <w:ind w:left="510" w:right="851" w:hanging="510"/>
    </w:pPr>
    <w:rPr>
      <w:rFonts w:ascii="Arial" w:hAnsi="Arial"/>
      <w:b/>
      <w:sz w:val="26"/>
      <w:szCs w:val="26"/>
      <w:lang w:eastAsia="en-US"/>
    </w:rPr>
  </w:style>
  <w:style w:type="character" w:customStyle="1" w:styleId="TOC1Char">
    <w:name w:val="TOC 1 Char"/>
    <w:basedOn w:val="DefaultParagraphFont"/>
    <w:link w:val="TOC1"/>
    <w:rsid w:val="00882AC8"/>
    <w:rPr>
      <w:rFonts w:ascii="Arial" w:eastAsia="Times New Roman" w:hAnsi="Arial" w:cs="Times New Roman"/>
      <w:b/>
      <w:sz w:val="26"/>
      <w:szCs w:val="26"/>
    </w:rPr>
  </w:style>
  <w:style w:type="paragraph" w:styleId="TOC2">
    <w:name w:val="toc 2"/>
    <w:basedOn w:val="TOC1"/>
    <w:rsid w:val="00882AC8"/>
    <w:pPr>
      <w:ind w:left="1134" w:hanging="624"/>
    </w:pPr>
    <w:rPr>
      <w:b w:val="0"/>
    </w:rPr>
  </w:style>
  <w:style w:type="paragraph" w:styleId="TOC3">
    <w:name w:val="toc 3"/>
    <w:basedOn w:val="TOC2"/>
    <w:rsid w:val="00882AC8"/>
    <w:pPr>
      <w:spacing w:before="60"/>
      <w:ind w:left="1190" w:hanging="680"/>
    </w:pPr>
  </w:style>
  <w:style w:type="paragraph" w:styleId="TableofFigures">
    <w:name w:val="table of figures"/>
    <w:basedOn w:val="TOC3"/>
    <w:next w:val="BodyText"/>
    <w:semiHidden/>
    <w:rsid w:val="00882AC8"/>
    <w:pPr>
      <w:ind w:left="737" w:hanging="737"/>
    </w:pPr>
  </w:style>
  <w:style w:type="paragraph" w:customStyle="1" w:styleId="TableTitle">
    <w:name w:val="Table Title"/>
    <w:basedOn w:val="Caption"/>
    <w:next w:val="Subtitle"/>
    <w:qFormat/>
    <w:rsid w:val="00882AC8"/>
    <w:pPr>
      <w:spacing w:before="120"/>
    </w:pPr>
  </w:style>
  <w:style w:type="paragraph" w:customStyle="1" w:styleId="TableUnitsRow">
    <w:name w:val="Table Units Row"/>
    <w:basedOn w:val="TableBodyText"/>
    <w:rsid w:val="00882AC8"/>
    <w:pPr>
      <w:spacing w:before="40"/>
    </w:pPr>
  </w:style>
  <w:style w:type="paragraph" w:styleId="TOC4">
    <w:name w:val="toc 4"/>
    <w:basedOn w:val="TOC3"/>
    <w:rsid w:val="00882AC8"/>
    <w:pPr>
      <w:ind w:left="1191" w:firstLine="0"/>
    </w:pPr>
  </w:style>
  <w:style w:type="paragraph" w:customStyle="1" w:styleId="BoxSpaceAboveElement">
    <w:name w:val="Box Space Above Element"/>
    <w:basedOn w:val="BoxSpaceAbove"/>
    <w:link w:val="BoxSpaceAboveElementChar"/>
    <w:qFormat/>
    <w:rsid w:val="00D41518"/>
    <w:pPr>
      <w:spacing w:before="240"/>
    </w:pPr>
    <w:rPr>
      <w:b/>
      <w:vanish/>
      <w:color w:val="FF00FF"/>
      <w:sz w:val="14"/>
    </w:rPr>
  </w:style>
  <w:style w:type="character" w:customStyle="1" w:styleId="BoxSpaceAboveElementChar">
    <w:name w:val="Box Space Above Element Char"/>
    <w:basedOn w:val="DefaultParagraphFont"/>
    <w:link w:val="BoxSpaceAboveElement"/>
    <w:rsid w:val="00D41518"/>
    <w:rPr>
      <w:rFonts w:ascii="Times New Roman" w:eastAsia="Times New Roman" w:hAnsi="Times New Roman" w:cs="Times New Roman"/>
      <w:b/>
      <w:vanish/>
      <w:color w:val="FF00FF"/>
      <w:sz w:val="14"/>
      <w:szCs w:val="20"/>
      <w:lang w:eastAsia="en-AU"/>
    </w:rPr>
  </w:style>
  <w:style w:type="paragraph" w:styleId="CommentSubject">
    <w:name w:val="annotation subject"/>
    <w:basedOn w:val="CommentText"/>
    <w:next w:val="CommentText"/>
    <w:link w:val="CommentSubjectChar"/>
    <w:semiHidden/>
    <w:unhideWhenUsed/>
    <w:rsid w:val="00D41518"/>
    <w:pPr>
      <w:spacing w:before="0" w:line="240" w:lineRule="auto"/>
      <w:ind w:left="0" w:firstLine="0"/>
    </w:pPr>
    <w:rPr>
      <w:b/>
      <w:bCs/>
      <w:szCs w:val="20"/>
    </w:rPr>
  </w:style>
  <w:style w:type="character" w:customStyle="1" w:styleId="CommentSubjectChar">
    <w:name w:val="Comment Subject Char"/>
    <w:basedOn w:val="CommentTextChar"/>
    <w:link w:val="CommentSubject"/>
    <w:semiHidden/>
    <w:rsid w:val="00D41518"/>
    <w:rPr>
      <w:rFonts w:ascii="Times New Roman" w:eastAsia="Times New Roman" w:hAnsi="Times New Roman" w:cs="Times New Roman"/>
      <w:b/>
      <w:bCs/>
      <w:sz w:val="20"/>
      <w:szCs w:val="20"/>
      <w:lang w:eastAsia="en-AU"/>
    </w:rPr>
  </w:style>
  <w:style w:type="character" w:styleId="Hyperlink">
    <w:name w:val="Hyperlink"/>
    <w:basedOn w:val="DefaultParagraphFont"/>
    <w:unhideWhenUsed/>
    <w:rsid w:val="00D41518"/>
    <w:rPr>
      <w:color w:val="0000FF"/>
      <w:u w:val="single"/>
    </w:rPr>
  </w:style>
  <w:style w:type="paragraph" w:styleId="NormalWeb">
    <w:name w:val="Normal (Web)"/>
    <w:basedOn w:val="Normal"/>
    <w:uiPriority w:val="99"/>
    <w:unhideWhenUsed/>
    <w:rsid w:val="00D41518"/>
    <w:pPr>
      <w:spacing w:before="100" w:beforeAutospacing="1" w:after="100" w:afterAutospacing="1"/>
    </w:pPr>
    <w:rPr>
      <w:rFonts w:eastAsiaTheme="minorEastAsia"/>
    </w:rPr>
  </w:style>
  <w:style w:type="paragraph" w:styleId="ListParagraph">
    <w:name w:val="List Paragraph"/>
    <w:aliases w:val="Body text,List Paragraph1,Recommendation"/>
    <w:basedOn w:val="Normal"/>
    <w:link w:val="ListParagraphChar"/>
    <w:uiPriority w:val="34"/>
    <w:qFormat/>
    <w:rsid w:val="00D41518"/>
    <w:pPr>
      <w:ind w:left="720"/>
      <w:contextualSpacing/>
    </w:pPr>
    <w:rPr>
      <w:rFonts w:eastAsiaTheme="minorEastAsia"/>
    </w:rPr>
  </w:style>
  <w:style w:type="character" w:customStyle="1" w:styleId="UnresolvedMention1">
    <w:name w:val="Unresolved Mention1"/>
    <w:basedOn w:val="DefaultParagraphFont"/>
    <w:uiPriority w:val="99"/>
    <w:semiHidden/>
    <w:unhideWhenUsed/>
    <w:rsid w:val="00D41518"/>
    <w:rPr>
      <w:color w:val="605E5C"/>
      <w:shd w:val="clear" w:color="auto" w:fill="E1DFDD"/>
    </w:rPr>
  </w:style>
  <w:style w:type="character" w:styleId="FollowedHyperlink">
    <w:name w:val="FollowedHyperlink"/>
    <w:basedOn w:val="DefaultParagraphFont"/>
    <w:semiHidden/>
    <w:unhideWhenUsed/>
    <w:rsid w:val="00D41518"/>
    <w:rPr>
      <w:color w:val="954F72" w:themeColor="followedHyperlink"/>
      <w:u w:val="single"/>
    </w:rPr>
  </w:style>
  <w:style w:type="character" w:customStyle="1" w:styleId="CommentTextChar1">
    <w:name w:val="Comment Text Char1"/>
    <w:basedOn w:val="DefaultParagraphFont"/>
    <w:semiHidden/>
    <w:rsid w:val="00D41518"/>
    <w:rPr>
      <w:rFonts w:ascii="Times New Roman" w:eastAsia="Times New Roman" w:hAnsi="Times New Roman" w:cs="Times New Roman"/>
      <w:sz w:val="20"/>
      <w:szCs w:val="24"/>
      <w:lang w:eastAsia="en-AU"/>
    </w:rPr>
  </w:style>
  <w:style w:type="paragraph" w:customStyle="1" w:styleId="Default">
    <w:name w:val="Default"/>
    <w:rsid w:val="00D41518"/>
    <w:pPr>
      <w:widowControl w:val="0"/>
      <w:autoSpaceDE w:val="0"/>
      <w:autoSpaceDN w:val="0"/>
      <w:adjustRightInd w:val="0"/>
      <w:spacing w:after="0" w:line="360" w:lineRule="atLeast"/>
      <w:jc w:val="both"/>
      <w:textAlignment w:val="baseline"/>
    </w:pPr>
    <w:rPr>
      <w:rFonts w:ascii="Calibri" w:eastAsia="Times New Roman" w:hAnsi="Calibri" w:cs="Times New Roman"/>
      <w:color w:val="000000"/>
      <w:sz w:val="24"/>
      <w:szCs w:val="24"/>
      <w:lang w:eastAsia="en-AU"/>
    </w:rPr>
  </w:style>
  <w:style w:type="paragraph" w:styleId="Revision">
    <w:name w:val="Revision"/>
    <w:hidden/>
    <w:uiPriority w:val="99"/>
    <w:semiHidden/>
    <w:rsid w:val="00D41518"/>
    <w:pPr>
      <w:widowControl w:val="0"/>
      <w:adjustRightInd w:val="0"/>
      <w:spacing w:after="0" w:line="360" w:lineRule="atLeast"/>
      <w:jc w:val="both"/>
      <w:textAlignment w:val="baseline"/>
    </w:pPr>
    <w:rPr>
      <w:rFonts w:ascii="Times New Roman" w:eastAsia="Times New Roman" w:hAnsi="Times New Roman" w:cs="Times New Roman"/>
      <w:sz w:val="24"/>
      <w:szCs w:val="24"/>
      <w:lang w:eastAsia="en-AU"/>
    </w:rPr>
  </w:style>
  <w:style w:type="paragraph" w:customStyle="1" w:styleId="Reclist">
    <w:name w:val="Rec list"/>
    <w:basedOn w:val="Rec"/>
    <w:rsid w:val="00D41518"/>
    <w:pPr>
      <w:keepNext/>
      <w:widowControl w:val="0"/>
      <w:tabs>
        <w:tab w:val="num" w:pos="340"/>
      </w:tabs>
      <w:adjustRightInd w:val="0"/>
      <w:ind w:left="340" w:hanging="340"/>
      <w:textAlignment w:val="baseline"/>
    </w:pPr>
  </w:style>
  <w:style w:type="paragraph" w:customStyle="1" w:styleId="Bodt">
    <w:name w:val="Bodt"/>
    <w:basedOn w:val="BoxSpaceAbove"/>
    <w:rsid w:val="00D41518"/>
    <w:pPr>
      <w:widowControl w:val="0"/>
      <w:tabs>
        <w:tab w:val="left" w:pos="7499"/>
      </w:tabs>
      <w:adjustRightInd w:val="0"/>
      <w:textAlignment w:val="baseline"/>
    </w:pPr>
  </w:style>
  <w:style w:type="paragraph" w:customStyle="1" w:styleId="Dash3">
    <w:name w:val="Dash 3"/>
    <w:basedOn w:val="Normal"/>
    <w:qFormat/>
    <w:rsid w:val="00D41518"/>
    <w:pPr>
      <w:widowControl w:val="0"/>
      <w:numPr>
        <w:numId w:val="21"/>
      </w:numPr>
      <w:adjustRightInd w:val="0"/>
      <w:spacing w:before="120" w:after="60" w:line="312" w:lineRule="auto"/>
      <w:ind w:right="142"/>
      <w:jc w:val="both"/>
      <w:textAlignment w:val="baseline"/>
    </w:pPr>
    <w:rPr>
      <w:rFonts w:ascii="Calibri" w:hAnsi="Calibri"/>
      <w:szCs w:val="20"/>
      <w:lang w:val="en-US"/>
    </w:rPr>
  </w:style>
  <w:style w:type="paragraph" w:customStyle="1" w:styleId="Reco">
    <w:name w:val="Reco"/>
    <w:basedOn w:val="RecBullet"/>
    <w:rsid w:val="00D41518"/>
    <w:pPr>
      <w:numPr>
        <w:numId w:val="20"/>
      </w:numPr>
    </w:pPr>
  </w:style>
  <w:style w:type="paragraph" w:styleId="Bibliography">
    <w:name w:val="Bibliography"/>
    <w:basedOn w:val="Normal"/>
    <w:next w:val="Normal"/>
    <w:uiPriority w:val="37"/>
    <w:unhideWhenUsed/>
    <w:rsid w:val="00D41518"/>
    <w:pPr>
      <w:spacing w:after="240"/>
      <w:ind w:left="720" w:hanging="720"/>
    </w:pPr>
  </w:style>
  <w:style w:type="paragraph" w:customStyle="1" w:styleId="Pa171">
    <w:name w:val="Pa17+1"/>
    <w:basedOn w:val="Normal"/>
    <w:next w:val="Normal"/>
    <w:uiPriority w:val="99"/>
    <w:rsid w:val="00D41518"/>
    <w:pPr>
      <w:autoSpaceDE w:val="0"/>
      <w:autoSpaceDN w:val="0"/>
      <w:adjustRightInd w:val="0"/>
      <w:spacing w:line="211" w:lineRule="atLeast"/>
    </w:pPr>
    <w:rPr>
      <w:rFonts w:ascii="Open Sans" w:hAnsi="Open Sans"/>
    </w:rPr>
  </w:style>
  <w:style w:type="paragraph" w:customStyle="1" w:styleId="Pa2">
    <w:name w:val="Pa2"/>
    <w:basedOn w:val="Normal"/>
    <w:next w:val="Normal"/>
    <w:uiPriority w:val="99"/>
    <w:rsid w:val="00D41518"/>
    <w:pPr>
      <w:autoSpaceDE w:val="0"/>
      <w:autoSpaceDN w:val="0"/>
      <w:adjustRightInd w:val="0"/>
      <w:spacing w:line="211" w:lineRule="atLeast"/>
    </w:pPr>
    <w:rPr>
      <w:rFonts w:ascii="Open Sans" w:hAnsi="Open Sans"/>
    </w:rPr>
  </w:style>
  <w:style w:type="character" w:customStyle="1" w:styleId="BoxListBulletChar">
    <w:name w:val="Box List Bullet Char"/>
    <w:basedOn w:val="DefaultParagraphFont"/>
    <w:link w:val="BoxListBullet"/>
    <w:locked/>
    <w:rsid w:val="00D41518"/>
    <w:rPr>
      <w:rFonts w:ascii="Arial" w:eastAsia="Times New Roman" w:hAnsi="Arial" w:cs="Times New Roman"/>
      <w:sz w:val="20"/>
      <w:szCs w:val="20"/>
      <w:lang w:eastAsia="en-AU"/>
    </w:rPr>
  </w:style>
  <w:style w:type="character" w:styleId="EndnoteReference">
    <w:name w:val="endnote reference"/>
    <w:basedOn w:val="DefaultParagraphFont"/>
    <w:uiPriority w:val="99"/>
    <w:semiHidden/>
    <w:unhideWhenUsed/>
    <w:rsid w:val="00D41518"/>
    <w:rPr>
      <w:vertAlign w:val="superscript"/>
    </w:rPr>
  </w:style>
  <w:style w:type="character" w:customStyle="1" w:styleId="BoxChar">
    <w:name w:val="Box Char"/>
    <w:basedOn w:val="DefaultParagraphFont"/>
    <w:link w:val="Box"/>
    <w:locked/>
    <w:rsid w:val="00D41518"/>
    <w:rPr>
      <w:rFonts w:ascii="Arial" w:eastAsia="Times New Roman" w:hAnsi="Arial" w:cs="Times New Roman"/>
      <w:sz w:val="20"/>
      <w:szCs w:val="20"/>
      <w:lang w:eastAsia="en-AU"/>
    </w:rPr>
  </w:style>
  <w:style w:type="character" w:styleId="PlaceholderText">
    <w:name w:val="Placeholder Text"/>
    <w:basedOn w:val="DefaultParagraphFont"/>
    <w:uiPriority w:val="99"/>
    <w:semiHidden/>
    <w:rsid w:val="00D41518"/>
    <w:rPr>
      <w:color w:val="808080"/>
    </w:rPr>
  </w:style>
  <w:style w:type="character" w:styleId="Strong">
    <w:name w:val="Strong"/>
    <w:basedOn w:val="DefaultParagraphFont"/>
    <w:uiPriority w:val="22"/>
    <w:qFormat/>
    <w:rsid w:val="00D41518"/>
    <w:rPr>
      <w:b/>
      <w:bCs/>
    </w:rPr>
  </w:style>
  <w:style w:type="character" w:customStyle="1" w:styleId="attribution">
    <w:name w:val="attribution"/>
    <w:basedOn w:val="DefaultParagraphFont"/>
    <w:rsid w:val="00D41518"/>
  </w:style>
  <w:style w:type="character" w:customStyle="1" w:styleId="source0">
    <w:name w:val="source"/>
    <w:basedOn w:val="DefaultParagraphFont"/>
    <w:rsid w:val="00D41518"/>
  </w:style>
  <w:style w:type="paragraph" w:customStyle="1" w:styleId="xmsonormal">
    <w:name w:val="x_msonormal"/>
    <w:basedOn w:val="Normal"/>
    <w:rsid w:val="00D41518"/>
  </w:style>
  <w:style w:type="paragraph" w:styleId="PlainText">
    <w:name w:val="Plain Text"/>
    <w:basedOn w:val="Normal"/>
    <w:link w:val="PlainTextChar"/>
    <w:uiPriority w:val="99"/>
    <w:unhideWhenUsed/>
    <w:rsid w:val="00D41518"/>
    <w:rPr>
      <w:rFonts w:ascii="Calibri" w:hAnsi="Calibri"/>
      <w:szCs w:val="21"/>
    </w:rPr>
  </w:style>
  <w:style w:type="character" w:customStyle="1" w:styleId="PlainTextChar">
    <w:name w:val="Plain Text Char"/>
    <w:basedOn w:val="DefaultParagraphFont"/>
    <w:link w:val="PlainText"/>
    <w:uiPriority w:val="99"/>
    <w:rsid w:val="00D41518"/>
    <w:rPr>
      <w:rFonts w:ascii="Calibri" w:hAnsi="Calibri"/>
      <w:szCs w:val="21"/>
    </w:rPr>
  </w:style>
  <w:style w:type="paragraph" w:styleId="TOC5">
    <w:name w:val="toc 5"/>
    <w:basedOn w:val="Normal"/>
    <w:next w:val="Normal"/>
    <w:autoRedefine/>
    <w:uiPriority w:val="39"/>
    <w:unhideWhenUsed/>
    <w:rsid w:val="00D41518"/>
    <w:pPr>
      <w:spacing w:after="100"/>
      <w:ind w:left="960"/>
    </w:pPr>
  </w:style>
  <w:style w:type="paragraph" w:styleId="EndnoteText">
    <w:name w:val="endnote text"/>
    <w:basedOn w:val="Normal"/>
    <w:link w:val="EndnoteTextChar"/>
    <w:uiPriority w:val="99"/>
    <w:unhideWhenUsed/>
    <w:rsid w:val="00D41518"/>
    <w:rPr>
      <w:sz w:val="20"/>
      <w:szCs w:val="20"/>
    </w:rPr>
  </w:style>
  <w:style w:type="character" w:customStyle="1" w:styleId="EndnoteTextChar">
    <w:name w:val="Endnote Text Char"/>
    <w:basedOn w:val="DefaultParagraphFont"/>
    <w:link w:val="EndnoteText"/>
    <w:uiPriority w:val="99"/>
    <w:rsid w:val="00D41518"/>
    <w:rPr>
      <w:rFonts w:ascii="Times New Roman" w:eastAsia="Times New Roman" w:hAnsi="Times New Roman" w:cs="Times New Roman"/>
      <w:sz w:val="20"/>
      <w:szCs w:val="20"/>
      <w:lang w:eastAsia="en-AU"/>
    </w:rPr>
  </w:style>
  <w:style w:type="paragraph" w:customStyle="1" w:styleId="BoxQuotenumber">
    <w:name w:val="Box Quote number"/>
    <w:basedOn w:val="BoxQuote"/>
    <w:rsid w:val="00D41518"/>
    <w:pPr>
      <w:ind w:left="567" w:hanging="283"/>
    </w:pPr>
  </w:style>
  <w:style w:type="character" w:customStyle="1" w:styleId="BulletsChar">
    <w:name w:val="Bullets Char"/>
    <w:basedOn w:val="DefaultParagraphFont"/>
    <w:link w:val="Bullets"/>
    <w:locked/>
    <w:rsid w:val="00D41518"/>
  </w:style>
  <w:style w:type="paragraph" w:customStyle="1" w:styleId="Bullets">
    <w:name w:val="Bullets"/>
    <w:basedOn w:val="Normal"/>
    <w:link w:val="BulletsChar"/>
    <w:rsid w:val="00D41518"/>
    <w:pPr>
      <w:numPr>
        <w:numId w:val="23"/>
      </w:numPr>
      <w:spacing w:after="120"/>
      <w:contextualSpacing/>
    </w:pPr>
  </w:style>
  <w:style w:type="table" w:customStyle="1" w:styleId="TableGrid1">
    <w:name w:val="Table Grid1"/>
    <w:basedOn w:val="TableNormal"/>
    <w:next w:val="TableGrid"/>
    <w:uiPriority w:val="59"/>
    <w:rsid w:val="00D4151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
    <w:name w:val="Notes"/>
    <w:basedOn w:val="TableColumnHeading"/>
    <w:rsid w:val="00D41518"/>
    <w:pPr>
      <w:jc w:val="left"/>
    </w:pPr>
  </w:style>
  <w:style w:type="paragraph" w:customStyle="1" w:styleId="DHHSbody">
    <w:name w:val="DHHS body"/>
    <w:link w:val="DHHSbodyChar"/>
    <w:qFormat/>
    <w:rsid w:val="00D41518"/>
    <w:pPr>
      <w:spacing w:after="120" w:line="270" w:lineRule="atLeast"/>
    </w:pPr>
    <w:rPr>
      <w:rFonts w:ascii="Arial" w:eastAsia="Times" w:hAnsi="Arial" w:cs="Times New Roman"/>
      <w:sz w:val="20"/>
      <w:szCs w:val="20"/>
    </w:rPr>
  </w:style>
  <w:style w:type="paragraph" w:customStyle="1" w:styleId="DHHSquotebullet1">
    <w:name w:val="DHHS quote bullet 1"/>
    <w:basedOn w:val="Normal"/>
    <w:rsid w:val="00D41518"/>
    <w:pPr>
      <w:numPr>
        <w:numId w:val="24"/>
      </w:numPr>
      <w:spacing w:after="120" w:line="270" w:lineRule="atLeast"/>
    </w:pPr>
    <w:rPr>
      <w:rFonts w:ascii="Arial" w:eastAsia="Times" w:hAnsi="Arial"/>
      <w:sz w:val="20"/>
      <w:szCs w:val="18"/>
    </w:rPr>
  </w:style>
  <w:style w:type="paragraph" w:customStyle="1" w:styleId="DHHSquotebullet2">
    <w:name w:val="DHHS quote bullet 2"/>
    <w:basedOn w:val="Normal"/>
    <w:rsid w:val="00D41518"/>
    <w:pPr>
      <w:numPr>
        <w:ilvl w:val="1"/>
        <w:numId w:val="24"/>
      </w:numPr>
      <w:spacing w:after="120" w:line="270" w:lineRule="atLeast"/>
    </w:pPr>
    <w:rPr>
      <w:rFonts w:ascii="Arial" w:eastAsia="Times" w:hAnsi="Arial"/>
      <w:sz w:val="20"/>
      <w:szCs w:val="18"/>
    </w:rPr>
  </w:style>
  <w:style w:type="numbering" w:customStyle="1" w:styleId="ZZQuotebullets">
    <w:name w:val="ZZ Quote bullets"/>
    <w:basedOn w:val="NoList"/>
    <w:rsid w:val="00D41518"/>
    <w:pPr>
      <w:numPr>
        <w:numId w:val="24"/>
      </w:numPr>
    </w:pPr>
  </w:style>
  <w:style w:type="character" w:customStyle="1" w:styleId="DHHSbodyChar">
    <w:name w:val="DHHS body Char"/>
    <w:basedOn w:val="DefaultParagraphFont"/>
    <w:link w:val="DHHSbody"/>
    <w:rsid w:val="00D41518"/>
    <w:rPr>
      <w:rFonts w:ascii="Arial" w:eastAsia="Times" w:hAnsi="Arial" w:cs="Times New Roman"/>
      <w:sz w:val="20"/>
      <w:szCs w:val="20"/>
    </w:rPr>
  </w:style>
  <w:style w:type="paragraph" w:customStyle="1" w:styleId="DHHSbullet1">
    <w:name w:val="DHHS bullet 1"/>
    <w:basedOn w:val="DHHSbody"/>
    <w:qFormat/>
    <w:rsid w:val="00D41518"/>
    <w:pPr>
      <w:numPr>
        <w:numId w:val="67"/>
      </w:numPr>
      <w:tabs>
        <w:tab w:val="num" w:pos="360"/>
      </w:tabs>
      <w:spacing w:after="40"/>
    </w:pPr>
  </w:style>
  <w:style w:type="paragraph" w:customStyle="1" w:styleId="DHHSbullet2">
    <w:name w:val="DHHS bullet 2"/>
    <w:basedOn w:val="DHHSbody"/>
    <w:uiPriority w:val="2"/>
    <w:qFormat/>
    <w:rsid w:val="00D41518"/>
    <w:pPr>
      <w:numPr>
        <w:ilvl w:val="1"/>
        <w:numId w:val="67"/>
      </w:numPr>
      <w:tabs>
        <w:tab w:val="num" w:pos="360"/>
      </w:tabs>
      <w:spacing w:after="40"/>
    </w:pPr>
  </w:style>
  <w:style w:type="numbering" w:customStyle="1" w:styleId="ZZBullets">
    <w:name w:val="ZZ Bullets"/>
    <w:rsid w:val="00D41518"/>
    <w:pPr>
      <w:numPr>
        <w:numId w:val="26"/>
      </w:numPr>
    </w:pPr>
  </w:style>
  <w:style w:type="character" w:customStyle="1" w:styleId="abscitationtitle">
    <w:name w:val="abs_citation_title"/>
    <w:basedOn w:val="DefaultParagraphFont"/>
    <w:rsid w:val="00D41518"/>
  </w:style>
  <w:style w:type="paragraph" w:customStyle="1" w:styleId="Bul">
    <w:name w:val="Bul"/>
    <w:basedOn w:val="BodyText"/>
    <w:rsid w:val="00D41518"/>
  </w:style>
  <w:style w:type="paragraph" w:customStyle="1" w:styleId="Boxb">
    <w:name w:val="Box b"/>
    <w:basedOn w:val="Box"/>
    <w:rsid w:val="00D41518"/>
  </w:style>
  <w:style w:type="paragraph" w:customStyle="1" w:styleId="Boxbul">
    <w:name w:val="Box bul"/>
    <w:basedOn w:val="Boxb"/>
    <w:rsid w:val="00D41518"/>
  </w:style>
  <w:style w:type="character" w:customStyle="1" w:styleId="A6">
    <w:name w:val="A6"/>
    <w:uiPriority w:val="99"/>
    <w:rsid w:val="00D41518"/>
    <w:rPr>
      <w:color w:val="000000"/>
      <w:sz w:val="21"/>
      <w:szCs w:val="21"/>
    </w:rPr>
  </w:style>
  <w:style w:type="character" w:customStyle="1" w:styleId="ListParagraphChar">
    <w:name w:val="List Paragraph Char"/>
    <w:aliases w:val="Body text Char,List Paragraph1 Char,Recommendation Char"/>
    <w:link w:val="ListParagraph"/>
    <w:uiPriority w:val="34"/>
    <w:locked/>
    <w:rsid w:val="00D41518"/>
    <w:rPr>
      <w:rFonts w:ascii="Times New Roman" w:eastAsiaTheme="minorEastAsia" w:hAnsi="Times New Roman" w:cs="Times New Roman"/>
      <w:sz w:val="24"/>
      <w:szCs w:val="24"/>
      <w:lang w:eastAsia="en-AU"/>
    </w:rPr>
  </w:style>
  <w:style w:type="paragraph" w:customStyle="1" w:styleId="Style1">
    <w:name w:val="Style1"/>
    <w:basedOn w:val="BodyText"/>
    <w:link w:val="Style1Char"/>
    <w:qFormat/>
    <w:rsid w:val="00D41518"/>
    <w:rPr>
      <w:color w:val="70AD47" w:themeColor="accent6"/>
    </w:rPr>
  </w:style>
  <w:style w:type="paragraph" w:customStyle="1" w:styleId="KZDN">
    <w:name w:val="KZDN"/>
    <w:basedOn w:val="Style1"/>
    <w:link w:val="KZDNChar"/>
    <w:qFormat/>
    <w:rsid w:val="00D41518"/>
  </w:style>
  <w:style w:type="character" w:customStyle="1" w:styleId="Style1Char">
    <w:name w:val="Style1 Char"/>
    <w:basedOn w:val="BodyTextChar"/>
    <w:link w:val="Style1"/>
    <w:rsid w:val="00D41518"/>
    <w:rPr>
      <w:rFonts w:ascii="Times New Roman" w:eastAsia="Times New Roman" w:hAnsi="Times New Roman" w:cs="Times New Roman"/>
      <w:color w:val="70AD47" w:themeColor="accent6"/>
      <w:sz w:val="24"/>
      <w:szCs w:val="20"/>
      <w:lang w:eastAsia="en-AU"/>
    </w:rPr>
  </w:style>
  <w:style w:type="character" w:customStyle="1" w:styleId="KZDNChar">
    <w:name w:val="KZDN Char"/>
    <w:basedOn w:val="Style1Char"/>
    <w:link w:val="KZDN"/>
    <w:rsid w:val="00D41518"/>
    <w:rPr>
      <w:rFonts w:ascii="Times New Roman" w:eastAsia="Times New Roman" w:hAnsi="Times New Roman" w:cs="Times New Roman"/>
      <w:color w:val="70AD47" w:themeColor="accent6"/>
      <w:sz w:val="24"/>
      <w:szCs w:val="20"/>
      <w:lang w:eastAsia="en-AU"/>
    </w:rPr>
  </w:style>
  <w:style w:type="paragraph" w:customStyle="1" w:styleId="Drag">
    <w:name w:val="Drag"/>
    <w:basedOn w:val="BodyText"/>
    <w:rsid w:val="00D41518"/>
  </w:style>
  <w:style w:type="paragraph" w:customStyle="1" w:styleId="Quotes">
    <w:name w:val="Quotes"/>
    <w:basedOn w:val="BoxQuote"/>
    <w:rsid w:val="00D41518"/>
  </w:style>
  <w:style w:type="paragraph" w:customStyle="1" w:styleId="InformationRequestlist">
    <w:name w:val="Information Request list"/>
    <w:basedOn w:val="InformationRequest"/>
    <w:rsid w:val="00D41518"/>
  </w:style>
  <w:style w:type="paragraph" w:customStyle="1" w:styleId="Quoter">
    <w:name w:val="Quoter"/>
    <w:basedOn w:val="BodyText"/>
    <w:rsid w:val="00D41518"/>
    <w:pPr>
      <w:tabs>
        <w:tab w:val="left" w:pos="6055"/>
      </w:tabs>
    </w:pPr>
  </w:style>
  <w:style w:type="paragraph" w:customStyle="1" w:styleId="CommentText1">
    <w:name w:val="Comment Text1"/>
    <w:basedOn w:val="Normal"/>
    <w:next w:val="CommentText"/>
    <w:link w:val="CommentTextChar0"/>
    <w:semiHidden/>
    <w:rsid w:val="00D41518"/>
    <w:pPr>
      <w:spacing w:before="120" w:line="240" w:lineRule="atLeast"/>
      <w:ind w:left="567" w:hanging="567"/>
    </w:pPr>
    <w:rPr>
      <w:rFonts w:ascii="Arial" w:hAnsi="Arial"/>
      <w:lang w:eastAsia="en-GB"/>
    </w:rPr>
  </w:style>
  <w:style w:type="character" w:customStyle="1" w:styleId="CommentTextChar0">
    <w:name w:val="Comment Text Char."/>
    <w:basedOn w:val="DefaultParagraphFont"/>
    <w:link w:val="CommentText1"/>
    <w:semiHidden/>
    <w:rsid w:val="00D41518"/>
    <w:rPr>
      <w:rFonts w:ascii="Arial" w:eastAsia="Times New Roman" w:hAnsi="Arial" w:cs="Times New Roman"/>
      <w:lang w:eastAsia="en-GB"/>
    </w:rPr>
  </w:style>
  <w:style w:type="paragraph" w:customStyle="1" w:styleId="BoxSpaceBelwo">
    <w:name w:val="Box Space Belwo"/>
    <w:basedOn w:val="BoxSpaceAbove"/>
    <w:rsid w:val="00D41518"/>
    <w:pPr>
      <w:keepNext w:val="0"/>
      <w:spacing w:before="120"/>
    </w:pPr>
    <w:rPr>
      <w:sz w:val="20"/>
    </w:rPr>
  </w:style>
  <w:style w:type="paragraph" w:customStyle="1" w:styleId="Heading1NotTOC">
    <w:name w:val="Heading 1 Not TOC"/>
    <w:basedOn w:val="Heading1"/>
    <w:next w:val="BodyText"/>
    <w:rsid w:val="00D41518"/>
    <w:rPr>
      <w:kern w:val="28"/>
      <w:szCs w:val="26"/>
      <w:lang w:eastAsia="en-US"/>
    </w:rPr>
  </w:style>
  <w:style w:type="paragraph" w:customStyle="1" w:styleId="Copyrightheading">
    <w:name w:val="Copyright heading"/>
    <w:basedOn w:val="TOC1"/>
    <w:link w:val="CopyrightheadingChar"/>
    <w:qFormat/>
    <w:rsid w:val="00D41518"/>
    <w:pPr>
      <w:spacing w:line="300" w:lineRule="exact"/>
    </w:pPr>
  </w:style>
  <w:style w:type="character" w:customStyle="1" w:styleId="CopyrightheadingChar">
    <w:name w:val="Copyright heading Char"/>
    <w:basedOn w:val="TOC1Char"/>
    <w:link w:val="Copyrightheading"/>
    <w:rsid w:val="00D41518"/>
    <w:rPr>
      <w:rFonts w:ascii="Arial" w:eastAsia="Times New Roman" w:hAnsi="Arial" w:cs="Times New Roman"/>
      <w:b/>
      <w:sz w:val="26"/>
      <w:szCs w:val="26"/>
    </w:rPr>
  </w:style>
  <w:style w:type="paragraph" w:customStyle="1" w:styleId="Copyrightsubtitle">
    <w:name w:val="Copyright subtitle"/>
    <w:basedOn w:val="BodyText"/>
    <w:rsid w:val="00D41518"/>
    <w:rPr>
      <w:rFonts w:ascii="Arial" w:hAnsi="Arial"/>
      <w:b/>
      <w:sz w:val="22"/>
      <w:szCs w:val="25"/>
    </w:rPr>
  </w:style>
  <w:style w:type="paragraph" w:customStyle="1" w:styleId="Copyrightbodytext">
    <w:name w:val="Copyright bodytext"/>
    <w:basedOn w:val="BodyText"/>
    <w:link w:val="CopyrightbodytextChar"/>
    <w:qFormat/>
    <w:rsid w:val="00D41518"/>
    <w:pPr>
      <w:spacing w:before="60"/>
    </w:pPr>
  </w:style>
  <w:style w:type="character" w:customStyle="1" w:styleId="CopyrightbodytextChar">
    <w:name w:val="Copyright bodytext Char"/>
    <w:basedOn w:val="BodyTextChar"/>
    <w:link w:val="Copyrightbodytext"/>
    <w:rsid w:val="00D41518"/>
    <w:rPr>
      <w:rFonts w:ascii="Times New Roman" w:eastAsia="Times New Roman" w:hAnsi="Times New Roman" w:cs="Times New Roman"/>
      <w:sz w:val="24"/>
      <w:szCs w:val="20"/>
      <w:lang w:eastAsia="en-AU"/>
    </w:rPr>
  </w:style>
  <w:style w:type="paragraph" w:customStyle="1" w:styleId="TOC20">
    <w:name w:val="TOC2"/>
    <w:basedOn w:val="TOC2"/>
    <w:rsid w:val="00D41518"/>
    <w:pPr>
      <w:tabs>
        <w:tab w:val="left" w:pos="1760"/>
      </w:tabs>
      <w:ind w:left="1020" w:hanging="510"/>
    </w:pPr>
    <w:rPr>
      <w:rFonts w:ascii="Times New Roman" w:hAnsi="Times New Roman"/>
      <w:noProof/>
      <w:color w:val="C45911" w:themeColor="accent2" w:themeShade="BF"/>
    </w:rPr>
  </w:style>
  <w:style w:type="paragraph" w:customStyle="1" w:styleId="Spaceabove">
    <w:name w:val="Space above"/>
    <w:basedOn w:val="Normal"/>
    <w:rsid w:val="00DA651A"/>
    <w:pPr>
      <w:keepNext/>
      <w:tabs>
        <w:tab w:val="left" w:pos="5583"/>
      </w:tabs>
      <w:spacing w:before="120" w:line="200" w:lineRule="atLeast"/>
      <w:jc w:val="both"/>
    </w:pPr>
    <w:rPr>
      <w:sz w:val="20"/>
      <w:szCs w:val="20"/>
    </w:rPr>
  </w:style>
  <w:style w:type="character" w:customStyle="1" w:styleId="Mention1">
    <w:name w:val="Mention1"/>
    <w:basedOn w:val="DefaultParagraphFont"/>
    <w:uiPriority w:val="99"/>
    <w:semiHidden/>
    <w:unhideWhenUsed/>
    <w:rsid w:val="00830E74"/>
    <w:rPr>
      <w:color w:val="2B579A"/>
      <w:shd w:val="clear" w:color="auto" w:fill="E6E6E6"/>
    </w:rPr>
  </w:style>
  <w:style w:type="paragraph" w:customStyle="1" w:styleId="recbullet0">
    <w:name w:val="recbullet"/>
    <w:basedOn w:val="Normal"/>
    <w:rsid w:val="00E63A1E"/>
    <w:pPr>
      <w:spacing w:before="80" w:line="280" w:lineRule="atLeast"/>
      <w:jc w:val="both"/>
    </w:pPr>
    <w:rPr>
      <w:rFonts w:ascii="Arial" w:hAnsi="Arial" w:cs="Arial"/>
    </w:rPr>
  </w:style>
  <w:style w:type="paragraph" w:customStyle="1" w:styleId="Rec0">
    <w:name w:val="Rec."/>
    <w:basedOn w:val="Finding"/>
    <w:rsid w:val="00151525"/>
    <w:pPr>
      <w:keepNext/>
    </w:pPr>
  </w:style>
  <w:style w:type="paragraph" w:customStyle="1" w:styleId="Recrec">
    <w:name w:val="Recrec"/>
    <w:basedOn w:val="Rec"/>
    <w:rsid w:val="00E06F1D"/>
    <w:pPr>
      <w:keepNext/>
    </w:pPr>
    <w:rPr>
      <w:lang w:eastAsia="en-US"/>
    </w:rPr>
  </w:style>
  <w:style w:type="paragraph" w:customStyle="1" w:styleId="BoxSpacngabove">
    <w:name w:val="Box Spacng above"/>
    <w:basedOn w:val="BodyText"/>
    <w:rsid w:val="00571446"/>
  </w:style>
  <w:style w:type="paragraph" w:customStyle="1" w:styleId="BoxSpacingabove">
    <w:name w:val="Box Spacing above"/>
    <w:basedOn w:val="Normal"/>
    <w:rsid w:val="00571446"/>
    <w:pPr>
      <w:keepNext/>
      <w:spacing w:before="360" w:line="80" w:lineRule="exact"/>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74159">
      <w:bodyDiv w:val="1"/>
      <w:marLeft w:val="0"/>
      <w:marRight w:val="0"/>
      <w:marTop w:val="0"/>
      <w:marBottom w:val="0"/>
      <w:divBdr>
        <w:top w:val="none" w:sz="0" w:space="0" w:color="auto"/>
        <w:left w:val="none" w:sz="0" w:space="0" w:color="auto"/>
        <w:bottom w:val="none" w:sz="0" w:space="0" w:color="auto"/>
        <w:right w:val="none" w:sz="0" w:space="0" w:color="auto"/>
      </w:divBdr>
    </w:div>
    <w:div w:id="262804348">
      <w:bodyDiv w:val="1"/>
      <w:marLeft w:val="0"/>
      <w:marRight w:val="0"/>
      <w:marTop w:val="0"/>
      <w:marBottom w:val="0"/>
      <w:divBdr>
        <w:top w:val="none" w:sz="0" w:space="0" w:color="auto"/>
        <w:left w:val="none" w:sz="0" w:space="0" w:color="auto"/>
        <w:bottom w:val="none" w:sz="0" w:space="0" w:color="auto"/>
        <w:right w:val="none" w:sz="0" w:space="0" w:color="auto"/>
      </w:divBdr>
    </w:div>
    <w:div w:id="1035083383">
      <w:bodyDiv w:val="1"/>
      <w:marLeft w:val="0"/>
      <w:marRight w:val="0"/>
      <w:marTop w:val="0"/>
      <w:marBottom w:val="0"/>
      <w:divBdr>
        <w:top w:val="none" w:sz="0" w:space="0" w:color="auto"/>
        <w:left w:val="none" w:sz="0" w:space="0" w:color="auto"/>
        <w:bottom w:val="none" w:sz="0" w:space="0" w:color="auto"/>
        <w:right w:val="none" w:sz="0" w:space="0" w:color="auto"/>
      </w:divBdr>
    </w:div>
    <w:div w:id="1244147152">
      <w:bodyDiv w:val="1"/>
      <w:marLeft w:val="0"/>
      <w:marRight w:val="0"/>
      <w:marTop w:val="0"/>
      <w:marBottom w:val="0"/>
      <w:divBdr>
        <w:top w:val="none" w:sz="0" w:space="0" w:color="auto"/>
        <w:left w:val="none" w:sz="0" w:space="0" w:color="auto"/>
        <w:bottom w:val="none" w:sz="0" w:space="0" w:color="auto"/>
        <w:right w:val="none" w:sz="0" w:space="0" w:color="auto"/>
      </w:divBdr>
    </w:div>
    <w:div w:id="1306350385">
      <w:bodyDiv w:val="1"/>
      <w:marLeft w:val="0"/>
      <w:marRight w:val="0"/>
      <w:marTop w:val="0"/>
      <w:marBottom w:val="0"/>
      <w:divBdr>
        <w:top w:val="none" w:sz="0" w:space="0" w:color="auto"/>
        <w:left w:val="none" w:sz="0" w:space="0" w:color="auto"/>
        <w:bottom w:val="none" w:sz="0" w:space="0" w:color="auto"/>
        <w:right w:val="none" w:sz="0" w:space="0" w:color="auto"/>
      </w:divBdr>
    </w:div>
    <w:div w:id="1374696463">
      <w:bodyDiv w:val="1"/>
      <w:marLeft w:val="0"/>
      <w:marRight w:val="0"/>
      <w:marTop w:val="0"/>
      <w:marBottom w:val="0"/>
      <w:divBdr>
        <w:top w:val="none" w:sz="0" w:space="0" w:color="auto"/>
        <w:left w:val="none" w:sz="0" w:space="0" w:color="auto"/>
        <w:bottom w:val="none" w:sz="0" w:space="0" w:color="auto"/>
        <w:right w:val="none" w:sz="0" w:space="0" w:color="auto"/>
      </w:divBdr>
    </w:div>
    <w:div w:id="1418671930">
      <w:bodyDiv w:val="1"/>
      <w:marLeft w:val="0"/>
      <w:marRight w:val="0"/>
      <w:marTop w:val="0"/>
      <w:marBottom w:val="0"/>
      <w:divBdr>
        <w:top w:val="none" w:sz="0" w:space="0" w:color="auto"/>
        <w:left w:val="none" w:sz="0" w:space="0" w:color="auto"/>
        <w:bottom w:val="none" w:sz="0" w:space="0" w:color="auto"/>
        <w:right w:val="none" w:sz="0" w:space="0" w:color="auto"/>
      </w:divBdr>
    </w:div>
    <w:div w:id="1441221583">
      <w:bodyDiv w:val="1"/>
      <w:marLeft w:val="0"/>
      <w:marRight w:val="0"/>
      <w:marTop w:val="0"/>
      <w:marBottom w:val="0"/>
      <w:divBdr>
        <w:top w:val="none" w:sz="0" w:space="0" w:color="auto"/>
        <w:left w:val="none" w:sz="0" w:space="0" w:color="auto"/>
        <w:bottom w:val="none" w:sz="0" w:space="0" w:color="auto"/>
        <w:right w:val="none" w:sz="0" w:space="0" w:color="auto"/>
      </w:divBdr>
    </w:div>
    <w:div w:id="189315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chap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759EF-C0D6-4E60-A2D7-0DB2126BB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1609</TotalTime>
  <Pages>74</Pages>
  <Words>19458</Words>
  <Characters>110911</Characters>
  <Application>Microsoft Office Word</Application>
  <DocSecurity>0</DocSecurity>
  <Lines>924</Lines>
  <Paragraphs>260</Paragraphs>
  <ScaleCrop>false</ScaleCrop>
  <HeadingPairs>
    <vt:vector size="2" baseType="variant">
      <vt:variant>
        <vt:lpstr>Title</vt:lpstr>
      </vt:variant>
      <vt:variant>
        <vt:i4>1</vt:i4>
      </vt:variant>
    </vt:vector>
  </HeadingPairs>
  <TitlesOfParts>
    <vt:vector size="1" baseType="lpstr">
      <vt:lpstr>Actions and findings - inquiry report - Mental Health</vt:lpstr>
    </vt:vector>
  </TitlesOfParts>
  <Company>Productivity Commission</Company>
  <LinksUpToDate>false</LinksUpToDate>
  <CharactersWithSpaces>130109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Actions and findings - inquiry report - Mental Health</dc:title>
  <dc:subject/>
  <dc:creator>Productivity Commission</dc:creator>
  <cp:keywords/>
  <dc:description/>
  <cp:lastModifiedBy>Productivity Commission</cp:lastModifiedBy>
  <cp:revision>69</cp:revision>
  <cp:lastPrinted>2020-09-08T04:35:00Z</cp:lastPrinted>
  <dcterms:created xsi:type="dcterms:W3CDTF">2020-06-11T19:59:00Z</dcterms:created>
  <dcterms:modified xsi:type="dcterms:W3CDTF">2020-09-08T04:58:00Z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0x0101007916246811615643A710C6FEAFF56A8711040000449A73B7CB3C4FA60FEF3E713A7376</vt:lpwstr>
  </property>
  <property fmtid="{D5CDD505-2E9C-101B-9397-08002B2CF9AE}" pid="3" name="Record Tag">
    <vt:lpwstr>270;#Final Report|2ba7de50-4c1d-4453-9bfb-2c08018fad73</vt:lpwstr>
  </property>
  <property fmtid="{D5CDD505-2E9C-101B-9397-08002B2CF9AE}" pid="4" name="TaxKeyword">
    <vt:lpwstr/>
  </property>
  <property fmtid="{D5CDD505-2E9C-101B-9397-08002B2CF9AE}" pid="5" name="_dlc_DocIdItemGuid">
    <vt:lpwstr>10ce4f32-2bc6-42e8-9c1d-bdce5e1272d2</vt:lpwstr>
  </property>
</Properties>
</file>